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88629" w14:textId="2D71EE4A" w:rsidR="00511308" w:rsidRPr="00E6319C" w:rsidRDefault="00511308" w:rsidP="00E6319C">
      <w:pPr>
        <w:spacing w:after="0" w:line="480" w:lineRule="auto"/>
        <w:contextualSpacing/>
        <w:rPr>
          <w:rFonts w:ascii="Times New Roman" w:hAnsi="Times New Roman" w:cs="Times New Roman"/>
          <w:sz w:val="24"/>
          <w:szCs w:val="24"/>
          <w:lang w:val="en-US"/>
        </w:rPr>
      </w:pPr>
    </w:p>
    <w:p w14:paraId="51CF9F2C"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251A3161"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78E51A45"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082DC693"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5F27B278"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10F680DC"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5BBA348A"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117E69F4"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9B3649F"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227FD55" w14:textId="77777777" w:rsidR="00356F18" w:rsidRDefault="00056C7E" w:rsidP="00E6319C">
      <w:pPr>
        <w:spacing w:after="0" w:line="480" w:lineRule="auto"/>
        <w:contextualSpacing/>
        <w:jc w:val="center"/>
        <w:rPr>
          <w:rFonts w:ascii="Times New Roman" w:hAnsi="Times New Roman" w:cs="Times New Roman"/>
          <w:sz w:val="24"/>
          <w:szCs w:val="24"/>
        </w:rPr>
      </w:pPr>
      <w:r w:rsidRPr="00E6319C">
        <w:rPr>
          <w:rFonts w:ascii="Times New Roman" w:hAnsi="Times New Roman" w:cs="Times New Roman"/>
          <w:sz w:val="24"/>
          <w:szCs w:val="24"/>
        </w:rPr>
        <w:t>Component 2: Written Report</w:t>
      </w:r>
    </w:p>
    <w:p w14:paraId="3E13F1FD" w14:textId="253E15EA" w:rsidR="005A029D" w:rsidRPr="00E6319C" w:rsidRDefault="005A029D" w:rsidP="00E6319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Module code-BMHP5021</w:t>
      </w:r>
    </w:p>
    <w:p w14:paraId="432E69FD" w14:textId="53B03813" w:rsidR="00056C7E" w:rsidRPr="00E6319C" w:rsidRDefault="00056C7E" w:rsidP="00E6319C">
      <w:pPr>
        <w:spacing w:after="0" w:line="480" w:lineRule="auto"/>
        <w:contextualSpacing/>
        <w:jc w:val="center"/>
        <w:rPr>
          <w:rFonts w:ascii="Times New Roman" w:hAnsi="Times New Roman" w:cs="Times New Roman"/>
          <w:sz w:val="24"/>
          <w:szCs w:val="24"/>
        </w:rPr>
      </w:pPr>
      <w:r w:rsidRPr="00E6319C">
        <w:rPr>
          <w:rFonts w:ascii="Times New Roman" w:hAnsi="Times New Roman" w:cs="Times New Roman"/>
          <w:sz w:val="24"/>
          <w:szCs w:val="24"/>
        </w:rPr>
        <w:t>[Name</w:t>
      </w:r>
      <w:r w:rsidR="005A029D">
        <w:rPr>
          <w:rFonts w:ascii="Times New Roman" w:hAnsi="Times New Roman" w:cs="Times New Roman"/>
          <w:sz w:val="24"/>
          <w:szCs w:val="24"/>
        </w:rPr>
        <w:t>-Lauren Natasha Dillon</w:t>
      </w:r>
      <w:r w:rsidRPr="00E6319C">
        <w:rPr>
          <w:rFonts w:ascii="Times New Roman" w:hAnsi="Times New Roman" w:cs="Times New Roman"/>
          <w:sz w:val="24"/>
          <w:szCs w:val="24"/>
        </w:rPr>
        <w:t>]</w:t>
      </w:r>
    </w:p>
    <w:p w14:paraId="66A4ED05" w14:textId="6D171119" w:rsidR="00056C7E" w:rsidRDefault="00056C7E" w:rsidP="00E6319C">
      <w:pPr>
        <w:spacing w:after="0" w:line="480" w:lineRule="auto"/>
        <w:contextualSpacing/>
        <w:jc w:val="center"/>
        <w:rPr>
          <w:rFonts w:ascii="Times New Roman" w:hAnsi="Times New Roman" w:cs="Times New Roman"/>
          <w:sz w:val="24"/>
          <w:szCs w:val="24"/>
        </w:rPr>
      </w:pPr>
      <w:r w:rsidRPr="00E6319C">
        <w:rPr>
          <w:rFonts w:ascii="Times New Roman" w:hAnsi="Times New Roman" w:cs="Times New Roman"/>
          <w:sz w:val="24"/>
          <w:szCs w:val="24"/>
        </w:rPr>
        <w:t>[Date</w:t>
      </w:r>
      <w:r w:rsidR="005A029D">
        <w:rPr>
          <w:rFonts w:ascii="Times New Roman" w:hAnsi="Times New Roman" w:cs="Times New Roman"/>
          <w:sz w:val="24"/>
          <w:szCs w:val="24"/>
        </w:rPr>
        <w:t>-19/12/25</w:t>
      </w:r>
      <w:r w:rsidRPr="00E6319C">
        <w:rPr>
          <w:rFonts w:ascii="Times New Roman" w:hAnsi="Times New Roman" w:cs="Times New Roman"/>
          <w:sz w:val="24"/>
          <w:szCs w:val="24"/>
        </w:rPr>
        <w:t>]</w:t>
      </w:r>
    </w:p>
    <w:p w14:paraId="4AA37918" w14:textId="11926B79" w:rsidR="005A029D" w:rsidRDefault="005A029D" w:rsidP="00E6319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Student ID-2319067</w:t>
      </w:r>
    </w:p>
    <w:p w14:paraId="458479BC" w14:textId="46ACC632" w:rsidR="005A029D" w:rsidRPr="00E6319C" w:rsidRDefault="005A029D" w:rsidP="00E6319C">
      <w:pPr>
        <w:spacing w:after="0" w:line="480" w:lineRule="auto"/>
        <w:contextualSpacing/>
        <w:jc w:val="center"/>
        <w:rPr>
          <w:rFonts w:ascii="Times New Roman" w:hAnsi="Times New Roman" w:cs="Times New Roman"/>
          <w:sz w:val="24"/>
          <w:szCs w:val="24"/>
        </w:rPr>
      </w:pPr>
    </w:p>
    <w:p w14:paraId="6025B80C" w14:textId="77777777" w:rsidR="00056C7E" w:rsidRPr="00E6319C" w:rsidRDefault="00056C7E" w:rsidP="00E6319C">
      <w:pPr>
        <w:spacing w:after="0" w:line="480" w:lineRule="auto"/>
        <w:contextualSpacing/>
        <w:jc w:val="center"/>
        <w:rPr>
          <w:rFonts w:ascii="Times New Roman" w:hAnsi="Times New Roman" w:cs="Times New Roman"/>
          <w:sz w:val="24"/>
          <w:szCs w:val="24"/>
          <w:lang w:val="en-US"/>
        </w:rPr>
      </w:pPr>
    </w:p>
    <w:p w14:paraId="22129F65"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F79A2E8"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86B877B"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1039546D"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02688BCE"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7FC805C5" w14:textId="77777777" w:rsidR="00356F18" w:rsidRDefault="00356F18" w:rsidP="00E6319C">
      <w:pPr>
        <w:spacing w:after="0" w:line="480" w:lineRule="auto"/>
        <w:contextualSpacing/>
        <w:rPr>
          <w:rFonts w:ascii="Times New Roman" w:hAnsi="Times New Roman" w:cs="Times New Roman"/>
          <w:sz w:val="24"/>
          <w:szCs w:val="24"/>
          <w:lang w:val="en-US"/>
        </w:rPr>
      </w:pPr>
    </w:p>
    <w:p w14:paraId="37924FA7" w14:textId="77777777" w:rsidR="003B5A84" w:rsidRDefault="003B5A84" w:rsidP="00E6319C">
      <w:pPr>
        <w:spacing w:after="0" w:line="480" w:lineRule="auto"/>
        <w:contextualSpacing/>
        <w:rPr>
          <w:rFonts w:ascii="Times New Roman" w:hAnsi="Times New Roman" w:cs="Times New Roman"/>
          <w:sz w:val="24"/>
          <w:szCs w:val="24"/>
          <w:lang w:val="en-US"/>
        </w:rPr>
      </w:pPr>
    </w:p>
    <w:p w14:paraId="0306989B" w14:textId="77777777" w:rsidR="003B5A84" w:rsidRDefault="003B5A84" w:rsidP="00E6319C">
      <w:pPr>
        <w:spacing w:after="0" w:line="480" w:lineRule="auto"/>
        <w:contextualSpacing/>
        <w:rPr>
          <w:rFonts w:ascii="Times New Roman" w:hAnsi="Times New Roman" w:cs="Times New Roman"/>
          <w:sz w:val="24"/>
          <w:szCs w:val="24"/>
          <w:lang w:val="en-US"/>
        </w:rPr>
      </w:pPr>
    </w:p>
    <w:p w14:paraId="2F192B1B" w14:textId="77777777" w:rsidR="003B5A84" w:rsidRDefault="003B5A84" w:rsidP="00E6319C">
      <w:pPr>
        <w:spacing w:after="0" w:line="480" w:lineRule="auto"/>
        <w:contextualSpacing/>
        <w:rPr>
          <w:rFonts w:ascii="Times New Roman" w:hAnsi="Times New Roman" w:cs="Times New Roman"/>
          <w:sz w:val="24"/>
          <w:szCs w:val="24"/>
          <w:lang w:val="en-US"/>
        </w:rPr>
      </w:pPr>
    </w:p>
    <w:p w14:paraId="73977882" w14:textId="77777777" w:rsidR="003B5A84" w:rsidRPr="00E6319C" w:rsidRDefault="003B5A84" w:rsidP="00E6319C">
      <w:pPr>
        <w:spacing w:after="0" w:line="480" w:lineRule="auto"/>
        <w:contextualSpacing/>
        <w:rPr>
          <w:rFonts w:ascii="Times New Roman" w:hAnsi="Times New Roman" w:cs="Times New Roman"/>
          <w:sz w:val="24"/>
          <w:szCs w:val="24"/>
          <w:lang w:val="en-US"/>
        </w:rPr>
      </w:pPr>
    </w:p>
    <w:p w14:paraId="14F711EF"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sdt>
      <w:sdtPr>
        <w:rPr>
          <w:rFonts w:ascii="Times New Roman" w:eastAsiaTheme="minorHAnsi" w:hAnsi="Times New Roman" w:cs="Times New Roman"/>
          <w:color w:val="auto"/>
          <w:sz w:val="24"/>
          <w:szCs w:val="24"/>
          <w:lang w:val="en-GB"/>
        </w:rPr>
        <w:id w:val="-1793285270"/>
        <w:docPartObj>
          <w:docPartGallery w:val="Table of Contents"/>
          <w:docPartUnique/>
        </w:docPartObj>
      </w:sdtPr>
      <w:sdtEndPr>
        <w:rPr>
          <w:b/>
          <w:bCs/>
          <w:noProof/>
        </w:rPr>
      </w:sdtEndPr>
      <w:sdtContent>
        <w:p w14:paraId="6577B74B" w14:textId="77777777" w:rsidR="00E6319C" w:rsidRPr="00E6319C" w:rsidRDefault="00E6319C" w:rsidP="00E6319C">
          <w:pPr>
            <w:pStyle w:val="TOCHeading"/>
            <w:spacing w:before="0" w:line="360" w:lineRule="auto"/>
            <w:contextualSpacing/>
            <w:jc w:val="center"/>
            <w:rPr>
              <w:rFonts w:ascii="Times New Roman" w:hAnsi="Times New Roman" w:cs="Times New Roman"/>
              <w:b/>
              <w:color w:val="auto"/>
              <w:sz w:val="24"/>
              <w:szCs w:val="24"/>
            </w:rPr>
          </w:pPr>
          <w:r w:rsidRPr="00E6319C">
            <w:rPr>
              <w:rFonts w:ascii="Times New Roman" w:hAnsi="Times New Roman" w:cs="Times New Roman"/>
              <w:b/>
              <w:color w:val="auto"/>
              <w:sz w:val="24"/>
              <w:szCs w:val="24"/>
            </w:rPr>
            <w:t>Table of Contents</w:t>
          </w:r>
        </w:p>
        <w:p w14:paraId="3CBF9E4D"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r w:rsidRPr="00E6319C">
            <w:rPr>
              <w:rFonts w:ascii="Times New Roman" w:hAnsi="Times New Roman" w:cs="Times New Roman"/>
              <w:b/>
              <w:bCs/>
              <w:noProof/>
              <w:sz w:val="24"/>
              <w:szCs w:val="24"/>
            </w:rPr>
            <w:fldChar w:fldCharType="begin"/>
          </w:r>
          <w:r w:rsidRPr="00E6319C">
            <w:rPr>
              <w:rFonts w:ascii="Times New Roman" w:hAnsi="Times New Roman" w:cs="Times New Roman"/>
              <w:b/>
              <w:bCs/>
              <w:noProof/>
              <w:sz w:val="24"/>
              <w:szCs w:val="24"/>
            </w:rPr>
            <w:instrText xml:space="preserve"> TOC \o "1-3" \h \z \u </w:instrText>
          </w:r>
          <w:r w:rsidRPr="00E6319C">
            <w:rPr>
              <w:rFonts w:ascii="Times New Roman" w:hAnsi="Times New Roman" w:cs="Times New Roman"/>
              <w:b/>
              <w:bCs/>
              <w:noProof/>
              <w:sz w:val="24"/>
              <w:szCs w:val="24"/>
            </w:rPr>
            <w:fldChar w:fldCharType="separate"/>
          </w:r>
          <w:hyperlink w:anchor="_Toc216361074" w:history="1">
            <w:r w:rsidRPr="00E6319C">
              <w:rPr>
                <w:rStyle w:val="Hyperlink"/>
                <w:rFonts w:ascii="Times New Roman" w:hAnsi="Times New Roman" w:cs="Times New Roman"/>
                <w:noProof/>
                <w:color w:val="auto"/>
                <w:sz w:val="24"/>
                <w:szCs w:val="24"/>
              </w:rPr>
              <w:t>Introduction</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_Toc216361074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3</w:t>
            </w:r>
            <w:r w:rsidRPr="00E6319C">
              <w:rPr>
                <w:rFonts w:ascii="Times New Roman" w:hAnsi="Times New Roman" w:cs="Times New Roman"/>
                <w:noProof/>
                <w:webHidden/>
                <w:sz w:val="24"/>
                <w:szCs w:val="24"/>
              </w:rPr>
              <w:fldChar w:fldCharType="end"/>
            </w:r>
          </w:hyperlink>
        </w:p>
        <w:p w14:paraId="1E28B296"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hyperlink w:anchor="_Toc216361075" w:history="1">
            <w:r w:rsidRPr="00E6319C">
              <w:rPr>
                <w:rStyle w:val="Hyperlink"/>
                <w:rFonts w:ascii="Times New Roman" w:hAnsi="Times New Roman" w:cs="Times New Roman"/>
                <w:noProof/>
                <w:color w:val="auto"/>
                <w:sz w:val="24"/>
                <w:szCs w:val="24"/>
              </w:rPr>
              <w:t>Explanation of the Early Help System</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_Toc216361075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3</w:t>
            </w:r>
            <w:r w:rsidRPr="00E6319C">
              <w:rPr>
                <w:rFonts w:ascii="Times New Roman" w:hAnsi="Times New Roman" w:cs="Times New Roman"/>
                <w:noProof/>
                <w:webHidden/>
                <w:sz w:val="24"/>
                <w:szCs w:val="24"/>
              </w:rPr>
              <w:fldChar w:fldCharType="end"/>
            </w:r>
          </w:hyperlink>
        </w:p>
        <w:p w14:paraId="1A57EA54"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hyperlink w:anchor="_Toc216361076" w:history="1">
            <w:r w:rsidRPr="00E6319C">
              <w:rPr>
                <w:rStyle w:val="Hyperlink"/>
                <w:rFonts w:ascii="Times New Roman" w:hAnsi="Times New Roman" w:cs="Times New Roman"/>
                <w:noProof/>
                <w:color w:val="auto"/>
                <w:sz w:val="24"/>
                <w:szCs w:val="24"/>
              </w:rPr>
              <w:t>Explanation of Multi-Agency Working</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_Toc216361076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5</w:t>
            </w:r>
            <w:r w:rsidRPr="00E6319C">
              <w:rPr>
                <w:rFonts w:ascii="Times New Roman" w:hAnsi="Times New Roman" w:cs="Times New Roman"/>
                <w:noProof/>
                <w:webHidden/>
                <w:sz w:val="24"/>
                <w:szCs w:val="24"/>
              </w:rPr>
              <w:fldChar w:fldCharType="end"/>
            </w:r>
          </w:hyperlink>
        </w:p>
        <w:p w14:paraId="39C55715"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hyperlink w:anchor="_Toc216361077" w:history="1">
            <w:r w:rsidRPr="00E6319C">
              <w:rPr>
                <w:rStyle w:val="Hyperlink"/>
                <w:rFonts w:ascii="Times New Roman" w:hAnsi="Times New Roman" w:cs="Times New Roman"/>
                <w:noProof/>
                <w:color w:val="auto"/>
                <w:sz w:val="24"/>
                <w:szCs w:val="24"/>
              </w:rPr>
              <w:t>Evaluation of the Three Local Authority Websites</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_Toc216361077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6</w:t>
            </w:r>
            <w:r w:rsidRPr="00E6319C">
              <w:rPr>
                <w:rFonts w:ascii="Times New Roman" w:hAnsi="Times New Roman" w:cs="Times New Roman"/>
                <w:noProof/>
                <w:webHidden/>
                <w:sz w:val="24"/>
                <w:szCs w:val="24"/>
              </w:rPr>
              <w:fldChar w:fldCharType="end"/>
            </w:r>
          </w:hyperlink>
        </w:p>
        <w:p w14:paraId="62AA8DCE" w14:textId="77777777" w:rsidR="00E6319C" w:rsidRPr="00E6319C" w:rsidRDefault="00E6319C" w:rsidP="00E6319C">
          <w:pPr>
            <w:pStyle w:val="TOC2"/>
            <w:tabs>
              <w:tab w:val="right" w:leader="dot" w:pos="9016"/>
            </w:tabs>
            <w:spacing w:after="0" w:line="360" w:lineRule="auto"/>
            <w:contextualSpacing/>
            <w:rPr>
              <w:rFonts w:ascii="Times New Roman" w:hAnsi="Times New Roman" w:cs="Times New Roman"/>
              <w:noProof/>
              <w:sz w:val="24"/>
              <w:szCs w:val="24"/>
            </w:rPr>
          </w:pPr>
          <w:hyperlink w:anchor="_Toc216361078" w:history="1">
            <w:r w:rsidRPr="00E6319C">
              <w:rPr>
                <w:rStyle w:val="Hyperlink"/>
                <w:rFonts w:ascii="Times New Roman" w:hAnsi="Times New Roman" w:cs="Times New Roman"/>
                <w:noProof/>
                <w:color w:val="auto"/>
                <w:sz w:val="24"/>
                <w:szCs w:val="24"/>
              </w:rPr>
              <w:t>Local Authority A: Leeds City Council</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_Toc216361078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6</w:t>
            </w:r>
            <w:r w:rsidRPr="00E6319C">
              <w:rPr>
                <w:rFonts w:ascii="Times New Roman" w:hAnsi="Times New Roman" w:cs="Times New Roman"/>
                <w:noProof/>
                <w:webHidden/>
                <w:sz w:val="24"/>
                <w:szCs w:val="24"/>
              </w:rPr>
              <w:fldChar w:fldCharType="end"/>
            </w:r>
          </w:hyperlink>
        </w:p>
        <w:p w14:paraId="440EF51F" w14:textId="77777777" w:rsidR="00E6319C" w:rsidRPr="00E6319C" w:rsidRDefault="00E6319C" w:rsidP="00E6319C">
          <w:pPr>
            <w:pStyle w:val="TOC2"/>
            <w:tabs>
              <w:tab w:val="right" w:leader="dot" w:pos="9016"/>
            </w:tabs>
            <w:spacing w:after="0" w:line="360" w:lineRule="auto"/>
            <w:contextualSpacing/>
            <w:rPr>
              <w:rFonts w:ascii="Times New Roman" w:hAnsi="Times New Roman" w:cs="Times New Roman"/>
              <w:noProof/>
              <w:sz w:val="24"/>
              <w:szCs w:val="24"/>
            </w:rPr>
          </w:pPr>
          <w:hyperlink w:anchor="_Toc216361079" w:history="1">
            <w:r w:rsidRPr="00E6319C">
              <w:rPr>
                <w:rStyle w:val="Hyperlink"/>
                <w:rFonts w:ascii="Times New Roman" w:hAnsi="Times New Roman" w:cs="Times New Roman"/>
                <w:noProof/>
                <w:color w:val="auto"/>
                <w:sz w:val="24"/>
                <w:szCs w:val="24"/>
              </w:rPr>
              <w:t>Local Authority B: Norfolk County Council</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_Toc216361079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7</w:t>
            </w:r>
            <w:r w:rsidRPr="00E6319C">
              <w:rPr>
                <w:rFonts w:ascii="Times New Roman" w:hAnsi="Times New Roman" w:cs="Times New Roman"/>
                <w:noProof/>
                <w:webHidden/>
                <w:sz w:val="24"/>
                <w:szCs w:val="24"/>
              </w:rPr>
              <w:fldChar w:fldCharType="end"/>
            </w:r>
          </w:hyperlink>
        </w:p>
        <w:p w14:paraId="0CDE8593" w14:textId="77777777" w:rsidR="00E6319C" w:rsidRPr="00E6319C" w:rsidRDefault="00E6319C" w:rsidP="00E6319C">
          <w:pPr>
            <w:pStyle w:val="TOC2"/>
            <w:tabs>
              <w:tab w:val="right" w:leader="dot" w:pos="9016"/>
            </w:tabs>
            <w:spacing w:after="0" w:line="360" w:lineRule="auto"/>
            <w:contextualSpacing/>
            <w:rPr>
              <w:rFonts w:ascii="Times New Roman" w:hAnsi="Times New Roman" w:cs="Times New Roman"/>
              <w:noProof/>
              <w:sz w:val="24"/>
              <w:szCs w:val="24"/>
            </w:rPr>
          </w:pPr>
          <w:hyperlink w:anchor="_Toc216361080" w:history="1">
            <w:r w:rsidRPr="00E6319C">
              <w:rPr>
                <w:rStyle w:val="Hyperlink"/>
                <w:rFonts w:ascii="Times New Roman" w:hAnsi="Times New Roman" w:cs="Times New Roman"/>
                <w:noProof/>
                <w:color w:val="auto"/>
                <w:sz w:val="24"/>
                <w:szCs w:val="24"/>
              </w:rPr>
              <w:t>Local Authority C: Nottinghamshire County Council</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_Toc216361080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8</w:t>
            </w:r>
            <w:r w:rsidRPr="00E6319C">
              <w:rPr>
                <w:rFonts w:ascii="Times New Roman" w:hAnsi="Times New Roman" w:cs="Times New Roman"/>
                <w:noProof/>
                <w:webHidden/>
                <w:sz w:val="24"/>
                <w:szCs w:val="24"/>
              </w:rPr>
              <w:fldChar w:fldCharType="end"/>
            </w:r>
          </w:hyperlink>
        </w:p>
        <w:p w14:paraId="4FB70DAD" w14:textId="77777777" w:rsidR="00E6319C" w:rsidRPr="00E6319C" w:rsidRDefault="00E6319C" w:rsidP="00E6319C">
          <w:pPr>
            <w:pStyle w:val="TOC2"/>
            <w:tabs>
              <w:tab w:val="right" w:leader="dot" w:pos="9016"/>
            </w:tabs>
            <w:spacing w:after="0" w:line="360" w:lineRule="auto"/>
            <w:contextualSpacing/>
            <w:rPr>
              <w:rFonts w:ascii="Times New Roman" w:hAnsi="Times New Roman" w:cs="Times New Roman"/>
              <w:noProof/>
              <w:sz w:val="24"/>
              <w:szCs w:val="24"/>
            </w:rPr>
          </w:pPr>
          <w:hyperlink w:anchor="_Toc216361081" w:history="1">
            <w:r w:rsidRPr="00E6319C">
              <w:rPr>
                <w:rStyle w:val="Hyperlink"/>
                <w:rFonts w:ascii="Times New Roman" w:hAnsi="Times New Roman" w:cs="Times New Roman"/>
                <w:noProof/>
                <w:color w:val="auto"/>
                <w:sz w:val="24"/>
                <w:szCs w:val="24"/>
              </w:rPr>
              <w:t>Comparative Analysis: Strengths and Weaknesses across LAs</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_Toc216361081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8</w:t>
            </w:r>
            <w:r w:rsidRPr="00E6319C">
              <w:rPr>
                <w:rFonts w:ascii="Times New Roman" w:hAnsi="Times New Roman" w:cs="Times New Roman"/>
                <w:noProof/>
                <w:webHidden/>
                <w:sz w:val="24"/>
                <w:szCs w:val="24"/>
              </w:rPr>
              <w:fldChar w:fldCharType="end"/>
            </w:r>
          </w:hyperlink>
        </w:p>
        <w:p w14:paraId="3C94854F"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hyperlink w:anchor="_Toc216361082" w:history="1">
            <w:r w:rsidRPr="00E6319C">
              <w:rPr>
                <w:rStyle w:val="Hyperlink"/>
                <w:rFonts w:ascii="Times New Roman" w:hAnsi="Times New Roman" w:cs="Times New Roman"/>
                <w:noProof/>
                <w:color w:val="auto"/>
                <w:sz w:val="24"/>
                <w:szCs w:val="24"/>
              </w:rPr>
              <w:t>Conclusion and Recommendations</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_Toc216361082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10</w:t>
            </w:r>
            <w:r w:rsidRPr="00E6319C">
              <w:rPr>
                <w:rFonts w:ascii="Times New Roman" w:hAnsi="Times New Roman" w:cs="Times New Roman"/>
                <w:noProof/>
                <w:webHidden/>
                <w:sz w:val="24"/>
                <w:szCs w:val="24"/>
              </w:rPr>
              <w:fldChar w:fldCharType="end"/>
            </w:r>
          </w:hyperlink>
        </w:p>
        <w:p w14:paraId="28CAEAE9" w14:textId="77777777" w:rsidR="00E6319C" w:rsidRPr="00E6319C" w:rsidRDefault="00E6319C" w:rsidP="00E6319C">
          <w:pPr>
            <w:pStyle w:val="TOC1"/>
            <w:tabs>
              <w:tab w:val="right" w:leader="dot" w:pos="9016"/>
            </w:tabs>
            <w:spacing w:after="0" w:line="360" w:lineRule="auto"/>
            <w:contextualSpacing/>
            <w:rPr>
              <w:rFonts w:ascii="Times New Roman" w:hAnsi="Times New Roman" w:cs="Times New Roman"/>
              <w:noProof/>
              <w:sz w:val="24"/>
              <w:szCs w:val="24"/>
            </w:rPr>
          </w:pPr>
          <w:hyperlink w:anchor="_Toc216361083" w:history="1">
            <w:r w:rsidRPr="00E6319C">
              <w:rPr>
                <w:rStyle w:val="Hyperlink"/>
                <w:rFonts w:ascii="Times New Roman" w:hAnsi="Times New Roman" w:cs="Times New Roman"/>
                <w:noProof/>
                <w:color w:val="auto"/>
                <w:sz w:val="24"/>
                <w:szCs w:val="24"/>
                <w:lang w:val="en-US"/>
              </w:rPr>
              <w:t>References</w:t>
            </w:r>
            <w:r w:rsidRPr="00E6319C">
              <w:rPr>
                <w:rFonts w:ascii="Times New Roman" w:hAnsi="Times New Roman" w:cs="Times New Roman"/>
                <w:noProof/>
                <w:webHidden/>
                <w:sz w:val="24"/>
                <w:szCs w:val="24"/>
              </w:rPr>
              <w:tab/>
            </w:r>
            <w:r w:rsidRPr="00E6319C">
              <w:rPr>
                <w:rFonts w:ascii="Times New Roman" w:hAnsi="Times New Roman" w:cs="Times New Roman"/>
                <w:noProof/>
                <w:webHidden/>
                <w:sz w:val="24"/>
                <w:szCs w:val="24"/>
              </w:rPr>
              <w:fldChar w:fldCharType="begin"/>
            </w:r>
            <w:r w:rsidRPr="00E6319C">
              <w:rPr>
                <w:rFonts w:ascii="Times New Roman" w:hAnsi="Times New Roman" w:cs="Times New Roman"/>
                <w:noProof/>
                <w:webHidden/>
                <w:sz w:val="24"/>
                <w:szCs w:val="24"/>
              </w:rPr>
              <w:instrText xml:space="preserve"> PAGEREF _Toc216361083 \h </w:instrText>
            </w:r>
            <w:r w:rsidRPr="00E6319C">
              <w:rPr>
                <w:rFonts w:ascii="Times New Roman" w:hAnsi="Times New Roman" w:cs="Times New Roman"/>
                <w:noProof/>
                <w:webHidden/>
                <w:sz w:val="24"/>
                <w:szCs w:val="24"/>
              </w:rPr>
            </w:r>
            <w:r w:rsidRPr="00E6319C">
              <w:rPr>
                <w:rFonts w:ascii="Times New Roman" w:hAnsi="Times New Roman" w:cs="Times New Roman"/>
                <w:noProof/>
                <w:webHidden/>
                <w:sz w:val="24"/>
                <w:szCs w:val="24"/>
              </w:rPr>
              <w:fldChar w:fldCharType="separate"/>
            </w:r>
            <w:r w:rsidR="00BD2F48">
              <w:rPr>
                <w:rFonts w:ascii="Times New Roman" w:hAnsi="Times New Roman" w:cs="Times New Roman"/>
                <w:noProof/>
                <w:webHidden/>
                <w:sz w:val="24"/>
                <w:szCs w:val="24"/>
              </w:rPr>
              <w:t>11</w:t>
            </w:r>
            <w:r w:rsidRPr="00E6319C">
              <w:rPr>
                <w:rFonts w:ascii="Times New Roman" w:hAnsi="Times New Roman" w:cs="Times New Roman"/>
                <w:noProof/>
                <w:webHidden/>
                <w:sz w:val="24"/>
                <w:szCs w:val="24"/>
              </w:rPr>
              <w:fldChar w:fldCharType="end"/>
            </w:r>
          </w:hyperlink>
        </w:p>
        <w:p w14:paraId="0BA2C3DD" w14:textId="77777777" w:rsidR="00E6319C" w:rsidRPr="00E6319C" w:rsidRDefault="00E6319C" w:rsidP="00E6319C">
          <w:pPr>
            <w:spacing w:after="0" w:line="360" w:lineRule="auto"/>
            <w:contextualSpacing/>
            <w:rPr>
              <w:rFonts w:ascii="Times New Roman" w:hAnsi="Times New Roman" w:cs="Times New Roman"/>
              <w:sz w:val="24"/>
              <w:szCs w:val="24"/>
            </w:rPr>
          </w:pPr>
          <w:r w:rsidRPr="00E6319C">
            <w:rPr>
              <w:rFonts w:ascii="Times New Roman" w:hAnsi="Times New Roman" w:cs="Times New Roman"/>
              <w:b/>
              <w:bCs/>
              <w:noProof/>
              <w:sz w:val="24"/>
              <w:szCs w:val="24"/>
            </w:rPr>
            <w:fldChar w:fldCharType="end"/>
          </w:r>
        </w:p>
      </w:sdtContent>
    </w:sdt>
    <w:p w14:paraId="7E40B93E"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140F7610"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0310514"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639C8BC2"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07AA73DC"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12B855B"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6DA7C401"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5817534C"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11E36B0C"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5C8E5611"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5B88B88B"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271C9BB1"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0F8D9E0F"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46F5673C"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4F865511"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6F7A5912" w14:textId="77777777" w:rsidR="00E6319C" w:rsidRPr="00E6319C" w:rsidRDefault="00E6319C" w:rsidP="00E6319C">
      <w:pPr>
        <w:spacing w:after="0" w:line="480" w:lineRule="auto"/>
        <w:contextualSpacing/>
        <w:rPr>
          <w:rFonts w:ascii="Times New Roman" w:hAnsi="Times New Roman" w:cs="Times New Roman"/>
          <w:sz w:val="24"/>
          <w:szCs w:val="24"/>
          <w:lang w:val="en-US"/>
        </w:rPr>
      </w:pPr>
    </w:p>
    <w:p w14:paraId="43B7F6F5" w14:textId="77777777" w:rsidR="00356F18" w:rsidRPr="00E6319C" w:rsidRDefault="00E6319C" w:rsidP="00E6319C">
      <w:pPr>
        <w:spacing w:after="0" w:line="480" w:lineRule="auto"/>
        <w:contextualSpacing/>
        <w:jc w:val="center"/>
        <w:rPr>
          <w:rFonts w:ascii="Times New Roman" w:hAnsi="Times New Roman" w:cs="Times New Roman"/>
          <w:sz w:val="24"/>
          <w:szCs w:val="24"/>
        </w:rPr>
      </w:pPr>
      <w:r w:rsidRPr="00E6319C">
        <w:rPr>
          <w:rFonts w:ascii="Times New Roman" w:hAnsi="Times New Roman" w:cs="Times New Roman"/>
          <w:sz w:val="24"/>
          <w:szCs w:val="24"/>
        </w:rPr>
        <w:t>Component 2: Written Report</w:t>
      </w:r>
    </w:p>
    <w:p w14:paraId="0389F2BE" w14:textId="77777777" w:rsidR="00167204" w:rsidRPr="00E6319C" w:rsidRDefault="009510B6" w:rsidP="00E6319C">
      <w:pPr>
        <w:pStyle w:val="Heading1"/>
        <w:spacing w:before="0" w:line="480" w:lineRule="auto"/>
        <w:contextualSpacing/>
      </w:pPr>
      <w:bookmarkStart w:id="0" w:name="_Toc216361074"/>
      <w:r w:rsidRPr="00E6319C">
        <w:rPr>
          <w:rStyle w:val="Strong"/>
          <w:b/>
          <w:bCs w:val="0"/>
        </w:rPr>
        <w:t>Introduction</w:t>
      </w:r>
      <w:bookmarkEnd w:id="0"/>
      <w:r w:rsidRPr="00E6319C">
        <w:rPr>
          <w:rStyle w:val="Strong"/>
          <w:b/>
          <w:bCs w:val="0"/>
        </w:rPr>
        <w:t xml:space="preserve"> </w:t>
      </w:r>
    </w:p>
    <w:p w14:paraId="5E321F6A"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This report looks at the effectiveness of three chosen local authorities in sharing Early Help and safeguarding information with children, families, and professionals, namely, Leeds City Council, Norfolk County Council and Nottinghamshire County Council. It seeks to examine the extent to which their communication policies are readily available, understandable, and consistent with the national policies, especially considering the role of timely intervention in mitigating the escalation of risk (GOV.UK, 2015). In the safeguarding system in England, the communication process plays a pivotal role between the policy intentions and the actual family engagement in practice, as the Early Help relies on the timely assistance, the multi-agency cooperation, and the mutual knowledge between the services.</w:t>
      </w:r>
    </w:p>
    <w:p w14:paraId="43EC0EC8"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The necessity to ensure a coordinated reaction, open information-sharing, and family-centred practice is highlighted in such national frameworks</w:t>
      </w:r>
      <w:r w:rsidR="000253CF" w:rsidRPr="00E6319C">
        <w:rPr>
          <w:rFonts w:ascii="Times New Roman" w:hAnsi="Times New Roman" w:cs="Times New Roman"/>
          <w:sz w:val="24"/>
          <w:szCs w:val="24"/>
        </w:rPr>
        <w:t xml:space="preserve"> as the Early Help System Guide</w:t>
      </w:r>
      <w:r w:rsidRPr="00E6319C">
        <w:rPr>
          <w:rFonts w:ascii="Times New Roman" w:hAnsi="Times New Roman" w:cs="Times New Roman"/>
          <w:sz w:val="24"/>
          <w:szCs w:val="24"/>
        </w:rPr>
        <w:t xml:space="preserve"> or Working Together to Safeguard Children (2015/2023), and the local authority websites, referral pathways, and explanations of the services become the key means of safeguarding practice (GOV.UK, </w:t>
      </w:r>
      <w:proofErr w:type="spellStart"/>
      <w:r w:rsidRPr="00E6319C">
        <w:rPr>
          <w:rFonts w:ascii="Times New Roman" w:hAnsi="Times New Roman" w:cs="Times New Roman"/>
          <w:sz w:val="24"/>
          <w:szCs w:val="24"/>
        </w:rPr>
        <w:t>n.d</w:t>
      </w:r>
      <w:proofErr w:type="spellEnd"/>
      <w:r w:rsidRPr="00E6319C">
        <w:rPr>
          <w:rFonts w:ascii="Times New Roman" w:hAnsi="Times New Roman" w:cs="Times New Roman"/>
          <w:sz w:val="24"/>
          <w:szCs w:val="24"/>
        </w:rPr>
        <w:t>). This report will compare the presentation of each authority of Early Help, the description of the multi-agency processes, and the online communication correspondence to the national standards. This paper will start by defining the Early Help system, then delve into the meaning and the research evidence of multi-agency working, and conclude by analysing the methods of communication used by the three local authorities.</w:t>
      </w:r>
    </w:p>
    <w:p w14:paraId="51FFF05D" w14:textId="77777777" w:rsidR="00552B71" w:rsidRPr="00E6319C" w:rsidRDefault="00552B71" w:rsidP="00E6319C">
      <w:pPr>
        <w:spacing w:after="0" w:line="480" w:lineRule="auto"/>
        <w:contextualSpacing/>
        <w:rPr>
          <w:rFonts w:ascii="Times New Roman" w:hAnsi="Times New Roman" w:cs="Times New Roman"/>
          <w:sz w:val="24"/>
          <w:szCs w:val="24"/>
        </w:rPr>
      </w:pPr>
    </w:p>
    <w:p w14:paraId="62B4F43A" w14:textId="77777777" w:rsidR="00552B71" w:rsidRPr="00E6319C" w:rsidRDefault="00552B71" w:rsidP="00E6319C">
      <w:pPr>
        <w:pStyle w:val="Heading1"/>
        <w:spacing w:before="0" w:line="480" w:lineRule="auto"/>
        <w:contextualSpacing/>
      </w:pPr>
      <w:bookmarkStart w:id="1" w:name="_Toc216361075"/>
      <w:r w:rsidRPr="00E6319C">
        <w:lastRenderedPageBreak/>
        <w:t>Explanation of the Early Help System</w:t>
      </w:r>
      <w:bookmarkEnd w:id="1"/>
      <w:r w:rsidRPr="00E6319C">
        <w:t xml:space="preserve"> </w:t>
      </w:r>
    </w:p>
    <w:p w14:paraId="530A4A1C"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Early Help is a preventative, coordinated system of support which brings into focus early needs and lowers the chances of children needing statutory intervention as described in the Early Help System Guide (GOV.UK, </w:t>
      </w:r>
      <w:proofErr w:type="spellStart"/>
      <w:r w:rsidRPr="00E6319C">
        <w:rPr>
          <w:rFonts w:ascii="Times New Roman" w:hAnsi="Times New Roman" w:cs="Times New Roman"/>
          <w:sz w:val="24"/>
          <w:szCs w:val="24"/>
        </w:rPr>
        <w:t>n.d</w:t>
      </w:r>
      <w:proofErr w:type="spellEnd"/>
      <w:r w:rsidRPr="00E6319C">
        <w:rPr>
          <w:rFonts w:ascii="Times New Roman" w:hAnsi="Times New Roman" w:cs="Times New Roman"/>
          <w:sz w:val="24"/>
          <w:szCs w:val="24"/>
        </w:rPr>
        <w:t>). It focuses on prompt reactions, working with families as a whole, and responding to arising problems before they turn into a crisis and, therefore, becomes a vital part of the broader safeguarding continuum (GOV.UK, 2015). These principles underscore the proactive manner in which agencies work together in order to provide practical, emotional, and developmental assistance depending on the circumstances of the family. As a preventive model, Early Help is aimed at not only controlling presenting concerns but also enhancing resilience, family functioning, and protective factors in the long term (Edwards et al., 2021).</w:t>
      </w:r>
    </w:p>
    <w:p w14:paraId="4CC9E35F"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On the safeguarding continuum, Early Help is positioned below the statutory child protection thresholds, yet it is highly integrated with the social care systems to ensure that the needs are escalated accordingly when the risks are increasing (GOV.UK, 2015). The Working Together guidance establishes the expectations that local authorities, schools, health services and voluntary organisations should have in identifying the concern, information sharing and coordination of intervention that cannot circumvent duplication and continuity of care. By operating effectively, Early Help will avoid needless interference of statutory services and help families to keep themselves safe and well without further assistance (Edwards et al., 2021).</w:t>
      </w:r>
    </w:p>
    <w:p w14:paraId="78248D1F"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The evidence base indicates that Early Help has several advantages to the school, such as the improvement of the school readiness, the parental mental health, and decreased long-term service use. Studies also indicate that social factors, including overcrowded dwellings, economic pressure and unstable living conditions for children, make them extremely vulnerable and hence the necessity of powerful Early Help responses (El-Hoss et al., 2024). </w:t>
      </w:r>
      <w:r w:rsidRPr="00E6319C">
        <w:rPr>
          <w:rFonts w:ascii="Times New Roman" w:hAnsi="Times New Roman" w:cs="Times New Roman"/>
          <w:sz w:val="24"/>
          <w:szCs w:val="24"/>
        </w:rPr>
        <w:lastRenderedPageBreak/>
        <w:t>These wider structural concerns demonstrate the need of Early Help to be flexible, community-based and sensitive to the lived experiences of the families. Collectively, this demonstrates that Early Help is best implemented based on the premises of early detection, multi-agency collaboration, and comprehensive awareness of the family's needs.</w:t>
      </w:r>
    </w:p>
    <w:p w14:paraId="2D46E7C2" w14:textId="77777777" w:rsidR="00552B71" w:rsidRPr="00E6319C" w:rsidRDefault="00552B71" w:rsidP="00E6319C">
      <w:pPr>
        <w:pStyle w:val="Heading1"/>
        <w:spacing w:before="0" w:line="480" w:lineRule="auto"/>
        <w:contextualSpacing/>
      </w:pPr>
      <w:bookmarkStart w:id="2" w:name="_Toc216361076"/>
      <w:r w:rsidRPr="00E6319C">
        <w:t>Explanation of Multi-Agency Working</w:t>
      </w:r>
      <w:bookmarkEnd w:id="2"/>
      <w:r w:rsidRPr="00E6319C">
        <w:t xml:space="preserve"> </w:t>
      </w:r>
    </w:p>
    <w:p w14:paraId="1435BCF2"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Multi-agency working in children's services can be defined as the guided partnership of health, education, social care, police and voluntary organisations to protect and enhance the well-being of children, as promoted in the national policy frameworks in the Working Together to Safeguard Children (GOV.UK, 2015). This model is premised on the idea that any one particular agency does not have all the information and ability to deal with complex family issues, and collaborative work, thus, can minimise fragmentation and increase early detection of concerns. The development of effective collaboration depends on the mutual responsibility, on the clarity of the communication lines and on the overall awareness of the thresholds and duties across the agencies (Dixon et al., 2022).</w:t>
      </w:r>
    </w:p>
    <w:p w14:paraId="6C9E3D9E"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Nevertheless, the literature and practice point out that there are still strong obstacles that impede multi-agency effectiveness. Information sharing is one of the most commonly identified issues because of the variations in organisational policies, technological systems, and professional confidence in the rules and principles of data protection (Purcell et al., 2025). Cultural and behavioural barriers, including the dissimilarity in professional lingo of the employees, stigma connected with social care usage, unequal power connections, and so forth, also restrict collaboration and may slow down coordinated actions (Feinstein et al., 2024). Such problems tend to lead to poor practice and latencies in service delivery. However, studies have also found that as agencies learn and learn with one another as a result of joint training, co-location, and reflective practice, the quality and consistency of safeguarding responses also increase significantly (Dixon et al., 2022).</w:t>
      </w:r>
    </w:p>
    <w:p w14:paraId="0DAECEF6"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lastRenderedPageBreak/>
        <w:t>There are a number of models that depict the working practice of multi-agency. The Multi-Agency Safeguarding Hubs (MASH) offer combined screening and triage of the concerns and, therefore, the efficiency of information-sharing across partner agencies and faster decision-making (Foundations, 2025). Schools are becoming more and more accidental locations where the Early Help needs have been initially detected because staff are visible and trusted by the local communities (Maynard et al., 2025). Co-location and joint assessment have also shown increased outcomes of integrated early-years and health services, i.e. family hubs and midwifery-health visiting joint teams (</w:t>
      </w:r>
      <w:proofErr w:type="spellStart"/>
      <w:r w:rsidRPr="00E6319C">
        <w:rPr>
          <w:rFonts w:ascii="Times New Roman" w:hAnsi="Times New Roman" w:cs="Times New Roman"/>
          <w:sz w:val="24"/>
          <w:szCs w:val="24"/>
        </w:rPr>
        <w:t>Melyda</w:t>
      </w:r>
      <w:proofErr w:type="spellEnd"/>
      <w:r w:rsidRPr="00E6319C">
        <w:rPr>
          <w:rFonts w:ascii="Times New Roman" w:hAnsi="Times New Roman" w:cs="Times New Roman"/>
          <w:sz w:val="24"/>
          <w:szCs w:val="24"/>
        </w:rPr>
        <w:t xml:space="preserve"> et al., 2025). A combination of these indicators implies that multi-agency working is still an integral part of the successful work of Early Help and safeguarding practice, but it needs ongoing dedication to communication, mutual learning, and organisational orientation.</w:t>
      </w:r>
    </w:p>
    <w:p w14:paraId="064670E3" w14:textId="77777777" w:rsidR="000253CF" w:rsidRPr="00E6319C" w:rsidRDefault="000253CF" w:rsidP="00E6319C">
      <w:pPr>
        <w:spacing w:after="0" w:line="480" w:lineRule="auto"/>
        <w:ind w:firstLine="720"/>
        <w:contextualSpacing/>
        <w:rPr>
          <w:rFonts w:ascii="Times New Roman" w:hAnsi="Times New Roman" w:cs="Times New Roman"/>
          <w:sz w:val="24"/>
          <w:szCs w:val="24"/>
        </w:rPr>
      </w:pPr>
    </w:p>
    <w:p w14:paraId="57656CCF" w14:textId="77777777" w:rsidR="00552B71" w:rsidRPr="00E6319C" w:rsidRDefault="00552B71" w:rsidP="00E6319C">
      <w:pPr>
        <w:pStyle w:val="Heading1"/>
        <w:spacing w:before="0" w:line="480" w:lineRule="auto"/>
        <w:contextualSpacing/>
      </w:pPr>
      <w:bookmarkStart w:id="3" w:name="_Toc216361077"/>
      <w:r w:rsidRPr="00E6319C">
        <w:t>Evaluation of the Three Local Authority Websites</w:t>
      </w:r>
      <w:bookmarkEnd w:id="3"/>
      <w:r w:rsidRPr="00E6319C">
        <w:t xml:space="preserve"> </w:t>
      </w:r>
    </w:p>
    <w:p w14:paraId="690C31D0" w14:textId="77777777" w:rsidR="000253CF" w:rsidRPr="00E6319C" w:rsidRDefault="00552B71" w:rsidP="00E6319C">
      <w:pPr>
        <w:pStyle w:val="Heading2"/>
        <w:spacing w:before="0" w:line="480" w:lineRule="auto"/>
        <w:contextualSpacing/>
      </w:pPr>
      <w:bookmarkStart w:id="4" w:name="_Toc216361078"/>
      <w:r w:rsidRPr="00E6319C">
        <w:t>Local Authority A: Leeds City Council</w:t>
      </w:r>
      <w:bookmarkEnd w:id="4"/>
      <w:r w:rsidRPr="00E6319C">
        <w:t xml:space="preserve"> </w:t>
      </w:r>
    </w:p>
    <w:p w14:paraId="13DFF8FE"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The Early Help webpages of the Leeds City Council offer fairly good signposting, with the families referring to the Early Help services, which is in a specific section of the webpage of Early Help under the heading of Family Support and Parenting which can be discussed as relatively well-oriented in the context of what is expected according to the Early Help System Guide (GOV.UK, 2022). The site describes support avenues, such as self-referral, professional referral, and access to the Early Help Assessment, but the procedure to follow to accomplish each process is located on many pages, which makes navigation of the process less user-friendly (Purcell et al., 2025).</w:t>
      </w:r>
    </w:p>
    <w:p w14:paraId="125FE87D"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Although Leeds provides a variety of downloadable PDF guides and keeps the overall layout readable, accessibility is hindered by text clumps, the absence of an easy-read option, and little multilingual content, and the latter may pose a challenge to families with a language </w:t>
      </w:r>
      <w:r w:rsidRPr="00E6319C">
        <w:rPr>
          <w:rFonts w:ascii="Times New Roman" w:hAnsi="Times New Roman" w:cs="Times New Roman"/>
          <w:sz w:val="24"/>
          <w:szCs w:val="24"/>
        </w:rPr>
        <w:lastRenderedPageBreak/>
        <w:t>or literacy barrier (Feinstein et al., 2024). Multi-agency links are also present in the form of schools, health visitors, and local voluntary services, but they tend to take the user elsewhere instead of providing an in-depth explanation of how agencies work in the Early Help pathway (GOV.UK, 2022).</w:t>
      </w:r>
      <w:r w:rsidR="000253CF" w:rsidRPr="00E6319C">
        <w:rPr>
          <w:rFonts w:ascii="Times New Roman" w:hAnsi="Times New Roman" w:cs="Times New Roman"/>
          <w:sz w:val="24"/>
          <w:szCs w:val="24"/>
        </w:rPr>
        <w:t xml:space="preserve"> </w:t>
      </w:r>
      <w:r w:rsidRPr="00E6319C">
        <w:rPr>
          <w:rFonts w:ascii="Times New Roman" w:hAnsi="Times New Roman" w:cs="Times New Roman"/>
          <w:sz w:val="24"/>
          <w:szCs w:val="24"/>
        </w:rPr>
        <w:t>The main gaps are that articulation of referral thresholds is limited, there is a lack of clarity in eligibility criteria, and simple flowcharts to be followed by the family upon identifying the need to support it by assessment and evaluation are missing (Purcell et al., 2025). On the whole, Leeds demonstrates the desire to communicate Early Help but can enhance access, multi-agency transparency, and user-friendliness.</w:t>
      </w:r>
    </w:p>
    <w:p w14:paraId="0466D071" w14:textId="77777777" w:rsidR="00552B71" w:rsidRPr="00E6319C" w:rsidRDefault="00552B71" w:rsidP="00E6319C">
      <w:pPr>
        <w:spacing w:after="0" w:line="480" w:lineRule="auto"/>
        <w:contextualSpacing/>
        <w:rPr>
          <w:rFonts w:ascii="Times New Roman" w:hAnsi="Times New Roman" w:cs="Times New Roman"/>
          <w:sz w:val="24"/>
          <w:szCs w:val="24"/>
        </w:rPr>
      </w:pPr>
    </w:p>
    <w:p w14:paraId="77572809" w14:textId="77777777" w:rsidR="00552B71" w:rsidRPr="00E6319C" w:rsidRDefault="00552B71" w:rsidP="00E6319C">
      <w:pPr>
        <w:pStyle w:val="Heading2"/>
        <w:spacing w:before="0" w:line="480" w:lineRule="auto"/>
        <w:contextualSpacing/>
      </w:pPr>
      <w:bookmarkStart w:id="5" w:name="_Toc216361079"/>
      <w:r w:rsidRPr="00E6319C">
        <w:t>Local Authority B: Norfolk County Council</w:t>
      </w:r>
      <w:bookmarkEnd w:id="5"/>
      <w:r w:rsidRPr="00E6319C">
        <w:t xml:space="preserve"> </w:t>
      </w:r>
    </w:p>
    <w:p w14:paraId="65A7C8D2"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Norfolk County Council has a more detailed Early Help framework, with its support in the form of comprehensive information on Family Hubs, locality-based services, and an exhaustive list of children service options, which improves transparency and, consequently, corresponds with the multi-agency requirements (Dixon et al., 2022). Inclusion of video explainers and parent-friendly guidelines at the beginning of the webpage enhances accessibility, and the site does show good mobile optimisation, thus families find it easier to navigate the webpage using smartphones or tablets (Foundations, 2025). Norfolk is another instance that states the explicit thresholds of Early Help, and how issues may be referred to social care and also provides the well-defined pathways to self-referral and practitioner referral.</w:t>
      </w:r>
    </w:p>
    <w:p w14:paraId="70CFFB53"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The multi-agency working definition given by the council is quite robust because it emphasises the cooperation between schools, health workers, police, and voluntary organisations, which reflects the type of cross-sector organisation of work promoted in integrated safeguarding models (Foundations, 2025). Although the site has these strengths, the search capability is somewhat weak, and the linking of sites to external sources, which </w:t>
      </w:r>
      <w:r w:rsidRPr="00E6319C">
        <w:rPr>
          <w:rFonts w:ascii="Times New Roman" w:hAnsi="Times New Roman" w:cs="Times New Roman"/>
          <w:sz w:val="24"/>
          <w:szCs w:val="24"/>
        </w:rPr>
        <w:lastRenderedPageBreak/>
        <w:t>tends to break the flow of the user, can be improved. However, the Early Help pathways, partnerships, and thresholds seem to be much more national expectations in general, as Norfolk makes them visible and comprehensible to the family.</w:t>
      </w:r>
    </w:p>
    <w:p w14:paraId="75E99397" w14:textId="77777777" w:rsidR="00552B71" w:rsidRPr="00E6319C" w:rsidRDefault="00552B71" w:rsidP="00E6319C">
      <w:pPr>
        <w:pStyle w:val="Heading2"/>
        <w:spacing w:before="0" w:line="480" w:lineRule="auto"/>
        <w:contextualSpacing/>
      </w:pPr>
      <w:bookmarkStart w:id="6" w:name="_Toc216361080"/>
      <w:r w:rsidRPr="00E6319C">
        <w:t>Local Authority C: Nottinghamshire County Council</w:t>
      </w:r>
      <w:bookmarkEnd w:id="6"/>
      <w:r w:rsidRPr="00E6319C">
        <w:t xml:space="preserve"> </w:t>
      </w:r>
    </w:p>
    <w:p w14:paraId="1CCFEC30"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The County Council of Nottinghamshire provides a systematic description of Early Help, although certain parts of it are not coherent in comparison with the values that are highlighted in the Early Help System Guide (GOV.UK, </w:t>
      </w:r>
      <w:proofErr w:type="spellStart"/>
      <w:r w:rsidRPr="00E6319C">
        <w:rPr>
          <w:rFonts w:ascii="Times New Roman" w:hAnsi="Times New Roman" w:cs="Times New Roman"/>
          <w:sz w:val="24"/>
          <w:szCs w:val="24"/>
        </w:rPr>
        <w:t>n.d</w:t>
      </w:r>
      <w:proofErr w:type="spellEnd"/>
      <w:r w:rsidRPr="00E6319C">
        <w:rPr>
          <w:rFonts w:ascii="Times New Roman" w:hAnsi="Times New Roman" w:cs="Times New Roman"/>
          <w:sz w:val="24"/>
          <w:szCs w:val="24"/>
        </w:rPr>
        <w:t>). The site states what early help is and has a list of thematic support areas, including domestic abuse, parental mental health and SEND support that allow the families to find the help corresponding to their needs early in the webpage (Maynard et al., 2025). Nevertheless, the process of signposting to the voluntary and community sector is not as detailed as one would expect, as there are few external links and as much information as possible about the way these organisations collaborate with statutory partners (</w:t>
      </w:r>
      <w:proofErr w:type="spellStart"/>
      <w:r w:rsidRPr="00E6319C">
        <w:rPr>
          <w:rFonts w:ascii="Times New Roman" w:hAnsi="Times New Roman" w:cs="Times New Roman"/>
          <w:sz w:val="24"/>
          <w:szCs w:val="24"/>
        </w:rPr>
        <w:t>Melyda</w:t>
      </w:r>
      <w:proofErr w:type="spellEnd"/>
      <w:r w:rsidRPr="00E6319C">
        <w:rPr>
          <w:rFonts w:ascii="Times New Roman" w:hAnsi="Times New Roman" w:cs="Times New Roman"/>
          <w:sz w:val="24"/>
          <w:szCs w:val="24"/>
        </w:rPr>
        <w:t xml:space="preserve"> et al., 2025).</w:t>
      </w:r>
    </w:p>
    <w:p w14:paraId="6FA4A94D"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There is a difference in accessibility among</w:t>
      </w:r>
      <w:r w:rsidR="003B5A84">
        <w:rPr>
          <w:rFonts w:ascii="Times New Roman" w:hAnsi="Times New Roman" w:cs="Times New Roman"/>
          <w:sz w:val="24"/>
          <w:szCs w:val="24"/>
        </w:rPr>
        <w:t>st</w:t>
      </w:r>
      <w:r w:rsidRPr="00E6319C">
        <w:rPr>
          <w:rFonts w:ascii="Times New Roman" w:hAnsi="Times New Roman" w:cs="Times New Roman"/>
          <w:sz w:val="24"/>
          <w:szCs w:val="24"/>
        </w:rPr>
        <w:t xml:space="preserve"> pages, with some being composed of short texts that are easy to read and others long paragraphs, uneven formatting, and complicated referral language that can put other families with low literacy levels at a disadvantage (GOV.UK, </w:t>
      </w:r>
      <w:proofErr w:type="spellStart"/>
      <w:r w:rsidRPr="00E6319C">
        <w:rPr>
          <w:rFonts w:ascii="Times New Roman" w:hAnsi="Times New Roman" w:cs="Times New Roman"/>
          <w:sz w:val="24"/>
          <w:szCs w:val="24"/>
        </w:rPr>
        <w:t>n.d</w:t>
      </w:r>
      <w:proofErr w:type="spellEnd"/>
      <w:r w:rsidRPr="00E6319C">
        <w:rPr>
          <w:rFonts w:ascii="Times New Roman" w:hAnsi="Times New Roman" w:cs="Times New Roman"/>
          <w:sz w:val="24"/>
          <w:szCs w:val="24"/>
        </w:rPr>
        <w:t>). Though the site does offer referral forms, maps of Family Service Centres, and straightforward phone contact information, it offers no information on data privacy, and outlines no clear description of how schools and health services are integrated into the Early Help pathway (Maynard et al., 2025). Such gaps indicate that Nottinghamshire offers the necessary information, yet it could be improved by clearer incorporation of the elements of multi-agency or better guidance of those families who require community-based or preventative assistance.</w:t>
      </w:r>
    </w:p>
    <w:p w14:paraId="1AFFF433" w14:textId="77777777" w:rsidR="00552B71" w:rsidRPr="00E6319C" w:rsidRDefault="00552B71" w:rsidP="00E6319C">
      <w:pPr>
        <w:spacing w:after="0" w:line="480" w:lineRule="auto"/>
        <w:contextualSpacing/>
        <w:rPr>
          <w:rFonts w:ascii="Times New Roman" w:hAnsi="Times New Roman" w:cs="Times New Roman"/>
          <w:sz w:val="24"/>
          <w:szCs w:val="24"/>
        </w:rPr>
      </w:pPr>
    </w:p>
    <w:p w14:paraId="6847FA81" w14:textId="77777777" w:rsidR="00552B71" w:rsidRPr="00E6319C" w:rsidRDefault="00552B71" w:rsidP="00E6319C">
      <w:pPr>
        <w:pStyle w:val="Heading2"/>
        <w:spacing w:before="0" w:line="480" w:lineRule="auto"/>
        <w:contextualSpacing/>
      </w:pPr>
      <w:bookmarkStart w:id="7" w:name="_Toc216361081"/>
      <w:r w:rsidRPr="00E6319C">
        <w:lastRenderedPageBreak/>
        <w:t>Comparative Anal</w:t>
      </w:r>
      <w:r w:rsidR="00E6319C" w:rsidRPr="00E6319C">
        <w:t>ysis: Strengths and Weaknesses a</w:t>
      </w:r>
      <w:r w:rsidRPr="00E6319C">
        <w:t>cross LAs</w:t>
      </w:r>
      <w:bookmarkEnd w:id="7"/>
      <w:r w:rsidRPr="00E6319C">
        <w:t xml:space="preserve"> </w:t>
      </w:r>
    </w:p>
    <w:p w14:paraId="2C6206A0"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Within the three local authorities, one can observe multiple strengths, especially in terms of general navigation and the progressive implementation of the Family Hub framework, as the expectations of the country towards locality-based delivery of Early Help. The city of Norfolk is unique in its details of referral forms and easy access paths, whereas Leeds and Nottinghamshire show efforts to introduce multi-agency interconnection by referring to schools and health services, which is also consistent with the ideas of the principles suggested in Working Together (GOV.UK, 2015). Further on the webpages, all authorities provide downloadable guides or lists that assist families to freely investigate accessible services, which is a favourable move towards transparency and self-service choices (Foundations, 2025).</w:t>
      </w:r>
    </w:p>
    <w:p w14:paraId="47A4E0D8"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Although these strengths are there, there are common weaknesses evident in all three websites. There is no clear specification of what constitutes eligibility to access Early Help in any of the local authorities, which may cause confusion between the families and the professionals regarding the intervention thresholds (Purcell et al., 2025). Voluntary and community sector partnerships also lack visibility and few descriptions of their role in prevention, although such organisations are known to play an important role in Early Help ecosystems (Feinstein et al., 2024). Also, there are technical barriers that can occur, which include thick text, patchy formatting, and a poor amount of multilingual or simple-to-read versions, which reduce accessibility to families in the highest need of Early Help. Mobile optimisation is highly varied, with the situation in Leeds and Nottinghamshire showing lesser adaptation to smaller screens than in Norfolk.</w:t>
      </w:r>
    </w:p>
    <w:p w14:paraId="1B52AB91"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The Norfolk County Council is the most effective in general terms, as it introduces the most eloquent pathways and referrals to Early Help, collaboration between agencies, and presents the most convenient and mobile-friendly interface with no structural complexity. </w:t>
      </w:r>
      <w:r w:rsidRPr="00E6319C">
        <w:rPr>
          <w:rFonts w:ascii="Times New Roman" w:hAnsi="Times New Roman" w:cs="Times New Roman"/>
          <w:sz w:val="24"/>
          <w:szCs w:val="24"/>
        </w:rPr>
        <w:lastRenderedPageBreak/>
        <w:t xml:space="preserve">This is in accordance with the requirements highlighted in the Early Help System Guide, which focuses on clarity, early identification and integrated support (GOV.UK, </w:t>
      </w:r>
      <w:proofErr w:type="spellStart"/>
      <w:r w:rsidRPr="00E6319C">
        <w:rPr>
          <w:rFonts w:ascii="Times New Roman" w:hAnsi="Times New Roman" w:cs="Times New Roman"/>
          <w:sz w:val="24"/>
          <w:szCs w:val="24"/>
        </w:rPr>
        <w:t>n.d</w:t>
      </w:r>
      <w:proofErr w:type="spellEnd"/>
      <w:r w:rsidRPr="00E6319C">
        <w:rPr>
          <w:rFonts w:ascii="Times New Roman" w:hAnsi="Times New Roman" w:cs="Times New Roman"/>
          <w:sz w:val="24"/>
          <w:szCs w:val="24"/>
        </w:rPr>
        <w:t>). Norfolk is also a copy of the multi-agency principles that are emphasised in the studies of integrated safeguarding frameworks, including shared responsibility and availability of information (Foundations, 2025). Thus, Norfolk offers the most detailed and available Early Help communication among</w:t>
      </w:r>
      <w:r w:rsidR="003B5A84">
        <w:rPr>
          <w:rFonts w:ascii="Times New Roman" w:hAnsi="Times New Roman" w:cs="Times New Roman"/>
          <w:sz w:val="24"/>
          <w:szCs w:val="24"/>
        </w:rPr>
        <w:t>st</w:t>
      </w:r>
      <w:r w:rsidRPr="00E6319C">
        <w:rPr>
          <w:rFonts w:ascii="Times New Roman" w:hAnsi="Times New Roman" w:cs="Times New Roman"/>
          <w:sz w:val="24"/>
          <w:szCs w:val="24"/>
        </w:rPr>
        <w:t xml:space="preserve"> the three.</w:t>
      </w:r>
    </w:p>
    <w:p w14:paraId="4D8C9F22" w14:textId="77777777" w:rsidR="00552B71" w:rsidRPr="00E6319C" w:rsidRDefault="00552B71" w:rsidP="00E6319C">
      <w:pPr>
        <w:spacing w:after="0" w:line="480" w:lineRule="auto"/>
        <w:contextualSpacing/>
        <w:rPr>
          <w:rFonts w:ascii="Times New Roman" w:hAnsi="Times New Roman" w:cs="Times New Roman"/>
          <w:sz w:val="24"/>
          <w:szCs w:val="24"/>
        </w:rPr>
      </w:pPr>
    </w:p>
    <w:p w14:paraId="26C1C3CE" w14:textId="77777777" w:rsidR="00552B71" w:rsidRPr="00E6319C" w:rsidRDefault="00552B71" w:rsidP="00E6319C">
      <w:pPr>
        <w:pStyle w:val="Heading1"/>
        <w:spacing w:before="0" w:line="480" w:lineRule="auto"/>
        <w:contextualSpacing/>
      </w:pPr>
      <w:bookmarkStart w:id="8" w:name="_Toc216361082"/>
      <w:r w:rsidRPr="00E6319C">
        <w:t>Conclusion and Recommendations</w:t>
      </w:r>
      <w:bookmarkEnd w:id="8"/>
      <w:r w:rsidRPr="00E6319C">
        <w:t xml:space="preserve"> </w:t>
      </w:r>
    </w:p>
    <w:p w14:paraId="72817140" w14:textId="77777777" w:rsidR="000253CF"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Generally, the analysis indicates that, although all three local authorities are eager to communicate Early Help, the extent of clarity, accessibility, and consistency of information is quite diffe</w:t>
      </w:r>
      <w:r w:rsidR="003B5A84">
        <w:rPr>
          <w:rFonts w:ascii="Times New Roman" w:hAnsi="Times New Roman" w:cs="Times New Roman"/>
          <w:sz w:val="24"/>
          <w:szCs w:val="24"/>
        </w:rPr>
        <w:t xml:space="preserve">rent. Efficient Early Help </w:t>
      </w:r>
      <w:proofErr w:type="spellStart"/>
      <w:r w:rsidR="003B5A84">
        <w:rPr>
          <w:rFonts w:ascii="Times New Roman" w:hAnsi="Times New Roman" w:cs="Times New Roman"/>
          <w:sz w:val="24"/>
          <w:szCs w:val="24"/>
        </w:rPr>
        <w:t>needs</w:t>
      </w:r>
      <w:proofErr w:type="spellEnd"/>
      <w:r w:rsidRPr="00E6319C">
        <w:rPr>
          <w:rFonts w:ascii="Times New Roman" w:hAnsi="Times New Roman" w:cs="Times New Roman"/>
          <w:sz w:val="24"/>
          <w:szCs w:val="24"/>
        </w:rPr>
        <w:t xml:space="preserve"> families and professionals to know referral routes, referral thresholds and partner multi-agency roles, and the results show that not all websites meet all these requirements. The significance of effective communication is supported by the fact that timely intervention is associated with better results and lower rates at which statutory service levels are achieved, and clear and accessible information is a mandatory aspect of a practice concerning safeguarding.</w:t>
      </w:r>
    </w:p>
    <w:p w14:paraId="6AE2A606" w14:textId="77777777" w:rsidR="00552B71" w:rsidRPr="00E6319C" w:rsidRDefault="00552B71" w:rsidP="00E6319C">
      <w:pPr>
        <w:spacing w:after="0" w:line="480" w:lineRule="auto"/>
        <w:ind w:firstLine="720"/>
        <w:contextualSpacing/>
        <w:rPr>
          <w:rFonts w:ascii="Times New Roman" w:hAnsi="Times New Roman" w:cs="Times New Roman"/>
          <w:sz w:val="24"/>
          <w:szCs w:val="24"/>
        </w:rPr>
      </w:pPr>
      <w:r w:rsidRPr="00E6319C">
        <w:rPr>
          <w:rFonts w:ascii="Times New Roman" w:hAnsi="Times New Roman" w:cs="Times New Roman"/>
          <w:sz w:val="24"/>
          <w:szCs w:val="24"/>
        </w:rPr>
        <w:t xml:space="preserve">To enhance the readability of the Early Help communication, the report suggests that plain language and consistent formatting should be improved, step-by-step pathway diagrams should be put in place, clearer thresholds of support should be provided, and the aspect of multi-agency collaboration should be enhanced by explicitly describing the roles of schools, health professionals and voluntary services. Accessibility barriers should also be overcome through multilingual formats, easy-read versions, and better mobile optimisation, which local authorities should take into account. Improving such characteristics would bring the websites into closer alignment with the national guidance and research evidence, and assist the family </w:t>
      </w:r>
      <w:r w:rsidRPr="00E6319C">
        <w:rPr>
          <w:rFonts w:ascii="Times New Roman" w:hAnsi="Times New Roman" w:cs="Times New Roman"/>
          <w:sz w:val="24"/>
          <w:szCs w:val="24"/>
        </w:rPr>
        <w:lastRenderedPageBreak/>
        <w:t>to feel confident when utilising Early Help and encourage effective early intervention implementation in the local systems.</w:t>
      </w:r>
    </w:p>
    <w:p w14:paraId="1408251A" w14:textId="77777777" w:rsidR="00552B71" w:rsidRPr="00E6319C" w:rsidRDefault="00552B71" w:rsidP="00E6319C">
      <w:pPr>
        <w:spacing w:after="0" w:line="480" w:lineRule="auto"/>
        <w:contextualSpacing/>
        <w:rPr>
          <w:rFonts w:ascii="Times New Roman" w:hAnsi="Times New Roman" w:cs="Times New Roman"/>
          <w:sz w:val="24"/>
          <w:szCs w:val="24"/>
        </w:rPr>
      </w:pPr>
    </w:p>
    <w:p w14:paraId="1783FFBC" w14:textId="77777777" w:rsidR="00552B71" w:rsidRPr="00E6319C" w:rsidRDefault="00552B71" w:rsidP="00E6319C">
      <w:pPr>
        <w:spacing w:after="0" w:line="480" w:lineRule="auto"/>
        <w:contextualSpacing/>
        <w:rPr>
          <w:rFonts w:ascii="Times New Roman" w:hAnsi="Times New Roman" w:cs="Times New Roman"/>
          <w:sz w:val="24"/>
          <w:szCs w:val="24"/>
        </w:rPr>
      </w:pPr>
    </w:p>
    <w:p w14:paraId="3DF685FF" w14:textId="77777777" w:rsidR="00356F18" w:rsidRPr="00E6319C" w:rsidRDefault="00356F18" w:rsidP="00E6319C">
      <w:pPr>
        <w:spacing w:after="0" w:line="480" w:lineRule="auto"/>
        <w:contextualSpacing/>
        <w:rPr>
          <w:rFonts w:ascii="Times New Roman" w:hAnsi="Times New Roman" w:cs="Times New Roman"/>
          <w:sz w:val="24"/>
          <w:szCs w:val="24"/>
          <w:lang w:val="en-US"/>
        </w:rPr>
      </w:pPr>
    </w:p>
    <w:p w14:paraId="357F520B" w14:textId="77777777" w:rsidR="00E6319C" w:rsidRPr="00E6319C" w:rsidRDefault="00356F18" w:rsidP="00E6319C">
      <w:pPr>
        <w:pStyle w:val="Heading1"/>
        <w:spacing w:before="0" w:line="480" w:lineRule="auto"/>
        <w:contextualSpacing/>
        <w:jc w:val="center"/>
        <w:rPr>
          <w:lang w:val="en-US"/>
        </w:rPr>
      </w:pPr>
      <w:bookmarkStart w:id="9" w:name="_Toc216361083"/>
      <w:r w:rsidRPr="00E6319C">
        <w:rPr>
          <w:lang w:val="en-US"/>
        </w:rPr>
        <w:t>References</w:t>
      </w:r>
      <w:bookmarkEnd w:id="9"/>
    </w:p>
    <w:p w14:paraId="707B31A1"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Ball, E.J., McElwee, J.D. and McManus, M.A., 2024. Multi-agency safeguarding: From everyone’s responsibility to a collective responsibility. </w:t>
      </w:r>
      <w:r w:rsidRPr="00E6319C">
        <w:rPr>
          <w:rFonts w:ascii="Times New Roman" w:hAnsi="Times New Roman" w:cs="Times New Roman"/>
          <w:i/>
          <w:iCs/>
          <w:sz w:val="24"/>
          <w:szCs w:val="24"/>
          <w:shd w:val="clear" w:color="auto" w:fill="FFFFFF"/>
        </w:rPr>
        <w:t>Journal of Community Safety and Well-Being</w:t>
      </w:r>
      <w:r w:rsidRPr="00E6319C">
        <w:rPr>
          <w:rFonts w:ascii="Times New Roman" w:hAnsi="Times New Roman" w:cs="Times New Roman"/>
          <w:sz w:val="24"/>
          <w:szCs w:val="24"/>
          <w:shd w:val="clear" w:color="auto" w:fill="FFFFFF"/>
        </w:rPr>
        <w:t>, </w:t>
      </w:r>
      <w:r w:rsidRPr="00E6319C">
        <w:rPr>
          <w:rFonts w:ascii="Times New Roman" w:hAnsi="Times New Roman" w:cs="Times New Roman"/>
          <w:i/>
          <w:iCs/>
          <w:sz w:val="24"/>
          <w:szCs w:val="24"/>
          <w:shd w:val="clear" w:color="auto" w:fill="FFFFFF"/>
        </w:rPr>
        <w:t>9</w:t>
      </w:r>
      <w:r w:rsidRPr="00E6319C">
        <w:rPr>
          <w:rFonts w:ascii="Times New Roman" w:hAnsi="Times New Roman" w:cs="Times New Roman"/>
          <w:sz w:val="24"/>
          <w:szCs w:val="24"/>
          <w:shd w:val="clear" w:color="auto" w:fill="FFFFFF"/>
        </w:rPr>
        <w:t>(2), pp.104-108.</w:t>
      </w:r>
    </w:p>
    <w:p w14:paraId="412BF230"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Dixon, S., Kendall, B., Driscoll, J. and Pope, C., 2022. Supporting the ‘</w:t>
      </w:r>
      <w:proofErr w:type="spellStart"/>
      <w:r w:rsidRPr="00E6319C">
        <w:rPr>
          <w:rFonts w:ascii="Times New Roman" w:hAnsi="Times New Roman" w:cs="Times New Roman"/>
          <w:sz w:val="24"/>
          <w:szCs w:val="24"/>
          <w:shd w:val="clear" w:color="auto" w:fill="FFFFFF"/>
        </w:rPr>
        <w:t>multi’in</w:t>
      </w:r>
      <w:proofErr w:type="spellEnd"/>
      <w:r w:rsidRPr="00E6319C">
        <w:rPr>
          <w:rFonts w:ascii="Times New Roman" w:hAnsi="Times New Roman" w:cs="Times New Roman"/>
          <w:sz w:val="24"/>
          <w:szCs w:val="24"/>
          <w:shd w:val="clear" w:color="auto" w:fill="FFFFFF"/>
        </w:rPr>
        <w:t xml:space="preserve"> multi-agency working: learning with and from each other could enable multi-agency safeguarding. </w:t>
      </w:r>
      <w:r w:rsidRPr="00E6319C">
        <w:rPr>
          <w:rFonts w:ascii="Times New Roman" w:hAnsi="Times New Roman" w:cs="Times New Roman"/>
          <w:i/>
          <w:iCs/>
          <w:sz w:val="24"/>
          <w:szCs w:val="24"/>
          <w:shd w:val="clear" w:color="auto" w:fill="FFFFFF"/>
        </w:rPr>
        <w:t>The British Journal of General Practice</w:t>
      </w:r>
      <w:r w:rsidRPr="00E6319C">
        <w:rPr>
          <w:rFonts w:ascii="Times New Roman" w:hAnsi="Times New Roman" w:cs="Times New Roman"/>
          <w:sz w:val="24"/>
          <w:szCs w:val="24"/>
          <w:shd w:val="clear" w:color="auto" w:fill="FFFFFF"/>
        </w:rPr>
        <w:t>, </w:t>
      </w:r>
      <w:r w:rsidRPr="00E6319C">
        <w:rPr>
          <w:rFonts w:ascii="Times New Roman" w:hAnsi="Times New Roman" w:cs="Times New Roman"/>
          <w:i/>
          <w:iCs/>
          <w:sz w:val="24"/>
          <w:szCs w:val="24"/>
          <w:shd w:val="clear" w:color="auto" w:fill="FFFFFF"/>
        </w:rPr>
        <w:t>72</w:t>
      </w:r>
      <w:r w:rsidRPr="00E6319C">
        <w:rPr>
          <w:rFonts w:ascii="Times New Roman" w:hAnsi="Times New Roman" w:cs="Times New Roman"/>
          <w:sz w:val="24"/>
          <w:szCs w:val="24"/>
          <w:shd w:val="clear" w:color="auto" w:fill="FFFFFF"/>
        </w:rPr>
        <w:t>(722), p.438.</w:t>
      </w:r>
    </w:p>
    <w:p w14:paraId="4DF6E94A"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Edwards, A., Gharbi, R., Berry, A. and Duschinsky, R., 2021. Supporting and strengthening families through provision of early help. </w:t>
      </w:r>
      <w:r w:rsidRPr="00E6319C">
        <w:rPr>
          <w:rFonts w:ascii="Times New Roman" w:hAnsi="Times New Roman" w:cs="Times New Roman"/>
          <w:i/>
          <w:iCs/>
          <w:sz w:val="24"/>
          <w:szCs w:val="24"/>
          <w:shd w:val="clear" w:color="auto" w:fill="FFFFFF"/>
        </w:rPr>
        <w:t>London: National Children’s Bureau</w:t>
      </w:r>
      <w:r w:rsidRPr="00E6319C">
        <w:rPr>
          <w:rFonts w:ascii="Times New Roman" w:hAnsi="Times New Roman" w:cs="Times New Roman"/>
          <w:sz w:val="24"/>
          <w:szCs w:val="24"/>
          <w:shd w:val="clear" w:color="auto" w:fill="FFFFFF"/>
        </w:rPr>
        <w:t>.</w:t>
      </w:r>
    </w:p>
    <w:p w14:paraId="14608B29"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 xml:space="preserve">El-Hoss, T., Thomas, F., </w:t>
      </w:r>
      <w:proofErr w:type="spellStart"/>
      <w:r w:rsidRPr="00E6319C">
        <w:rPr>
          <w:rFonts w:ascii="Times New Roman" w:hAnsi="Times New Roman" w:cs="Times New Roman"/>
          <w:sz w:val="24"/>
          <w:szCs w:val="24"/>
          <w:shd w:val="clear" w:color="auto" w:fill="FFFFFF"/>
        </w:rPr>
        <w:t>Gradinger</w:t>
      </w:r>
      <w:proofErr w:type="spellEnd"/>
      <w:r w:rsidRPr="00E6319C">
        <w:rPr>
          <w:rFonts w:ascii="Times New Roman" w:hAnsi="Times New Roman" w:cs="Times New Roman"/>
          <w:sz w:val="24"/>
          <w:szCs w:val="24"/>
          <w:shd w:val="clear" w:color="auto" w:fill="FFFFFF"/>
        </w:rPr>
        <w:t>, F. and Hughes, S., 2024. Housing and children’s social care in England: learning from embedded research. </w:t>
      </w:r>
      <w:r w:rsidRPr="00E6319C">
        <w:rPr>
          <w:rFonts w:ascii="Times New Roman" w:hAnsi="Times New Roman" w:cs="Times New Roman"/>
          <w:i/>
          <w:iCs/>
          <w:sz w:val="24"/>
          <w:szCs w:val="24"/>
          <w:shd w:val="clear" w:color="auto" w:fill="FFFFFF"/>
        </w:rPr>
        <w:t>Housing Studies</w:t>
      </w:r>
      <w:r w:rsidRPr="00E6319C">
        <w:rPr>
          <w:rFonts w:ascii="Times New Roman" w:hAnsi="Times New Roman" w:cs="Times New Roman"/>
          <w:sz w:val="24"/>
          <w:szCs w:val="24"/>
          <w:shd w:val="clear" w:color="auto" w:fill="FFFFFF"/>
        </w:rPr>
        <w:t>, pp.1-26.</w:t>
      </w:r>
    </w:p>
    <w:p w14:paraId="56C75E1D"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Feinstein, L., Hyde-Dryden, G., Baginsky, M. and Hood, R., Overcoming Behavioural &amp; Cultural Barriers to Multi-agency Information Sharing in Children’s Social Care.</w:t>
      </w:r>
    </w:p>
    <w:p w14:paraId="39725D8C" w14:textId="77777777" w:rsidR="00E6319C" w:rsidRPr="00E6319C" w:rsidRDefault="00E6319C" w:rsidP="00E6319C">
      <w:pPr>
        <w:spacing w:after="0" w:line="480" w:lineRule="auto"/>
        <w:ind w:left="720" w:hanging="720"/>
        <w:contextualSpacing/>
        <w:rPr>
          <w:rFonts w:ascii="Times New Roman" w:hAnsi="Times New Roman" w:cs="Times New Roman"/>
          <w:sz w:val="24"/>
          <w:szCs w:val="24"/>
        </w:rPr>
      </w:pPr>
      <w:r w:rsidRPr="00E6319C">
        <w:rPr>
          <w:rFonts w:ascii="Times New Roman" w:hAnsi="Times New Roman" w:cs="Times New Roman"/>
          <w:sz w:val="24"/>
          <w:szCs w:val="24"/>
          <w:shd w:val="clear" w:color="auto" w:fill="FFFFFF"/>
        </w:rPr>
        <w:t xml:space="preserve">Foundations.2025. </w:t>
      </w:r>
      <w:r w:rsidRPr="00E6319C">
        <w:rPr>
          <w:rFonts w:ascii="Times New Roman" w:hAnsi="Times New Roman" w:cs="Times New Roman"/>
          <w:sz w:val="24"/>
          <w:szCs w:val="24"/>
        </w:rPr>
        <w:t xml:space="preserve">Implementation and process evaluation. EVALUATION OF MULTI-AGENCY SAFEGUARDING HUBS (MASH). Available on: </w:t>
      </w:r>
      <w:hyperlink r:id="rId8" w:history="1">
        <w:r w:rsidRPr="00E6319C">
          <w:rPr>
            <w:rStyle w:val="Hyperlink"/>
            <w:rFonts w:ascii="Times New Roman" w:hAnsi="Times New Roman" w:cs="Times New Roman"/>
            <w:color w:val="auto"/>
            <w:sz w:val="24"/>
            <w:szCs w:val="24"/>
          </w:rPr>
          <w:t>https://foundations.org.uk/wp-content/uploads/2025/06/evaluation-of-multi-agency-safeguarding-hubs.pdf</w:t>
        </w:r>
      </w:hyperlink>
    </w:p>
    <w:p w14:paraId="737B839F" w14:textId="77777777" w:rsidR="00E6319C" w:rsidRPr="00E6319C" w:rsidRDefault="00E6319C" w:rsidP="00E6319C">
      <w:pPr>
        <w:spacing w:after="0" w:line="480" w:lineRule="auto"/>
        <w:ind w:left="720" w:hanging="720"/>
        <w:contextualSpacing/>
        <w:rPr>
          <w:rFonts w:ascii="Times New Roman" w:hAnsi="Times New Roman" w:cs="Times New Roman"/>
          <w:sz w:val="24"/>
          <w:szCs w:val="24"/>
        </w:rPr>
      </w:pPr>
      <w:r w:rsidRPr="00E6319C">
        <w:rPr>
          <w:rFonts w:ascii="Times New Roman" w:hAnsi="Times New Roman" w:cs="Times New Roman"/>
          <w:sz w:val="24"/>
          <w:szCs w:val="24"/>
          <w:lang w:val="en-US"/>
        </w:rPr>
        <w:t xml:space="preserve">GOV. UK. </w:t>
      </w:r>
      <w:r w:rsidRPr="00E6319C">
        <w:rPr>
          <w:rFonts w:ascii="Times New Roman" w:hAnsi="Times New Roman" w:cs="Times New Roman"/>
          <w:sz w:val="24"/>
          <w:szCs w:val="24"/>
        </w:rPr>
        <w:t xml:space="preserve">What is early help? Concepts, policy directions and multi-agency perspectives, Available at: </w:t>
      </w:r>
      <w:hyperlink r:id="rId9" w:history="1">
        <w:r w:rsidRPr="00E6319C">
          <w:rPr>
            <w:rStyle w:val="Hyperlink"/>
            <w:rFonts w:ascii="Times New Roman" w:hAnsi="Times New Roman" w:cs="Times New Roman"/>
            <w:color w:val="auto"/>
            <w:sz w:val="24"/>
            <w:szCs w:val="24"/>
          </w:rPr>
          <w:t>https://assets.publishing.service.gov.uk/media/6203e0848fa8f5109c7f136e/Early_help_Research_in_Practice_2022.pdf</w:t>
        </w:r>
      </w:hyperlink>
    </w:p>
    <w:p w14:paraId="64755AB4" w14:textId="77777777" w:rsidR="00E6319C" w:rsidRPr="00E6319C" w:rsidRDefault="00E6319C" w:rsidP="00E6319C">
      <w:pPr>
        <w:spacing w:after="0" w:line="480" w:lineRule="auto"/>
        <w:ind w:left="720" w:hanging="720"/>
        <w:contextualSpacing/>
        <w:rPr>
          <w:rFonts w:ascii="Times New Roman" w:hAnsi="Times New Roman" w:cs="Times New Roman"/>
          <w:sz w:val="24"/>
          <w:szCs w:val="24"/>
        </w:rPr>
      </w:pPr>
      <w:r w:rsidRPr="00E6319C">
        <w:rPr>
          <w:rFonts w:ascii="Times New Roman" w:hAnsi="Times New Roman" w:cs="Times New Roman"/>
          <w:sz w:val="24"/>
          <w:szCs w:val="24"/>
        </w:rPr>
        <w:t xml:space="preserve">GOV.UK. 2015. Working together to safeguard children. Available at: </w:t>
      </w:r>
      <w:hyperlink r:id="rId10" w:history="1">
        <w:r w:rsidRPr="00E6319C">
          <w:rPr>
            <w:rStyle w:val="Hyperlink"/>
            <w:rFonts w:ascii="Times New Roman" w:hAnsi="Times New Roman" w:cs="Times New Roman"/>
            <w:color w:val="auto"/>
            <w:sz w:val="24"/>
            <w:szCs w:val="24"/>
          </w:rPr>
          <w:t>https://www.gov.uk/government/publications/working-together-to-safeguard-children--2</w:t>
        </w:r>
      </w:hyperlink>
    </w:p>
    <w:p w14:paraId="0525939F"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Maynard, E., Lever-Taylor, B., Chang, Y.S., Jefferson, E., Cooper, S., Prawer, S. and Driscoll, J., 2025. The Accidental Hub: exploring English primary schools’ response to family needs and public policy within the shifting landscape of child protection and wellbeing. </w:t>
      </w:r>
      <w:r w:rsidRPr="00E6319C">
        <w:rPr>
          <w:rFonts w:ascii="Times New Roman" w:hAnsi="Times New Roman" w:cs="Times New Roman"/>
          <w:i/>
          <w:iCs/>
          <w:sz w:val="24"/>
          <w:szCs w:val="24"/>
          <w:shd w:val="clear" w:color="auto" w:fill="FFFFFF"/>
        </w:rPr>
        <w:t>Children and Youth Services Review</w:t>
      </w:r>
      <w:r w:rsidRPr="00E6319C">
        <w:rPr>
          <w:rFonts w:ascii="Times New Roman" w:hAnsi="Times New Roman" w:cs="Times New Roman"/>
          <w:sz w:val="24"/>
          <w:szCs w:val="24"/>
          <w:shd w:val="clear" w:color="auto" w:fill="FFFFFF"/>
        </w:rPr>
        <w:t>, p.108515.</w:t>
      </w:r>
    </w:p>
    <w:p w14:paraId="0D9CE147"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proofErr w:type="spellStart"/>
      <w:r w:rsidRPr="00E6319C">
        <w:rPr>
          <w:rFonts w:ascii="Times New Roman" w:hAnsi="Times New Roman" w:cs="Times New Roman"/>
          <w:sz w:val="24"/>
          <w:szCs w:val="24"/>
          <w:shd w:val="clear" w:color="auto" w:fill="FFFFFF"/>
        </w:rPr>
        <w:t>Melyda</w:t>
      </w:r>
      <w:proofErr w:type="spellEnd"/>
      <w:r w:rsidRPr="00E6319C">
        <w:rPr>
          <w:rFonts w:ascii="Times New Roman" w:hAnsi="Times New Roman" w:cs="Times New Roman"/>
          <w:sz w:val="24"/>
          <w:szCs w:val="24"/>
          <w:shd w:val="clear" w:color="auto" w:fill="FFFFFF"/>
        </w:rPr>
        <w:t>, M., Monahan, M., Bird, C., Roberts, T., Harper, L. and Litchfield, I., 2025. Integrating health care and early years support for children and young people living in deprivation: a cost-effectiveness analysis of the Sparkbrook Children’s Zone integrated clinic versus usual primary care in Birmingham, UK. </w:t>
      </w:r>
      <w:r w:rsidRPr="00E6319C">
        <w:rPr>
          <w:rFonts w:ascii="Times New Roman" w:hAnsi="Times New Roman" w:cs="Times New Roman"/>
          <w:i/>
          <w:iCs/>
          <w:sz w:val="24"/>
          <w:szCs w:val="24"/>
          <w:shd w:val="clear" w:color="auto" w:fill="FFFFFF"/>
        </w:rPr>
        <w:t>BMJ Paediatrics Open</w:t>
      </w:r>
      <w:r w:rsidRPr="00E6319C">
        <w:rPr>
          <w:rFonts w:ascii="Times New Roman" w:hAnsi="Times New Roman" w:cs="Times New Roman"/>
          <w:sz w:val="24"/>
          <w:szCs w:val="24"/>
          <w:shd w:val="clear" w:color="auto" w:fill="FFFFFF"/>
        </w:rPr>
        <w:t>, </w:t>
      </w:r>
      <w:r w:rsidRPr="00E6319C">
        <w:rPr>
          <w:rFonts w:ascii="Times New Roman" w:hAnsi="Times New Roman" w:cs="Times New Roman"/>
          <w:i/>
          <w:iCs/>
          <w:sz w:val="24"/>
          <w:szCs w:val="24"/>
          <w:shd w:val="clear" w:color="auto" w:fill="FFFFFF"/>
        </w:rPr>
        <w:t>9</w:t>
      </w:r>
      <w:r w:rsidRPr="00E6319C">
        <w:rPr>
          <w:rFonts w:ascii="Times New Roman" w:hAnsi="Times New Roman" w:cs="Times New Roman"/>
          <w:sz w:val="24"/>
          <w:szCs w:val="24"/>
          <w:shd w:val="clear" w:color="auto" w:fill="FFFFFF"/>
        </w:rPr>
        <w:t>(1), p.e003249.</w:t>
      </w:r>
    </w:p>
    <w:p w14:paraId="567B2234" w14:textId="77777777" w:rsidR="00E6319C" w:rsidRPr="00E6319C" w:rsidRDefault="00E6319C" w:rsidP="00E6319C">
      <w:pPr>
        <w:spacing w:after="0" w:line="480" w:lineRule="auto"/>
        <w:ind w:left="720" w:hanging="720"/>
        <w:contextualSpacing/>
        <w:rPr>
          <w:rFonts w:ascii="Times New Roman" w:hAnsi="Times New Roman" w:cs="Times New Roman"/>
          <w:sz w:val="24"/>
          <w:szCs w:val="24"/>
          <w:shd w:val="clear" w:color="auto" w:fill="FFFFFF"/>
        </w:rPr>
      </w:pPr>
      <w:r w:rsidRPr="00E6319C">
        <w:rPr>
          <w:rFonts w:ascii="Times New Roman" w:hAnsi="Times New Roman" w:cs="Times New Roman"/>
          <w:sz w:val="24"/>
          <w:szCs w:val="24"/>
          <w:shd w:val="clear" w:color="auto" w:fill="FFFFFF"/>
        </w:rPr>
        <w:t xml:space="preserve">Purcell, C., Baginsky, M. and </w:t>
      </w:r>
      <w:proofErr w:type="spellStart"/>
      <w:r w:rsidRPr="00E6319C">
        <w:rPr>
          <w:rFonts w:ascii="Times New Roman" w:hAnsi="Times New Roman" w:cs="Times New Roman"/>
          <w:sz w:val="24"/>
          <w:szCs w:val="24"/>
          <w:shd w:val="clear" w:color="auto" w:fill="FFFFFF"/>
        </w:rPr>
        <w:t>Steils</w:t>
      </w:r>
      <w:proofErr w:type="spellEnd"/>
      <w:r w:rsidRPr="00E6319C">
        <w:rPr>
          <w:rFonts w:ascii="Times New Roman" w:hAnsi="Times New Roman" w:cs="Times New Roman"/>
          <w:sz w:val="24"/>
          <w:szCs w:val="24"/>
          <w:shd w:val="clear" w:color="auto" w:fill="FFFFFF"/>
        </w:rPr>
        <w:t>, N., 2025. No quick fixes: Multi-agency working to improve information-sharing on men and keep children safe. </w:t>
      </w:r>
      <w:r w:rsidRPr="00E6319C">
        <w:rPr>
          <w:rFonts w:ascii="Times New Roman" w:hAnsi="Times New Roman" w:cs="Times New Roman"/>
          <w:i/>
          <w:iCs/>
          <w:sz w:val="24"/>
          <w:szCs w:val="24"/>
          <w:shd w:val="clear" w:color="auto" w:fill="FFFFFF"/>
        </w:rPr>
        <w:t>The British Journal of Social Work</w:t>
      </w:r>
      <w:r w:rsidRPr="00E6319C">
        <w:rPr>
          <w:rFonts w:ascii="Times New Roman" w:hAnsi="Times New Roman" w:cs="Times New Roman"/>
          <w:sz w:val="24"/>
          <w:szCs w:val="24"/>
          <w:shd w:val="clear" w:color="auto" w:fill="FFFFFF"/>
        </w:rPr>
        <w:t>, p.bcaf249.</w:t>
      </w:r>
    </w:p>
    <w:sectPr w:rsidR="00E6319C" w:rsidRPr="00E6319C" w:rsidSect="003B5A84">
      <w:head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57CBB" w14:textId="77777777" w:rsidR="0047690A" w:rsidRDefault="0047690A" w:rsidP="003B5A84">
      <w:pPr>
        <w:spacing w:after="0" w:line="240" w:lineRule="auto"/>
      </w:pPr>
      <w:r>
        <w:separator/>
      </w:r>
    </w:p>
  </w:endnote>
  <w:endnote w:type="continuationSeparator" w:id="0">
    <w:p w14:paraId="06454774" w14:textId="77777777" w:rsidR="0047690A" w:rsidRDefault="0047690A" w:rsidP="003B5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6431B" w14:textId="77777777" w:rsidR="0047690A" w:rsidRDefault="0047690A" w:rsidP="003B5A84">
      <w:pPr>
        <w:spacing w:after="0" w:line="240" w:lineRule="auto"/>
      </w:pPr>
      <w:r>
        <w:separator/>
      </w:r>
    </w:p>
  </w:footnote>
  <w:footnote w:type="continuationSeparator" w:id="0">
    <w:p w14:paraId="274805ED" w14:textId="77777777" w:rsidR="0047690A" w:rsidRDefault="0047690A" w:rsidP="003B5A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096373046"/>
      <w:docPartObj>
        <w:docPartGallery w:val="Page Numbers (Top of Page)"/>
        <w:docPartUnique/>
      </w:docPartObj>
    </w:sdtPr>
    <w:sdtEndPr>
      <w:rPr>
        <w:noProof/>
        <w:sz w:val="22"/>
        <w:szCs w:val="22"/>
      </w:rPr>
    </w:sdtEndPr>
    <w:sdtContent>
      <w:p w14:paraId="00A2C549" w14:textId="77777777" w:rsidR="003B5A84" w:rsidRPr="003B5A84" w:rsidRDefault="003B5A84">
        <w:pPr>
          <w:pStyle w:val="Header"/>
          <w:jc w:val="right"/>
          <w:rPr>
            <w:rFonts w:ascii="Times New Roman" w:hAnsi="Times New Roman" w:cs="Times New Roman"/>
          </w:rPr>
        </w:pPr>
        <w:r w:rsidRPr="003B5A84">
          <w:rPr>
            <w:rFonts w:ascii="Times New Roman" w:hAnsi="Times New Roman" w:cs="Times New Roman"/>
            <w:sz w:val="24"/>
            <w:szCs w:val="24"/>
          </w:rPr>
          <w:t xml:space="preserve">Assignment     </w:t>
        </w:r>
        <w:r w:rsidRPr="003B5A84">
          <w:rPr>
            <w:rFonts w:ascii="Times New Roman" w:hAnsi="Times New Roman" w:cs="Times New Roman"/>
            <w:sz w:val="24"/>
            <w:szCs w:val="24"/>
          </w:rPr>
          <w:fldChar w:fldCharType="begin"/>
        </w:r>
        <w:r w:rsidRPr="003B5A84">
          <w:rPr>
            <w:rFonts w:ascii="Times New Roman" w:hAnsi="Times New Roman" w:cs="Times New Roman"/>
            <w:sz w:val="24"/>
            <w:szCs w:val="24"/>
          </w:rPr>
          <w:instrText xml:space="preserve"> PAGE   \* MERGEFORMAT </w:instrText>
        </w:r>
        <w:r w:rsidRPr="003B5A84">
          <w:rPr>
            <w:rFonts w:ascii="Times New Roman" w:hAnsi="Times New Roman" w:cs="Times New Roman"/>
            <w:sz w:val="24"/>
            <w:szCs w:val="24"/>
          </w:rPr>
          <w:fldChar w:fldCharType="separate"/>
        </w:r>
        <w:r w:rsidR="00BD2F48">
          <w:rPr>
            <w:rFonts w:ascii="Times New Roman" w:hAnsi="Times New Roman" w:cs="Times New Roman"/>
            <w:noProof/>
            <w:sz w:val="24"/>
            <w:szCs w:val="24"/>
          </w:rPr>
          <w:t>2</w:t>
        </w:r>
        <w:r w:rsidRPr="003B5A84">
          <w:rPr>
            <w:rFonts w:ascii="Times New Roman" w:hAnsi="Times New Roman" w:cs="Times New Roman"/>
            <w:noProof/>
            <w:sz w:val="24"/>
            <w:szCs w:val="24"/>
          </w:rPr>
          <w:fldChar w:fldCharType="end"/>
        </w:r>
      </w:p>
    </w:sdtContent>
  </w:sdt>
  <w:p w14:paraId="7F772568" w14:textId="77777777" w:rsidR="003B5A84" w:rsidRDefault="003B5A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A05C1"/>
    <w:multiLevelType w:val="multilevel"/>
    <w:tmpl w:val="BAE2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F68D4"/>
    <w:multiLevelType w:val="multilevel"/>
    <w:tmpl w:val="9DC898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84CAD"/>
    <w:multiLevelType w:val="multilevel"/>
    <w:tmpl w:val="88780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02AC1"/>
    <w:multiLevelType w:val="multilevel"/>
    <w:tmpl w:val="C6460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77009"/>
    <w:multiLevelType w:val="multilevel"/>
    <w:tmpl w:val="A45E3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D27EA"/>
    <w:multiLevelType w:val="multilevel"/>
    <w:tmpl w:val="E6E8D3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FC74FA"/>
    <w:multiLevelType w:val="multilevel"/>
    <w:tmpl w:val="C1D22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30F1C"/>
    <w:multiLevelType w:val="multilevel"/>
    <w:tmpl w:val="99EC5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E60BA5"/>
    <w:multiLevelType w:val="multilevel"/>
    <w:tmpl w:val="B552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685684"/>
    <w:multiLevelType w:val="multilevel"/>
    <w:tmpl w:val="A7D8A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84155B"/>
    <w:multiLevelType w:val="multilevel"/>
    <w:tmpl w:val="E63A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090B1F"/>
    <w:multiLevelType w:val="multilevel"/>
    <w:tmpl w:val="CB98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645F7B"/>
    <w:multiLevelType w:val="multilevel"/>
    <w:tmpl w:val="92682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80491C"/>
    <w:multiLevelType w:val="multilevel"/>
    <w:tmpl w:val="D892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5C032C"/>
    <w:multiLevelType w:val="multilevel"/>
    <w:tmpl w:val="CD52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9596517">
    <w:abstractNumId w:val="5"/>
  </w:num>
  <w:num w:numId="2" w16cid:durableId="1484546420">
    <w:abstractNumId w:val="14"/>
  </w:num>
  <w:num w:numId="3" w16cid:durableId="239485533">
    <w:abstractNumId w:val="4"/>
  </w:num>
  <w:num w:numId="4" w16cid:durableId="1262102821">
    <w:abstractNumId w:val="10"/>
  </w:num>
  <w:num w:numId="5" w16cid:durableId="1508783961">
    <w:abstractNumId w:val="0"/>
  </w:num>
  <w:num w:numId="6" w16cid:durableId="1031149093">
    <w:abstractNumId w:val="12"/>
  </w:num>
  <w:num w:numId="7" w16cid:durableId="952205278">
    <w:abstractNumId w:val="6"/>
  </w:num>
  <w:num w:numId="8" w16cid:durableId="980354506">
    <w:abstractNumId w:val="9"/>
  </w:num>
  <w:num w:numId="9" w16cid:durableId="310715528">
    <w:abstractNumId w:val="7"/>
  </w:num>
  <w:num w:numId="10" w16cid:durableId="1753547722">
    <w:abstractNumId w:val="13"/>
  </w:num>
  <w:num w:numId="11" w16cid:durableId="1755513089">
    <w:abstractNumId w:val="11"/>
  </w:num>
  <w:num w:numId="12" w16cid:durableId="1530215542">
    <w:abstractNumId w:val="8"/>
  </w:num>
  <w:num w:numId="13" w16cid:durableId="1511721826">
    <w:abstractNumId w:val="1"/>
  </w:num>
  <w:num w:numId="14" w16cid:durableId="802120354">
    <w:abstractNumId w:val="2"/>
  </w:num>
  <w:num w:numId="15" w16cid:durableId="17910486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F18"/>
    <w:rsid w:val="000253CF"/>
    <w:rsid w:val="00056C7E"/>
    <w:rsid w:val="000E227E"/>
    <w:rsid w:val="00106862"/>
    <w:rsid w:val="00167204"/>
    <w:rsid w:val="002C6609"/>
    <w:rsid w:val="002C78A4"/>
    <w:rsid w:val="00356F18"/>
    <w:rsid w:val="00375488"/>
    <w:rsid w:val="003B5A84"/>
    <w:rsid w:val="003D70D3"/>
    <w:rsid w:val="0047690A"/>
    <w:rsid w:val="004B5B4E"/>
    <w:rsid w:val="00511308"/>
    <w:rsid w:val="005305EA"/>
    <w:rsid w:val="00552B71"/>
    <w:rsid w:val="005A029D"/>
    <w:rsid w:val="00620D7B"/>
    <w:rsid w:val="007E587E"/>
    <w:rsid w:val="009510B6"/>
    <w:rsid w:val="00B238AC"/>
    <w:rsid w:val="00B33F10"/>
    <w:rsid w:val="00BD2F48"/>
    <w:rsid w:val="00E631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5E24B"/>
  <w15:chartTrackingRefBased/>
  <w15:docId w15:val="{C8B9FFF6-CEB0-46D9-9660-110971802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19C"/>
  </w:style>
  <w:style w:type="paragraph" w:styleId="Heading1">
    <w:name w:val="heading 1"/>
    <w:basedOn w:val="Normal"/>
    <w:next w:val="Normal"/>
    <w:link w:val="Heading1Char"/>
    <w:uiPriority w:val="9"/>
    <w:qFormat/>
    <w:rsid w:val="00167204"/>
    <w:pPr>
      <w:keepNext/>
      <w:keepLines/>
      <w:spacing w:before="240" w:after="0"/>
      <w:outlineLvl w:val="0"/>
    </w:pPr>
    <w:rPr>
      <w:rFonts w:ascii="Times New Roman" w:eastAsiaTheme="majorEastAsia" w:hAnsi="Times New Roman" w:cs="Times New Roman"/>
      <w:b/>
      <w:i/>
      <w:sz w:val="24"/>
      <w:szCs w:val="24"/>
    </w:rPr>
  </w:style>
  <w:style w:type="paragraph" w:styleId="Heading2">
    <w:name w:val="heading 2"/>
    <w:basedOn w:val="Normal"/>
    <w:next w:val="Normal"/>
    <w:link w:val="Heading2Char"/>
    <w:uiPriority w:val="9"/>
    <w:unhideWhenUsed/>
    <w:qFormat/>
    <w:rsid w:val="000253CF"/>
    <w:pPr>
      <w:keepNext/>
      <w:keepLines/>
      <w:spacing w:before="40" w:after="0"/>
      <w:outlineLvl w:val="1"/>
    </w:pPr>
    <w:rPr>
      <w:rFonts w:ascii="Times New Roman" w:eastAsiaTheme="majorEastAsia" w:hAnsi="Times New Roman" w:cs="Times New Roman"/>
      <w:i/>
      <w:sz w:val="24"/>
      <w:szCs w:val="24"/>
    </w:rPr>
  </w:style>
  <w:style w:type="paragraph" w:styleId="Heading3">
    <w:name w:val="heading 3"/>
    <w:basedOn w:val="Normal"/>
    <w:next w:val="Normal"/>
    <w:link w:val="Heading3Char"/>
    <w:uiPriority w:val="9"/>
    <w:semiHidden/>
    <w:unhideWhenUsed/>
    <w:qFormat/>
    <w:rsid w:val="009510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204"/>
    <w:rPr>
      <w:rFonts w:ascii="Times New Roman" w:eastAsiaTheme="majorEastAsia" w:hAnsi="Times New Roman" w:cs="Times New Roman"/>
      <w:b/>
      <w:i/>
      <w:sz w:val="24"/>
      <w:szCs w:val="24"/>
    </w:rPr>
  </w:style>
  <w:style w:type="character" w:styleId="Hyperlink">
    <w:name w:val="Hyperlink"/>
    <w:basedOn w:val="DefaultParagraphFont"/>
    <w:uiPriority w:val="99"/>
    <w:unhideWhenUsed/>
    <w:rsid w:val="00356F18"/>
    <w:rPr>
      <w:color w:val="0563C1" w:themeColor="hyperlink"/>
      <w:u w:val="single"/>
    </w:rPr>
  </w:style>
  <w:style w:type="character" w:styleId="Emphasis">
    <w:name w:val="Emphasis"/>
    <w:basedOn w:val="DefaultParagraphFont"/>
    <w:uiPriority w:val="20"/>
    <w:qFormat/>
    <w:rsid w:val="000E227E"/>
    <w:rPr>
      <w:i/>
      <w:iCs/>
    </w:rPr>
  </w:style>
  <w:style w:type="character" w:customStyle="1" w:styleId="Heading2Char">
    <w:name w:val="Heading 2 Char"/>
    <w:basedOn w:val="DefaultParagraphFont"/>
    <w:link w:val="Heading2"/>
    <w:uiPriority w:val="9"/>
    <w:rsid w:val="000253CF"/>
    <w:rPr>
      <w:rFonts w:ascii="Times New Roman" w:eastAsiaTheme="majorEastAsia" w:hAnsi="Times New Roman" w:cs="Times New Roman"/>
      <w:i/>
      <w:sz w:val="24"/>
      <w:szCs w:val="24"/>
    </w:rPr>
  </w:style>
  <w:style w:type="character" w:customStyle="1" w:styleId="Heading3Char">
    <w:name w:val="Heading 3 Char"/>
    <w:basedOn w:val="DefaultParagraphFont"/>
    <w:link w:val="Heading3"/>
    <w:uiPriority w:val="9"/>
    <w:semiHidden/>
    <w:rsid w:val="009510B6"/>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9510B6"/>
    <w:rPr>
      <w:b/>
      <w:bCs/>
    </w:rPr>
  </w:style>
  <w:style w:type="paragraph" w:styleId="NormalWeb">
    <w:name w:val="Normal (Web)"/>
    <w:basedOn w:val="Normal"/>
    <w:uiPriority w:val="99"/>
    <w:semiHidden/>
    <w:unhideWhenUsed/>
    <w:rsid w:val="009510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6319C"/>
    <w:pPr>
      <w:outlineLvl w:val="9"/>
    </w:pPr>
    <w:rPr>
      <w:rFonts w:asciiTheme="majorHAnsi"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E6319C"/>
    <w:pPr>
      <w:spacing w:after="100"/>
    </w:pPr>
  </w:style>
  <w:style w:type="paragraph" w:styleId="TOC2">
    <w:name w:val="toc 2"/>
    <w:basedOn w:val="Normal"/>
    <w:next w:val="Normal"/>
    <w:autoRedefine/>
    <w:uiPriority w:val="39"/>
    <w:unhideWhenUsed/>
    <w:rsid w:val="00E6319C"/>
    <w:pPr>
      <w:spacing w:after="100"/>
      <w:ind w:left="220"/>
    </w:pPr>
  </w:style>
  <w:style w:type="paragraph" w:styleId="Header">
    <w:name w:val="header"/>
    <w:basedOn w:val="Normal"/>
    <w:link w:val="HeaderChar"/>
    <w:uiPriority w:val="99"/>
    <w:unhideWhenUsed/>
    <w:rsid w:val="003B5A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A84"/>
  </w:style>
  <w:style w:type="paragraph" w:styleId="Footer">
    <w:name w:val="footer"/>
    <w:basedOn w:val="Normal"/>
    <w:link w:val="FooterChar"/>
    <w:uiPriority w:val="99"/>
    <w:unhideWhenUsed/>
    <w:rsid w:val="003B5A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712698">
      <w:bodyDiv w:val="1"/>
      <w:marLeft w:val="0"/>
      <w:marRight w:val="0"/>
      <w:marTop w:val="0"/>
      <w:marBottom w:val="0"/>
      <w:divBdr>
        <w:top w:val="none" w:sz="0" w:space="0" w:color="auto"/>
        <w:left w:val="none" w:sz="0" w:space="0" w:color="auto"/>
        <w:bottom w:val="none" w:sz="0" w:space="0" w:color="auto"/>
        <w:right w:val="none" w:sz="0" w:space="0" w:color="auto"/>
      </w:divBdr>
    </w:div>
    <w:div w:id="1114783834">
      <w:bodyDiv w:val="1"/>
      <w:marLeft w:val="0"/>
      <w:marRight w:val="0"/>
      <w:marTop w:val="0"/>
      <w:marBottom w:val="0"/>
      <w:divBdr>
        <w:top w:val="none" w:sz="0" w:space="0" w:color="auto"/>
        <w:left w:val="none" w:sz="0" w:space="0" w:color="auto"/>
        <w:bottom w:val="none" w:sz="0" w:space="0" w:color="auto"/>
        <w:right w:val="none" w:sz="0" w:space="0" w:color="auto"/>
      </w:divBdr>
    </w:div>
    <w:div w:id="1558053263">
      <w:bodyDiv w:val="1"/>
      <w:marLeft w:val="0"/>
      <w:marRight w:val="0"/>
      <w:marTop w:val="0"/>
      <w:marBottom w:val="0"/>
      <w:divBdr>
        <w:top w:val="none" w:sz="0" w:space="0" w:color="auto"/>
        <w:left w:val="none" w:sz="0" w:space="0" w:color="auto"/>
        <w:bottom w:val="none" w:sz="0" w:space="0" w:color="auto"/>
        <w:right w:val="none" w:sz="0" w:space="0" w:color="auto"/>
      </w:divBdr>
      <w:divsChild>
        <w:div w:id="1401248061">
          <w:marLeft w:val="0"/>
          <w:marRight w:val="0"/>
          <w:marTop w:val="120"/>
          <w:marBottom w:val="120"/>
          <w:divBdr>
            <w:top w:val="none" w:sz="0" w:space="0" w:color="auto"/>
            <w:left w:val="none" w:sz="0" w:space="0" w:color="auto"/>
            <w:bottom w:val="none" w:sz="0" w:space="0" w:color="auto"/>
            <w:right w:val="none" w:sz="0" w:space="0" w:color="auto"/>
          </w:divBdr>
        </w:div>
        <w:div w:id="164637916">
          <w:marLeft w:val="0"/>
          <w:marRight w:val="0"/>
          <w:marTop w:val="120"/>
          <w:marBottom w:val="120"/>
          <w:divBdr>
            <w:top w:val="none" w:sz="0" w:space="0" w:color="auto"/>
            <w:left w:val="none" w:sz="0" w:space="0" w:color="auto"/>
            <w:bottom w:val="none" w:sz="0" w:space="0" w:color="auto"/>
            <w:right w:val="none" w:sz="0" w:space="0" w:color="auto"/>
          </w:divBdr>
        </w:div>
        <w:div w:id="68817523">
          <w:marLeft w:val="0"/>
          <w:marRight w:val="0"/>
          <w:marTop w:val="120"/>
          <w:marBottom w:val="120"/>
          <w:divBdr>
            <w:top w:val="none" w:sz="0" w:space="0" w:color="auto"/>
            <w:left w:val="none" w:sz="0" w:space="0" w:color="auto"/>
            <w:bottom w:val="none" w:sz="0" w:space="0" w:color="auto"/>
            <w:right w:val="none" w:sz="0" w:space="0" w:color="auto"/>
          </w:divBdr>
        </w:div>
        <w:div w:id="1277100592">
          <w:marLeft w:val="0"/>
          <w:marRight w:val="0"/>
          <w:marTop w:val="120"/>
          <w:marBottom w:val="120"/>
          <w:divBdr>
            <w:top w:val="none" w:sz="0" w:space="0" w:color="auto"/>
            <w:left w:val="none" w:sz="0" w:space="0" w:color="auto"/>
            <w:bottom w:val="none" w:sz="0" w:space="0" w:color="auto"/>
            <w:right w:val="none" w:sz="0" w:space="0" w:color="auto"/>
          </w:divBdr>
        </w:div>
        <w:div w:id="50930681">
          <w:marLeft w:val="0"/>
          <w:marRight w:val="0"/>
          <w:marTop w:val="120"/>
          <w:marBottom w:val="120"/>
          <w:divBdr>
            <w:top w:val="none" w:sz="0" w:space="0" w:color="auto"/>
            <w:left w:val="none" w:sz="0" w:space="0" w:color="auto"/>
            <w:bottom w:val="none" w:sz="0" w:space="0" w:color="auto"/>
            <w:right w:val="none" w:sz="0" w:space="0" w:color="auto"/>
          </w:divBdr>
        </w:div>
        <w:div w:id="278802552">
          <w:marLeft w:val="0"/>
          <w:marRight w:val="0"/>
          <w:marTop w:val="120"/>
          <w:marBottom w:val="120"/>
          <w:divBdr>
            <w:top w:val="none" w:sz="0" w:space="0" w:color="auto"/>
            <w:left w:val="none" w:sz="0" w:space="0" w:color="auto"/>
            <w:bottom w:val="none" w:sz="0" w:space="0" w:color="auto"/>
            <w:right w:val="none" w:sz="0" w:space="0" w:color="auto"/>
          </w:divBdr>
        </w:div>
        <w:div w:id="134614008">
          <w:marLeft w:val="0"/>
          <w:marRight w:val="0"/>
          <w:marTop w:val="120"/>
          <w:marBottom w:val="120"/>
          <w:divBdr>
            <w:top w:val="none" w:sz="0" w:space="0" w:color="auto"/>
            <w:left w:val="none" w:sz="0" w:space="0" w:color="auto"/>
            <w:bottom w:val="none" w:sz="0" w:space="0" w:color="auto"/>
            <w:right w:val="none" w:sz="0" w:space="0" w:color="auto"/>
          </w:divBdr>
        </w:div>
        <w:div w:id="1078015456">
          <w:marLeft w:val="0"/>
          <w:marRight w:val="0"/>
          <w:marTop w:val="120"/>
          <w:marBottom w:val="120"/>
          <w:divBdr>
            <w:top w:val="none" w:sz="0" w:space="0" w:color="auto"/>
            <w:left w:val="none" w:sz="0" w:space="0" w:color="auto"/>
            <w:bottom w:val="none" w:sz="0" w:space="0" w:color="auto"/>
            <w:right w:val="none" w:sz="0" w:space="0" w:color="auto"/>
          </w:divBdr>
        </w:div>
        <w:div w:id="2006351140">
          <w:marLeft w:val="0"/>
          <w:marRight w:val="0"/>
          <w:marTop w:val="120"/>
          <w:marBottom w:val="120"/>
          <w:divBdr>
            <w:top w:val="none" w:sz="0" w:space="0" w:color="auto"/>
            <w:left w:val="none" w:sz="0" w:space="0" w:color="auto"/>
            <w:bottom w:val="none" w:sz="0" w:space="0" w:color="auto"/>
            <w:right w:val="none" w:sz="0" w:space="0" w:color="auto"/>
          </w:divBdr>
        </w:div>
        <w:div w:id="206727859">
          <w:marLeft w:val="0"/>
          <w:marRight w:val="0"/>
          <w:marTop w:val="120"/>
          <w:marBottom w:val="120"/>
          <w:divBdr>
            <w:top w:val="none" w:sz="0" w:space="0" w:color="auto"/>
            <w:left w:val="none" w:sz="0" w:space="0" w:color="auto"/>
            <w:bottom w:val="none" w:sz="0" w:space="0" w:color="auto"/>
            <w:right w:val="none" w:sz="0" w:space="0" w:color="auto"/>
          </w:divBdr>
        </w:div>
        <w:div w:id="46924830">
          <w:marLeft w:val="0"/>
          <w:marRight w:val="0"/>
          <w:marTop w:val="120"/>
          <w:marBottom w:val="120"/>
          <w:divBdr>
            <w:top w:val="none" w:sz="0" w:space="0" w:color="auto"/>
            <w:left w:val="none" w:sz="0" w:space="0" w:color="auto"/>
            <w:bottom w:val="none" w:sz="0" w:space="0" w:color="auto"/>
            <w:right w:val="none" w:sz="0" w:space="0" w:color="auto"/>
          </w:divBdr>
        </w:div>
        <w:div w:id="50932232">
          <w:marLeft w:val="0"/>
          <w:marRight w:val="0"/>
          <w:marTop w:val="120"/>
          <w:marBottom w:val="120"/>
          <w:divBdr>
            <w:top w:val="none" w:sz="0" w:space="0" w:color="auto"/>
            <w:left w:val="none" w:sz="0" w:space="0" w:color="auto"/>
            <w:bottom w:val="none" w:sz="0" w:space="0" w:color="auto"/>
            <w:right w:val="none" w:sz="0" w:space="0" w:color="auto"/>
          </w:divBdr>
        </w:div>
        <w:div w:id="188493197">
          <w:marLeft w:val="0"/>
          <w:marRight w:val="0"/>
          <w:marTop w:val="120"/>
          <w:marBottom w:val="120"/>
          <w:divBdr>
            <w:top w:val="none" w:sz="0" w:space="0" w:color="auto"/>
            <w:left w:val="none" w:sz="0" w:space="0" w:color="auto"/>
            <w:bottom w:val="none" w:sz="0" w:space="0" w:color="auto"/>
            <w:right w:val="none" w:sz="0" w:space="0" w:color="auto"/>
          </w:divBdr>
        </w:div>
        <w:div w:id="378013188">
          <w:marLeft w:val="0"/>
          <w:marRight w:val="0"/>
          <w:marTop w:val="120"/>
          <w:marBottom w:val="120"/>
          <w:divBdr>
            <w:top w:val="none" w:sz="0" w:space="0" w:color="auto"/>
            <w:left w:val="none" w:sz="0" w:space="0" w:color="auto"/>
            <w:bottom w:val="none" w:sz="0" w:space="0" w:color="auto"/>
            <w:right w:val="none" w:sz="0" w:space="0" w:color="auto"/>
          </w:divBdr>
        </w:div>
        <w:div w:id="1538271644">
          <w:marLeft w:val="0"/>
          <w:marRight w:val="0"/>
          <w:marTop w:val="120"/>
          <w:marBottom w:val="120"/>
          <w:divBdr>
            <w:top w:val="none" w:sz="0" w:space="0" w:color="auto"/>
            <w:left w:val="none" w:sz="0" w:space="0" w:color="auto"/>
            <w:bottom w:val="none" w:sz="0" w:space="0" w:color="auto"/>
            <w:right w:val="none" w:sz="0" w:space="0" w:color="auto"/>
          </w:divBdr>
        </w:div>
        <w:div w:id="1817063187">
          <w:marLeft w:val="0"/>
          <w:marRight w:val="0"/>
          <w:marTop w:val="120"/>
          <w:marBottom w:val="120"/>
          <w:divBdr>
            <w:top w:val="none" w:sz="0" w:space="0" w:color="auto"/>
            <w:left w:val="none" w:sz="0" w:space="0" w:color="auto"/>
            <w:bottom w:val="none" w:sz="0" w:space="0" w:color="auto"/>
            <w:right w:val="none" w:sz="0" w:space="0" w:color="auto"/>
          </w:divBdr>
        </w:div>
        <w:div w:id="278265885">
          <w:marLeft w:val="0"/>
          <w:marRight w:val="0"/>
          <w:marTop w:val="120"/>
          <w:marBottom w:val="120"/>
          <w:divBdr>
            <w:top w:val="none" w:sz="0" w:space="0" w:color="auto"/>
            <w:left w:val="none" w:sz="0" w:space="0" w:color="auto"/>
            <w:bottom w:val="none" w:sz="0" w:space="0" w:color="auto"/>
            <w:right w:val="none" w:sz="0" w:space="0" w:color="auto"/>
          </w:divBdr>
        </w:div>
        <w:div w:id="1690136369">
          <w:marLeft w:val="0"/>
          <w:marRight w:val="0"/>
          <w:marTop w:val="120"/>
          <w:marBottom w:val="120"/>
          <w:divBdr>
            <w:top w:val="none" w:sz="0" w:space="0" w:color="auto"/>
            <w:left w:val="none" w:sz="0" w:space="0" w:color="auto"/>
            <w:bottom w:val="none" w:sz="0" w:space="0" w:color="auto"/>
            <w:right w:val="none" w:sz="0" w:space="0" w:color="auto"/>
          </w:divBdr>
        </w:div>
        <w:div w:id="1380936333">
          <w:marLeft w:val="0"/>
          <w:marRight w:val="0"/>
          <w:marTop w:val="120"/>
          <w:marBottom w:val="120"/>
          <w:divBdr>
            <w:top w:val="none" w:sz="0" w:space="0" w:color="auto"/>
            <w:left w:val="none" w:sz="0" w:space="0" w:color="auto"/>
            <w:bottom w:val="none" w:sz="0" w:space="0" w:color="auto"/>
            <w:right w:val="none" w:sz="0" w:space="0" w:color="auto"/>
          </w:divBdr>
        </w:div>
        <w:div w:id="1243224417">
          <w:marLeft w:val="0"/>
          <w:marRight w:val="0"/>
          <w:marTop w:val="120"/>
          <w:marBottom w:val="120"/>
          <w:divBdr>
            <w:top w:val="none" w:sz="0" w:space="0" w:color="auto"/>
            <w:left w:val="none" w:sz="0" w:space="0" w:color="auto"/>
            <w:bottom w:val="none" w:sz="0" w:space="0" w:color="auto"/>
            <w:right w:val="none" w:sz="0" w:space="0" w:color="auto"/>
          </w:divBdr>
        </w:div>
        <w:div w:id="932083902">
          <w:marLeft w:val="0"/>
          <w:marRight w:val="0"/>
          <w:marTop w:val="120"/>
          <w:marBottom w:val="120"/>
          <w:divBdr>
            <w:top w:val="none" w:sz="0" w:space="0" w:color="auto"/>
            <w:left w:val="none" w:sz="0" w:space="0" w:color="auto"/>
            <w:bottom w:val="none" w:sz="0" w:space="0" w:color="auto"/>
            <w:right w:val="none" w:sz="0" w:space="0" w:color="auto"/>
          </w:divBdr>
        </w:div>
        <w:div w:id="1132135021">
          <w:marLeft w:val="0"/>
          <w:marRight w:val="0"/>
          <w:marTop w:val="120"/>
          <w:marBottom w:val="120"/>
          <w:divBdr>
            <w:top w:val="none" w:sz="0" w:space="0" w:color="auto"/>
            <w:left w:val="none" w:sz="0" w:space="0" w:color="auto"/>
            <w:bottom w:val="none" w:sz="0" w:space="0" w:color="auto"/>
            <w:right w:val="none" w:sz="0" w:space="0" w:color="auto"/>
          </w:divBdr>
        </w:div>
        <w:div w:id="431517588">
          <w:marLeft w:val="0"/>
          <w:marRight w:val="0"/>
          <w:marTop w:val="120"/>
          <w:marBottom w:val="120"/>
          <w:divBdr>
            <w:top w:val="none" w:sz="0" w:space="0" w:color="auto"/>
            <w:left w:val="none" w:sz="0" w:space="0" w:color="auto"/>
            <w:bottom w:val="none" w:sz="0" w:space="0" w:color="auto"/>
            <w:right w:val="none" w:sz="0" w:space="0" w:color="auto"/>
          </w:divBdr>
        </w:div>
        <w:div w:id="589703366">
          <w:marLeft w:val="0"/>
          <w:marRight w:val="0"/>
          <w:marTop w:val="120"/>
          <w:marBottom w:val="120"/>
          <w:divBdr>
            <w:top w:val="none" w:sz="0" w:space="0" w:color="auto"/>
            <w:left w:val="none" w:sz="0" w:space="0" w:color="auto"/>
            <w:bottom w:val="none" w:sz="0" w:space="0" w:color="auto"/>
            <w:right w:val="none" w:sz="0" w:space="0" w:color="auto"/>
          </w:divBdr>
        </w:div>
        <w:div w:id="1169977643">
          <w:marLeft w:val="0"/>
          <w:marRight w:val="0"/>
          <w:marTop w:val="120"/>
          <w:marBottom w:val="120"/>
          <w:divBdr>
            <w:top w:val="none" w:sz="0" w:space="0" w:color="auto"/>
            <w:left w:val="none" w:sz="0" w:space="0" w:color="auto"/>
            <w:bottom w:val="none" w:sz="0" w:space="0" w:color="auto"/>
            <w:right w:val="none" w:sz="0" w:space="0" w:color="auto"/>
          </w:divBdr>
        </w:div>
        <w:div w:id="785999514">
          <w:marLeft w:val="0"/>
          <w:marRight w:val="0"/>
          <w:marTop w:val="120"/>
          <w:marBottom w:val="120"/>
          <w:divBdr>
            <w:top w:val="none" w:sz="0" w:space="0" w:color="auto"/>
            <w:left w:val="none" w:sz="0" w:space="0" w:color="auto"/>
            <w:bottom w:val="none" w:sz="0" w:space="0" w:color="auto"/>
            <w:right w:val="none" w:sz="0" w:space="0" w:color="auto"/>
          </w:divBdr>
        </w:div>
        <w:div w:id="1419130856">
          <w:marLeft w:val="0"/>
          <w:marRight w:val="0"/>
          <w:marTop w:val="120"/>
          <w:marBottom w:val="120"/>
          <w:divBdr>
            <w:top w:val="none" w:sz="0" w:space="0" w:color="auto"/>
            <w:left w:val="none" w:sz="0" w:space="0" w:color="auto"/>
            <w:bottom w:val="none" w:sz="0" w:space="0" w:color="auto"/>
            <w:right w:val="none" w:sz="0" w:space="0" w:color="auto"/>
          </w:divBdr>
        </w:div>
        <w:div w:id="1570848795">
          <w:marLeft w:val="0"/>
          <w:marRight w:val="0"/>
          <w:marTop w:val="120"/>
          <w:marBottom w:val="120"/>
          <w:divBdr>
            <w:top w:val="none" w:sz="0" w:space="0" w:color="auto"/>
            <w:left w:val="none" w:sz="0" w:space="0" w:color="auto"/>
            <w:bottom w:val="none" w:sz="0" w:space="0" w:color="auto"/>
            <w:right w:val="none" w:sz="0" w:space="0" w:color="auto"/>
          </w:divBdr>
        </w:div>
        <w:div w:id="1769278809">
          <w:marLeft w:val="0"/>
          <w:marRight w:val="0"/>
          <w:marTop w:val="120"/>
          <w:marBottom w:val="120"/>
          <w:divBdr>
            <w:top w:val="none" w:sz="0" w:space="0" w:color="auto"/>
            <w:left w:val="none" w:sz="0" w:space="0" w:color="auto"/>
            <w:bottom w:val="none" w:sz="0" w:space="0" w:color="auto"/>
            <w:right w:val="none" w:sz="0" w:space="0" w:color="auto"/>
          </w:divBdr>
        </w:div>
        <w:div w:id="296573476">
          <w:marLeft w:val="0"/>
          <w:marRight w:val="0"/>
          <w:marTop w:val="120"/>
          <w:marBottom w:val="120"/>
          <w:divBdr>
            <w:top w:val="none" w:sz="0" w:space="0" w:color="auto"/>
            <w:left w:val="none" w:sz="0" w:space="0" w:color="auto"/>
            <w:bottom w:val="none" w:sz="0" w:space="0" w:color="auto"/>
            <w:right w:val="none" w:sz="0" w:space="0" w:color="auto"/>
          </w:divBdr>
        </w:div>
        <w:div w:id="990717414">
          <w:marLeft w:val="0"/>
          <w:marRight w:val="0"/>
          <w:marTop w:val="120"/>
          <w:marBottom w:val="120"/>
          <w:divBdr>
            <w:top w:val="none" w:sz="0" w:space="0" w:color="auto"/>
            <w:left w:val="none" w:sz="0" w:space="0" w:color="auto"/>
            <w:bottom w:val="none" w:sz="0" w:space="0" w:color="auto"/>
            <w:right w:val="none" w:sz="0" w:space="0" w:color="auto"/>
          </w:divBdr>
        </w:div>
        <w:div w:id="2024085073">
          <w:marLeft w:val="0"/>
          <w:marRight w:val="0"/>
          <w:marTop w:val="120"/>
          <w:marBottom w:val="120"/>
          <w:divBdr>
            <w:top w:val="none" w:sz="0" w:space="0" w:color="auto"/>
            <w:left w:val="none" w:sz="0" w:space="0" w:color="auto"/>
            <w:bottom w:val="none" w:sz="0" w:space="0" w:color="auto"/>
            <w:right w:val="none" w:sz="0" w:space="0" w:color="auto"/>
          </w:divBdr>
        </w:div>
        <w:div w:id="867566372">
          <w:marLeft w:val="0"/>
          <w:marRight w:val="0"/>
          <w:marTop w:val="120"/>
          <w:marBottom w:val="120"/>
          <w:divBdr>
            <w:top w:val="none" w:sz="0" w:space="0" w:color="auto"/>
            <w:left w:val="none" w:sz="0" w:space="0" w:color="auto"/>
            <w:bottom w:val="none" w:sz="0" w:space="0" w:color="auto"/>
            <w:right w:val="none" w:sz="0" w:space="0" w:color="auto"/>
          </w:divBdr>
        </w:div>
        <w:div w:id="1913079720">
          <w:marLeft w:val="0"/>
          <w:marRight w:val="0"/>
          <w:marTop w:val="120"/>
          <w:marBottom w:val="120"/>
          <w:divBdr>
            <w:top w:val="none" w:sz="0" w:space="0" w:color="auto"/>
            <w:left w:val="none" w:sz="0" w:space="0" w:color="auto"/>
            <w:bottom w:val="none" w:sz="0" w:space="0" w:color="auto"/>
            <w:right w:val="none" w:sz="0" w:space="0" w:color="auto"/>
          </w:divBdr>
        </w:div>
        <w:div w:id="277688176">
          <w:marLeft w:val="0"/>
          <w:marRight w:val="0"/>
          <w:marTop w:val="120"/>
          <w:marBottom w:val="120"/>
          <w:divBdr>
            <w:top w:val="none" w:sz="0" w:space="0" w:color="auto"/>
            <w:left w:val="none" w:sz="0" w:space="0" w:color="auto"/>
            <w:bottom w:val="none" w:sz="0" w:space="0" w:color="auto"/>
            <w:right w:val="none" w:sz="0" w:space="0" w:color="auto"/>
          </w:divBdr>
        </w:div>
        <w:div w:id="1976446832">
          <w:marLeft w:val="0"/>
          <w:marRight w:val="0"/>
          <w:marTop w:val="120"/>
          <w:marBottom w:val="120"/>
          <w:divBdr>
            <w:top w:val="none" w:sz="0" w:space="0" w:color="auto"/>
            <w:left w:val="none" w:sz="0" w:space="0" w:color="auto"/>
            <w:bottom w:val="none" w:sz="0" w:space="0" w:color="auto"/>
            <w:right w:val="none" w:sz="0" w:space="0" w:color="auto"/>
          </w:divBdr>
        </w:div>
        <w:div w:id="1999383924">
          <w:marLeft w:val="0"/>
          <w:marRight w:val="0"/>
          <w:marTop w:val="120"/>
          <w:marBottom w:val="120"/>
          <w:divBdr>
            <w:top w:val="none" w:sz="0" w:space="0" w:color="auto"/>
            <w:left w:val="none" w:sz="0" w:space="0" w:color="auto"/>
            <w:bottom w:val="none" w:sz="0" w:space="0" w:color="auto"/>
            <w:right w:val="none" w:sz="0" w:space="0" w:color="auto"/>
          </w:divBdr>
        </w:div>
      </w:divsChild>
    </w:div>
    <w:div w:id="2011134874">
      <w:bodyDiv w:val="1"/>
      <w:marLeft w:val="0"/>
      <w:marRight w:val="0"/>
      <w:marTop w:val="0"/>
      <w:marBottom w:val="0"/>
      <w:divBdr>
        <w:top w:val="none" w:sz="0" w:space="0" w:color="auto"/>
        <w:left w:val="none" w:sz="0" w:space="0" w:color="auto"/>
        <w:bottom w:val="none" w:sz="0" w:space="0" w:color="auto"/>
        <w:right w:val="none" w:sz="0" w:space="0" w:color="auto"/>
      </w:divBdr>
    </w:div>
    <w:div w:id="204231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s.org.uk/wp-content/uploads/2025/06/evaluation-of-multi-agency-safeguarding-hubs.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v.uk/government/publications/working-together-to-safeguard-children--2" TargetMode="External"/><Relationship Id="rId4" Type="http://schemas.openxmlformats.org/officeDocument/2006/relationships/settings" Target="settings.xml"/><Relationship Id="rId9" Type="http://schemas.openxmlformats.org/officeDocument/2006/relationships/hyperlink" Target="https://assets.publishing.service.gov.uk/media/6203e0848fa8f5109c7f136e/Early_help_Research_in_Practice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8AF6C-272A-4472-9834-B37F6D145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3009</Words>
  <Characters>16886</Characters>
  <Application>Microsoft Office Word</Application>
  <DocSecurity>0</DocSecurity>
  <Lines>324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Eliane Mukeba (Institute of Inner City Learning)</dc:creator>
  <cp:keywords/>
  <dc:description/>
  <cp:lastModifiedBy>Eliane Mukeba (Institute of Inner City Learning)</cp:lastModifiedBy>
  <cp:revision>2</cp:revision>
  <dcterms:created xsi:type="dcterms:W3CDTF">2025-12-18T13:57:00Z</dcterms:created>
  <dcterms:modified xsi:type="dcterms:W3CDTF">2025-12-18T13:57:00Z</dcterms:modified>
</cp:coreProperties>
</file>