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30081" w14:textId="7D844166" w:rsidR="00501847" w:rsidRDefault="00501847" w:rsidP="000B6392">
      <w:pPr>
        <w:rPr>
          <w:rFonts w:ascii="Times New Roman" w:hAnsi="Times New Roman" w:cs="Times New Roman"/>
          <w:b/>
          <w:bCs/>
        </w:rPr>
      </w:pPr>
      <w:r>
        <w:rPr>
          <w:rFonts w:ascii="Times New Roman" w:hAnsi="Times New Roman" w:cs="Times New Roman"/>
          <w:b/>
          <w:bCs/>
        </w:rPr>
        <w:t>George Hazeldine - 2134320</w:t>
      </w:r>
    </w:p>
    <w:p w14:paraId="406E0B55" w14:textId="02EF3C25" w:rsidR="000B6392" w:rsidRDefault="000B6392" w:rsidP="000B6392">
      <w:pPr>
        <w:rPr>
          <w:rFonts w:ascii="Times New Roman" w:hAnsi="Times New Roman" w:cs="Times New Roman"/>
          <w:b/>
          <w:bCs/>
        </w:rPr>
      </w:pPr>
      <w:r w:rsidRPr="000B6392">
        <w:rPr>
          <w:rFonts w:ascii="Times New Roman" w:hAnsi="Times New Roman" w:cs="Times New Roman"/>
          <w:b/>
          <w:bCs/>
        </w:rPr>
        <w:t>Evaluate the effectiveness of cognitive interviews as a strategy for obtaining initial accounts from victims and witnesses. Your answer must be based on academic research.</w:t>
      </w:r>
    </w:p>
    <w:p w14:paraId="3B66ED06" w14:textId="26A78705" w:rsidR="000B6392" w:rsidRDefault="000B6392" w:rsidP="000B6392">
      <w:pPr>
        <w:rPr>
          <w:rFonts w:ascii="Times New Roman" w:hAnsi="Times New Roman" w:cs="Times New Roman"/>
        </w:rPr>
      </w:pPr>
      <w:r>
        <w:rPr>
          <w:rFonts w:ascii="Times New Roman" w:hAnsi="Times New Roman" w:cs="Times New Roman"/>
        </w:rPr>
        <w:t>Conducting interviews with victims and witnesses of police attended incidents is one of the key skills which police officers develop over their careers</w:t>
      </w:r>
      <w:r w:rsidR="00015D17">
        <w:rPr>
          <w:rFonts w:ascii="Times New Roman" w:hAnsi="Times New Roman" w:cs="Times New Roman"/>
        </w:rPr>
        <w:t xml:space="preserve"> </w:t>
      </w:r>
      <w:r>
        <w:rPr>
          <w:rFonts w:ascii="Times New Roman" w:hAnsi="Times New Roman" w:cs="Times New Roman"/>
        </w:rPr>
        <w:t>and is one of the most pertinent parts of police initial training school. Establishing a clear and effective base for conducting interviews with those affected by crime is crucial to any criminal investigation (Kebbell &amp; Milne, 1998)</w:t>
      </w:r>
      <w:r w:rsidR="00FD36F8">
        <w:rPr>
          <w:rFonts w:ascii="Times New Roman" w:hAnsi="Times New Roman" w:cs="Times New Roman"/>
        </w:rPr>
        <w:t xml:space="preserve"> hence it is necessary for officers to utilise</w:t>
      </w:r>
      <w:r w:rsidR="00D54179">
        <w:rPr>
          <w:rFonts w:ascii="Times New Roman" w:hAnsi="Times New Roman" w:cs="Times New Roman"/>
        </w:rPr>
        <w:t xml:space="preserve"> the most effective strategy. This is arguably the cognitive interviewing strategy.</w:t>
      </w:r>
    </w:p>
    <w:p w14:paraId="1F5B8CE3" w14:textId="174C4C42" w:rsidR="00D54179" w:rsidRDefault="00D54179" w:rsidP="000B6392">
      <w:pPr>
        <w:rPr>
          <w:rFonts w:ascii="Times New Roman" w:hAnsi="Times New Roman" w:cs="Times New Roman"/>
        </w:rPr>
      </w:pPr>
      <w:r>
        <w:rPr>
          <w:rFonts w:ascii="Times New Roman" w:hAnsi="Times New Roman" w:cs="Times New Roman"/>
        </w:rPr>
        <w:t>Whilst interviewing victims and witnesses is a complex skill which needs heavy training, it is possible to simplify the approach by using a framework to guide officers through the interview process</w:t>
      </w:r>
      <w:r w:rsidR="00015D17">
        <w:rPr>
          <w:rFonts w:ascii="Times New Roman" w:hAnsi="Times New Roman" w:cs="Times New Roman"/>
        </w:rPr>
        <w:t xml:space="preserve"> (Sheppard, 1991)</w:t>
      </w:r>
      <w:r>
        <w:rPr>
          <w:rFonts w:ascii="Times New Roman" w:hAnsi="Times New Roman" w:cs="Times New Roman"/>
        </w:rPr>
        <w:t>. In South Wales Police, officers are taught to use the PEACE interview technique which is a devolution of cognitive interviewing. Research has found that using this approach enhances both the quality and quantity of information obtained from those being interviewed</w:t>
      </w:r>
      <w:r w:rsidR="00015D17">
        <w:rPr>
          <w:rFonts w:ascii="Times New Roman" w:hAnsi="Times New Roman" w:cs="Times New Roman"/>
        </w:rPr>
        <w:t xml:space="preserve"> (Dando, 2008)</w:t>
      </w:r>
      <w:r>
        <w:rPr>
          <w:rFonts w:ascii="Times New Roman" w:hAnsi="Times New Roman" w:cs="Times New Roman"/>
        </w:rPr>
        <w:t>.</w:t>
      </w:r>
      <w:r w:rsidR="00F116B9">
        <w:rPr>
          <w:rFonts w:ascii="Times New Roman" w:hAnsi="Times New Roman" w:cs="Times New Roman"/>
        </w:rPr>
        <w:t xml:space="preserve"> A witnes</w:t>
      </w:r>
      <w:r w:rsidR="00CD110E">
        <w:rPr>
          <w:rFonts w:ascii="Times New Roman" w:hAnsi="Times New Roman" w:cs="Times New Roman"/>
        </w:rPr>
        <w:t xml:space="preserve">s interview is important to any investigation as it can provide accurate and often unbiased information about the incident, including descriptions and events of what has occurred. </w:t>
      </w:r>
    </w:p>
    <w:p w14:paraId="5B9D7164" w14:textId="5A486A3C" w:rsidR="00DA6BDB" w:rsidRPr="00DA6BDB" w:rsidRDefault="00DA6BDB" w:rsidP="000B6392">
      <w:pPr>
        <w:rPr>
          <w:rFonts w:ascii="Times New Roman" w:hAnsi="Times New Roman" w:cs="Times New Roman"/>
          <w:b/>
          <w:bCs/>
        </w:rPr>
      </w:pPr>
      <w:r>
        <w:rPr>
          <w:rFonts w:ascii="Times New Roman" w:hAnsi="Times New Roman" w:cs="Times New Roman"/>
          <w:b/>
          <w:bCs/>
        </w:rPr>
        <w:t>Rapport Building</w:t>
      </w:r>
    </w:p>
    <w:p w14:paraId="23475235" w14:textId="72E627A1" w:rsidR="00CC706C" w:rsidRDefault="00CC706C" w:rsidP="000B6392">
      <w:pPr>
        <w:rPr>
          <w:rFonts w:ascii="Times New Roman" w:hAnsi="Times New Roman" w:cs="Times New Roman"/>
        </w:rPr>
      </w:pPr>
      <w:r>
        <w:rPr>
          <w:rFonts w:ascii="Times New Roman" w:hAnsi="Times New Roman" w:cs="Times New Roman"/>
        </w:rPr>
        <w:t xml:space="preserve">Cognitive interviewing allows the witness to traverse the account and state the information that they want to provide the police in the order that they can recall or that they want to state it in. With conventional police interviews </w:t>
      </w:r>
      <w:proofErr w:type="gramStart"/>
      <w:r>
        <w:rPr>
          <w:rFonts w:ascii="Times New Roman" w:hAnsi="Times New Roman" w:cs="Times New Roman"/>
        </w:rPr>
        <w:t>whereby</w:t>
      </w:r>
      <w:proofErr w:type="gramEnd"/>
      <w:r>
        <w:rPr>
          <w:rFonts w:ascii="Times New Roman" w:hAnsi="Times New Roman" w:cs="Times New Roman"/>
        </w:rPr>
        <w:t xml:space="preserve"> the officer questions the witness in an order they have decided, the witness can frequently feel like a suspect, being asked a string of very specific, closed questions (Fisher and Geiselman, 2010). With the PEACE model, building a rapport with the witness is important as it encourages the witness to engage fully with the interviewing officer</w:t>
      </w:r>
      <w:r w:rsidR="00BB6D73">
        <w:rPr>
          <w:rFonts w:ascii="Times New Roman" w:hAnsi="Times New Roman" w:cs="Times New Roman"/>
        </w:rPr>
        <w:t>, and feel more like the officer is safeguarding and helping them</w:t>
      </w:r>
      <w:r>
        <w:rPr>
          <w:rFonts w:ascii="Times New Roman" w:hAnsi="Times New Roman" w:cs="Times New Roman"/>
        </w:rPr>
        <w:t>.</w:t>
      </w:r>
      <w:r w:rsidR="00BB6D73">
        <w:rPr>
          <w:rFonts w:ascii="Times New Roman" w:hAnsi="Times New Roman" w:cs="Times New Roman"/>
        </w:rPr>
        <w:t xml:space="preserve"> When witnesses are permitted to give an open-ended narrative, they are more likely to feel like the interviewer is listening to them and may trust them more (Fisher and Geiselman, 2010). With an increase in trust between the interviewer and interviewee, the interviewee is more seemingly going to provide a more detailed and accurate account. Furthermore, allowing the interviewee free recall can give the interviewer an insight into the witnesses’ mental representations so that the upcoming investigation can be tailored to their needs, and further support can be requested (Dando, Wilcock and Milne, 2009</w:t>
      </w:r>
      <w:proofErr w:type="gramStart"/>
      <w:r w:rsidR="00BB6D73">
        <w:rPr>
          <w:rFonts w:ascii="Times New Roman" w:hAnsi="Times New Roman" w:cs="Times New Roman"/>
        </w:rPr>
        <w:t>).A</w:t>
      </w:r>
      <w:r>
        <w:rPr>
          <w:rFonts w:ascii="Times New Roman" w:hAnsi="Times New Roman" w:cs="Times New Roman"/>
        </w:rPr>
        <w:t>llowing</w:t>
      </w:r>
      <w:proofErr w:type="gramEnd"/>
      <w:r>
        <w:rPr>
          <w:rFonts w:ascii="Times New Roman" w:hAnsi="Times New Roman" w:cs="Times New Roman"/>
        </w:rPr>
        <w:t xml:space="preserve"> the interviewee free recall of the events is pertinent to an effective interview (Dando, 2008). </w:t>
      </w:r>
    </w:p>
    <w:p w14:paraId="1F74AFE1" w14:textId="3457D6BC" w:rsidR="00DA6BDB" w:rsidRDefault="003B63E5" w:rsidP="000B6392">
      <w:pPr>
        <w:rPr>
          <w:rFonts w:ascii="Times New Roman" w:hAnsi="Times New Roman" w:cs="Times New Roman"/>
        </w:rPr>
      </w:pPr>
      <w:r>
        <w:rPr>
          <w:rFonts w:ascii="Times New Roman" w:hAnsi="Times New Roman" w:cs="Times New Roman"/>
        </w:rPr>
        <w:t xml:space="preserve">However, many officers no matter their length of service, struggle to build, or do not even attempt to form a positive rapport with a witness prior to the interview. A rapport is </w:t>
      </w:r>
      <w:r w:rsidR="00BB6D73">
        <w:rPr>
          <w:rFonts w:ascii="Times New Roman" w:hAnsi="Times New Roman" w:cs="Times New Roman"/>
        </w:rPr>
        <w:t>salient</w:t>
      </w:r>
      <w:r>
        <w:rPr>
          <w:rFonts w:ascii="Times New Roman" w:hAnsi="Times New Roman" w:cs="Times New Roman"/>
        </w:rPr>
        <w:t xml:space="preserve"> as it can </w:t>
      </w:r>
      <w:r w:rsidR="00BB6D73">
        <w:rPr>
          <w:rFonts w:ascii="Times New Roman" w:hAnsi="Times New Roman" w:cs="Times New Roman"/>
        </w:rPr>
        <w:t>highlight</w:t>
      </w:r>
      <w:r>
        <w:rPr>
          <w:rFonts w:ascii="Times New Roman" w:hAnsi="Times New Roman" w:cs="Times New Roman"/>
        </w:rPr>
        <w:t xml:space="preserve"> how the interview is going to proceed and makes the interviewee feel more connected to their interviewer. They may feel more relaxed and less anxious, which will encourage their </w:t>
      </w:r>
      <w:r w:rsidR="00BB6D73">
        <w:rPr>
          <w:rFonts w:ascii="Times New Roman" w:hAnsi="Times New Roman" w:cs="Times New Roman"/>
        </w:rPr>
        <w:t xml:space="preserve">recollection </w:t>
      </w:r>
      <w:r>
        <w:rPr>
          <w:rFonts w:ascii="Times New Roman" w:hAnsi="Times New Roman" w:cs="Times New Roman"/>
        </w:rPr>
        <w:t xml:space="preserve">of events. It is expected </w:t>
      </w:r>
      <w:r w:rsidR="00BB6D73">
        <w:rPr>
          <w:rFonts w:ascii="Times New Roman" w:hAnsi="Times New Roman" w:cs="Times New Roman"/>
        </w:rPr>
        <w:t xml:space="preserve">by police forces </w:t>
      </w:r>
      <w:r>
        <w:rPr>
          <w:rFonts w:ascii="Times New Roman" w:hAnsi="Times New Roman" w:cs="Times New Roman"/>
        </w:rPr>
        <w:t>that officers will differ in their ability to build rapport as this is a difficult skill to master. However, tips can be given, and with practice in training, officers can see great</w:t>
      </w:r>
      <w:r w:rsidR="00BB6D73">
        <w:rPr>
          <w:rFonts w:ascii="Times New Roman" w:hAnsi="Times New Roman" w:cs="Times New Roman"/>
        </w:rPr>
        <w:t xml:space="preserve"> </w:t>
      </w:r>
      <w:r>
        <w:rPr>
          <w:rFonts w:ascii="Times New Roman" w:hAnsi="Times New Roman" w:cs="Times New Roman"/>
        </w:rPr>
        <w:t>success. Training in England and Wales tends to focus interview techniques on suspect interviews (traditional interviews), and little focus is given to the cognitive interview style. It is necessary for initial training to be adapted to separate suspect and witness interviews so more focus can be given in developing rapport building skills</w:t>
      </w:r>
      <w:r w:rsidR="00A12374">
        <w:rPr>
          <w:rFonts w:ascii="Times New Roman" w:hAnsi="Times New Roman" w:cs="Times New Roman"/>
        </w:rPr>
        <w:t xml:space="preserve"> (Dando</w:t>
      </w:r>
      <w:r w:rsidR="00E15844">
        <w:rPr>
          <w:rFonts w:ascii="Times New Roman" w:hAnsi="Times New Roman" w:cs="Times New Roman"/>
        </w:rPr>
        <w:t xml:space="preserve">, </w:t>
      </w:r>
      <w:proofErr w:type="gramStart"/>
      <w:r w:rsidR="00E15844">
        <w:rPr>
          <w:rFonts w:ascii="Times New Roman" w:hAnsi="Times New Roman" w:cs="Times New Roman"/>
        </w:rPr>
        <w:t>Wilcock</w:t>
      </w:r>
      <w:proofErr w:type="gramEnd"/>
      <w:r w:rsidR="00E15844">
        <w:rPr>
          <w:rFonts w:ascii="Times New Roman" w:hAnsi="Times New Roman" w:cs="Times New Roman"/>
        </w:rPr>
        <w:t xml:space="preserve"> and Milne</w:t>
      </w:r>
      <w:r w:rsidR="00A12374">
        <w:rPr>
          <w:rFonts w:ascii="Times New Roman" w:hAnsi="Times New Roman" w:cs="Times New Roman"/>
        </w:rPr>
        <w:t>, 200</w:t>
      </w:r>
      <w:r w:rsidR="00E15844">
        <w:rPr>
          <w:rFonts w:ascii="Times New Roman" w:hAnsi="Times New Roman" w:cs="Times New Roman"/>
        </w:rPr>
        <w:t>9</w:t>
      </w:r>
      <w:r w:rsidR="00A12374">
        <w:rPr>
          <w:rFonts w:ascii="Times New Roman" w:hAnsi="Times New Roman" w:cs="Times New Roman"/>
        </w:rPr>
        <w:t>)</w:t>
      </w:r>
      <w:r>
        <w:rPr>
          <w:rFonts w:ascii="Times New Roman" w:hAnsi="Times New Roman" w:cs="Times New Roman"/>
        </w:rPr>
        <w:t>.</w:t>
      </w:r>
    </w:p>
    <w:p w14:paraId="0FA97692" w14:textId="3C768630" w:rsidR="00DA6BDB" w:rsidRPr="00DA6BDB" w:rsidRDefault="00DA6BDB" w:rsidP="000B6392">
      <w:pPr>
        <w:rPr>
          <w:rFonts w:ascii="Times New Roman" w:hAnsi="Times New Roman" w:cs="Times New Roman"/>
          <w:b/>
          <w:bCs/>
        </w:rPr>
      </w:pPr>
      <w:r>
        <w:rPr>
          <w:rFonts w:ascii="Times New Roman" w:hAnsi="Times New Roman" w:cs="Times New Roman"/>
          <w:b/>
          <w:bCs/>
        </w:rPr>
        <w:t>Accuracy of Information</w:t>
      </w:r>
    </w:p>
    <w:p w14:paraId="5A6CA765" w14:textId="7F47EE2F" w:rsidR="00DA6BDB" w:rsidRDefault="00DA6BDB" w:rsidP="000B6392">
      <w:pPr>
        <w:rPr>
          <w:rFonts w:ascii="Times New Roman" w:hAnsi="Times New Roman" w:cs="Times New Roman"/>
        </w:rPr>
      </w:pPr>
      <w:r>
        <w:rPr>
          <w:rFonts w:ascii="Times New Roman" w:hAnsi="Times New Roman" w:cs="Times New Roman"/>
        </w:rPr>
        <w:t xml:space="preserve">Free recalled accounts are often more accurate than accounts given by answering closed-ended questions from the interviewer. With traditional closed-ended interview questions, witnesses may forget to account certain pieces of information if they are not guided in that direction by the interviewer; </w:t>
      </w:r>
      <w:proofErr w:type="gramStart"/>
      <w:r>
        <w:rPr>
          <w:rFonts w:ascii="Times New Roman" w:hAnsi="Times New Roman" w:cs="Times New Roman"/>
        </w:rPr>
        <w:t>so</w:t>
      </w:r>
      <w:proofErr w:type="gramEnd"/>
      <w:r>
        <w:rPr>
          <w:rFonts w:ascii="Times New Roman" w:hAnsi="Times New Roman" w:cs="Times New Roman"/>
        </w:rPr>
        <w:t xml:space="preserve"> it is suggested that cognitive interviews will ascertain the most accurate accounts</w:t>
      </w:r>
      <w:r w:rsidR="00BB6D73">
        <w:rPr>
          <w:rFonts w:ascii="Times New Roman" w:hAnsi="Times New Roman" w:cs="Times New Roman"/>
        </w:rPr>
        <w:t xml:space="preserve"> (Dando, 2008)</w:t>
      </w:r>
      <w:r>
        <w:rPr>
          <w:rFonts w:ascii="Times New Roman" w:hAnsi="Times New Roman" w:cs="Times New Roman"/>
        </w:rPr>
        <w:t xml:space="preserve">. </w:t>
      </w:r>
    </w:p>
    <w:p w14:paraId="7BCAB93D" w14:textId="0BF53E88" w:rsidR="00DA6BDB" w:rsidRDefault="00DA6BDB" w:rsidP="000B6392">
      <w:pPr>
        <w:rPr>
          <w:rFonts w:ascii="Times New Roman" w:hAnsi="Times New Roman" w:cs="Times New Roman"/>
          <w:b/>
          <w:bCs/>
        </w:rPr>
      </w:pPr>
      <w:r>
        <w:rPr>
          <w:rFonts w:ascii="Times New Roman" w:hAnsi="Times New Roman" w:cs="Times New Roman"/>
        </w:rPr>
        <w:lastRenderedPageBreak/>
        <w:t xml:space="preserve">However, there is a caveat to this. It is pertinent in cognitive interviews for the conducting officer to maintain control over the interview. In many situations when witnesses are given free reign, they can steer their account away from the necessary evidential </w:t>
      </w:r>
      <w:proofErr w:type="gramStart"/>
      <w:r>
        <w:rPr>
          <w:rFonts w:ascii="Times New Roman" w:hAnsi="Times New Roman" w:cs="Times New Roman"/>
        </w:rPr>
        <w:t>material, and</w:t>
      </w:r>
      <w:proofErr w:type="gramEnd"/>
      <w:r>
        <w:rPr>
          <w:rFonts w:ascii="Times New Roman" w:hAnsi="Times New Roman" w:cs="Times New Roman"/>
        </w:rPr>
        <w:t xml:space="preserve"> start to account non-relevant information. The interviewer in this situation must steer the witness back on course by following the witness account with relevant and thoughtful questions to obtain the most evidential material.</w:t>
      </w:r>
    </w:p>
    <w:p w14:paraId="2894D8AF" w14:textId="047C91C9" w:rsidR="00B6509C" w:rsidRDefault="00B6509C" w:rsidP="000B6392">
      <w:pPr>
        <w:rPr>
          <w:rFonts w:ascii="Times New Roman" w:hAnsi="Times New Roman" w:cs="Times New Roman"/>
          <w:b/>
          <w:bCs/>
        </w:rPr>
      </w:pPr>
      <w:r w:rsidRPr="004F0968">
        <w:rPr>
          <w:rFonts w:ascii="Times New Roman" w:hAnsi="Times New Roman" w:cs="Times New Roman"/>
          <w:b/>
          <w:bCs/>
        </w:rPr>
        <w:t>How Effective is Cognitive Interviewing?</w:t>
      </w:r>
    </w:p>
    <w:p w14:paraId="6DB72033" w14:textId="2D147C09" w:rsidR="00AB73D1" w:rsidRDefault="00BB6D73" w:rsidP="000B6392">
      <w:pPr>
        <w:rPr>
          <w:rFonts w:ascii="Times New Roman" w:hAnsi="Times New Roman" w:cs="Times New Roman"/>
        </w:rPr>
      </w:pPr>
      <w:r>
        <w:rPr>
          <w:rFonts w:ascii="Times New Roman" w:hAnsi="Times New Roman" w:cs="Times New Roman"/>
        </w:rPr>
        <w:t>Overall, the concept of cognitive interviewing is highly effective</w:t>
      </w:r>
      <w:r w:rsidR="00AB73D1">
        <w:rPr>
          <w:rFonts w:ascii="Times New Roman" w:hAnsi="Times New Roman" w:cs="Times New Roman"/>
        </w:rPr>
        <w:t xml:space="preserve">, however, in England and Wales, police officers tend to apply the concept haphazardly. When the framework is applied to the word, witnesses feel like they </w:t>
      </w:r>
      <w:r w:rsidR="004F0968">
        <w:rPr>
          <w:rFonts w:ascii="Times New Roman" w:hAnsi="Times New Roman" w:cs="Times New Roman"/>
        </w:rPr>
        <w:t>can</w:t>
      </w:r>
      <w:r w:rsidR="00AB73D1">
        <w:rPr>
          <w:rFonts w:ascii="Times New Roman" w:hAnsi="Times New Roman" w:cs="Times New Roman"/>
        </w:rPr>
        <w:t xml:space="preserve"> recall information uninterrupted; their concentration is usually heightened; and the information gathered is most likely going to be of a higher quality and quantity.</w:t>
      </w:r>
      <w:r w:rsidR="00CE6EEC">
        <w:rPr>
          <w:rFonts w:ascii="Times New Roman" w:hAnsi="Times New Roman" w:cs="Times New Roman"/>
        </w:rPr>
        <w:t xml:space="preserve"> The more information that is known about an event, the more likely that a positive result will be </w:t>
      </w:r>
      <w:proofErr w:type="gramStart"/>
      <w:r w:rsidR="00CE6EEC">
        <w:rPr>
          <w:rFonts w:ascii="Times New Roman" w:hAnsi="Times New Roman" w:cs="Times New Roman"/>
        </w:rPr>
        <w:t>achieved</w:t>
      </w:r>
      <w:proofErr w:type="gramEnd"/>
      <w:r w:rsidR="00CE6EEC">
        <w:rPr>
          <w:rFonts w:ascii="Times New Roman" w:hAnsi="Times New Roman" w:cs="Times New Roman"/>
        </w:rPr>
        <w:t xml:space="preserve"> and the investigation will end in an accurate and fair conclusion (Alpert, Rojek &amp; Noble, 2012).</w:t>
      </w:r>
    </w:p>
    <w:p w14:paraId="12C5EE19" w14:textId="14F3E51D" w:rsidR="00AB73D1" w:rsidRDefault="00AB73D1" w:rsidP="000B6392">
      <w:pPr>
        <w:rPr>
          <w:rFonts w:ascii="Times New Roman" w:hAnsi="Times New Roman" w:cs="Times New Roman"/>
        </w:rPr>
      </w:pPr>
      <w:r>
        <w:rPr>
          <w:rFonts w:ascii="Times New Roman" w:hAnsi="Times New Roman" w:cs="Times New Roman"/>
        </w:rPr>
        <w:t>It is reported by officers that conducting a cognitive witness interview takes longer in comparison to traditional techniques, and whilst officers are constantly under heavy time constraints, a cognitive interview may be prevented. Conducting officers must concentrate and focus on building a rapport with the witness. Therefore, the focus for the future must be on enhanced officer training.</w:t>
      </w:r>
    </w:p>
    <w:p w14:paraId="55AAB85E" w14:textId="66323FFD" w:rsidR="00AB73D1" w:rsidRDefault="00AB73D1" w:rsidP="000B6392">
      <w:pPr>
        <w:rPr>
          <w:rFonts w:ascii="Times New Roman" w:hAnsi="Times New Roman" w:cs="Times New Roman"/>
        </w:rPr>
      </w:pPr>
      <w:r>
        <w:rPr>
          <w:rFonts w:ascii="Times New Roman" w:hAnsi="Times New Roman" w:cs="Times New Roman"/>
        </w:rPr>
        <w:t>If this can be achieved in England and Wales, then witnesses wont feel like they are in a subservient role to an authority figure, and will feel like they are more in control, restoring some of the power that may have been lost in the victimisation</w:t>
      </w:r>
      <w:r w:rsidR="003142D7">
        <w:rPr>
          <w:rFonts w:ascii="Times New Roman" w:hAnsi="Times New Roman" w:cs="Times New Roman"/>
        </w:rPr>
        <w:t xml:space="preserve"> (Fisher and Geiselman, 2010). All things considered, supporting a victim of an incident is paramount to</w:t>
      </w:r>
      <w:r w:rsidR="00D3570B">
        <w:rPr>
          <w:rFonts w:ascii="Times New Roman" w:hAnsi="Times New Roman" w:cs="Times New Roman"/>
        </w:rPr>
        <w:t xml:space="preserve"> the</w:t>
      </w:r>
      <w:r w:rsidR="003142D7">
        <w:rPr>
          <w:rFonts w:ascii="Times New Roman" w:hAnsi="Times New Roman" w:cs="Times New Roman"/>
        </w:rPr>
        <w:t xml:space="preserve"> police.</w:t>
      </w:r>
    </w:p>
    <w:p w14:paraId="76F80E06" w14:textId="7A224D39" w:rsidR="00C524B2" w:rsidRDefault="00C524B2" w:rsidP="000B6392">
      <w:pPr>
        <w:rPr>
          <w:rFonts w:ascii="Times New Roman" w:hAnsi="Times New Roman" w:cs="Times New Roman"/>
          <w:b/>
          <w:bCs/>
        </w:rPr>
      </w:pPr>
      <w:r>
        <w:rPr>
          <w:rFonts w:ascii="Times New Roman" w:hAnsi="Times New Roman" w:cs="Times New Roman"/>
          <w:b/>
          <w:bCs/>
        </w:rPr>
        <w:t>Word Count 922</w:t>
      </w:r>
    </w:p>
    <w:p w14:paraId="5E045ED8" w14:textId="77777777" w:rsidR="00C524B2" w:rsidRDefault="00C524B2" w:rsidP="000B6392">
      <w:pPr>
        <w:rPr>
          <w:rFonts w:ascii="Times New Roman" w:hAnsi="Times New Roman" w:cs="Times New Roman"/>
          <w:b/>
          <w:bCs/>
        </w:rPr>
      </w:pPr>
    </w:p>
    <w:p w14:paraId="628C361D" w14:textId="77777777" w:rsidR="00C524B2" w:rsidRDefault="00C524B2" w:rsidP="000B6392">
      <w:pPr>
        <w:rPr>
          <w:rFonts w:ascii="Times New Roman" w:hAnsi="Times New Roman" w:cs="Times New Roman"/>
          <w:b/>
          <w:bCs/>
        </w:rPr>
      </w:pPr>
    </w:p>
    <w:p w14:paraId="2D391359" w14:textId="77777777" w:rsidR="00C524B2" w:rsidRDefault="00C524B2" w:rsidP="000B6392">
      <w:pPr>
        <w:rPr>
          <w:rFonts w:ascii="Times New Roman" w:hAnsi="Times New Roman" w:cs="Times New Roman"/>
          <w:b/>
          <w:bCs/>
        </w:rPr>
      </w:pPr>
    </w:p>
    <w:p w14:paraId="26D5F872" w14:textId="77777777" w:rsidR="00C524B2" w:rsidRDefault="00C524B2" w:rsidP="000B6392">
      <w:pPr>
        <w:rPr>
          <w:rFonts w:ascii="Times New Roman" w:hAnsi="Times New Roman" w:cs="Times New Roman"/>
          <w:b/>
          <w:bCs/>
        </w:rPr>
      </w:pPr>
    </w:p>
    <w:p w14:paraId="61382BF0" w14:textId="77777777" w:rsidR="00C524B2" w:rsidRDefault="00C524B2" w:rsidP="000B6392">
      <w:pPr>
        <w:rPr>
          <w:rFonts w:ascii="Times New Roman" w:hAnsi="Times New Roman" w:cs="Times New Roman"/>
          <w:b/>
          <w:bCs/>
        </w:rPr>
      </w:pPr>
    </w:p>
    <w:p w14:paraId="1D048A14" w14:textId="77777777" w:rsidR="00C524B2" w:rsidRDefault="00C524B2" w:rsidP="000B6392">
      <w:pPr>
        <w:rPr>
          <w:rFonts w:ascii="Times New Roman" w:hAnsi="Times New Roman" w:cs="Times New Roman"/>
          <w:b/>
          <w:bCs/>
        </w:rPr>
      </w:pPr>
    </w:p>
    <w:p w14:paraId="5FE5EA39" w14:textId="77777777" w:rsidR="00C524B2" w:rsidRDefault="00C524B2" w:rsidP="000B6392">
      <w:pPr>
        <w:rPr>
          <w:rFonts w:ascii="Times New Roman" w:hAnsi="Times New Roman" w:cs="Times New Roman"/>
          <w:b/>
          <w:bCs/>
        </w:rPr>
      </w:pPr>
    </w:p>
    <w:p w14:paraId="42052C7E" w14:textId="77777777" w:rsidR="00C524B2" w:rsidRDefault="00C524B2" w:rsidP="000B6392">
      <w:pPr>
        <w:rPr>
          <w:rFonts w:ascii="Times New Roman" w:hAnsi="Times New Roman" w:cs="Times New Roman"/>
          <w:b/>
          <w:bCs/>
        </w:rPr>
      </w:pPr>
    </w:p>
    <w:p w14:paraId="25832485" w14:textId="77777777" w:rsidR="00C524B2" w:rsidRDefault="00C524B2" w:rsidP="000B6392">
      <w:pPr>
        <w:rPr>
          <w:rFonts w:ascii="Times New Roman" w:hAnsi="Times New Roman" w:cs="Times New Roman"/>
          <w:b/>
          <w:bCs/>
        </w:rPr>
      </w:pPr>
    </w:p>
    <w:p w14:paraId="74F1BF4E" w14:textId="77777777" w:rsidR="00C524B2" w:rsidRDefault="00C524B2" w:rsidP="000B6392">
      <w:pPr>
        <w:rPr>
          <w:rFonts w:ascii="Times New Roman" w:hAnsi="Times New Roman" w:cs="Times New Roman"/>
          <w:b/>
          <w:bCs/>
        </w:rPr>
      </w:pPr>
    </w:p>
    <w:p w14:paraId="678D4396" w14:textId="77777777" w:rsidR="00C524B2" w:rsidRDefault="00C524B2" w:rsidP="000B6392">
      <w:pPr>
        <w:rPr>
          <w:rFonts w:ascii="Times New Roman" w:hAnsi="Times New Roman" w:cs="Times New Roman"/>
          <w:b/>
          <w:bCs/>
        </w:rPr>
      </w:pPr>
    </w:p>
    <w:p w14:paraId="50A42A0B" w14:textId="77777777" w:rsidR="00C524B2" w:rsidRDefault="00C524B2" w:rsidP="000B6392">
      <w:pPr>
        <w:rPr>
          <w:rFonts w:ascii="Times New Roman" w:hAnsi="Times New Roman" w:cs="Times New Roman"/>
          <w:b/>
          <w:bCs/>
        </w:rPr>
      </w:pPr>
    </w:p>
    <w:p w14:paraId="6FB3861A" w14:textId="77777777" w:rsidR="00C524B2" w:rsidRDefault="00C524B2" w:rsidP="000B6392">
      <w:pPr>
        <w:rPr>
          <w:rFonts w:ascii="Times New Roman" w:hAnsi="Times New Roman" w:cs="Times New Roman"/>
          <w:b/>
          <w:bCs/>
        </w:rPr>
      </w:pPr>
    </w:p>
    <w:p w14:paraId="28856BEF" w14:textId="77777777" w:rsidR="00C524B2" w:rsidRDefault="00C524B2" w:rsidP="000B6392">
      <w:pPr>
        <w:rPr>
          <w:rFonts w:ascii="Times New Roman" w:hAnsi="Times New Roman" w:cs="Times New Roman"/>
          <w:b/>
          <w:bCs/>
        </w:rPr>
      </w:pPr>
    </w:p>
    <w:p w14:paraId="59F87A21" w14:textId="77777777" w:rsidR="00C524B2" w:rsidRDefault="00C524B2" w:rsidP="000B6392">
      <w:pPr>
        <w:rPr>
          <w:rFonts w:ascii="Times New Roman" w:hAnsi="Times New Roman" w:cs="Times New Roman"/>
          <w:b/>
          <w:bCs/>
        </w:rPr>
      </w:pPr>
    </w:p>
    <w:p w14:paraId="31313CB7" w14:textId="77777777" w:rsidR="00C524B2" w:rsidRDefault="00C524B2" w:rsidP="000B6392">
      <w:pPr>
        <w:rPr>
          <w:rFonts w:ascii="Times New Roman" w:hAnsi="Times New Roman" w:cs="Times New Roman"/>
          <w:b/>
          <w:bCs/>
        </w:rPr>
      </w:pPr>
    </w:p>
    <w:p w14:paraId="05F88B5C" w14:textId="77777777" w:rsidR="00AE66CD" w:rsidRPr="006376F3" w:rsidRDefault="00AE66CD" w:rsidP="00AE66CD">
      <w:pPr>
        <w:pStyle w:val="Default"/>
        <w:rPr>
          <w:rFonts w:ascii="Times New Roman" w:hAnsi="Times New Roman" w:cs="Times New Roman"/>
          <w:b/>
          <w:bCs/>
          <w:sz w:val="22"/>
          <w:szCs w:val="22"/>
        </w:rPr>
      </w:pPr>
      <w:r w:rsidRPr="006376F3">
        <w:rPr>
          <w:rFonts w:ascii="Times New Roman" w:hAnsi="Times New Roman" w:cs="Times New Roman"/>
          <w:b/>
          <w:bCs/>
          <w:sz w:val="22"/>
          <w:szCs w:val="22"/>
        </w:rPr>
        <w:lastRenderedPageBreak/>
        <w:t xml:space="preserve">In a recent survey by HMICFRS, 65% of respondents agreed “that police in their local area treat people fairly and with respect” (Justice Inspectorates, 2019). Evaluate the impact of public perception on response policing. </w:t>
      </w:r>
    </w:p>
    <w:p w14:paraId="2B06EE0A" w14:textId="77777777" w:rsidR="00AE66CD" w:rsidRDefault="00AE66CD" w:rsidP="00AE66CD">
      <w:pPr>
        <w:rPr>
          <w:rFonts w:ascii="Times New Roman" w:hAnsi="Times New Roman" w:cs="Times New Roman"/>
        </w:rPr>
      </w:pPr>
    </w:p>
    <w:p w14:paraId="43E6B027" w14:textId="77777777" w:rsidR="00AE66CD" w:rsidRDefault="00AE66CD" w:rsidP="00AE66CD">
      <w:pPr>
        <w:rPr>
          <w:rFonts w:ascii="Times New Roman" w:hAnsi="Times New Roman" w:cs="Times New Roman"/>
        </w:rPr>
      </w:pPr>
      <w:r>
        <w:rPr>
          <w:rFonts w:ascii="Times New Roman" w:hAnsi="Times New Roman" w:cs="Times New Roman"/>
        </w:rPr>
        <w:t xml:space="preserve">Treating members of the public with fairness and respect is paramount to making a successful police service. Having a public which is confident in the service will enable the police to perform most effectively. When the relationship between police and public is at its best, police performance correlates. In the past, high levels of trust and confidence in the police have shown to aide compliance and cooperation (Hough, 2010). The statement that 65% of the public agree that the police in their area treat people fairly and with respect (Justice Inspectorates, 2019) shows signs of </w:t>
      </w:r>
      <w:proofErr w:type="gramStart"/>
      <w:r>
        <w:rPr>
          <w:rFonts w:ascii="Times New Roman" w:hAnsi="Times New Roman" w:cs="Times New Roman"/>
        </w:rPr>
        <w:t>positive growth</w:t>
      </w:r>
      <w:proofErr w:type="gramEnd"/>
      <w:r>
        <w:rPr>
          <w:rFonts w:ascii="Times New Roman" w:hAnsi="Times New Roman" w:cs="Times New Roman"/>
        </w:rPr>
        <w:t xml:space="preserve"> in the relationship between police and the public, but it is also alarming. This figure must be as close to 100% as possible to ensure that police performance is most effective. This essay will examine why this figure is still far from the maximum satisfaction.</w:t>
      </w:r>
    </w:p>
    <w:p w14:paraId="04009CB1" w14:textId="77777777" w:rsidR="00AE66CD" w:rsidRDefault="00AE66CD" w:rsidP="00AE66CD">
      <w:pPr>
        <w:rPr>
          <w:rFonts w:ascii="Times New Roman" w:hAnsi="Times New Roman" w:cs="Times New Roman"/>
        </w:rPr>
      </w:pPr>
      <w:r>
        <w:rPr>
          <w:rFonts w:ascii="Times New Roman" w:hAnsi="Times New Roman" w:cs="Times New Roman"/>
        </w:rPr>
        <w:t xml:space="preserve">In recent years, there has been a drastic decline in public trust in the police in England and Wales; this comes with serious consequences. There is now very little social cohesion and heightening anxiety around crime and disorder (Walker, Flatley et al, 2009). Response policing is at the forefront of </w:t>
      </w:r>
      <w:proofErr w:type="gramStart"/>
      <w:r>
        <w:rPr>
          <w:rFonts w:ascii="Times New Roman" w:hAnsi="Times New Roman" w:cs="Times New Roman"/>
        </w:rPr>
        <w:t>policing, and</w:t>
      </w:r>
      <w:proofErr w:type="gramEnd"/>
      <w:r>
        <w:rPr>
          <w:rFonts w:ascii="Times New Roman" w:hAnsi="Times New Roman" w:cs="Times New Roman"/>
        </w:rPr>
        <w:t xml:space="preserve"> is held to an increasing level of scrutiny by all those who are affected by the service. This has been facilitated by a development in mobile technology which has enhanced the ability for the public to scrutinise and debate police actions (Bradford &amp; Jackson, 2012). Arguably most notably are the murders of George Floyd, and Sarah Everard of recent times, which have negatively impacted public perception of response policing.</w:t>
      </w:r>
    </w:p>
    <w:p w14:paraId="2687E195" w14:textId="77777777" w:rsidR="00AE66CD" w:rsidRDefault="00AE66CD" w:rsidP="00AE66CD">
      <w:pPr>
        <w:rPr>
          <w:rFonts w:ascii="Times New Roman" w:hAnsi="Times New Roman" w:cs="Times New Roman"/>
        </w:rPr>
      </w:pPr>
      <w:r>
        <w:rPr>
          <w:rFonts w:ascii="Times New Roman" w:hAnsi="Times New Roman" w:cs="Times New Roman"/>
        </w:rPr>
        <w:t xml:space="preserve">Media sources have highlighted police failings around the globe in recent years and have drastically influenced public perception of the police. The murder of George Floyd in the United States is a prime example. This incident triggered a wide social response and a notable movement in public opinion of the police (Brantingham, Mohler &amp; MacDonald, 2022). This public outrage of the police use of force on the victim Floyd was transported across the globe by modern technology, namely social media, hence the distrust in the police service was ratified in all parts of the world, including England and Wales. Policing is </w:t>
      </w:r>
      <w:proofErr w:type="spellStart"/>
      <w:r>
        <w:rPr>
          <w:rFonts w:ascii="Times New Roman" w:hAnsi="Times New Roman" w:cs="Times New Roman"/>
        </w:rPr>
        <w:t>dependant</w:t>
      </w:r>
      <w:proofErr w:type="spellEnd"/>
      <w:r>
        <w:rPr>
          <w:rFonts w:ascii="Times New Roman" w:hAnsi="Times New Roman" w:cs="Times New Roman"/>
        </w:rPr>
        <w:t xml:space="preserve"> on public cooperation to be effective as cooperation allows investigations to see success, and hopefully a residual amount of violence and unrest against the police conducting their enquiries. However, even with cooperation, there may still not be trust or perceived legitimacy as people may fall upon the police if there is no alternative solution to their problems. Officers are now more than ever being approached and filmed when carrying out their duties which on one hand can be perceived as a way of being held accountable; </w:t>
      </w:r>
      <w:proofErr w:type="gramStart"/>
      <w:r>
        <w:rPr>
          <w:rFonts w:ascii="Times New Roman" w:hAnsi="Times New Roman" w:cs="Times New Roman"/>
        </w:rPr>
        <w:t>however</w:t>
      </w:r>
      <w:proofErr w:type="gramEnd"/>
      <w:r>
        <w:rPr>
          <w:rFonts w:ascii="Times New Roman" w:hAnsi="Times New Roman" w:cs="Times New Roman"/>
        </w:rPr>
        <w:t xml:space="preserve"> it also increases the pressure on officers and can be anxiety-provoking. The constant scrutiny whilst undertaking duties may undermine officers’ own feelings of legitimacy (Farrow, 2023). Research suggests that officers who feel supported will be more confident in their actions and be a more authoritative and effective figure (Bradford &amp; Quinton, 2014). Brantingham and his colleagues suggest that the murder of George Floyd was a pertinent turning point leading to a downwards fall in public opinion of the police (Brantingham, Mohler &amp; MacDonald, 2022). The movement which was formed following the murder led to a sizeable increase in scrutiny of the police, rightly so. But this increase in scrutiny tarnished the effective and useful work of many police officers in England and Wales. The full impact of George Floyd’s murder on policing will be unknown for years to come, but it has become prevalent that it has drastically altered public perception on the police, and cooperation between the public and the police has dropped.</w:t>
      </w:r>
    </w:p>
    <w:p w14:paraId="45E5DC35" w14:textId="77777777" w:rsidR="00AE66CD" w:rsidRDefault="00AE66CD" w:rsidP="00AE66CD">
      <w:pPr>
        <w:rPr>
          <w:rFonts w:ascii="Times New Roman" w:hAnsi="Times New Roman" w:cs="Times New Roman"/>
        </w:rPr>
      </w:pPr>
      <w:r>
        <w:rPr>
          <w:rFonts w:ascii="Times New Roman" w:hAnsi="Times New Roman" w:cs="Times New Roman"/>
        </w:rPr>
        <w:t xml:space="preserve">Honesty is one of the key principles that police officers in England and Wales should seek to adhere to (College of Policing, 2024). The case of Sarah Everard has highlighted that a minority of officers do not live by this principle, which has massively reduced public confidence in the </w:t>
      </w:r>
      <w:proofErr w:type="gramStart"/>
      <w:r>
        <w:rPr>
          <w:rFonts w:ascii="Times New Roman" w:hAnsi="Times New Roman" w:cs="Times New Roman"/>
        </w:rPr>
        <w:t>service as a whole</w:t>
      </w:r>
      <w:proofErr w:type="gramEnd"/>
      <w:r>
        <w:rPr>
          <w:rFonts w:ascii="Times New Roman" w:hAnsi="Times New Roman" w:cs="Times New Roman"/>
        </w:rPr>
        <w:t xml:space="preserve">. Public confidence in the legitimacy of the service is influenced more by procedural justice and demonstration of the essential presence of the police, than by the effectiveness of reducing crime </w:t>
      </w:r>
      <w:r>
        <w:rPr>
          <w:rFonts w:ascii="Times New Roman" w:hAnsi="Times New Roman" w:cs="Times New Roman"/>
        </w:rPr>
        <w:lastRenderedPageBreak/>
        <w:t>(Farrow 2023). This suggests that a trust in a fair and respectful police service is paramount to maintaining a good relationship between the public and the police. Since the sentencing of Wayne Couzens for the murder of Sarah Everard, 47% of women who answered a survey for the ‘End Violence Against Women’ campaign, stated that they had less trust in the police (EVAW, 2021). This is a vast number of people. However, it was reported that in the year ending March 2020, only 26% of adults in England and Wales had contact with the police, so the perceptions of trust in the police must be driven by factors other than personal experience, like media coverage of the events (Brown &amp; Hobbs, 2023). For the police in England and Wales to be effective, the public must be supportive of their actions, and enlist trust in officers. The concept of ‘policing by consent’ is principal to the British model of policing; the effectiveness of the police relies upon the consent of the public (Home Office, 2012). Hence, public perception of the police can drastically impact how the police operate.</w:t>
      </w:r>
    </w:p>
    <w:p w14:paraId="1E3DB73F" w14:textId="77777777" w:rsidR="00AE66CD" w:rsidRPr="009D5E42" w:rsidRDefault="00AE66CD" w:rsidP="00AE66CD">
      <w:pPr>
        <w:rPr>
          <w:rFonts w:ascii="Times New Roman" w:hAnsi="Times New Roman" w:cs="Times New Roman"/>
        </w:rPr>
      </w:pPr>
      <w:r>
        <w:rPr>
          <w:rFonts w:ascii="Times New Roman" w:hAnsi="Times New Roman" w:cs="Times New Roman"/>
        </w:rPr>
        <w:t xml:space="preserve">The public’s perception of the police has a significant impact on officers. The principle of ‘policing by consent’ is paramount in England and Wales and relies on the public supporting officers’ actions and trusting the police with their investigations. This is why a negative public perception of the police can have a damming effect on police effectiveness. This is especially true when police failings are made global by the mainstream media, and many members of society who would usually respect and support the police, are now lacking trust and confidence. Without the support of the public, response officers </w:t>
      </w:r>
      <w:proofErr w:type="gramStart"/>
      <w:r>
        <w:rPr>
          <w:rFonts w:ascii="Times New Roman" w:hAnsi="Times New Roman" w:cs="Times New Roman"/>
        </w:rPr>
        <w:t>in particular will</w:t>
      </w:r>
      <w:proofErr w:type="gramEnd"/>
      <w:r>
        <w:rPr>
          <w:rFonts w:ascii="Times New Roman" w:hAnsi="Times New Roman" w:cs="Times New Roman"/>
        </w:rPr>
        <w:t xml:space="preserve"> face difficulties with community tensions and lack of cooperation whilst conducting investigations.</w:t>
      </w:r>
    </w:p>
    <w:p w14:paraId="40ABA522" w14:textId="77777777" w:rsidR="00AE66CD" w:rsidRDefault="00AE66CD" w:rsidP="00AE66CD">
      <w:pPr>
        <w:rPr>
          <w:rFonts w:ascii="Times New Roman" w:hAnsi="Times New Roman" w:cs="Times New Roman"/>
          <w:b/>
          <w:bCs/>
        </w:rPr>
      </w:pPr>
      <w:r>
        <w:rPr>
          <w:rFonts w:ascii="Times New Roman" w:hAnsi="Times New Roman" w:cs="Times New Roman"/>
          <w:b/>
          <w:bCs/>
        </w:rPr>
        <w:t>Word Count 999</w:t>
      </w:r>
    </w:p>
    <w:p w14:paraId="6B41623C" w14:textId="77777777" w:rsidR="00AE66CD" w:rsidRDefault="00AE66CD" w:rsidP="00AE66CD">
      <w:pPr>
        <w:rPr>
          <w:rFonts w:ascii="Times New Roman" w:hAnsi="Times New Roman" w:cs="Times New Roman"/>
          <w:b/>
          <w:bCs/>
        </w:rPr>
      </w:pPr>
    </w:p>
    <w:p w14:paraId="4DC77CAF" w14:textId="77777777" w:rsidR="00AE66CD" w:rsidRDefault="00AE66CD" w:rsidP="00AE66CD">
      <w:pPr>
        <w:rPr>
          <w:rFonts w:ascii="Times New Roman" w:hAnsi="Times New Roman" w:cs="Times New Roman"/>
          <w:b/>
          <w:bCs/>
        </w:rPr>
      </w:pPr>
    </w:p>
    <w:p w14:paraId="200825CC" w14:textId="77777777" w:rsidR="00AE66CD" w:rsidRDefault="00AE66CD" w:rsidP="00AE66CD">
      <w:pPr>
        <w:rPr>
          <w:rFonts w:ascii="Times New Roman" w:hAnsi="Times New Roman" w:cs="Times New Roman"/>
          <w:b/>
          <w:bCs/>
        </w:rPr>
      </w:pPr>
    </w:p>
    <w:p w14:paraId="2B8D21A1" w14:textId="77777777" w:rsidR="00AE66CD" w:rsidRDefault="00AE66CD" w:rsidP="00AE66CD">
      <w:pPr>
        <w:rPr>
          <w:rFonts w:ascii="Times New Roman" w:hAnsi="Times New Roman" w:cs="Times New Roman"/>
          <w:b/>
          <w:bCs/>
        </w:rPr>
      </w:pPr>
    </w:p>
    <w:p w14:paraId="763AA9E9" w14:textId="77777777" w:rsidR="00AE66CD" w:rsidRDefault="00AE66CD" w:rsidP="00AE66CD">
      <w:pPr>
        <w:rPr>
          <w:rFonts w:ascii="Times New Roman" w:hAnsi="Times New Roman" w:cs="Times New Roman"/>
          <w:b/>
          <w:bCs/>
        </w:rPr>
      </w:pPr>
    </w:p>
    <w:p w14:paraId="4FB265C5" w14:textId="77777777" w:rsidR="00AE66CD" w:rsidRDefault="00AE66CD" w:rsidP="00AE66CD">
      <w:pPr>
        <w:rPr>
          <w:rFonts w:ascii="Times New Roman" w:hAnsi="Times New Roman" w:cs="Times New Roman"/>
          <w:b/>
          <w:bCs/>
        </w:rPr>
      </w:pPr>
    </w:p>
    <w:p w14:paraId="699E7086" w14:textId="77777777" w:rsidR="00AE66CD" w:rsidRDefault="00AE66CD" w:rsidP="00AE66CD">
      <w:pPr>
        <w:rPr>
          <w:rFonts w:ascii="Times New Roman" w:hAnsi="Times New Roman" w:cs="Times New Roman"/>
          <w:b/>
          <w:bCs/>
        </w:rPr>
      </w:pPr>
    </w:p>
    <w:p w14:paraId="53441AAA" w14:textId="77777777" w:rsidR="00AE66CD" w:rsidRDefault="00AE66CD" w:rsidP="00AE66CD">
      <w:pPr>
        <w:rPr>
          <w:rFonts w:ascii="Times New Roman" w:hAnsi="Times New Roman" w:cs="Times New Roman"/>
          <w:b/>
          <w:bCs/>
        </w:rPr>
      </w:pPr>
    </w:p>
    <w:p w14:paraId="36120FFF" w14:textId="77777777" w:rsidR="00AE66CD" w:rsidRDefault="00AE66CD" w:rsidP="00AE66CD">
      <w:pPr>
        <w:rPr>
          <w:rFonts w:ascii="Times New Roman" w:hAnsi="Times New Roman" w:cs="Times New Roman"/>
          <w:b/>
          <w:bCs/>
        </w:rPr>
      </w:pPr>
    </w:p>
    <w:p w14:paraId="09FF3FFF" w14:textId="77777777" w:rsidR="00AE66CD" w:rsidRDefault="00AE66CD" w:rsidP="00AE66CD">
      <w:pPr>
        <w:rPr>
          <w:rFonts w:ascii="Times New Roman" w:hAnsi="Times New Roman" w:cs="Times New Roman"/>
          <w:b/>
          <w:bCs/>
        </w:rPr>
      </w:pPr>
    </w:p>
    <w:p w14:paraId="59D28534" w14:textId="77777777" w:rsidR="00AE66CD" w:rsidRDefault="00AE66CD" w:rsidP="00AE66CD">
      <w:pPr>
        <w:rPr>
          <w:rFonts w:ascii="Times New Roman" w:hAnsi="Times New Roman" w:cs="Times New Roman"/>
          <w:b/>
          <w:bCs/>
        </w:rPr>
      </w:pPr>
    </w:p>
    <w:p w14:paraId="2FDD9436" w14:textId="77777777" w:rsidR="00AE66CD" w:rsidRDefault="00AE66CD" w:rsidP="00AE66CD">
      <w:pPr>
        <w:rPr>
          <w:rFonts w:ascii="Times New Roman" w:hAnsi="Times New Roman" w:cs="Times New Roman"/>
          <w:b/>
          <w:bCs/>
        </w:rPr>
      </w:pPr>
    </w:p>
    <w:p w14:paraId="20EBC726" w14:textId="77777777" w:rsidR="00AE66CD" w:rsidRDefault="00AE66CD" w:rsidP="00AE66CD">
      <w:pPr>
        <w:rPr>
          <w:rFonts w:ascii="Times New Roman" w:hAnsi="Times New Roman" w:cs="Times New Roman"/>
          <w:b/>
          <w:bCs/>
        </w:rPr>
      </w:pPr>
    </w:p>
    <w:p w14:paraId="12BFA9F3" w14:textId="77777777" w:rsidR="00AE66CD" w:rsidRDefault="00AE66CD" w:rsidP="00AE66CD">
      <w:pPr>
        <w:rPr>
          <w:rFonts w:ascii="Times New Roman" w:hAnsi="Times New Roman" w:cs="Times New Roman"/>
          <w:b/>
          <w:bCs/>
        </w:rPr>
      </w:pPr>
    </w:p>
    <w:p w14:paraId="14AA0222" w14:textId="77777777" w:rsidR="00AE66CD" w:rsidRDefault="00AE66CD" w:rsidP="00AE66CD">
      <w:pPr>
        <w:rPr>
          <w:rFonts w:ascii="Times New Roman" w:hAnsi="Times New Roman" w:cs="Times New Roman"/>
          <w:b/>
          <w:bCs/>
        </w:rPr>
      </w:pPr>
    </w:p>
    <w:p w14:paraId="53138126" w14:textId="77777777" w:rsidR="00AE66CD" w:rsidRDefault="00AE66CD" w:rsidP="00AE66CD">
      <w:pPr>
        <w:rPr>
          <w:rFonts w:ascii="Times New Roman" w:hAnsi="Times New Roman" w:cs="Times New Roman"/>
          <w:b/>
          <w:bCs/>
        </w:rPr>
      </w:pPr>
    </w:p>
    <w:p w14:paraId="10EED52B" w14:textId="77777777" w:rsidR="00AE66CD" w:rsidRDefault="00AE66CD" w:rsidP="00AE66CD">
      <w:pPr>
        <w:rPr>
          <w:rFonts w:ascii="Times New Roman" w:hAnsi="Times New Roman" w:cs="Times New Roman"/>
          <w:b/>
          <w:bCs/>
        </w:rPr>
      </w:pPr>
    </w:p>
    <w:p w14:paraId="53E16C64" w14:textId="77777777" w:rsidR="00AE66CD" w:rsidRDefault="00AE66CD" w:rsidP="00AE66CD">
      <w:pPr>
        <w:rPr>
          <w:rFonts w:ascii="Times New Roman" w:hAnsi="Times New Roman" w:cs="Times New Roman"/>
          <w:b/>
          <w:bCs/>
        </w:rPr>
      </w:pPr>
    </w:p>
    <w:p w14:paraId="1B8FE972" w14:textId="77777777" w:rsidR="00AE66CD" w:rsidRPr="00AE66CD" w:rsidRDefault="00AE66CD" w:rsidP="00AE66CD">
      <w:pPr>
        <w:pStyle w:val="Default"/>
        <w:rPr>
          <w:rFonts w:ascii="Times New Roman" w:hAnsi="Times New Roman" w:cs="Times New Roman"/>
          <w:b/>
          <w:bCs/>
          <w:sz w:val="22"/>
          <w:szCs w:val="22"/>
        </w:rPr>
      </w:pPr>
      <w:r w:rsidRPr="00AE66CD">
        <w:rPr>
          <w:rFonts w:ascii="Times New Roman" w:hAnsi="Times New Roman" w:cs="Times New Roman"/>
          <w:b/>
          <w:bCs/>
          <w:sz w:val="22"/>
          <w:szCs w:val="22"/>
        </w:rPr>
        <w:lastRenderedPageBreak/>
        <w:t xml:space="preserve">Examine the positive and negative aspects of media attention when dealing with public protection incidents. </w:t>
      </w:r>
    </w:p>
    <w:p w14:paraId="7AFB783A" w14:textId="77777777" w:rsidR="00AE66CD" w:rsidRDefault="00AE66CD" w:rsidP="00AE66CD">
      <w:pPr>
        <w:rPr>
          <w:rFonts w:ascii="Times New Roman" w:hAnsi="Times New Roman" w:cs="Times New Roman"/>
          <w:b/>
          <w:bCs/>
        </w:rPr>
      </w:pPr>
    </w:p>
    <w:p w14:paraId="1C4043A8" w14:textId="77777777" w:rsidR="00AE66CD" w:rsidRDefault="00AE66CD" w:rsidP="00AE66CD">
      <w:pPr>
        <w:rPr>
          <w:rFonts w:ascii="Times New Roman" w:hAnsi="Times New Roman" w:cs="Times New Roman"/>
        </w:rPr>
      </w:pPr>
      <w:r>
        <w:rPr>
          <w:rFonts w:ascii="Times New Roman" w:hAnsi="Times New Roman" w:cs="Times New Roman"/>
        </w:rPr>
        <w:t>The British policing system utilises the concept of ‘policing by consent’ which is derived from the nine core principles of policing (Home Office, 2012). The concept is rooted in the idea that the police can only operate with the cooperation of the public. This means that there must be a positive relationship between the public and the police (College of Policing, 2013). The media in England and Wales have prominent influence on the public’s perception of policing. It can be beneficial for investigations and can create positive community cohesion holding the police accountable for their actions. However, it can inflame public sentiment towards officers when police failings are exposed (Succar et al, 2024).</w:t>
      </w:r>
    </w:p>
    <w:p w14:paraId="68703DCC" w14:textId="77777777" w:rsidR="00AE66CD" w:rsidRDefault="00AE66CD" w:rsidP="00AE66CD">
      <w:pPr>
        <w:rPr>
          <w:rFonts w:ascii="Times New Roman" w:hAnsi="Times New Roman" w:cs="Times New Roman"/>
        </w:rPr>
      </w:pPr>
      <w:r>
        <w:rPr>
          <w:rFonts w:ascii="Times New Roman" w:hAnsi="Times New Roman" w:cs="Times New Roman"/>
        </w:rPr>
        <w:t>We can examine how police forces utilise media themselves to communicate effectively with communities and develop positive community cohesion and engagement through the concept of ‘policing by consent’. The police are increasingly utilising social media platforms as an effective and efficient way of communicating issues to the public (Myles, 2017). Forces can target certain demographics in their communities to provide them with incidents and news stories which most affect them. Specific social media groups can be set up for communities to express their concerns and report incidents or ongoings which they believe that the police need to rectify. This is especially effective at engaging citizens that have been reluctant to engage in the past (Bullock, 2021). For social media use to be a successful means of conveyance of information, officers must abide by the Authorised Professional Practice (APP) which is designed to guide those who engage with the media. The practice is based around the code of ethics, mainly the principle of openness and transparency (College of Policing, 2013). Officers engaging with the community through the media must be open and transparent with the reports and communications, and consequently, they will be rewarded with a community who are engaged in aiding police matters.</w:t>
      </w:r>
    </w:p>
    <w:p w14:paraId="34FFBD09" w14:textId="77777777" w:rsidR="00AE66CD" w:rsidRDefault="00AE66CD" w:rsidP="00AE66CD">
      <w:pPr>
        <w:rPr>
          <w:rFonts w:ascii="Times New Roman" w:hAnsi="Times New Roman" w:cs="Times New Roman"/>
        </w:rPr>
      </w:pPr>
      <w:r>
        <w:rPr>
          <w:rFonts w:ascii="Times New Roman" w:hAnsi="Times New Roman" w:cs="Times New Roman"/>
        </w:rPr>
        <w:t xml:space="preserve">Media attention can be beneficial for investigations, most prominently high profile or dangerous offenders, and missing people investigations. The more the public supports the police by providing information and trusting their efforts, the greater the scope for police forces to solve these incidents. On a large scale, the BBC television series ‘Crimewatch’ outlined the hard work of police officers attempting to solve complex investigations, and reached out to the public consuming the media, </w:t>
      </w:r>
      <w:proofErr w:type="gramStart"/>
      <w:r>
        <w:rPr>
          <w:rFonts w:ascii="Times New Roman" w:hAnsi="Times New Roman" w:cs="Times New Roman"/>
        </w:rPr>
        <w:t>in an attempt to</w:t>
      </w:r>
      <w:proofErr w:type="gramEnd"/>
      <w:r>
        <w:rPr>
          <w:rFonts w:ascii="Times New Roman" w:hAnsi="Times New Roman" w:cs="Times New Roman"/>
        </w:rPr>
        <w:t xml:space="preserve"> further investigate (BBC, 2017). CCTV footage related to the murder of child James Bulger was shown on the series, and from this footage, viewers managed to identify the two suspects, Venables and Thompson, which was crucial to the police investigation. Circumstances like this have occurred numerous times – the murder of Sarah Payne, and the M25 Rapist. The wide exposure the show has, has been pertinent to gaining important information for police investigations (BBC, 2017).</w:t>
      </w:r>
    </w:p>
    <w:p w14:paraId="5203DAC2" w14:textId="77777777" w:rsidR="00AE66CD" w:rsidRPr="001F48E8" w:rsidRDefault="00AE66CD" w:rsidP="00AE66CD">
      <w:pPr>
        <w:rPr>
          <w:rFonts w:ascii="Times New Roman" w:hAnsi="Times New Roman" w:cs="Times New Roman"/>
        </w:rPr>
      </w:pPr>
      <w:r>
        <w:rPr>
          <w:rFonts w:ascii="Times New Roman" w:hAnsi="Times New Roman" w:cs="Times New Roman"/>
        </w:rPr>
        <w:t xml:space="preserve">This concept can be applied more locally to police forces utilising social media. Communities who are engaged with the police online </w:t>
      </w:r>
      <w:proofErr w:type="gramStart"/>
      <w:r>
        <w:rPr>
          <w:rFonts w:ascii="Times New Roman" w:hAnsi="Times New Roman" w:cs="Times New Roman"/>
        </w:rPr>
        <w:t>are able to</w:t>
      </w:r>
      <w:proofErr w:type="gramEnd"/>
      <w:r>
        <w:rPr>
          <w:rFonts w:ascii="Times New Roman" w:hAnsi="Times New Roman" w:cs="Times New Roman"/>
        </w:rPr>
        <w:t xml:space="preserve"> provide crucial details to investigations. Most prominently with local communities is missing persons investigations. Not only are communities notified of missing persons easily through the media, but they are afforded with the opportunity to give relevant details and leads to investigators. In many cases, communities will often </w:t>
      </w:r>
      <w:proofErr w:type="gramStart"/>
      <w:r>
        <w:rPr>
          <w:rFonts w:ascii="Times New Roman" w:hAnsi="Times New Roman" w:cs="Times New Roman"/>
        </w:rPr>
        <w:t>gather together</w:t>
      </w:r>
      <w:proofErr w:type="gramEnd"/>
      <w:r>
        <w:rPr>
          <w:rFonts w:ascii="Times New Roman" w:hAnsi="Times New Roman" w:cs="Times New Roman"/>
        </w:rPr>
        <w:t xml:space="preserve"> and search for the missing person, aiding the police in their searches. This </w:t>
      </w:r>
      <w:proofErr w:type="gramStart"/>
      <w:r>
        <w:rPr>
          <w:rFonts w:ascii="Times New Roman" w:hAnsi="Times New Roman" w:cs="Times New Roman"/>
        </w:rPr>
        <w:t>more often than not</w:t>
      </w:r>
      <w:proofErr w:type="gramEnd"/>
      <w:r>
        <w:rPr>
          <w:rFonts w:ascii="Times New Roman" w:hAnsi="Times New Roman" w:cs="Times New Roman"/>
        </w:rPr>
        <w:t xml:space="preserve"> has positive outcomes due to the sheer number of resources (Adams et al, 2023).</w:t>
      </w:r>
    </w:p>
    <w:p w14:paraId="78EC322B" w14:textId="77777777" w:rsidR="00AE66CD" w:rsidRDefault="00AE66CD" w:rsidP="00AE66CD">
      <w:pPr>
        <w:rPr>
          <w:rFonts w:ascii="Times New Roman" w:hAnsi="Times New Roman" w:cs="Times New Roman"/>
        </w:rPr>
      </w:pPr>
      <w:r>
        <w:rPr>
          <w:rFonts w:ascii="Times New Roman" w:hAnsi="Times New Roman" w:cs="Times New Roman"/>
        </w:rPr>
        <w:t xml:space="preserve">To the contrary, media attention on police officers dealing with public protection incidents can highlight police failings. One salient example of when this has occurred is following the rape and murder of Sarah Everard in 2021 which sparked protests over police recruitment and vetting procedures, and the police culture around the treatment of vulnerable women (EVAW, 2021). This can be seen as a positive aspect, as highlighting failings of officers holds the force in question accountable for their </w:t>
      </w:r>
      <w:proofErr w:type="gramStart"/>
      <w:r>
        <w:rPr>
          <w:rFonts w:ascii="Times New Roman" w:hAnsi="Times New Roman" w:cs="Times New Roman"/>
        </w:rPr>
        <w:t>actions, and</w:t>
      </w:r>
      <w:proofErr w:type="gramEnd"/>
      <w:r>
        <w:rPr>
          <w:rFonts w:ascii="Times New Roman" w:hAnsi="Times New Roman" w:cs="Times New Roman"/>
        </w:rPr>
        <w:t xml:space="preserve"> urges them to be transparent and open about their actions. Society </w:t>
      </w:r>
      <w:proofErr w:type="gramStart"/>
      <w:r>
        <w:rPr>
          <w:rFonts w:ascii="Times New Roman" w:hAnsi="Times New Roman" w:cs="Times New Roman"/>
        </w:rPr>
        <w:t>are</w:t>
      </w:r>
      <w:proofErr w:type="gramEnd"/>
      <w:r>
        <w:rPr>
          <w:rFonts w:ascii="Times New Roman" w:hAnsi="Times New Roman" w:cs="Times New Roman"/>
        </w:rPr>
        <w:t xml:space="preserve"> more </w:t>
      </w:r>
      <w:r>
        <w:rPr>
          <w:rFonts w:ascii="Times New Roman" w:hAnsi="Times New Roman" w:cs="Times New Roman"/>
        </w:rPr>
        <w:lastRenderedPageBreak/>
        <w:t>likely to have faith and trust in a police force who are able to demonstrate that they hold their officers accountable and condone them for their unsavoury actions (Succar et al, 2024). However, with large scale media stories, highlighting police failings can inflame a community and create mass tension between the public and the police. This was demonstrated following the protests, and police officers throughout England and Wales came under increased scrutiny (BBC, 2022). Yes, this did hold officers accountable if their actions wavered from the Code of Ethics, however, officers whose conduct represented what a police officer should portray like also felt scrutinised and came under increased pressure which affected their effectiveness at work.</w:t>
      </w:r>
    </w:p>
    <w:p w14:paraId="184D98D4" w14:textId="77777777" w:rsidR="00AE66CD" w:rsidRPr="00412AE9" w:rsidRDefault="00AE66CD" w:rsidP="00AE66CD">
      <w:pPr>
        <w:rPr>
          <w:rFonts w:ascii="Times New Roman" w:hAnsi="Times New Roman" w:cs="Times New Roman"/>
        </w:rPr>
      </w:pPr>
      <w:r>
        <w:rPr>
          <w:rFonts w:ascii="Times New Roman" w:hAnsi="Times New Roman" w:cs="Times New Roman"/>
        </w:rPr>
        <w:t xml:space="preserve">As explained media attention on incidents of public protection, especially missing persons, can prove beneficial as it can engage wider communities into assisting the police in their investigations. However, it can also cloud relevant evidence and leads for investigators with a spiel of irrelevant and unavailing ‘evidence’ given by members of society who are not involved in the investigation at all (Gerard, 2023). The investigation into missing person Nicola Bulley drew significant levels of social media attention and attracted </w:t>
      </w:r>
      <w:proofErr w:type="gramStart"/>
      <w:r>
        <w:rPr>
          <w:rFonts w:ascii="Times New Roman" w:hAnsi="Times New Roman" w:cs="Times New Roman"/>
        </w:rPr>
        <w:t>a number of</w:t>
      </w:r>
      <w:proofErr w:type="gramEnd"/>
      <w:r>
        <w:rPr>
          <w:rFonts w:ascii="Times New Roman" w:hAnsi="Times New Roman" w:cs="Times New Roman"/>
        </w:rPr>
        <w:t xml:space="preserve"> ‘amateur detectives’ to the case (Horsburgh, 2023). In fact, the constabulary logged more than 75,000 social media comments over the period of one month, even the Prime Minister at the time, with no intimate knowledge of the case, gave his thoughts (Gerard, 2023). These ‘detectives’ wildly speculated and formed conspiracy theories which placed Lancashire Constabulary under enormous pressure and complicated the investigation immensely (Horsburgh, 2023).</w:t>
      </w:r>
    </w:p>
    <w:p w14:paraId="73ECC492" w14:textId="77777777" w:rsidR="00AE66CD" w:rsidRDefault="00AE66CD" w:rsidP="00AE66CD">
      <w:pPr>
        <w:rPr>
          <w:rFonts w:ascii="Times New Roman" w:hAnsi="Times New Roman" w:cs="Times New Roman"/>
        </w:rPr>
      </w:pPr>
      <w:r>
        <w:rPr>
          <w:rFonts w:ascii="Times New Roman" w:hAnsi="Times New Roman" w:cs="Times New Roman"/>
        </w:rPr>
        <w:t>Media attention on police forces dealing with incidents of public protection can be beneficial, but also a hinderance. Following examination of the above points, the positive aspects of media influence outweigh the negatives. The influence draws attention to police successes, increasing public trust and confidence in officers. It also holds these officers accountable for their actions, hence, media attention helps police forces uphold the basic principles set out in the Code of Ethics. Media attention can also positively engage communities; it can enable citizens to actively take part in investigations, and provide not only a larger number of resources, but also knowledge and intelligence that the police may not have been able to acquire without them. This is particularly prominent for high profile cases whereby the media attention is significant, and can lead to successful investigations, consequently highlighting more police triumphs. However, it is important for forces to scrutinise the information received, as often when cases are journalised, the public can speculate and obscure the relevant investigative lines of enquiry.</w:t>
      </w:r>
    </w:p>
    <w:p w14:paraId="5D3E00C9" w14:textId="77777777" w:rsidR="00AE66CD" w:rsidRPr="00CC29D7" w:rsidRDefault="00AE66CD" w:rsidP="00AE66CD">
      <w:pPr>
        <w:rPr>
          <w:rFonts w:ascii="Times New Roman" w:hAnsi="Times New Roman" w:cs="Times New Roman"/>
          <w:b/>
          <w:bCs/>
        </w:rPr>
      </w:pPr>
      <w:r>
        <w:rPr>
          <w:rFonts w:ascii="Times New Roman" w:hAnsi="Times New Roman" w:cs="Times New Roman"/>
          <w:b/>
          <w:bCs/>
        </w:rPr>
        <w:t>Word Count 1096</w:t>
      </w:r>
    </w:p>
    <w:p w14:paraId="2EB100A7" w14:textId="77777777" w:rsidR="00AE66CD" w:rsidRDefault="00AE66CD" w:rsidP="00AE66CD">
      <w:pPr>
        <w:rPr>
          <w:rFonts w:ascii="Times New Roman" w:hAnsi="Times New Roman" w:cs="Times New Roman"/>
          <w:b/>
          <w:bCs/>
        </w:rPr>
      </w:pPr>
    </w:p>
    <w:p w14:paraId="7126DEE1" w14:textId="77777777" w:rsidR="00AE66CD" w:rsidRDefault="00AE66CD" w:rsidP="00AE66CD">
      <w:pPr>
        <w:rPr>
          <w:rFonts w:ascii="Times New Roman" w:hAnsi="Times New Roman" w:cs="Times New Roman"/>
          <w:b/>
          <w:bCs/>
        </w:rPr>
      </w:pPr>
    </w:p>
    <w:p w14:paraId="136D92F1" w14:textId="77777777" w:rsidR="00AE66CD" w:rsidRDefault="00AE66CD" w:rsidP="00AE66CD">
      <w:pPr>
        <w:rPr>
          <w:rFonts w:ascii="Times New Roman" w:hAnsi="Times New Roman" w:cs="Times New Roman"/>
          <w:b/>
          <w:bCs/>
        </w:rPr>
      </w:pPr>
    </w:p>
    <w:p w14:paraId="505C194C" w14:textId="77777777" w:rsidR="00AE66CD" w:rsidRDefault="00AE66CD" w:rsidP="00AE66CD">
      <w:pPr>
        <w:rPr>
          <w:rFonts w:ascii="Times New Roman" w:hAnsi="Times New Roman" w:cs="Times New Roman"/>
          <w:b/>
          <w:bCs/>
        </w:rPr>
      </w:pPr>
    </w:p>
    <w:p w14:paraId="4C4E39F6" w14:textId="77777777" w:rsidR="00AE66CD" w:rsidRDefault="00AE66CD" w:rsidP="00AE66CD">
      <w:pPr>
        <w:rPr>
          <w:rFonts w:ascii="Times New Roman" w:hAnsi="Times New Roman" w:cs="Times New Roman"/>
          <w:b/>
          <w:bCs/>
        </w:rPr>
      </w:pPr>
    </w:p>
    <w:p w14:paraId="10ADDDD2" w14:textId="77777777" w:rsidR="00AE66CD" w:rsidRDefault="00AE66CD" w:rsidP="00AE66CD">
      <w:pPr>
        <w:rPr>
          <w:rFonts w:ascii="Times New Roman" w:hAnsi="Times New Roman" w:cs="Times New Roman"/>
          <w:b/>
          <w:bCs/>
        </w:rPr>
      </w:pPr>
    </w:p>
    <w:p w14:paraId="6317B448" w14:textId="77777777" w:rsidR="00AE66CD" w:rsidRDefault="00AE66CD" w:rsidP="00AE66CD">
      <w:pPr>
        <w:rPr>
          <w:rFonts w:ascii="Times New Roman" w:hAnsi="Times New Roman" w:cs="Times New Roman"/>
          <w:b/>
          <w:bCs/>
        </w:rPr>
      </w:pPr>
    </w:p>
    <w:p w14:paraId="13C85645" w14:textId="77777777" w:rsidR="00AE66CD" w:rsidRDefault="00AE66CD" w:rsidP="00AE66CD">
      <w:pPr>
        <w:rPr>
          <w:rFonts w:ascii="Times New Roman" w:hAnsi="Times New Roman" w:cs="Times New Roman"/>
          <w:b/>
          <w:bCs/>
        </w:rPr>
      </w:pPr>
    </w:p>
    <w:p w14:paraId="79697B48" w14:textId="77777777" w:rsidR="00AE66CD" w:rsidRPr="00C524B2" w:rsidRDefault="00AE66CD" w:rsidP="00AE66CD">
      <w:pPr>
        <w:rPr>
          <w:rFonts w:ascii="Times New Roman" w:hAnsi="Times New Roman" w:cs="Times New Roman"/>
          <w:b/>
          <w:bCs/>
        </w:rPr>
      </w:pPr>
    </w:p>
    <w:p w14:paraId="2C605062" w14:textId="77777777" w:rsidR="00AE66CD" w:rsidRDefault="00AE66CD" w:rsidP="000B6392">
      <w:pPr>
        <w:rPr>
          <w:rFonts w:ascii="Times New Roman" w:hAnsi="Times New Roman" w:cs="Times New Roman"/>
          <w:b/>
          <w:bCs/>
        </w:rPr>
      </w:pPr>
    </w:p>
    <w:p w14:paraId="643C348B" w14:textId="77777777" w:rsidR="00AE66CD" w:rsidRPr="00AE66CD" w:rsidRDefault="00AE66CD" w:rsidP="00AE66CD">
      <w:pPr>
        <w:pStyle w:val="Default"/>
        <w:rPr>
          <w:rFonts w:ascii="Times New Roman" w:hAnsi="Times New Roman" w:cs="Times New Roman"/>
          <w:b/>
          <w:bCs/>
          <w:sz w:val="22"/>
          <w:szCs w:val="22"/>
        </w:rPr>
      </w:pPr>
      <w:r w:rsidRPr="00AE66CD">
        <w:rPr>
          <w:rFonts w:ascii="Times New Roman" w:hAnsi="Times New Roman" w:cs="Times New Roman"/>
          <w:b/>
          <w:bCs/>
          <w:sz w:val="22"/>
          <w:szCs w:val="22"/>
        </w:rPr>
        <w:lastRenderedPageBreak/>
        <w:t xml:space="preserve">“Despite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w:t>
      </w:r>
    </w:p>
    <w:p w14:paraId="19158841" w14:textId="77777777" w:rsidR="00AE66CD" w:rsidRDefault="00AE66CD" w:rsidP="00AE66CD">
      <w:pPr>
        <w:pStyle w:val="Default"/>
        <w:rPr>
          <w:sz w:val="22"/>
          <w:szCs w:val="22"/>
        </w:rPr>
      </w:pPr>
    </w:p>
    <w:p w14:paraId="578CB2ED" w14:textId="12DAEBDE" w:rsidR="00C524B2" w:rsidRDefault="00C524B2" w:rsidP="00AE66CD">
      <w:pPr>
        <w:rPr>
          <w:rFonts w:ascii="Times New Roman" w:hAnsi="Times New Roman" w:cs="Times New Roman"/>
        </w:rPr>
      </w:pPr>
      <w:r>
        <w:rPr>
          <w:rFonts w:ascii="Times New Roman" w:hAnsi="Times New Roman" w:cs="Times New Roman"/>
        </w:rPr>
        <w:t>It is argued by Hammarberg (2012) that the system of juvenile justice in the United Kingdom is excessively punitive. However, since this statement was made, the justice system has focused more on rehabilitation of juveniles; this is mainly through the process of restorative justice (RJ). The most prominent aim of utilising restorative justice is arguably to reduce re-offending amongst young offenders, which I will examine through this essay.</w:t>
      </w:r>
    </w:p>
    <w:p w14:paraId="4BB91BCB" w14:textId="77777777" w:rsidR="00C524B2" w:rsidRPr="002449F6" w:rsidRDefault="00C524B2" w:rsidP="00C524B2">
      <w:pPr>
        <w:rPr>
          <w:rFonts w:ascii="Times New Roman" w:hAnsi="Times New Roman" w:cs="Times New Roman"/>
        </w:rPr>
      </w:pPr>
      <w:r>
        <w:rPr>
          <w:rFonts w:ascii="Times New Roman" w:hAnsi="Times New Roman" w:cs="Times New Roman"/>
        </w:rPr>
        <w:t>When a crime occurs, it has lasting effects on several different members of society; victims, offenders, interested bystanders, and the larger community (Menkel-Meadow, 2007). The process of restorative justice is designed to encourage the offenders to take responsibility for the offences that they have committed, give power back to the victim of the offence who are able to give their opinion about the impact of the offending, and restore the harm caused (Suzuki &amp; Yuan, 2021).</w:t>
      </w:r>
    </w:p>
    <w:p w14:paraId="176C1197" w14:textId="77777777" w:rsidR="00C524B2" w:rsidRDefault="00C524B2" w:rsidP="00C524B2">
      <w:pPr>
        <w:rPr>
          <w:rFonts w:ascii="Times New Roman" w:hAnsi="Times New Roman" w:cs="Times New Roman"/>
        </w:rPr>
      </w:pPr>
      <w:r>
        <w:rPr>
          <w:rFonts w:ascii="Times New Roman" w:hAnsi="Times New Roman" w:cs="Times New Roman"/>
        </w:rPr>
        <w:t xml:space="preserve">The implementation of the restorative justice process in England and Wales has been for both victim satisfaction and subject recidivism. It is a successful alternative to court proceedings focusing more on discussing the crime and its impact on the community and coming to an agreement on the consequences of the offenders’ actions (Wilson, </w:t>
      </w:r>
      <w:proofErr w:type="spellStart"/>
      <w:r>
        <w:rPr>
          <w:rFonts w:ascii="Times New Roman" w:hAnsi="Times New Roman" w:cs="Times New Roman"/>
        </w:rPr>
        <w:t>Olaghere</w:t>
      </w:r>
      <w:proofErr w:type="spellEnd"/>
      <w:r>
        <w:rPr>
          <w:rFonts w:ascii="Times New Roman" w:hAnsi="Times New Roman" w:cs="Times New Roman"/>
        </w:rPr>
        <w:t xml:space="preserve"> &amp; Kimbrell, 2017).</w:t>
      </w:r>
    </w:p>
    <w:p w14:paraId="27EB9557" w14:textId="77777777" w:rsidR="00C524B2" w:rsidRPr="00021126" w:rsidRDefault="00C524B2" w:rsidP="00C524B2">
      <w:pPr>
        <w:rPr>
          <w:rFonts w:ascii="Times New Roman" w:hAnsi="Times New Roman" w:cs="Times New Roman"/>
          <w:b/>
          <w:bCs/>
        </w:rPr>
      </w:pPr>
      <w:r>
        <w:rPr>
          <w:rFonts w:ascii="Times New Roman" w:hAnsi="Times New Roman" w:cs="Times New Roman"/>
          <w:b/>
          <w:bCs/>
        </w:rPr>
        <w:t>Offender Recidivism</w:t>
      </w:r>
    </w:p>
    <w:p w14:paraId="13CCE906" w14:textId="77777777" w:rsidR="00C524B2" w:rsidRDefault="00C524B2" w:rsidP="00C524B2">
      <w:pPr>
        <w:rPr>
          <w:rFonts w:ascii="Times New Roman" w:hAnsi="Times New Roman" w:cs="Times New Roman"/>
        </w:rPr>
      </w:pPr>
      <w:r>
        <w:rPr>
          <w:rFonts w:ascii="Times New Roman" w:hAnsi="Times New Roman" w:cs="Times New Roman"/>
        </w:rPr>
        <w:t xml:space="preserve">Firstly, it is pertinent to examine the RJ process as a less punitive process, and its effectiveness on offender recidivism. We need to split ‘offenders’ into different categories to really understand when this process is beneficial. Studies have argued that the RJ process is only highly effective with young offenders who have not been involved in serious offences (Bergseth &amp; Bouffard, 2013; Bergseth, Bouffard &amp; Cooper, 2017). This is also true for young offenders who are low-risk or first-time young offenders. This is because the programs attempt to reintegrate the offender back into their community, and this may not be possible with offenders who are involved in serious offences or are repeat offenders (Wilson, </w:t>
      </w:r>
      <w:proofErr w:type="spellStart"/>
      <w:r>
        <w:rPr>
          <w:rFonts w:ascii="Times New Roman" w:hAnsi="Times New Roman" w:cs="Times New Roman"/>
        </w:rPr>
        <w:t>Olaghere</w:t>
      </w:r>
      <w:proofErr w:type="spellEnd"/>
      <w:r>
        <w:rPr>
          <w:rFonts w:ascii="Times New Roman" w:hAnsi="Times New Roman" w:cs="Times New Roman"/>
        </w:rPr>
        <w:t xml:space="preserve"> &amp; Kimbrell, 2017). The idea that juveniles are more likely to be reintegrated successfully is furthered by one study which highlights that even with older offenders (ages 13-16) there is a higher chance that they will reoffend compared to their younger counterparts (ages 10-12) (Bergseth &amp; Bouffard, 2013). From this we can infer that the RJ process is usually going to be more successful when the offender is younger in age, possibly as they are more easily influenced by authority, and less influenced by their peers; however, it must be noted that there are always anomalies.</w:t>
      </w:r>
    </w:p>
    <w:p w14:paraId="37144A6C" w14:textId="77777777" w:rsidR="00C524B2" w:rsidRDefault="00C524B2" w:rsidP="00C524B2">
      <w:pPr>
        <w:rPr>
          <w:rFonts w:ascii="Times New Roman" w:hAnsi="Times New Roman" w:cs="Times New Roman"/>
        </w:rPr>
      </w:pPr>
      <w:r>
        <w:rPr>
          <w:rFonts w:ascii="Times New Roman" w:hAnsi="Times New Roman" w:cs="Times New Roman"/>
        </w:rPr>
        <w:t>Furthermore, it is also argued that the type of offence committed by the offender is important in establishing how effective the RJ process will be for that offender. One study demonstrated that the process was more successful for offenders who have committed violent offences in comparison to those who have committed property type offences (</w:t>
      </w:r>
      <w:r w:rsidRPr="00595740">
        <w:rPr>
          <w:rFonts w:ascii="Times New Roman" w:hAnsi="Times New Roman" w:cs="Times New Roman"/>
        </w:rPr>
        <w:t>Bergseth &amp; Bouffard, 2013</w:t>
      </w:r>
      <w:r>
        <w:rPr>
          <w:rFonts w:ascii="Times New Roman" w:hAnsi="Times New Roman" w:cs="Times New Roman"/>
        </w:rPr>
        <w:t xml:space="preserve">). This could be </w:t>
      </w:r>
      <w:proofErr w:type="gramStart"/>
      <w:r>
        <w:rPr>
          <w:rFonts w:ascii="Times New Roman" w:hAnsi="Times New Roman" w:cs="Times New Roman"/>
        </w:rPr>
        <w:t>due to the fact that</w:t>
      </w:r>
      <w:proofErr w:type="gramEnd"/>
      <w:r>
        <w:rPr>
          <w:rFonts w:ascii="Times New Roman" w:hAnsi="Times New Roman" w:cs="Times New Roman"/>
        </w:rPr>
        <w:t xml:space="preserve"> violent offences are more likely to have victim participation in the process as the victim has been personally attacked rather than their property. In 2005, Hayes conducted a study which demonstrated the success of restorative justice with violent offenders, stating in his discussion that ‘violent offenders who participated in the RJ program had significantly lower probabilities of reoffending… than violent offenders who received traditional court processing’ (Hayes, 2005).</w:t>
      </w:r>
    </w:p>
    <w:p w14:paraId="2077D067" w14:textId="77777777" w:rsidR="00C524B2" w:rsidRPr="00641A8B" w:rsidRDefault="00C524B2" w:rsidP="00C524B2">
      <w:pPr>
        <w:rPr>
          <w:rFonts w:ascii="Times New Roman" w:hAnsi="Times New Roman" w:cs="Times New Roman"/>
        </w:rPr>
      </w:pPr>
      <w:r>
        <w:rPr>
          <w:rFonts w:ascii="Times New Roman" w:hAnsi="Times New Roman" w:cs="Times New Roman"/>
        </w:rPr>
        <w:t xml:space="preserve">The aim of the justice system in England and Wales is to hold offenders accountable for their actions. The RJ process not only does this, but it ensures that the offender holds accountability themselves. Rather than emphasising punishment on the offender’s past behaviour, the process offers the offender the opportunity to compensate the victim materially or emotionally. More punitive forms of responsibility whereby the offender takes a passive role, for example prison sentences, do not aide the </w:t>
      </w:r>
      <w:r>
        <w:rPr>
          <w:rFonts w:ascii="Times New Roman" w:hAnsi="Times New Roman" w:cs="Times New Roman"/>
        </w:rPr>
        <w:lastRenderedPageBreak/>
        <w:t>offender in understanding the impact of their actions (Umbreit, 1995). It is not to say that punitive processes should not be used with dangerous offenders, but the RJ process incurs a responsibility from the offender to the victim when this process is suitable. The importance of this cannot be overstated. Interventions for serious juvenile offenders through the RJ process are important as if these young offenders are not dealt with suitably then they can pose a significant challenge to justice service later down the line as older juveniles or as adults (</w:t>
      </w:r>
      <w:proofErr w:type="spellStart"/>
      <w:r>
        <w:rPr>
          <w:rFonts w:ascii="Times New Roman" w:hAnsi="Times New Roman" w:cs="Times New Roman"/>
        </w:rPr>
        <w:t>Genoves</w:t>
      </w:r>
      <w:proofErr w:type="spellEnd"/>
      <w:r>
        <w:rPr>
          <w:rFonts w:ascii="Times New Roman" w:hAnsi="Times New Roman" w:cs="Times New Roman"/>
        </w:rPr>
        <w:t>, Morales &amp; Sanchez-Meca, 2006). Keeping juveniles away from convictions is important. One study discovered that 73% of males convicted as juveniles between the ages of 10 and 16 were reconvicted between ages 17 and 24. This is considerably higher than the 16% of those who were not convicted as juveniles (Farrington, 2003).</w:t>
      </w:r>
    </w:p>
    <w:p w14:paraId="2F82B79E" w14:textId="77777777" w:rsidR="00C524B2" w:rsidRDefault="00C524B2" w:rsidP="00C524B2">
      <w:pPr>
        <w:rPr>
          <w:rFonts w:ascii="Times New Roman" w:hAnsi="Times New Roman" w:cs="Times New Roman"/>
          <w:b/>
          <w:bCs/>
        </w:rPr>
      </w:pPr>
      <w:r>
        <w:rPr>
          <w:rFonts w:ascii="Times New Roman" w:hAnsi="Times New Roman" w:cs="Times New Roman"/>
          <w:b/>
          <w:bCs/>
        </w:rPr>
        <w:t>Overall Effectiveness for Offender Recidivism</w:t>
      </w:r>
    </w:p>
    <w:p w14:paraId="44CAE4B7" w14:textId="77777777" w:rsidR="00C524B2" w:rsidRPr="00CD7FD0" w:rsidRDefault="00C524B2" w:rsidP="00C524B2">
      <w:pPr>
        <w:rPr>
          <w:rFonts w:ascii="Times New Roman" w:hAnsi="Times New Roman" w:cs="Times New Roman"/>
        </w:rPr>
      </w:pPr>
      <w:r>
        <w:rPr>
          <w:rFonts w:ascii="Times New Roman" w:hAnsi="Times New Roman" w:cs="Times New Roman"/>
        </w:rPr>
        <w:t>Restorative Justice is an effective system that the police can utilise when dealing with juvenile offenders to reduce the likelihood that the child will reoffend following the incident. The system is an alternative to more punitive systems like traditional court sentencing, and therefore focuses more on restitution and rehabilitation than punishment. It provides the victim of the offence to discuss with the police and the offender to arrive at an agreement for the best course of action for all parties involved (Wilson, 2018). The effectiveness of the system is highlighted moreover when the offender has been involved in a crime of lesser seriousness, or an offender that is low-risk or first-time. If an offender shows signs of being able to be reintegrated into society, then the RJ process will be successful. Dealing with child delinquents whilst they are young and still influenced by authority figures through non-punitive methods can drastically reduce the chance of them reoffending; in turn, they are also less likely to maintain a criminal lifestyle as they become adults. The benefits of the process are vast, and more research and development must be undertaken to enhance the process even further in England and Wales.</w:t>
      </w:r>
    </w:p>
    <w:p w14:paraId="6B9A1D30" w14:textId="2162F5D8" w:rsidR="00C524B2" w:rsidRPr="00C524B2" w:rsidRDefault="00C524B2" w:rsidP="000B6392">
      <w:pPr>
        <w:rPr>
          <w:rFonts w:ascii="Times New Roman" w:hAnsi="Times New Roman" w:cs="Times New Roman"/>
          <w:b/>
          <w:bCs/>
        </w:rPr>
      </w:pPr>
      <w:r>
        <w:rPr>
          <w:rFonts w:ascii="Times New Roman" w:hAnsi="Times New Roman" w:cs="Times New Roman"/>
          <w:b/>
          <w:bCs/>
        </w:rPr>
        <w:t>Word Count 971</w:t>
      </w:r>
    </w:p>
    <w:p w14:paraId="60BA6BFA" w14:textId="7539AB50" w:rsidR="000B6392" w:rsidRDefault="000B6392" w:rsidP="000B6392"/>
    <w:p w14:paraId="0B13F304" w14:textId="77777777" w:rsidR="00C524B2" w:rsidRDefault="00C524B2" w:rsidP="000B6392"/>
    <w:p w14:paraId="2107D286" w14:textId="77777777" w:rsidR="00C524B2" w:rsidRDefault="00C524B2" w:rsidP="000B6392"/>
    <w:p w14:paraId="3B48C71F" w14:textId="77777777" w:rsidR="00C524B2" w:rsidRDefault="00C524B2" w:rsidP="000B6392"/>
    <w:p w14:paraId="46C89679" w14:textId="77777777" w:rsidR="00C524B2" w:rsidRDefault="00C524B2" w:rsidP="000B6392"/>
    <w:p w14:paraId="25123FF4" w14:textId="77777777" w:rsidR="00C524B2" w:rsidRDefault="00C524B2" w:rsidP="000B6392"/>
    <w:p w14:paraId="62FC2384" w14:textId="77777777" w:rsidR="00C524B2" w:rsidRDefault="00C524B2" w:rsidP="000B6392"/>
    <w:p w14:paraId="48C5B4E7" w14:textId="77777777" w:rsidR="00C524B2" w:rsidRDefault="00C524B2" w:rsidP="000B6392"/>
    <w:p w14:paraId="69AC901D" w14:textId="77777777" w:rsidR="00C524B2" w:rsidRDefault="00C524B2" w:rsidP="000B6392"/>
    <w:p w14:paraId="529DE8F8" w14:textId="77777777" w:rsidR="00C524B2" w:rsidRDefault="00C524B2" w:rsidP="000B6392"/>
    <w:p w14:paraId="74305490" w14:textId="77777777" w:rsidR="00C524B2" w:rsidRDefault="00C524B2" w:rsidP="000B6392"/>
    <w:p w14:paraId="2848C39F" w14:textId="77777777" w:rsidR="00C524B2" w:rsidRDefault="00C524B2" w:rsidP="000B6392"/>
    <w:p w14:paraId="3D2631AC" w14:textId="77777777" w:rsidR="00C524B2" w:rsidRDefault="00C524B2" w:rsidP="000B6392"/>
    <w:p w14:paraId="77DCDCE4" w14:textId="77777777" w:rsidR="00C524B2" w:rsidRDefault="00C524B2" w:rsidP="000B6392"/>
    <w:p w14:paraId="32CC1311" w14:textId="77777777" w:rsidR="00C524B2" w:rsidRDefault="00C524B2" w:rsidP="000B6392"/>
    <w:p w14:paraId="5A06DE23" w14:textId="272DBAE7" w:rsidR="00087F1F" w:rsidRDefault="00F06EFA" w:rsidP="000B6392">
      <w:pPr>
        <w:rPr>
          <w:rFonts w:ascii="Times New Roman" w:hAnsi="Times New Roman" w:cs="Times New Roman"/>
          <w:b/>
          <w:bCs/>
        </w:rPr>
      </w:pPr>
      <w:r>
        <w:rPr>
          <w:rFonts w:ascii="Times New Roman" w:hAnsi="Times New Roman" w:cs="Times New Roman"/>
          <w:b/>
          <w:bCs/>
        </w:rPr>
        <w:lastRenderedPageBreak/>
        <w:t>Bibliography</w:t>
      </w:r>
    </w:p>
    <w:p w14:paraId="5D20A0B2"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Alpert, Geoffrey, et al. </w:t>
      </w:r>
      <w:r w:rsidRPr="00F06EFA">
        <w:rPr>
          <w:i/>
          <w:iCs/>
          <w:sz w:val="22"/>
          <w:szCs w:val="22"/>
        </w:rPr>
        <w:t>ARCHIVED -Archiving Content ARCHIVÉE -</w:t>
      </w:r>
      <w:proofErr w:type="spellStart"/>
      <w:r w:rsidRPr="00F06EFA">
        <w:rPr>
          <w:i/>
          <w:iCs/>
          <w:sz w:val="22"/>
          <w:szCs w:val="22"/>
        </w:rPr>
        <w:t>Contenu</w:t>
      </w:r>
      <w:proofErr w:type="spellEnd"/>
      <w:r w:rsidRPr="00F06EFA">
        <w:rPr>
          <w:i/>
          <w:iCs/>
          <w:sz w:val="22"/>
          <w:szCs w:val="22"/>
        </w:rPr>
        <w:t xml:space="preserve"> </w:t>
      </w:r>
      <w:proofErr w:type="spellStart"/>
      <w:r w:rsidRPr="00F06EFA">
        <w:rPr>
          <w:i/>
          <w:iCs/>
          <w:sz w:val="22"/>
          <w:szCs w:val="22"/>
        </w:rPr>
        <w:t>Archivé</w:t>
      </w:r>
      <w:proofErr w:type="spellEnd"/>
      <w:r w:rsidRPr="00F06EFA">
        <w:rPr>
          <w:i/>
          <w:iCs/>
          <w:sz w:val="22"/>
          <w:szCs w:val="22"/>
        </w:rPr>
        <w:t xml:space="preserve"> Archived Content </w:t>
      </w:r>
      <w:proofErr w:type="spellStart"/>
      <w:r w:rsidRPr="00F06EFA">
        <w:rPr>
          <w:i/>
          <w:iCs/>
          <w:sz w:val="22"/>
          <w:szCs w:val="22"/>
        </w:rPr>
        <w:t>Contenu</w:t>
      </w:r>
      <w:proofErr w:type="spellEnd"/>
      <w:r w:rsidRPr="00F06EFA">
        <w:rPr>
          <w:i/>
          <w:iCs/>
          <w:sz w:val="22"/>
          <w:szCs w:val="22"/>
        </w:rPr>
        <w:t xml:space="preserve"> </w:t>
      </w:r>
      <w:proofErr w:type="spellStart"/>
      <w:r w:rsidRPr="00F06EFA">
        <w:rPr>
          <w:i/>
          <w:iCs/>
          <w:sz w:val="22"/>
          <w:szCs w:val="22"/>
        </w:rPr>
        <w:t>Archivé</w:t>
      </w:r>
      <w:proofErr w:type="spellEnd"/>
      <w:r w:rsidRPr="00F06EFA">
        <w:rPr>
          <w:sz w:val="22"/>
          <w:szCs w:val="22"/>
        </w:rPr>
        <w:t>. 2012.</w:t>
      </w:r>
    </w:p>
    <w:p w14:paraId="47C1B51D"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Awan, Imran, et al. “Understanding the Public Perception and Satisfaction of a UK Police Constabulary.” </w:t>
      </w:r>
      <w:r w:rsidRPr="00F06EFA">
        <w:rPr>
          <w:i/>
          <w:iCs/>
          <w:sz w:val="22"/>
          <w:szCs w:val="22"/>
        </w:rPr>
        <w:t>Police Practice and Research</w:t>
      </w:r>
      <w:r w:rsidRPr="00F06EFA">
        <w:rPr>
          <w:sz w:val="22"/>
          <w:szCs w:val="22"/>
        </w:rPr>
        <w:t>, vol. 20, no. 2, 17 Jan. 2018, pp. 172–184, www.tandfonline.com/doi/full/10.1080/15614263.2018.1428098, https://doi.org/10.1080/15614263.2018.1428098.</w:t>
      </w:r>
    </w:p>
    <w:p w14:paraId="6D4DFB50"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BBC. “The Big Cases Crimewatch Helped Solve.” </w:t>
      </w:r>
      <w:r w:rsidRPr="00F06EFA">
        <w:rPr>
          <w:i/>
          <w:iCs/>
          <w:sz w:val="22"/>
          <w:szCs w:val="22"/>
        </w:rPr>
        <w:t>BBC News</w:t>
      </w:r>
      <w:r w:rsidRPr="00F06EFA">
        <w:rPr>
          <w:sz w:val="22"/>
          <w:szCs w:val="22"/>
        </w:rPr>
        <w:t>, 17 Oct. 2017, www.bbc.co.uk/news/uk-41649334.</w:t>
      </w:r>
    </w:p>
    <w:p w14:paraId="63AF2DD6"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BBC, BBC. “Sarah Everard: Protesters Demand “Radical Change” to </w:t>
      </w:r>
      <w:proofErr w:type="spellStart"/>
      <w:r w:rsidRPr="00F06EFA">
        <w:rPr>
          <w:sz w:val="22"/>
          <w:szCs w:val="22"/>
        </w:rPr>
        <w:t>Met</w:t>
      </w:r>
      <w:proofErr w:type="spellEnd"/>
      <w:r w:rsidRPr="00F06EFA">
        <w:rPr>
          <w:sz w:val="22"/>
          <w:szCs w:val="22"/>
        </w:rPr>
        <w:t xml:space="preserve"> Police.” </w:t>
      </w:r>
      <w:r w:rsidRPr="00F06EFA">
        <w:rPr>
          <w:i/>
          <w:iCs/>
          <w:sz w:val="22"/>
          <w:szCs w:val="22"/>
        </w:rPr>
        <w:t>BBC News</w:t>
      </w:r>
      <w:r w:rsidRPr="00F06EFA">
        <w:rPr>
          <w:sz w:val="22"/>
          <w:szCs w:val="22"/>
        </w:rPr>
        <w:t>, 12 Mar. 2022, www.bbc.co.uk/news/uk-england-london-60720907.</w:t>
      </w:r>
    </w:p>
    <w:p w14:paraId="527E5BA9"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Bergseth, Kathleen J., and Jeffrey A. Bouffard. “Examining the Effectiveness of a Restorative Justice Program for Various Types of Juvenile Offenders.” </w:t>
      </w:r>
      <w:r w:rsidRPr="00F06EFA">
        <w:rPr>
          <w:i/>
          <w:iCs/>
          <w:sz w:val="22"/>
          <w:szCs w:val="22"/>
        </w:rPr>
        <w:t>International Journal of Offender Therapy and Comparative Criminology</w:t>
      </w:r>
      <w:r w:rsidRPr="00F06EFA">
        <w:rPr>
          <w:sz w:val="22"/>
          <w:szCs w:val="22"/>
        </w:rPr>
        <w:t>, vol. 57, no. 9, 18 July 2012, pp. 1054–1075, https://doi.org/10.1177/0306624x12453551.</w:t>
      </w:r>
    </w:p>
    <w:p w14:paraId="548F31F8"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Bouffard, Jeff, et al. “The Effectiveness of Various Restorative Justice Interventions on Recidivism Outcomes among Juvenile Offenders.” </w:t>
      </w:r>
      <w:r w:rsidRPr="00F06EFA">
        <w:rPr>
          <w:i/>
          <w:iCs/>
          <w:sz w:val="22"/>
          <w:szCs w:val="22"/>
        </w:rPr>
        <w:t>Youth Violence and Juvenile Justice</w:t>
      </w:r>
      <w:r w:rsidRPr="00F06EFA">
        <w:rPr>
          <w:sz w:val="22"/>
          <w:szCs w:val="22"/>
        </w:rPr>
        <w:t>, vol. 15, no. 4, 4 May 2016, pp. 465–480, https://doi.org/10.1177/1541204016647428.</w:t>
      </w:r>
    </w:p>
    <w:p w14:paraId="147CCD30"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Bradford, Ben, and Jonathan Jackson. </w:t>
      </w:r>
      <w:r w:rsidRPr="00F06EFA">
        <w:rPr>
          <w:i/>
          <w:iCs/>
          <w:sz w:val="22"/>
          <w:szCs w:val="22"/>
        </w:rPr>
        <w:t>Public Trust and Police Legitimacy in Great Britain: Short Term Effects and Long-Term Processes</w:t>
      </w:r>
      <w:r w:rsidRPr="00F06EFA">
        <w:rPr>
          <w:sz w:val="22"/>
          <w:szCs w:val="22"/>
        </w:rPr>
        <w:t>. 2012.</w:t>
      </w:r>
    </w:p>
    <w:p w14:paraId="12D878F7"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Bradford, Ben, and Paul Quinton. “Self-Legitimacy, Police Culture and Support for Democratic Policing in an English Constabulary.” </w:t>
      </w:r>
      <w:r w:rsidRPr="00F06EFA">
        <w:rPr>
          <w:i/>
          <w:iCs/>
          <w:sz w:val="22"/>
          <w:szCs w:val="22"/>
        </w:rPr>
        <w:t>SSRN Electronic Journal</w:t>
      </w:r>
      <w:r w:rsidRPr="00F06EFA">
        <w:rPr>
          <w:sz w:val="22"/>
          <w:szCs w:val="22"/>
        </w:rPr>
        <w:t>, vol. 54, no. 6, 2014, discovery.ucl.ac.uk/id/eprint/10088278/1/Self%20legitimacy%2C%20police%20culture%20and%20support%20for%20democratic%20policing.pdf, https://doi.org/10.2139/ssrn.2406350.</w:t>
      </w:r>
    </w:p>
    <w:p w14:paraId="15A55CFF"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lastRenderedPageBreak/>
        <w:t xml:space="preserve">Brantingham, P Jeffrey, et al. “Changes in Public-Police Cooperation Following the Murder of George Floyd.” </w:t>
      </w:r>
      <w:r w:rsidRPr="00F06EFA">
        <w:rPr>
          <w:i/>
          <w:iCs/>
          <w:sz w:val="22"/>
          <w:szCs w:val="22"/>
        </w:rPr>
        <w:t>PNAS Nexus</w:t>
      </w:r>
      <w:r w:rsidRPr="00F06EFA">
        <w:rPr>
          <w:sz w:val="22"/>
          <w:szCs w:val="22"/>
        </w:rPr>
        <w:t>, vol. 1, no. 5, 10 Sept. 2022, https://doi.org/10.1093/pnasnexus/pgac189.</w:t>
      </w:r>
    </w:p>
    <w:p w14:paraId="03ED5E22"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Brown, </w:t>
      </w:r>
      <w:proofErr w:type="gramStart"/>
      <w:r w:rsidRPr="00F06EFA">
        <w:rPr>
          <w:sz w:val="22"/>
          <w:szCs w:val="22"/>
        </w:rPr>
        <w:t>Richard ,</w:t>
      </w:r>
      <w:proofErr w:type="gramEnd"/>
      <w:r w:rsidRPr="00F06EFA">
        <w:rPr>
          <w:sz w:val="22"/>
          <w:szCs w:val="22"/>
        </w:rPr>
        <w:t xml:space="preserve"> and Abbi Hobbs. “Trust in the Police.” </w:t>
      </w:r>
      <w:proofErr w:type="spellStart"/>
      <w:r w:rsidRPr="00F06EFA">
        <w:rPr>
          <w:i/>
          <w:iCs/>
          <w:sz w:val="22"/>
          <w:szCs w:val="22"/>
        </w:rPr>
        <w:t>Researchbriefings.files</w:t>
      </w:r>
      <w:proofErr w:type="spellEnd"/>
      <w:r w:rsidRPr="00F06EFA">
        <w:rPr>
          <w:sz w:val="22"/>
          <w:szCs w:val="22"/>
        </w:rPr>
        <w:t>, 25 Apr. 2023, researchbriefings.files.parliament.uk/documents/POST-PN-0693/POST-PN-0693.pdf.</w:t>
      </w:r>
    </w:p>
    <w:p w14:paraId="4440FA5F"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Bullock, Karen, et al. “Police-Community Engagement and the Affordances and Constraints of Social Media.” </w:t>
      </w:r>
      <w:r w:rsidRPr="00F06EFA">
        <w:rPr>
          <w:i/>
          <w:iCs/>
          <w:sz w:val="22"/>
          <w:szCs w:val="22"/>
        </w:rPr>
        <w:t>Policing and Society</w:t>
      </w:r>
      <w:r w:rsidRPr="00F06EFA">
        <w:rPr>
          <w:sz w:val="22"/>
          <w:szCs w:val="22"/>
        </w:rPr>
        <w:t>, vol. 31, no. 4, 21 Oct. 2020, pp. 1–13, https://doi.org/10.1080/10439463.2020.1831498.</w:t>
      </w:r>
    </w:p>
    <w:p w14:paraId="0BD1D4F3"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Ciobotaru, Simona, et al. “Sharing Missing Persons Appeals on Social Media.” </w:t>
      </w:r>
      <w:r w:rsidRPr="00F06EFA">
        <w:rPr>
          <w:i/>
          <w:iCs/>
          <w:sz w:val="22"/>
          <w:szCs w:val="22"/>
        </w:rPr>
        <w:t>Proceedings of the Conference on Computers and People Research</w:t>
      </w:r>
      <w:r w:rsidRPr="00F06EFA">
        <w:rPr>
          <w:sz w:val="22"/>
          <w:szCs w:val="22"/>
        </w:rPr>
        <w:t>, 2 June 2022, https://doi.org/10.1145/3510606.3550200. Accessed 27 Jan. 2023.</w:t>
      </w:r>
    </w:p>
    <w:p w14:paraId="0BE317DE"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Clifford, Brian R., and Richard George. “A Field Evaluation of Training in Three Methods of Witness/Victim Investigative Interviewing.” </w:t>
      </w:r>
      <w:r w:rsidRPr="00F06EFA">
        <w:rPr>
          <w:i/>
          <w:iCs/>
          <w:sz w:val="22"/>
          <w:szCs w:val="22"/>
        </w:rPr>
        <w:t>Psychology, Crime &amp; Law</w:t>
      </w:r>
      <w:r w:rsidRPr="00F06EFA">
        <w:rPr>
          <w:sz w:val="22"/>
          <w:szCs w:val="22"/>
        </w:rPr>
        <w:t>, vol. 2, no. 3, July 1996, pp. 231–248, https://doi.org/10.1080/10683169608409780.</w:t>
      </w:r>
    </w:p>
    <w:p w14:paraId="22174BDC"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College of Policing. “Ethical Policing Principles | College of Policing.” </w:t>
      </w:r>
      <w:r w:rsidRPr="00F06EFA">
        <w:rPr>
          <w:i/>
          <w:iCs/>
          <w:sz w:val="22"/>
          <w:szCs w:val="22"/>
        </w:rPr>
        <w:t>Www.college.police.uk</w:t>
      </w:r>
      <w:r w:rsidRPr="00F06EFA">
        <w:rPr>
          <w:sz w:val="22"/>
          <w:szCs w:val="22"/>
        </w:rPr>
        <w:t>, 24 Jan. 2024, www.college.police.uk/ethics/code-of-ethics/principles.</w:t>
      </w:r>
    </w:p>
    <w:p w14:paraId="72C5F0D7"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 “Media Relations.” </w:t>
      </w:r>
      <w:r w:rsidRPr="00F06EFA">
        <w:rPr>
          <w:i/>
          <w:iCs/>
          <w:sz w:val="22"/>
          <w:szCs w:val="22"/>
        </w:rPr>
        <w:t xml:space="preserve">College of </w:t>
      </w:r>
      <w:proofErr w:type="gramStart"/>
      <w:r w:rsidRPr="00F06EFA">
        <w:rPr>
          <w:i/>
          <w:iCs/>
          <w:sz w:val="22"/>
          <w:szCs w:val="22"/>
        </w:rPr>
        <w:t xml:space="preserve">Policing </w:t>
      </w:r>
      <w:r w:rsidRPr="00F06EFA">
        <w:rPr>
          <w:sz w:val="22"/>
          <w:szCs w:val="22"/>
        </w:rPr>
        <w:t>,</w:t>
      </w:r>
      <w:proofErr w:type="gramEnd"/>
      <w:r w:rsidRPr="00F06EFA">
        <w:rPr>
          <w:sz w:val="22"/>
          <w:szCs w:val="22"/>
        </w:rPr>
        <w:t xml:space="preserve"> 2022, www.college.police.uk/app/engagement-and-communication/media-relations.</w:t>
      </w:r>
    </w:p>
    <w:p w14:paraId="2EB5519B"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Dando, Coral, et al. “A Modified Cognitive Interview Procedure for Frontline Police Investigators.” </w:t>
      </w:r>
      <w:r w:rsidRPr="00F06EFA">
        <w:rPr>
          <w:i/>
          <w:iCs/>
          <w:sz w:val="22"/>
          <w:szCs w:val="22"/>
        </w:rPr>
        <w:t>Applied Cognitive Psychology</w:t>
      </w:r>
      <w:r w:rsidRPr="00F06EFA">
        <w:rPr>
          <w:sz w:val="22"/>
          <w:szCs w:val="22"/>
        </w:rPr>
        <w:t>, vol. 23, no. 5, July 2009, pp. 698–716, https://doi.org/10.1002/acp.1501.</w:t>
      </w:r>
    </w:p>
    <w:p w14:paraId="7D08778E"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 “The Cognitive Interview: Inexperienced Police Officers’ Perceptions of Their Witness/Victim Interviewing Practices.” </w:t>
      </w:r>
      <w:r w:rsidRPr="00F06EFA">
        <w:rPr>
          <w:i/>
          <w:iCs/>
          <w:sz w:val="22"/>
          <w:szCs w:val="22"/>
        </w:rPr>
        <w:t>Legal and Criminological Psychology</w:t>
      </w:r>
      <w:r w:rsidRPr="00F06EFA">
        <w:rPr>
          <w:sz w:val="22"/>
          <w:szCs w:val="22"/>
        </w:rPr>
        <w:t>, vol. 13, no. 1, Feb. 2008, pp. 59–70, https://doi.org/10.1348/135532506x162498.</w:t>
      </w:r>
    </w:p>
    <w:p w14:paraId="48DF7108"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 “The Cognitive Interview: Novice Police Officers’ Witness/Victim Interviewing Practices.” </w:t>
      </w:r>
      <w:r w:rsidRPr="00F06EFA">
        <w:rPr>
          <w:i/>
          <w:iCs/>
          <w:sz w:val="22"/>
          <w:szCs w:val="22"/>
        </w:rPr>
        <w:t>Psychology, Crime &amp; Law</w:t>
      </w:r>
      <w:r w:rsidRPr="00F06EFA">
        <w:rPr>
          <w:sz w:val="22"/>
          <w:szCs w:val="22"/>
        </w:rPr>
        <w:t>, vol. 15, no. 8, Oct. 2009, pp. 679–696, https://doi.org/10.1080/10683160802203963.</w:t>
      </w:r>
    </w:p>
    <w:p w14:paraId="3F000FDB"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lastRenderedPageBreak/>
        <w:t xml:space="preserve">De Oviedo España, Universidad, et al. </w:t>
      </w:r>
      <w:r w:rsidRPr="00F06EFA">
        <w:rPr>
          <w:i/>
          <w:iCs/>
          <w:sz w:val="22"/>
          <w:szCs w:val="22"/>
        </w:rPr>
        <w:t>What Works for Serious Juvenile Offenders? A Systematic Review</w:t>
      </w:r>
      <w:r w:rsidRPr="00F06EFA">
        <w:rPr>
          <w:sz w:val="22"/>
          <w:szCs w:val="22"/>
        </w:rPr>
        <w:t>. 2006.</w:t>
      </w:r>
    </w:p>
    <w:p w14:paraId="006D1722"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End Violence Against Women. “Almost Half of Women Have Less Trust in Police Following Sarah Everard Murder.” </w:t>
      </w:r>
      <w:r w:rsidRPr="00F06EFA">
        <w:rPr>
          <w:i/>
          <w:iCs/>
          <w:sz w:val="22"/>
          <w:szCs w:val="22"/>
        </w:rPr>
        <w:t>END VIOLENCE against WOMEN</w:t>
      </w:r>
      <w:r w:rsidRPr="00F06EFA">
        <w:rPr>
          <w:sz w:val="22"/>
          <w:szCs w:val="22"/>
        </w:rPr>
        <w:t>, 18 Nov. 2021, www.endviolenceagainstwomen.org.uk/almost-half-of-women-have-less-trust-in-police-following-sarah-everard-murder/.</w:t>
      </w:r>
    </w:p>
    <w:p w14:paraId="741D2D45"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Fielding, Nigel, and Martin Innes. “Reassurance Policing, Community Policing and Measuring Police Performance.” </w:t>
      </w:r>
      <w:r w:rsidRPr="00F06EFA">
        <w:rPr>
          <w:i/>
          <w:iCs/>
          <w:sz w:val="22"/>
          <w:szCs w:val="22"/>
        </w:rPr>
        <w:t>Policing and Society</w:t>
      </w:r>
      <w:r w:rsidRPr="00F06EFA">
        <w:rPr>
          <w:sz w:val="22"/>
          <w:szCs w:val="22"/>
        </w:rPr>
        <w:t>, vol. 16, no. 2, June 2006, pp. 127–145, https://doi.org/10.1080/10439460600662122. Accessed 17 Dec. 2019.</w:t>
      </w:r>
    </w:p>
    <w:p w14:paraId="1E5E9992"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Fisher, Ronald P, and Edward R Geiselman. </w:t>
      </w:r>
      <w:r w:rsidRPr="00F06EFA">
        <w:rPr>
          <w:i/>
          <w:iCs/>
          <w:sz w:val="22"/>
          <w:szCs w:val="22"/>
        </w:rPr>
        <w:t xml:space="preserve">Memory-Enhancing Techniques for Investigative </w:t>
      </w:r>
      <w:proofErr w:type="gramStart"/>
      <w:r w:rsidRPr="00F06EFA">
        <w:rPr>
          <w:i/>
          <w:iCs/>
          <w:sz w:val="22"/>
          <w:szCs w:val="22"/>
        </w:rPr>
        <w:t>Interviewing :</w:t>
      </w:r>
      <w:proofErr w:type="gramEnd"/>
      <w:r w:rsidRPr="00F06EFA">
        <w:rPr>
          <w:i/>
          <w:iCs/>
          <w:sz w:val="22"/>
          <w:szCs w:val="22"/>
        </w:rPr>
        <w:t xml:space="preserve"> The Cognitive Interview</w:t>
      </w:r>
      <w:r w:rsidRPr="00F06EFA">
        <w:rPr>
          <w:sz w:val="22"/>
          <w:szCs w:val="22"/>
        </w:rPr>
        <w:t>. Springfield (Ill.), Charles C. Thomas, 1992.</w:t>
      </w:r>
    </w:p>
    <w:p w14:paraId="2E362B77"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Fisher, Ronald P., and R. Edward Geiselman. “The Cognitive Interview Method of Conducting Police Interviews: Eliciting Extensive Information and Promoting Therapeutic Jurisprudence.” </w:t>
      </w:r>
      <w:r w:rsidRPr="00F06EFA">
        <w:rPr>
          <w:i/>
          <w:iCs/>
          <w:sz w:val="22"/>
          <w:szCs w:val="22"/>
        </w:rPr>
        <w:t>International Journal of Law and Psychiatry</w:t>
      </w:r>
      <w:r w:rsidRPr="00F06EFA">
        <w:rPr>
          <w:sz w:val="22"/>
          <w:szCs w:val="22"/>
        </w:rPr>
        <w:t>, vol. 33, no. 5-6, Nov. 2010, pp. 321–328, https://doi.org/10.1016/j.ijlp.2010.09.004.</w:t>
      </w:r>
    </w:p>
    <w:p w14:paraId="6F2E3B43"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Gerard, Liz. “Villains of Nicola Bulley Media Coverage Were on Social Media, but Press Has Lessons to Learn.” </w:t>
      </w:r>
      <w:r w:rsidRPr="00F06EFA">
        <w:rPr>
          <w:i/>
          <w:iCs/>
          <w:sz w:val="22"/>
          <w:szCs w:val="22"/>
        </w:rPr>
        <w:t>Press Gazette</w:t>
      </w:r>
      <w:r w:rsidRPr="00F06EFA">
        <w:rPr>
          <w:sz w:val="22"/>
          <w:szCs w:val="22"/>
        </w:rPr>
        <w:t>, 22 Feb. 2023, pressgazette.co.uk/comment-analysis/villains-of-nicola-bulley-media-coverage-were-on-social-media-but-press-has-lessons-to-learn/.</w:t>
      </w:r>
    </w:p>
    <w:p w14:paraId="5BA45AAC"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Greenwood, Peter. “Prevention and Intervention Programs for Juvenile Offenders.” </w:t>
      </w:r>
      <w:r w:rsidRPr="00F06EFA">
        <w:rPr>
          <w:i/>
          <w:iCs/>
          <w:sz w:val="22"/>
          <w:szCs w:val="22"/>
        </w:rPr>
        <w:t>The Future of Children</w:t>
      </w:r>
      <w:r w:rsidRPr="00F06EFA">
        <w:rPr>
          <w:sz w:val="22"/>
          <w:szCs w:val="22"/>
        </w:rPr>
        <w:t>, vol. 18, no. 2, 2008, pp. 185–210, www.jstor.org/stable/20179984.</w:t>
      </w:r>
    </w:p>
    <w:p w14:paraId="4B375086"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Grieve, John, et al. “The Organisational Culture of the Police.” </w:t>
      </w:r>
      <w:r w:rsidRPr="00F06EFA">
        <w:rPr>
          <w:i/>
          <w:iCs/>
          <w:sz w:val="22"/>
          <w:szCs w:val="22"/>
        </w:rPr>
        <w:t>SAGE Knowledge</w:t>
      </w:r>
      <w:r w:rsidRPr="00F06EFA">
        <w:rPr>
          <w:sz w:val="22"/>
          <w:szCs w:val="22"/>
        </w:rPr>
        <w:t>, SAGE Publications Ltd, 2007, sk.sagepub.com/books/policing/n27.xml.</w:t>
      </w:r>
    </w:p>
    <w:p w14:paraId="24190EEE"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Higgins, Andy. </w:t>
      </w:r>
      <w:r w:rsidRPr="00F06EFA">
        <w:rPr>
          <w:i/>
          <w:iCs/>
          <w:sz w:val="22"/>
          <w:szCs w:val="22"/>
        </w:rPr>
        <w:t>THE STRATEGIC REVIEW of POLICING in ENGLAND and WALES POLICING and the PUBLIC: UNDERSTANDING PUBLIC PRIORITIES, ATTITUDES and EXPECTATIONS</w:t>
      </w:r>
      <w:r w:rsidRPr="00F06EFA">
        <w:rPr>
          <w:sz w:val="22"/>
          <w:szCs w:val="22"/>
        </w:rPr>
        <w:t>. 2020.</w:t>
      </w:r>
    </w:p>
    <w:p w14:paraId="705E89AA"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lastRenderedPageBreak/>
        <w:t xml:space="preserve">HMICFRS. “HMICFRS Publishes Public Perceptions of Policing in England and Wales 2018 Report.” </w:t>
      </w:r>
      <w:r w:rsidRPr="00F06EFA">
        <w:rPr>
          <w:i/>
          <w:iCs/>
          <w:sz w:val="22"/>
          <w:szCs w:val="22"/>
        </w:rPr>
        <w:t>BMG Research</w:t>
      </w:r>
      <w:r w:rsidRPr="00F06EFA">
        <w:rPr>
          <w:sz w:val="22"/>
          <w:szCs w:val="22"/>
        </w:rPr>
        <w:t>, 10 Jan. 2019, www.bmgresearch.co.uk/hmicfrs-publishes-public-perceptions-of-policing-in-england-and-wales-2018-report/.</w:t>
      </w:r>
    </w:p>
    <w:p w14:paraId="75D42A5A"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Home Office. “Definition of Policing by Consent.” </w:t>
      </w:r>
      <w:r w:rsidRPr="00F06EFA">
        <w:rPr>
          <w:i/>
          <w:iCs/>
          <w:sz w:val="22"/>
          <w:szCs w:val="22"/>
        </w:rPr>
        <w:t>Gov.uk</w:t>
      </w:r>
      <w:r w:rsidRPr="00F06EFA">
        <w:rPr>
          <w:sz w:val="22"/>
          <w:szCs w:val="22"/>
        </w:rPr>
        <w:t>, Home Office, 10 Dec. 2012, www.gov.uk/government/publications/policing-by-consent/definition-of-policing-by-consent.</w:t>
      </w:r>
    </w:p>
    <w:p w14:paraId="6769B89A"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Horsburgh, Lynette. “Nicola Bulley Review: Key Report Findings at a Glance.” </w:t>
      </w:r>
      <w:r w:rsidRPr="00F06EFA">
        <w:rPr>
          <w:i/>
          <w:iCs/>
          <w:sz w:val="22"/>
          <w:szCs w:val="22"/>
        </w:rPr>
        <w:t>BBC News</w:t>
      </w:r>
      <w:r w:rsidRPr="00F06EFA">
        <w:rPr>
          <w:sz w:val="22"/>
          <w:szCs w:val="22"/>
        </w:rPr>
        <w:t>, 21 Nov. 2023, www.bbc.co.uk/news/uk-england-lancashire-67486896.</w:t>
      </w:r>
    </w:p>
    <w:p w14:paraId="5DDBDA2A"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Hough, Mike. “Procedural Justice, Trust, and Institutional Legitimacy.” </w:t>
      </w:r>
      <w:r w:rsidRPr="00F06EFA">
        <w:rPr>
          <w:i/>
          <w:iCs/>
          <w:sz w:val="22"/>
          <w:szCs w:val="22"/>
        </w:rPr>
        <w:t>Policy Practice</w:t>
      </w:r>
      <w:r w:rsidRPr="00F06EFA">
        <w:rPr>
          <w:sz w:val="22"/>
          <w:szCs w:val="22"/>
        </w:rPr>
        <w:t>, vol. 4, 2010.</w:t>
      </w:r>
    </w:p>
    <w:p w14:paraId="564D5E84"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Howitt, Dennis. </w:t>
      </w:r>
      <w:r w:rsidRPr="00F06EFA">
        <w:rPr>
          <w:i/>
          <w:iCs/>
          <w:sz w:val="22"/>
          <w:szCs w:val="22"/>
        </w:rPr>
        <w:t>Crime, the Media, and the Law</w:t>
      </w:r>
      <w:r w:rsidRPr="00F06EFA">
        <w:rPr>
          <w:sz w:val="22"/>
          <w:szCs w:val="22"/>
        </w:rPr>
        <w:t xml:space="preserve">. Chichester </w:t>
      </w:r>
      <w:proofErr w:type="gramStart"/>
      <w:r w:rsidRPr="00F06EFA">
        <w:rPr>
          <w:sz w:val="22"/>
          <w:szCs w:val="22"/>
        </w:rPr>
        <w:t>England ;</w:t>
      </w:r>
      <w:proofErr w:type="gramEnd"/>
      <w:r w:rsidRPr="00F06EFA">
        <w:rPr>
          <w:sz w:val="22"/>
          <w:szCs w:val="22"/>
        </w:rPr>
        <w:t xml:space="preserve"> New York, Wiley, 1998.</w:t>
      </w:r>
    </w:p>
    <w:p w14:paraId="712FBEF3"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Jewkes, Yvonne. “Media and Crime.” </w:t>
      </w:r>
      <w:r w:rsidRPr="00F06EFA">
        <w:rPr>
          <w:i/>
          <w:iCs/>
          <w:sz w:val="22"/>
          <w:szCs w:val="22"/>
        </w:rPr>
        <w:t>SAGE Publications Ltd</w:t>
      </w:r>
      <w:r w:rsidRPr="00F06EFA">
        <w:rPr>
          <w:sz w:val="22"/>
          <w:szCs w:val="22"/>
        </w:rPr>
        <w:t>, 30 July 2019, uk.sagepub.com/</w:t>
      </w:r>
      <w:proofErr w:type="spellStart"/>
      <w:r w:rsidRPr="00F06EFA">
        <w:rPr>
          <w:sz w:val="22"/>
          <w:szCs w:val="22"/>
        </w:rPr>
        <w:t>en-gb</w:t>
      </w:r>
      <w:proofErr w:type="spellEnd"/>
      <w:r w:rsidRPr="00F06EFA">
        <w:rPr>
          <w:sz w:val="22"/>
          <w:szCs w:val="22"/>
        </w:rPr>
        <w:t>/</w:t>
      </w:r>
      <w:proofErr w:type="spellStart"/>
      <w:r w:rsidRPr="00F06EFA">
        <w:rPr>
          <w:sz w:val="22"/>
          <w:szCs w:val="22"/>
        </w:rPr>
        <w:t>eur</w:t>
      </w:r>
      <w:proofErr w:type="spellEnd"/>
      <w:r w:rsidRPr="00F06EFA">
        <w:rPr>
          <w:sz w:val="22"/>
          <w:szCs w:val="22"/>
        </w:rPr>
        <w:t>/media-and-crime/book240940.</w:t>
      </w:r>
    </w:p>
    <w:p w14:paraId="4FBD57AE"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Kebbell, Mark R., and Rebecca Milne. “Police Officers’ Perceptions of Eyewitness Performance in Forensic Investigations.” </w:t>
      </w:r>
      <w:r w:rsidRPr="00F06EFA">
        <w:rPr>
          <w:i/>
          <w:iCs/>
          <w:sz w:val="22"/>
          <w:szCs w:val="22"/>
        </w:rPr>
        <w:t>The Journal of Social Psychology</w:t>
      </w:r>
      <w:r w:rsidRPr="00F06EFA">
        <w:rPr>
          <w:sz w:val="22"/>
          <w:szCs w:val="22"/>
        </w:rPr>
        <w:t>, vol. 138, no. 3, June 1998, pp. 323–330, https://doi.org/10.1080/00224549809600384.</w:t>
      </w:r>
    </w:p>
    <w:p w14:paraId="2DD97B2A"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proofErr w:type="spellStart"/>
      <w:r w:rsidRPr="00F06EFA">
        <w:rPr>
          <w:sz w:val="22"/>
          <w:szCs w:val="22"/>
        </w:rPr>
        <w:t>Köhnken</w:t>
      </w:r>
      <w:proofErr w:type="spellEnd"/>
      <w:r w:rsidRPr="00F06EFA">
        <w:rPr>
          <w:sz w:val="22"/>
          <w:szCs w:val="22"/>
        </w:rPr>
        <w:t xml:space="preserve">, Günter, et al. “The Cognitive Interview: A Meta-Analysis.” </w:t>
      </w:r>
      <w:r w:rsidRPr="00F06EFA">
        <w:rPr>
          <w:i/>
          <w:iCs/>
          <w:sz w:val="22"/>
          <w:szCs w:val="22"/>
        </w:rPr>
        <w:t>Psychology, Crime &amp; Law</w:t>
      </w:r>
      <w:r w:rsidRPr="00F06EFA">
        <w:rPr>
          <w:sz w:val="22"/>
          <w:szCs w:val="22"/>
        </w:rPr>
        <w:t>, vol. 5, no. 1-2, Jan. 1999, pp. 3–27, www.tandfonline.com/doi/abs/10.1080/10683169908414991, https://doi.org/10.1080/10683169908414991.</w:t>
      </w:r>
    </w:p>
    <w:p w14:paraId="0B56C2A4"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Memon, Amina, et al. “Improving the Quality of the Police Interview: Can Training in the Use of Cognitive Techniques Help?” </w:t>
      </w:r>
      <w:r w:rsidRPr="00F06EFA">
        <w:rPr>
          <w:i/>
          <w:iCs/>
          <w:sz w:val="22"/>
          <w:szCs w:val="22"/>
        </w:rPr>
        <w:t>Policing and Society</w:t>
      </w:r>
      <w:r w:rsidRPr="00F06EFA">
        <w:rPr>
          <w:sz w:val="22"/>
          <w:szCs w:val="22"/>
        </w:rPr>
        <w:t>, vol. 5, no. 1, Feb. 1995, pp. 53–68, https://doi.org/10.1080/10439463.1995.9964710.</w:t>
      </w:r>
    </w:p>
    <w:p w14:paraId="1A75D2E4"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Myles, Heather. “The Police and </w:t>
      </w:r>
      <w:proofErr w:type="gramStart"/>
      <w:r w:rsidRPr="00F06EFA">
        <w:rPr>
          <w:sz w:val="22"/>
          <w:szCs w:val="22"/>
        </w:rPr>
        <w:t>Social Media</w:t>
      </w:r>
      <w:proofErr w:type="gramEnd"/>
      <w:r w:rsidRPr="00F06EFA">
        <w:rPr>
          <w:sz w:val="22"/>
          <w:szCs w:val="22"/>
        </w:rPr>
        <w:t xml:space="preserve">: Increased Accountability from a More Informed Public Sphere? | Request PDF.” </w:t>
      </w:r>
      <w:r w:rsidRPr="00F06EFA">
        <w:rPr>
          <w:i/>
          <w:iCs/>
          <w:sz w:val="22"/>
          <w:szCs w:val="22"/>
        </w:rPr>
        <w:t>Www.researchgate.net</w:t>
      </w:r>
      <w:r w:rsidRPr="00F06EFA">
        <w:rPr>
          <w:sz w:val="22"/>
          <w:szCs w:val="22"/>
        </w:rPr>
        <w:t>, July 2017, www.researchgate.net/publication/322244302_The_police_and_social_media_Increased_accountability_from_a_more_informed_public_sphere.</w:t>
      </w:r>
    </w:p>
    <w:p w14:paraId="352828FB"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lastRenderedPageBreak/>
        <w:t xml:space="preserve">Office, Home. “Crime in England and Wales 2009 to 2010: Findings from the British Crime Survey and Police Recorded Crime.” </w:t>
      </w:r>
      <w:r w:rsidRPr="00F06EFA">
        <w:rPr>
          <w:i/>
          <w:iCs/>
          <w:sz w:val="22"/>
          <w:szCs w:val="22"/>
        </w:rPr>
        <w:t>GOV.UK</w:t>
      </w:r>
      <w:r w:rsidRPr="00F06EFA">
        <w:rPr>
          <w:sz w:val="22"/>
          <w:szCs w:val="22"/>
        </w:rPr>
        <w:t>, 15 July 2010, www.gov.uk/government/statistics/crime-in-england-and-wales-2009-to-2010-findings-from-the-british-crime-survey-and-police-recorded-crime.</w:t>
      </w:r>
    </w:p>
    <w:p w14:paraId="60B8E8D8"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Piquero, Alex R., and Laurence Steinberg. “Public Preferences for Rehabilitation versus Incarceration of Juvenile Offenders.” </w:t>
      </w:r>
      <w:r w:rsidRPr="00F06EFA">
        <w:rPr>
          <w:i/>
          <w:iCs/>
          <w:sz w:val="22"/>
          <w:szCs w:val="22"/>
        </w:rPr>
        <w:t>Journal of Criminal Justice</w:t>
      </w:r>
      <w:r w:rsidRPr="00F06EFA">
        <w:rPr>
          <w:sz w:val="22"/>
          <w:szCs w:val="22"/>
        </w:rPr>
        <w:t>, vol. 38, no. 1, Jan. 2010, pp. 1–6, https://doi.org/10.1016/j.jcrimjus.2009.11.001.</w:t>
      </w:r>
    </w:p>
    <w:p w14:paraId="30C98122"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Shepard, Lorrie A. “Psychometricians’ Beliefs about Learning.” </w:t>
      </w:r>
      <w:r w:rsidRPr="00F06EFA">
        <w:rPr>
          <w:i/>
          <w:iCs/>
          <w:sz w:val="22"/>
          <w:szCs w:val="22"/>
        </w:rPr>
        <w:t>Educational Researcher</w:t>
      </w:r>
      <w:r w:rsidRPr="00F06EFA">
        <w:rPr>
          <w:sz w:val="22"/>
          <w:szCs w:val="22"/>
        </w:rPr>
        <w:t>, vol. 20, no. 7, Oct. 1991, pp. 2–16, https://doi.org/10.3102/0013189x020007002. Accessed 21 Nov. 2019.</w:t>
      </w:r>
    </w:p>
    <w:p w14:paraId="3D6BC6F3"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proofErr w:type="spellStart"/>
      <w:r w:rsidRPr="00F06EFA">
        <w:rPr>
          <w:sz w:val="22"/>
          <w:szCs w:val="22"/>
        </w:rPr>
        <w:t>Shilston</w:t>
      </w:r>
      <w:proofErr w:type="spellEnd"/>
      <w:r w:rsidRPr="00F06EFA">
        <w:rPr>
          <w:sz w:val="22"/>
          <w:szCs w:val="22"/>
        </w:rPr>
        <w:t xml:space="preserve">, T. G. “One, Two, Three, What Are We Still Counting For? Police Performance Regimes, Public Perceptions of Service </w:t>
      </w:r>
      <w:proofErr w:type="gramStart"/>
      <w:r w:rsidRPr="00F06EFA">
        <w:rPr>
          <w:sz w:val="22"/>
          <w:szCs w:val="22"/>
        </w:rPr>
        <w:t>Delivery</w:t>
      </w:r>
      <w:proofErr w:type="gramEnd"/>
      <w:r w:rsidRPr="00F06EFA">
        <w:rPr>
          <w:sz w:val="22"/>
          <w:szCs w:val="22"/>
        </w:rPr>
        <w:t xml:space="preserve"> and the Failure of Quantitative Measurement.” </w:t>
      </w:r>
      <w:r w:rsidRPr="00F06EFA">
        <w:rPr>
          <w:i/>
          <w:iCs/>
          <w:sz w:val="22"/>
          <w:szCs w:val="22"/>
        </w:rPr>
        <w:t>Policing</w:t>
      </w:r>
      <w:r w:rsidRPr="00F06EFA">
        <w:rPr>
          <w:sz w:val="22"/>
          <w:szCs w:val="22"/>
        </w:rPr>
        <w:t>, vol. 2, no. 3, 1 Jan. 2008, pp. 359–366, https://doi.org/10.1093/police/pan043. Accessed 7 Apr. 2020.</w:t>
      </w:r>
    </w:p>
    <w:p w14:paraId="6ABC2AB2"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Succar, Rayan, et al. “Understanding the Role of Media in the Formation of Public Sentiment towards the Police.” </w:t>
      </w:r>
      <w:r w:rsidRPr="00F06EFA">
        <w:rPr>
          <w:i/>
          <w:iCs/>
          <w:sz w:val="22"/>
          <w:szCs w:val="22"/>
        </w:rPr>
        <w:t>Communications Psychology</w:t>
      </w:r>
      <w:r w:rsidRPr="00F06EFA">
        <w:rPr>
          <w:sz w:val="22"/>
          <w:szCs w:val="22"/>
        </w:rPr>
        <w:t>, vol. 2, no. 1, 7 Feb. 2024, pp. 1–17, www.nature.com/articles/s44271-024-00059-8#:~:text=Through%20positive%20police-community%20relationships%2C%20the%20police%20could%20disseminate, https://doi.org/10.1038/s44271-024-00059-8. Accessed 4 Mar. 2024.</w:t>
      </w:r>
    </w:p>
    <w:p w14:paraId="4FBEE75F"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Umbreit, Mark S. “Holding Juvenile Offenders Accountable: A Restorative Justice Perspective.” </w:t>
      </w:r>
      <w:r w:rsidRPr="00F06EFA">
        <w:rPr>
          <w:i/>
          <w:iCs/>
          <w:sz w:val="22"/>
          <w:szCs w:val="22"/>
        </w:rPr>
        <w:t>Juvenile and Family Court Journal</w:t>
      </w:r>
      <w:r w:rsidRPr="00F06EFA">
        <w:rPr>
          <w:sz w:val="22"/>
          <w:szCs w:val="22"/>
        </w:rPr>
        <w:t>, vol. 46, no. 2, Mar. 1995, pp. 31–42, https://doi.org/10.1111/j.1755-6988.1995.tb00815.x.</w:t>
      </w:r>
    </w:p>
    <w:p w14:paraId="69BF1940"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t xml:space="preserve">White, Michael D., et al. “Investigating the Impacts of a Global Pandemic and George Floyd’s Death on Crime and Other Features of Police Work.” </w:t>
      </w:r>
      <w:r w:rsidRPr="00F06EFA">
        <w:rPr>
          <w:i/>
          <w:iCs/>
          <w:sz w:val="22"/>
          <w:szCs w:val="22"/>
        </w:rPr>
        <w:t>Justice Quarterly</w:t>
      </w:r>
      <w:r w:rsidRPr="00F06EFA">
        <w:rPr>
          <w:sz w:val="22"/>
          <w:szCs w:val="22"/>
        </w:rPr>
        <w:t>, vol. 40, no. 2, 10 Mar. 2022, pp. 1–28, https://doi.org/10.1080/07418825.2021.2022740. Accessed 8 Apr. 2022.</w:t>
      </w:r>
    </w:p>
    <w:p w14:paraId="6338A21C" w14:textId="77777777" w:rsidR="00F06EFA" w:rsidRPr="00F06EFA" w:rsidRDefault="00F06EFA" w:rsidP="00F06EFA">
      <w:pPr>
        <w:pStyle w:val="NormalWeb"/>
        <w:numPr>
          <w:ilvl w:val="0"/>
          <w:numId w:val="1"/>
        </w:numPr>
        <w:spacing w:before="0" w:beforeAutospacing="0" w:after="0" w:afterAutospacing="0" w:line="480" w:lineRule="auto"/>
        <w:rPr>
          <w:sz w:val="22"/>
          <w:szCs w:val="22"/>
        </w:rPr>
      </w:pPr>
      <w:r w:rsidRPr="00F06EFA">
        <w:rPr>
          <w:sz w:val="22"/>
          <w:szCs w:val="22"/>
        </w:rPr>
        <w:lastRenderedPageBreak/>
        <w:t xml:space="preserve">Wilson, David, et al. </w:t>
      </w:r>
      <w:r w:rsidRPr="00F06EFA">
        <w:rPr>
          <w:i/>
          <w:iCs/>
          <w:sz w:val="22"/>
          <w:szCs w:val="22"/>
        </w:rPr>
        <w:t>Effectiveness of Restorative Justice Principles in Juvenile Justice: A Meta- Analysis</w:t>
      </w:r>
      <w:r w:rsidRPr="00F06EFA">
        <w:rPr>
          <w:sz w:val="22"/>
          <w:szCs w:val="22"/>
        </w:rPr>
        <w:t>. 2018.</w:t>
      </w:r>
    </w:p>
    <w:p w14:paraId="4EF56F8F" w14:textId="77777777" w:rsidR="00F06EFA" w:rsidRPr="00F06EFA" w:rsidRDefault="00F06EFA" w:rsidP="000B6392">
      <w:pPr>
        <w:rPr>
          <w:rFonts w:ascii="Times New Roman" w:hAnsi="Times New Roman" w:cs="Times New Roman"/>
          <w:b/>
          <w:bCs/>
        </w:rPr>
      </w:pPr>
    </w:p>
    <w:p w14:paraId="0788B17B" w14:textId="77777777" w:rsidR="00087F1F" w:rsidRPr="00F06EFA" w:rsidRDefault="00087F1F" w:rsidP="000B6392">
      <w:pPr>
        <w:rPr>
          <w:rFonts w:ascii="Times New Roman" w:hAnsi="Times New Roman" w:cs="Times New Roman"/>
          <w:b/>
          <w:bCs/>
        </w:rPr>
      </w:pPr>
    </w:p>
    <w:p w14:paraId="7834CC26" w14:textId="77777777" w:rsidR="00087F1F" w:rsidRPr="00F06EFA" w:rsidRDefault="00087F1F" w:rsidP="000B6392">
      <w:pPr>
        <w:rPr>
          <w:rFonts w:ascii="Times New Roman" w:hAnsi="Times New Roman" w:cs="Times New Roman"/>
          <w:b/>
          <w:bCs/>
        </w:rPr>
      </w:pPr>
    </w:p>
    <w:p w14:paraId="481D2B6C" w14:textId="77777777" w:rsidR="00087F1F" w:rsidRPr="00F06EFA" w:rsidRDefault="00087F1F" w:rsidP="000B6392">
      <w:pPr>
        <w:rPr>
          <w:rFonts w:ascii="Times New Roman" w:hAnsi="Times New Roman" w:cs="Times New Roman"/>
          <w:b/>
          <w:bCs/>
        </w:rPr>
      </w:pPr>
    </w:p>
    <w:p w14:paraId="7E9529B8" w14:textId="77777777" w:rsidR="00087F1F" w:rsidRPr="00F06EFA" w:rsidRDefault="00087F1F" w:rsidP="000B6392">
      <w:pPr>
        <w:rPr>
          <w:rFonts w:ascii="Times New Roman" w:hAnsi="Times New Roman" w:cs="Times New Roman"/>
          <w:b/>
          <w:bCs/>
        </w:rPr>
      </w:pPr>
    </w:p>
    <w:p w14:paraId="193F47D4" w14:textId="77777777" w:rsidR="00087F1F" w:rsidRPr="00F06EFA" w:rsidRDefault="00087F1F" w:rsidP="000B6392">
      <w:pPr>
        <w:rPr>
          <w:rFonts w:ascii="Times New Roman" w:hAnsi="Times New Roman" w:cs="Times New Roman"/>
          <w:b/>
          <w:bCs/>
        </w:rPr>
      </w:pPr>
    </w:p>
    <w:p w14:paraId="19A68E20" w14:textId="77777777" w:rsidR="00087F1F" w:rsidRPr="00F06EFA" w:rsidRDefault="00087F1F" w:rsidP="000B6392">
      <w:pPr>
        <w:rPr>
          <w:rFonts w:ascii="Times New Roman" w:hAnsi="Times New Roman" w:cs="Times New Roman"/>
          <w:b/>
          <w:bCs/>
        </w:rPr>
      </w:pPr>
    </w:p>
    <w:p w14:paraId="188A9978" w14:textId="77777777" w:rsidR="00087F1F" w:rsidRPr="00F06EFA" w:rsidRDefault="00087F1F" w:rsidP="000B6392">
      <w:pPr>
        <w:rPr>
          <w:rFonts w:ascii="Times New Roman" w:hAnsi="Times New Roman" w:cs="Times New Roman"/>
          <w:b/>
          <w:bCs/>
        </w:rPr>
      </w:pPr>
    </w:p>
    <w:p w14:paraId="4501352A" w14:textId="77777777" w:rsidR="00087F1F" w:rsidRPr="00F06EFA" w:rsidRDefault="00087F1F" w:rsidP="000B6392">
      <w:pPr>
        <w:rPr>
          <w:rFonts w:ascii="Times New Roman" w:hAnsi="Times New Roman" w:cs="Times New Roman"/>
          <w:b/>
          <w:bCs/>
        </w:rPr>
      </w:pPr>
    </w:p>
    <w:p w14:paraId="64E186E6" w14:textId="77777777" w:rsidR="00087F1F" w:rsidRPr="00F06EFA" w:rsidRDefault="00087F1F" w:rsidP="000B6392">
      <w:pPr>
        <w:rPr>
          <w:rFonts w:ascii="Times New Roman" w:hAnsi="Times New Roman" w:cs="Times New Roman"/>
          <w:b/>
          <w:bCs/>
        </w:rPr>
      </w:pPr>
    </w:p>
    <w:p w14:paraId="34AB0551" w14:textId="77777777" w:rsidR="00087F1F" w:rsidRPr="00F06EFA" w:rsidRDefault="00087F1F" w:rsidP="000B6392">
      <w:pPr>
        <w:rPr>
          <w:rFonts w:ascii="Times New Roman" w:hAnsi="Times New Roman" w:cs="Times New Roman"/>
          <w:b/>
          <w:bCs/>
        </w:rPr>
      </w:pPr>
    </w:p>
    <w:p w14:paraId="7D555F0A" w14:textId="77777777" w:rsidR="00087F1F" w:rsidRPr="00F06EFA" w:rsidRDefault="00087F1F" w:rsidP="000B6392">
      <w:pPr>
        <w:rPr>
          <w:rFonts w:ascii="Times New Roman" w:hAnsi="Times New Roman" w:cs="Times New Roman"/>
          <w:b/>
          <w:bCs/>
        </w:rPr>
      </w:pPr>
    </w:p>
    <w:p w14:paraId="6713B673" w14:textId="77777777" w:rsidR="00087F1F" w:rsidRPr="00F06EFA" w:rsidRDefault="00087F1F" w:rsidP="000B6392">
      <w:pPr>
        <w:rPr>
          <w:rFonts w:ascii="Times New Roman" w:hAnsi="Times New Roman" w:cs="Times New Roman"/>
          <w:b/>
          <w:bCs/>
        </w:rPr>
      </w:pPr>
    </w:p>
    <w:p w14:paraId="355442AC" w14:textId="77777777" w:rsidR="00AE66CD" w:rsidRPr="00F06EFA" w:rsidRDefault="00AE66CD" w:rsidP="000B6392">
      <w:pPr>
        <w:rPr>
          <w:rFonts w:ascii="Times New Roman" w:hAnsi="Times New Roman" w:cs="Times New Roman"/>
          <w:b/>
          <w:bCs/>
        </w:rPr>
      </w:pPr>
    </w:p>
    <w:p w14:paraId="027619DA" w14:textId="77777777" w:rsidR="00AE66CD" w:rsidRPr="00F06EFA" w:rsidRDefault="00AE66CD" w:rsidP="000B6392">
      <w:pPr>
        <w:rPr>
          <w:rFonts w:ascii="Times New Roman" w:hAnsi="Times New Roman" w:cs="Times New Roman"/>
          <w:b/>
          <w:bCs/>
        </w:rPr>
      </w:pPr>
    </w:p>
    <w:p w14:paraId="7A4BFB9B" w14:textId="77777777" w:rsidR="00AE66CD" w:rsidRPr="00F06EFA" w:rsidRDefault="00AE66CD" w:rsidP="000B6392">
      <w:pPr>
        <w:rPr>
          <w:rFonts w:ascii="Times New Roman" w:hAnsi="Times New Roman" w:cs="Times New Roman"/>
          <w:b/>
          <w:bCs/>
        </w:rPr>
      </w:pPr>
    </w:p>
    <w:p w14:paraId="0B55C3D2" w14:textId="77777777" w:rsidR="00087F1F" w:rsidRPr="00F06EFA" w:rsidRDefault="00087F1F" w:rsidP="000B6392">
      <w:pPr>
        <w:rPr>
          <w:rFonts w:ascii="Times New Roman" w:hAnsi="Times New Roman" w:cs="Times New Roman"/>
          <w:b/>
          <w:bCs/>
        </w:rPr>
      </w:pPr>
    </w:p>
    <w:p w14:paraId="59173D00" w14:textId="77777777" w:rsidR="00AE66CD" w:rsidRPr="00F06EFA" w:rsidRDefault="00AE66CD" w:rsidP="000B6392">
      <w:pPr>
        <w:rPr>
          <w:rFonts w:ascii="Times New Roman" w:hAnsi="Times New Roman" w:cs="Times New Roman"/>
          <w:b/>
          <w:bCs/>
        </w:rPr>
      </w:pPr>
    </w:p>
    <w:sectPr w:rsidR="00AE66CD" w:rsidRPr="00F06E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5A0474"/>
    <w:multiLevelType w:val="hybridMultilevel"/>
    <w:tmpl w:val="E9E81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683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392"/>
    <w:rsid w:val="00015D17"/>
    <w:rsid w:val="00087F1F"/>
    <w:rsid w:val="00092316"/>
    <w:rsid w:val="000B6392"/>
    <w:rsid w:val="001D49BC"/>
    <w:rsid w:val="003142D7"/>
    <w:rsid w:val="003B63E5"/>
    <w:rsid w:val="004F0968"/>
    <w:rsid w:val="00501847"/>
    <w:rsid w:val="006376F3"/>
    <w:rsid w:val="00660250"/>
    <w:rsid w:val="007B37F9"/>
    <w:rsid w:val="008D1068"/>
    <w:rsid w:val="00A12374"/>
    <w:rsid w:val="00A2535F"/>
    <w:rsid w:val="00AB73D1"/>
    <w:rsid w:val="00AE66CD"/>
    <w:rsid w:val="00B6509C"/>
    <w:rsid w:val="00BB6D73"/>
    <w:rsid w:val="00C524B2"/>
    <w:rsid w:val="00CC706C"/>
    <w:rsid w:val="00CD110E"/>
    <w:rsid w:val="00CE6EEC"/>
    <w:rsid w:val="00D3570B"/>
    <w:rsid w:val="00D54179"/>
    <w:rsid w:val="00DA6BDB"/>
    <w:rsid w:val="00E15844"/>
    <w:rsid w:val="00F06EFA"/>
    <w:rsid w:val="00F116B9"/>
    <w:rsid w:val="00FD3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A9E32"/>
  <w15:chartTrackingRefBased/>
  <w15:docId w15:val="{E0304088-73DE-4BEB-BC47-5079EA2AB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392"/>
  </w:style>
  <w:style w:type="paragraph" w:styleId="Heading1">
    <w:name w:val="heading 1"/>
    <w:basedOn w:val="Normal"/>
    <w:link w:val="Heading1Char"/>
    <w:uiPriority w:val="9"/>
    <w:qFormat/>
    <w:rsid w:val="00F06EF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376F3"/>
    <w:pPr>
      <w:autoSpaceDE w:val="0"/>
      <w:autoSpaceDN w:val="0"/>
      <w:adjustRightInd w:val="0"/>
      <w:spacing w:after="0" w:line="240" w:lineRule="auto"/>
    </w:pPr>
    <w:rPr>
      <w:rFonts w:ascii="Arial" w:hAnsi="Arial" w:cs="Arial"/>
      <w:color w:val="000000"/>
      <w:kern w:val="0"/>
      <w:sz w:val="24"/>
      <w:szCs w:val="24"/>
    </w:rPr>
  </w:style>
  <w:style w:type="character" w:customStyle="1" w:styleId="Heading1Char">
    <w:name w:val="Heading 1 Char"/>
    <w:basedOn w:val="DefaultParagraphFont"/>
    <w:link w:val="Heading1"/>
    <w:uiPriority w:val="9"/>
    <w:rsid w:val="00F06EF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F06E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150284">
      <w:bodyDiv w:val="1"/>
      <w:marLeft w:val="0"/>
      <w:marRight w:val="0"/>
      <w:marTop w:val="0"/>
      <w:marBottom w:val="0"/>
      <w:divBdr>
        <w:top w:val="none" w:sz="0" w:space="0" w:color="auto"/>
        <w:left w:val="none" w:sz="0" w:space="0" w:color="auto"/>
        <w:bottom w:val="none" w:sz="0" w:space="0" w:color="auto"/>
        <w:right w:val="none" w:sz="0" w:space="0" w:color="auto"/>
      </w:divBdr>
      <w:divsChild>
        <w:div w:id="16509595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5350</Words>
  <Characters>30498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Hazeldine,George swp8319</dc:creator>
  <cp:keywords/>
  <dc:description/>
  <cp:lastModifiedBy>Hazeldine,George swp8319</cp:lastModifiedBy>
  <cp:revision>4</cp:revision>
  <dcterms:created xsi:type="dcterms:W3CDTF">2024-03-04T13:35:00Z</dcterms:created>
  <dcterms:modified xsi:type="dcterms:W3CDTF">2024-03-04T13:49:00Z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2024-02-18T01:54:11Z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d568966b-5ef9-4935-9c4e-b68ca9b63110</vt:lpwstr>
  </property>
  <property fmtid="{D5CDD505-2E9C-101B-9397-08002B2CF9AE}" pid="8" name="MSIP_Label_66cf8fe5-b7b7-4df7-b38d-1c61ac2f6639_ContentBits">
    <vt:lpwstr>0</vt:lpwstr>
  </property>
</Properties>
</file>