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185B1F" w14:textId="77777777" w:rsidR="004772F2" w:rsidRPr="004772F2" w:rsidRDefault="004772F2" w:rsidP="004772F2">
      <w:pPr>
        <w:tabs>
          <w:tab w:val="center" w:pos="4513"/>
          <w:tab w:val="right" w:pos="9026"/>
        </w:tabs>
        <w:spacing w:after="0" w:line="240" w:lineRule="auto"/>
        <w:jc w:val="left"/>
        <w:rPr>
          <w:rFonts w:ascii="Calibri" w:eastAsia="Calibri" w:hAnsi="Calibri" w:cs="Times New Roman"/>
          <w:sz w:val="22"/>
          <w:lang w:val="en-US"/>
        </w:rPr>
      </w:pPr>
      <w:r w:rsidRPr="004772F2">
        <w:rPr>
          <w:rFonts w:ascii="Calibri" w:eastAsia="Calibri" w:hAnsi="Calibri" w:cs="Times New Roman"/>
          <w:sz w:val="22"/>
          <w:lang w:val="en-US"/>
        </w:rPr>
        <w:t xml:space="preserve">Student </w:t>
      </w:r>
      <w:proofErr w:type="gramStart"/>
      <w:r w:rsidRPr="004772F2">
        <w:rPr>
          <w:rFonts w:ascii="Calibri" w:eastAsia="Calibri" w:hAnsi="Calibri" w:cs="Times New Roman"/>
          <w:sz w:val="22"/>
          <w:lang w:val="en-US"/>
        </w:rPr>
        <w:t>name :</w:t>
      </w:r>
      <w:proofErr w:type="gramEnd"/>
      <w:r w:rsidRPr="004772F2">
        <w:rPr>
          <w:rFonts w:ascii="Calibri" w:eastAsia="Calibri" w:hAnsi="Calibri" w:cs="Times New Roman"/>
          <w:sz w:val="22"/>
          <w:lang w:val="en-US"/>
        </w:rPr>
        <w:t xml:space="preserve"> Nikola Bachvarov</w:t>
      </w:r>
    </w:p>
    <w:p w14:paraId="356C5588" w14:textId="77777777" w:rsidR="004772F2" w:rsidRPr="004772F2" w:rsidRDefault="004772F2" w:rsidP="004772F2">
      <w:pPr>
        <w:tabs>
          <w:tab w:val="center" w:pos="4513"/>
          <w:tab w:val="right" w:pos="9026"/>
        </w:tabs>
        <w:spacing w:after="0" w:line="240" w:lineRule="auto"/>
        <w:jc w:val="left"/>
        <w:rPr>
          <w:rFonts w:ascii="Calibri" w:eastAsia="Calibri" w:hAnsi="Calibri" w:cs="Times New Roman"/>
          <w:sz w:val="22"/>
          <w:lang w:val="en-US"/>
        </w:rPr>
      </w:pPr>
      <w:r w:rsidRPr="004772F2">
        <w:rPr>
          <w:rFonts w:ascii="Calibri" w:eastAsia="Calibri" w:hAnsi="Calibri" w:cs="Times New Roman"/>
          <w:sz w:val="22"/>
          <w:lang w:val="en-US"/>
        </w:rPr>
        <w:t>Student number :1914252</w:t>
      </w:r>
    </w:p>
    <w:p w14:paraId="354B48B7" w14:textId="2431542C" w:rsidR="004772F2" w:rsidRPr="004772F2" w:rsidRDefault="004772F2" w:rsidP="004772F2">
      <w:pPr>
        <w:tabs>
          <w:tab w:val="center" w:pos="4513"/>
          <w:tab w:val="right" w:pos="9026"/>
        </w:tabs>
        <w:spacing w:after="0" w:line="240" w:lineRule="auto"/>
        <w:jc w:val="left"/>
        <w:rPr>
          <w:rFonts w:ascii="Calibri" w:eastAsia="Calibri" w:hAnsi="Calibri" w:cs="Times New Roman"/>
          <w:sz w:val="22"/>
          <w:lang w:val="en-US"/>
        </w:rPr>
      </w:pPr>
      <w:r w:rsidRPr="004772F2">
        <w:rPr>
          <w:rFonts w:ascii="Calibri" w:eastAsia="Calibri" w:hAnsi="Calibri" w:cs="Times New Roman"/>
          <w:sz w:val="22"/>
          <w:lang w:val="en-US"/>
        </w:rPr>
        <w:t xml:space="preserve">Lecture </w:t>
      </w:r>
      <w:proofErr w:type="gramStart"/>
      <w:r w:rsidRPr="004772F2">
        <w:rPr>
          <w:rFonts w:ascii="Calibri" w:eastAsia="Calibri" w:hAnsi="Calibri" w:cs="Times New Roman"/>
          <w:sz w:val="22"/>
          <w:lang w:val="en-US"/>
        </w:rPr>
        <w:t>name :</w:t>
      </w:r>
      <w:proofErr w:type="gramEnd"/>
      <w:r w:rsidRPr="004772F2">
        <w:rPr>
          <w:rFonts w:ascii="Calibri" w:eastAsia="Calibri" w:hAnsi="Calibri" w:cs="Times New Roman"/>
          <w:sz w:val="22"/>
          <w:lang w:val="en-US"/>
        </w:rPr>
        <w:t xml:space="preserve"> Zainab</w:t>
      </w:r>
    </w:p>
    <w:p w14:paraId="3306189A" w14:textId="77777777" w:rsidR="008768BF" w:rsidRDefault="008768BF" w:rsidP="008768BF">
      <w:pPr>
        <w:jc w:val="center"/>
        <w:rPr>
          <w:b/>
          <w:sz w:val="56"/>
        </w:rPr>
      </w:pPr>
    </w:p>
    <w:p w14:paraId="0BEA9800" w14:textId="77777777" w:rsidR="008768BF" w:rsidRDefault="008768BF" w:rsidP="008768BF">
      <w:pPr>
        <w:jc w:val="center"/>
        <w:rPr>
          <w:b/>
          <w:sz w:val="56"/>
        </w:rPr>
      </w:pPr>
      <w:r w:rsidRPr="008768BF">
        <w:rPr>
          <w:b/>
          <w:sz w:val="56"/>
        </w:rPr>
        <w:t>Managing People</w:t>
      </w:r>
    </w:p>
    <w:p w14:paraId="41D5F97D" w14:textId="77777777" w:rsidR="00E01939" w:rsidRDefault="00E01939" w:rsidP="008768BF">
      <w:pPr>
        <w:jc w:val="center"/>
        <w:rPr>
          <w:b/>
          <w:sz w:val="56"/>
        </w:rPr>
      </w:pPr>
      <w:r w:rsidRPr="00E01939">
        <w:rPr>
          <w:b/>
          <w:sz w:val="56"/>
        </w:rPr>
        <w:t xml:space="preserve">LCBB5004 </w:t>
      </w:r>
    </w:p>
    <w:p w14:paraId="48D100CF" w14:textId="77777777" w:rsidR="00D723DB" w:rsidRDefault="00D723DB" w:rsidP="008768BF">
      <w:pPr>
        <w:jc w:val="center"/>
        <w:rPr>
          <w:b/>
          <w:sz w:val="56"/>
        </w:rPr>
      </w:pPr>
      <w:r>
        <w:rPr>
          <w:rFonts w:cs="Times New Roman"/>
          <w:sz w:val="40"/>
          <w:szCs w:val="52"/>
        </w:rPr>
        <w:t>Assessment 2</w:t>
      </w:r>
    </w:p>
    <w:p w14:paraId="1518DB38" w14:textId="77777777" w:rsidR="008768BF" w:rsidRDefault="008768BF">
      <w:pPr>
        <w:spacing w:line="276" w:lineRule="auto"/>
        <w:jc w:val="left"/>
        <w:rPr>
          <w:b/>
          <w:sz w:val="56"/>
        </w:rPr>
      </w:pPr>
      <w:r>
        <w:rPr>
          <w:b/>
          <w:sz w:val="56"/>
        </w:rPr>
        <w:br w:type="page"/>
      </w:r>
    </w:p>
    <w:sdt>
      <w:sdtPr>
        <w:rPr>
          <w:rFonts w:ascii="Times New Roman" w:eastAsiaTheme="minorHAnsi" w:hAnsi="Times New Roman" w:cstheme="minorBidi"/>
          <w:color w:val="auto"/>
          <w:sz w:val="24"/>
          <w:szCs w:val="22"/>
          <w:lang w:val="en-GB"/>
        </w:rPr>
        <w:id w:val="1605997459"/>
        <w:docPartObj>
          <w:docPartGallery w:val="Table of Contents"/>
          <w:docPartUnique/>
        </w:docPartObj>
      </w:sdtPr>
      <w:sdtEndPr>
        <w:rPr>
          <w:b/>
          <w:bCs/>
          <w:noProof/>
        </w:rPr>
      </w:sdtEndPr>
      <w:sdtContent>
        <w:p w14:paraId="759EBAE6" w14:textId="77777777" w:rsidR="00972DCA" w:rsidRDefault="00972DCA">
          <w:pPr>
            <w:pStyle w:val="a7"/>
          </w:pPr>
          <w:r>
            <w:t>Table of Contents</w:t>
          </w:r>
        </w:p>
        <w:p w14:paraId="6574F54D" w14:textId="77777777" w:rsidR="00972DCA" w:rsidRDefault="00972DCA">
          <w:pPr>
            <w:pStyle w:val="11"/>
            <w:tabs>
              <w:tab w:val="right" w:leader="dot" w:pos="9350"/>
            </w:tabs>
            <w:rPr>
              <w:noProof/>
            </w:rPr>
          </w:pPr>
          <w:r>
            <w:fldChar w:fldCharType="begin"/>
          </w:r>
          <w:r>
            <w:instrText xml:space="preserve"> TOC \o "1-3" \h \z \u </w:instrText>
          </w:r>
          <w:r>
            <w:fldChar w:fldCharType="separate"/>
          </w:r>
          <w:hyperlink w:anchor="_Toc91210176" w:history="1">
            <w:r w:rsidRPr="00E663D9">
              <w:rPr>
                <w:rStyle w:val="a8"/>
                <w:noProof/>
              </w:rPr>
              <w:t>Introduction</w:t>
            </w:r>
            <w:r>
              <w:rPr>
                <w:noProof/>
                <w:webHidden/>
              </w:rPr>
              <w:tab/>
            </w:r>
            <w:r>
              <w:rPr>
                <w:noProof/>
                <w:webHidden/>
              </w:rPr>
              <w:fldChar w:fldCharType="begin"/>
            </w:r>
            <w:r>
              <w:rPr>
                <w:noProof/>
                <w:webHidden/>
              </w:rPr>
              <w:instrText xml:space="preserve"> PAGEREF _Toc91210176 \h </w:instrText>
            </w:r>
            <w:r>
              <w:rPr>
                <w:noProof/>
                <w:webHidden/>
              </w:rPr>
            </w:r>
            <w:r>
              <w:rPr>
                <w:noProof/>
                <w:webHidden/>
              </w:rPr>
              <w:fldChar w:fldCharType="separate"/>
            </w:r>
            <w:r>
              <w:rPr>
                <w:noProof/>
                <w:webHidden/>
              </w:rPr>
              <w:t>1</w:t>
            </w:r>
            <w:r>
              <w:rPr>
                <w:noProof/>
                <w:webHidden/>
              </w:rPr>
              <w:fldChar w:fldCharType="end"/>
            </w:r>
          </w:hyperlink>
        </w:p>
        <w:p w14:paraId="52F36C9A" w14:textId="77777777" w:rsidR="00972DCA" w:rsidRDefault="001C0C0B">
          <w:pPr>
            <w:pStyle w:val="11"/>
            <w:tabs>
              <w:tab w:val="right" w:leader="dot" w:pos="9350"/>
            </w:tabs>
            <w:rPr>
              <w:noProof/>
            </w:rPr>
          </w:pPr>
          <w:hyperlink w:anchor="_Toc91210177" w:history="1">
            <w:r w:rsidR="00972DCA" w:rsidRPr="00E663D9">
              <w:rPr>
                <w:rStyle w:val="a8"/>
                <w:noProof/>
              </w:rPr>
              <w:t>Employee engagement definition and benefits</w:t>
            </w:r>
            <w:r w:rsidR="00972DCA">
              <w:rPr>
                <w:noProof/>
                <w:webHidden/>
              </w:rPr>
              <w:tab/>
            </w:r>
            <w:r w:rsidR="00972DCA">
              <w:rPr>
                <w:noProof/>
                <w:webHidden/>
              </w:rPr>
              <w:fldChar w:fldCharType="begin"/>
            </w:r>
            <w:r w:rsidR="00972DCA">
              <w:rPr>
                <w:noProof/>
                <w:webHidden/>
              </w:rPr>
              <w:instrText xml:space="preserve"> PAGEREF _Toc91210177 \h </w:instrText>
            </w:r>
            <w:r w:rsidR="00972DCA">
              <w:rPr>
                <w:noProof/>
                <w:webHidden/>
              </w:rPr>
            </w:r>
            <w:r w:rsidR="00972DCA">
              <w:rPr>
                <w:noProof/>
                <w:webHidden/>
              </w:rPr>
              <w:fldChar w:fldCharType="separate"/>
            </w:r>
            <w:r w:rsidR="00972DCA">
              <w:rPr>
                <w:noProof/>
                <w:webHidden/>
              </w:rPr>
              <w:t>2</w:t>
            </w:r>
            <w:r w:rsidR="00972DCA">
              <w:rPr>
                <w:noProof/>
                <w:webHidden/>
              </w:rPr>
              <w:fldChar w:fldCharType="end"/>
            </w:r>
          </w:hyperlink>
        </w:p>
        <w:p w14:paraId="5F9A43C8" w14:textId="77777777" w:rsidR="00972DCA" w:rsidRDefault="001C0C0B">
          <w:pPr>
            <w:pStyle w:val="11"/>
            <w:tabs>
              <w:tab w:val="right" w:leader="dot" w:pos="9350"/>
            </w:tabs>
            <w:rPr>
              <w:noProof/>
            </w:rPr>
          </w:pPr>
          <w:hyperlink w:anchor="_Toc91210178" w:history="1">
            <w:r w:rsidR="00972DCA" w:rsidRPr="00E663D9">
              <w:rPr>
                <w:rStyle w:val="a8"/>
                <w:noProof/>
              </w:rPr>
              <w:t>Drivers of employee engagement</w:t>
            </w:r>
            <w:r w:rsidR="00972DCA">
              <w:rPr>
                <w:noProof/>
                <w:webHidden/>
              </w:rPr>
              <w:tab/>
            </w:r>
            <w:r w:rsidR="00972DCA">
              <w:rPr>
                <w:noProof/>
                <w:webHidden/>
              </w:rPr>
              <w:fldChar w:fldCharType="begin"/>
            </w:r>
            <w:r w:rsidR="00972DCA">
              <w:rPr>
                <w:noProof/>
                <w:webHidden/>
              </w:rPr>
              <w:instrText xml:space="preserve"> PAGEREF _Toc91210178 \h </w:instrText>
            </w:r>
            <w:r w:rsidR="00972DCA">
              <w:rPr>
                <w:noProof/>
                <w:webHidden/>
              </w:rPr>
            </w:r>
            <w:r w:rsidR="00972DCA">
              <w:rPr>
                <w:noProof/>
                <w:webHidden/>
              </w:rPr>
              <w:fldChar w:fldCharType="separate"/>
            </w:r>
            <w:r w:rsidR="00972DCA">
              <w:rPr>
                <w:noProof/>
                <w:webHidden/>
              </w:rPr>
              <w:t>3</w:t>
            </w:r>
            <w:r w:rsidR="00972DCA">
              <w:rPr>
                <w:noProof/>
                <w:webHidden/>
              </w:rPr>
              <w:fldChar w:fldCharType="end"/>
            </w:r>
          </w:hyperlink>
        </w:p>
        <w:p w14:paraId="3C2748D1" w14:textId="77777777" w:rsidR="00972DCA" w:rsidRDefault="001C0C0B">
          <w:pPr>
            <w:pStyle w:val="11"/>
            <w:tabs>
              <w:tab w:val="right" w:leader="dot" w:pos="9350"/>
            </w:tabs>
            <w:rPr>
              <w:noProof/>
            </w:rPr>
          </w:pPr>
          <w:hyperlink w:anchor="_Toc91210179" w:history="1">
            <w:r w:rsidR="00972DCA" w:rsidRPr="00E663D9">
              <w:rPr>
                <w:rStyle w:val="a8"/>
                <w:noProof/>
              </w:rPr>
              <w:t>Employee engagement diagnostic tools</w:t>
            </w:r>
            <w:r w:rsidR="00972DCA">
              <w:rPr>
                <w:noProof/>
                <w:webHidden/>
              </w:rPr>
              <w:tab/>
            </w:r>
            <w:r w:rsidR="00972DCA">
              <w:rPr>
                <w:noProof/>
                <w:webHidden/>
              </w:rPr>
              <w:fldChar w:fldCharType="begin"/>
            </w:r>
            <w:r w:rsidR="00972DCA">
              <w:rPr>
                <w:noProof/>
                <w:webHidden/>
              </w:rPr>
              <w:instrText xml:space="preserve"> PAGEREF _Toc91210179 \h </w:instrText>
            </w:r>
            <w:r w:rsidR="00972DCA">
              <w:rPr>
                <w:noProof/>
                <w:webHidden/>
              </w:rPr>
            </w:r>
            <w:r w:rsidR="00972DCA">
              <w:rPr>
                <w:noProof/>
                <w:webHidden/>
              </w:rPr>
              <w:fldChar w:fldCharType="separate"/>
            </w:r>
            <w:r w:rsidR="00972DCA">
              <w:rPr>
                <w:noProof/>
                <w:webHidden/>
              </w:rPr>
              <w:t>5</w:t>
            </w:r>
            <w:r w:rsidR="00972DCA">
              <w:rPr>
                <w:noProof/>
                <w:webHidden/>
              </w:rPr>
              <w:fldChar w:fldCharType="end"/>
            </w:r>
          </w:hyperlink>
        </w:p>
        <w:p w14:paraId="4A2148C0" w14:textId="77777777" w:rsidR="00972DCA" w:rsidRDefault="001C0C0B">
          <w:pPr>
            <w:pStyle w:val="11"/>
            <w:tabs>
              <w:tab w:val="right" w:leader="dot" w:pos="9350"/>
            </w:tabs>
            <w:rPr>
              <w:noProof/>
            </w:rPr>
          </w:pPr>
          <w:hyperlink w:anchor="_Toc91210180" w:history="1">
            <w:r w:rsidR="00972DCA" w:rsidRPr="00E663D9">
              <w:rPr>
                <w:rStyle w:val="a8"/>
                <w:noProof/>
              </w:rPr>
              <w:t>Employee value proposition and future and previously covered strategy analysis</w:t>
            </w:r>
            <w:r w:rsidR="00972DCA">
              <w:rPr>
                <w:noProof/>
                <w:webHidden/>
              </w:rPr>
              <w:tab/>
            </w:r>
            <w:r w:rsidR="00972DCA">
              <w:rPr>
                <w:noProof/>
                <w:webHidden/>
              </w:rPr>
              <w:fldChar w:fldCharType="begin"/>
            </w:r>
            <w:r w:rsidR="00972DCA">
              <w:rPr>
                <w:noProof/>
                <w:webHidden/>
              </w:rPr>
              <w:instrText xml:space="preserve"> PAGEREF _Toc91210180 \h </w:instrText>
            </w:r>
            <w:r w:rsidR="00972DCA">
              <w:rPr>
                <w:noProof/>
                <w:webHidden/>
              </w:rPr>
            </w:r>
            <w:r w:rsidR="00972DCA">
              <w:rPr>
                <w:noProof/>
                <w:webHidden/>
              </w:rPr>
              <w:fldChar w:fldCharType="separate"/>
            </w:r>
            <w:r w:rsidR="00972DCA">
              <w:rPr>
                <w:noProof/>
                <w:webHidden/>
              </w:rPr>
              <w:t>6</w:t>
            </w:r>
            <w:r w:rsidR="00972DCA">
              <w:rPr>
                <w:noProof/>
                <w:webHidden/>
              </w:rPr>
              <w:fldChar w:fldCharType="end"/>
            </w:r>
          </w:hyperlink>
        </w:p>
        <w:p w14:paraId="79F0CAE2" w14:textId="77777777" w:rsidR="00972DCA" w:rsidRDefault="001C0C0B">
          <w:pPr>
            <w:pStyle w:val="11"/>
            <w:tabs>
              <w:tab w:val="right" w:leader="dot" w:pos="9350"/>
            </w:tabs>
            <w:rPr>
              <w:noProof/>
            </w:rPr>
          </w:pPr>
          <w:hyperlink w:anchor="_Toc91210181" w:history="1">
            <w:r w:rsidR="00972DCA" w:rsidRPr="00E663D9">
              <w:rPr>
                <w:rStyle w:val="a8"/>
                <w:noProof/>
              </w:rPr>
              <w:t>Conclusion</w:t>
            </w:r>
            <w:r w:rsidR="00972DCA">
              <w:rPr>
                <w:noProof/>
                <w:webHidden/>
              </w:rPr>
              <w:tab/>
            </w:r>
            <w:r w:rsidR="00972DCA">
              <w:rPr>
                <w:noProof/>
                <w:webHidden/>
              </w:rPr>
              <w:fldChar w:fldCharType="begin"/>
            </w:r>
            <w:r w:rsidR="00972DCA">
              <w:rPr>
                <w:noProof/>
                <w:webHidden/>
              </w:rPr>
              <w:instrText xml:space="preserve"> PAGEREF _Toc91210181 \h </w:instrText>
            </w:r>
            <w:r w:rsidR="00972DCA">
              <w:rPr>
                <w:noProof/>
                <w:webHidden/>
              </w:rPr>
            </w:r>
            <w:r w:rsidR="00972DCA">
              <w:rPr>
                <w:noProof/>
                <w:webHidden/>
              </w:rPr>
              <w:fldChar w:fldCharType="separate"/>
            </w:r>
            <w:r w:rsidR="00972DCA">
              <w:rPr>
                <w:noProof/>
                <w:webHidden/>
              </w:rPr>
              <w:t>8</w:t>
            </w:r>
            <w:r w:rsidR="00972DCA">
              <w:rPr>
                <w:noProof/>
                <w:webHidden/>
              </w:rPr>
              <w:fldChar w:fldCharType="end"/>
            </w:r>
          </w:hyperlink>
        </w:p>
        <w:p w14:paraId="25A437D7" w14:textId="77777777" w:rsidR="00972DCA" w:rsidRDefault="001C0C0B">
          <w:pPr>
            <w:pStyle w:val="11"/>
            <w:tabs>
              <w:tab w:val="right" w:leader="dot" w:pos="9350"/>
            </w:tabs>
            <w:rPr>
              <w:noProof/>
            </w:rPr>
          </w:pPr>
          <w:hyperlink w:anchor="_Toc91210182" w:history="1">
            <w:r w:rsidR="00972DCA" w:rsidRPr="00E663D9">
              <w:rPr>
                <w:rStyle w:val="a8"/>
                <w:noProof/>
              </w:rPr>
              <w:t>References</w:t>
            </w:r>
            <w:r w:rsidR="00972DCA">
              <w:rPr>
                <w:noProof/>
                <w:webHidden/>
              </w:rPr>
              <w:tab/>
            </w:r>
            <w:r w:rsidR="00972DCA">
              <w:rPr>
                <w:noProof/>
                <w:webHidden/>
              </w:rPr>
              <w:fldChar w:fldCharType="begin"/>
            </w:r>
            <w:r w:rsidR="00972DCA">
              <w:rPr>
                <w:noProof/>
                <w:webHidden/>
              </w:rPr>
              <w:instrText xml:space="preserve"> PAGEREF _Toc91210182 \h </w:instrText>
            </w:r>
            <w:r w:rsidR="00972DCA">
              <w:rPr>
                <w:noProof/>
                <w:webHidden/>
              </w:rPr>
            </w:r>
            <w:r w:rsidR="00972DCA">
              <w:rPr>
                <w:noProof/>
                <w:webHidden/>
              </w:rPr>
              <w:fldChar w:fldCharType="separate"/>
            </w:r>
            <w:r w:rsidR="00972DCA">
              <w:rPr>
                <w:noProof/>
                <w:webHidden/>
              </w:rPr>
              <w:t>9</w:t>
            </w:r>
            <w:r w:rsidR="00972DCA">
              <w:rPr>
                <w:noProof/>
                <w:webHidden/>
              </w:rPr>
              <w:fldChar w:fldCharType="end"/>
            </w:r>
          </w:hyperlink>
        </w:p>
        <w:p w14:paraId="27FEF0C6" w14:textId="77777777" w:rsidR="00972DCA" w:rsidRDefault="00972DCA">
          <w:r>
            <w:rPr>
              <w:b/>
              <w:bCs/>
              <w:noProof/>
            </w:rPr>
            <w:fldChar w:fldCharType="end"/>
          </w:r>
        </w:p>
      </w:sdtContent>
    </w:sdt>
    <w:p w14:paraId="7A67A236" w14:textId="77777777" w:rsidR="00550592" w:rsidRDefault="001C0C0B" w:rsidP="008768BF">
      <w:pPr>
        <w:pStyle w:val="1"/>
      </w:pPr>
    </w:p>
    <w:p w14:paraId="74C6D9FD" w14:textId="77777777" w:rsidR="008768BF" w:rsidRDefault="008768BF" w:rsidP="008768BF"/>
    <w:p w14:paraId="0BA5C02A" w14:textId="77777777" w:rsidR="008768BF" w:rsidRDefault="008768BF">
      <w:pPr>
        <w:spacing w:line="276" w:lineRule="auto"/>
        <w:jc w:val="left"/>
      </w:pPr>
      <w:r>
        <w:br w:type="page"/>
      </w:r>
    </w:p>
    <w:p w14:paraId="70C9CB78" w14:textId="77777777" w:rsidR="004F4B7D" w:rsidRDefault="004F4B7D" w:rsidP="008768BF">
      <w:pPr>
        <w:pStyle w:val="1"/>
        <w:sectPr w:rsidR="004F4B7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pPr>
    </w:p>
    <w:p w14:paraId="088FADFD" w14:textId="77777777" w:rsidR="00F415DC" w:rsidRDefault="008768BF" w:rsidP="008768BF">
      <w:pPr>
        <w:pStyle w:val="1"/>
      </w:pPr>
      <w:bookmarkStart w:id="0" w:name="_Toc91210176"/>
      <w:r>
        <w:lastRenderedPageBreak/>
        <w:t>Introduction</w:t>
      </w:r>
      <w:bookmarkEnd w:id="0"/>
    </w:p>
    <w:p w14:paraId="0B126BE6" w14:textId="77777777" w:rsidR="006966A9" w:rsidRDefault="00F415DC" w:rsidP="00F415DC">
      <w:r>
        <w:t xml:space="preserve">Human resources management has various vivid sectors to deal with and among them, employee engagement </w:t>
      </w:r>
      <w:r w:rsidR="00415175">
        <w:t>is the one to be discussed with much sincerity. Since this part of the human resource, activities include all the things related to how much an organisation is making use of organisational manpower and their abilities</w:t>
      </w:r>
      <w:r w:rsidR="0076560E">
        <w:t xml:space="preserve"> (Armstrong and Taylor, 2010)</w:t>
      </w:r>
      <w:r w:rsidR="00415175">
        <w:t xml:space="preserve">. This report’s intention includes the representation of all kinds of actions that are associated with employee engagement. In this report, a detailed case has been addressed on this major issue. So the report signified various </w:t>
      </w:r>
      <w:r w:rsidR="0030302C">
        <w:t xml:space="preserve">concepts related to employee engagement drivers as well as all the effects it tends to create on employees. It also portrayed some vital measurement tools in this regard and suggested a practical value proposition for employees. The report has helped to understand </w:t>
      </w:r>
      <w:proofErr w:type="spellStart"/>
      <w:r w:rsidR="0030302C">
        <w:t>esthetic</w:t>
      </w:r>
      <w:proofErr w:type="spellEnd"/>
      <w:r w:rsidR="0030302C">
        <w:t xml:space="preserve"> organisational strategic means for its employees so that a tendency to analyse future steps can also be perceived properly.</w:t>
      </w:r>
    </w:p>
    <w:p w14:paraId="5CC217BE" w14:textId="77777777" w:rsidR="006966A9" w:rsidRDefault="006966A9">
      <w:pPr>
        <w:spacing w:line="276" w:lineRule="auto"/>
        <w:jc w:val="left"/>
      </w:pPr>
      <w:r>
        <w:br w:type="page"/>
      </w:r>
    </w:p>
    <w:p w14:paraId="1D15AEEA" w14:textId="77777777" w:rsidR="00F415DC" w:rsidRDefault="006966A9" w:rsidP="006966A9">
      <w:pPr>
        <w:pStyle w:val="1"/>
      </w:pPr>
      <w:bookmarkStart w:id="1" w:name="_Toc91210177"/>
      <w:r>
        <w:lastRenderedPageBreak/>
        <w:t xml:space="preserve">Employee engagement definition and </w:t>
      </w:r>
      <w:r w:rsidR="00496DD2">
        <w:t>benefits</w:t>
      </w:r>
      <w:bookmarkEnd w:id="1"/>
    </w:p>
    <w:p w14:paraId="63E40725" w14:textId="77777777" w:rsidR="006966A9" w:rsidRDefault="001070CB" w:rsidP="006966A9">
      <w:r>
        <w:t xml:space="preserve">Employee engagement is the process of evaluating all the ways the human resource management department can use to understand how enthusiastic the working people in the organisation are to accomplish their assigned activities. As it is one of the most significant actions within the organisation in terms of retaining people, all actions related to it must be evaluated with priority and sincerity. </w:t>
      </w:r>
    </w:p>
    <w:p w14:paraId="3DF302DD" w14:textId="77777777" w:rsidR="00496DD2" w:rsidRDefault="00496DD2" w:rsidP="006966A9">
      <w:r>
        <w:rPr>
          <w:noProof/>
          <w:lang w:val="en-US"/>
        </w:rPr>
        <w:drawing>
          <wp:inline distT="0" distB="0" distL="0" distR="0" wp14:anchorId="0ED6B1B3" wp14:editId="5D6BCAF6">
            <wp:extent cx="5943600" cy="19405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he.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1940560"/>
                    </a:xfrm>
                    <a:prstGeom prst="rect">
                      <a:avLst/>
                    </a:prstGeom>
                  </pic:spPr>
                </pic:pic>
              </a:graphicData>
            </a:graphic>
          </wp:inline>
        </w:drawing>
      </w:r>
    </w:p>
    <w:p w14:paraId="2EC1ABC2" w14:textId="77777777" w:rsidR="00496DD2" w:rsidRDefault="00496DD2" w:rsidP="00496DD2">
      <w:pPr>
        <w:jc w:val="center"/>
      </w:pPr>
      <w:r>
        <w:t>Figure 1: Benefits of Employee Engagement</w:t>
      </w:r>
    </w:p>
    <w:p w14:paraId="56E6F24A" w14:textId="77777777" w:rsidR="00496DD2" w:rsidRDefault="00496DD2" w:rsidP="0076560E">
      <w:pPr>
        <w:jc w:val="center"/>
      </w:pPr>
      <w:r>
        <w:t>Source:</w:t>
      </w:r>
      <w:r w:rsidR="0076560E" w:rsidRPr="0076560E">
        <w:t xml:space="preserve"> </w:t>
      </w:r>
      <w:r w:rsidR="0076560E">
        <w:t>(TAYLOR, WOODHAMS, 2012)</w:t>
      </w:r>
    </w:p>
    <w:p w14:paraId="74E9DF4A" w14:textId="77777777" w:rsidR="001070CB" w:rsidRPr="006966A9" w:rsidRDefault="001070CB" w:rsidP="006966A9">
      <w:r>
        <w:t xml:space="preserve">The importance of employee engagement does not require any </w:t>
      </w:r>
      <w:r w:rsidR="009777F9">
        <w:t xml:space="preserve">brief discussion as it is known to all that people in the work environment can easily cooperate with the organisational actions only if they get the opportunity to showcase their knack. In the case of evaluating employee engagement within an organisation, it is quite appropriate to carry on numerous activities that will </w:t>
      </w:r>
      <w:r w:rsidR="00F5671B">
        <w:t xml:space="preserve">signify the dedication perceived </w:t>
      </w:r>
      <w:r w:rsidR="009B1C90">
        <w:t xml:space="preserve">by </w:t>
      </w:r>
      <w:r w:rsidR="00F5671B">
        <w:t xml:space="preserve">the organisation. </w:t>
      </w:r>
      <w:r w:rsidR="0052435C">
        <w:t xml:space="preserve">When an organisation ensures proper inspection of employee engagement, the employee activities become smooth because sense accountability gets risen by then. Besides, employee engagement helps an organisation to increase the pace of its operations due to the diligence of its people. They contribute more as well as they try to provide more values in the organisation which enhance the profitability. </w:t>
      </w:r>
      <w:r w:rsidR="00496DD2">
        <w:t xml:space="preserve">Moreover, it also helps employees to come up with unique and innovative approaches along with ensuring low attrition of resources. Moreover, </w:t>
      </w:r>
      <w:r w:rsidR="007668CC">
        <w:t>due to employee engagement, they can serve customers by having a good relationship with them.</w:t>
      </w:r>
    </w:p>
    <w:p w14:paraId="4B2814FD" w14:textId="77777777" w:rsidR="00747C7E" w:rsidRDefault="00747C7E" w:rsidP="00BA0CB2">
      <w:pPr>
        <w:pStyle w:val="1"/>
      </w:pPr>
      <w:bookmarkStart w:id="2" w:name="_Toc91210178"/>
      <w:r>
        <w:lastRenderedPageBreak/>
        <w:t>Drivers of employee engagement</w:t>
      </w:r>
      <w:bookmarkEnd w:id="2"/>
    </w:p>
    <w:p w14:paraId="5BBA1888" w14:textId="77777777" w:rsidR="00D70437" w:rsidRDefault="00D70437" w:rsidP="00D70437">
      <w:r>
        <w:t>The drivers of employee engagement are referred to as the potential action</w:t>
      </w:r>
      <w:r w:rsidR="00BC1024">
        <w:t>s</w:t>
      </w:r>
      <w:r>
        <w:t xml:space="preserve"> </w:t>
      </w:r>
      <w:r w:rsidR="00BC1024">
        <w:t xml:space="preserve">that are </w:t>
      </w:r>
      <w:r>
        <w:t xml:space="preserve">taken to ensure </w:t>
      </w:r>
      <w:r w:rsidR="00BC1024">
        <w:t>the organisational competencies in terms of using the employee abilities. Every organisation treats its people with the utmost dignity to ensure their continuous contribution to the organisation. This kind of driving spirit is highly appreciated in the organisation and also these are the facts that depict the organisational policies for internal improv</w:t>
      </w:r>
      <w:r w:rsidR="004D53CA">
        <w:t>e</w:t>
      </w:r>
      <w:r w:rsidR="00BC1024">
        <w:t>ments.</w:t>
      </w:r>
    </w:p>
    <w:p w14:paraId="0D4C0575" w14:textId="77777777" w:rsidR="00AC51AB" w:rsidRDefault="00AC51AB" w:rsidP="00D70437">
      <w:r>
        <w:rPr>
          <w:noProof/>
          <w:lang w:val="en-US"/>
        </w:rPr>
        <w:drawing>
          <wp:inline distT="0" distB="0" distL="0" distR="0" wp14:anchorId="0B561C48" wp14:editId="0187B2A1">
            <wp:extent cx="5686425" cy="2362200"/>
            <wp:effectExtent l="0" t="38100" r="0" b="571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87A0A22" w14:textId="77777777" w:rsidR="00AC51AB" w:rsidRDefault="00AC51AB" w:rsidP="00AC51AB">
      <w:pPr>
        <w:jc w:val="center"/>
      </w:pPr>
      <w:r>
        <w:t>Figure 2: Drivers of Employee Engagement</w:t>
      </w:r>
    </w:p>
    <w:p w14:paraId="3CE38FC5" w14:textId="77777777" w:rsidR="00AC51AB" w:rsidRDefault="00AC51AB" w:rsidP="0076560E">
      <w:pPr>
        <w:jc w:val="center"/>
      </w:pPr>
      <w:r>
        <w:t>Source:</w:t>
      </w:r>
      <w:r w:rsidR="0076560E" w:rsidRPr="0076560E">
        <w:t xml:space="preserve"> </w:t>
      </w:r>
      <w:r w:rsidR="0076560E">
        <w:t>(MARCHINGTON, WILKINSON, 2012)</w:t>
      </w:r>
    </w:p>
    <w:p w14:paraId="010F551B" w14:textId="77777777" w:rsidR="00AC51AB" w:rsidRDefault="00AC51AB" w:rsidP="00AC51AB">
      <w:r w:rsidRPr="003A45AC">
        <w:rPr>
          <w:b/>
        </w:rPr>
        <w:t>Training and career development:</w:t>
      </w:r>
      <w:r>
        <w:t xml:space="preserve"> In the given case, it is quite evident that the use of training and career development planning is highly required within an organisation so that the people working there can enhance their capacities to ensure a proper contribution in their respective job fields.</w:t>
      </w:r>
      <w:r w:rsidR="00C4691F">
        <w:t xml:space="preserve"> No organisation can make the best use of their employees without making their employees well-trained. In the given case, it is mentioned that the company arranged role restructuring for employees which will also help them to occupy an understanding of various operations within the company</w:t>
      </w:r>
      <w:r w:rsidR="0076560E" w:rsidRPr="0076560E">
        <w:t xml:space="preserve"> (</w:t>
      </w:r>
      <w:proofErr w:type="spellStart"/>
      <w:r w:rsidR="0076560E" w:rsidRPr="0076560E">
        <w:t>Widyawati</w:t>
      </w:r>
      <w:proofErr w:type="spellEnd"/>
      <w:r w:rsidR="0076560E" w:rsidRPr="0076560E">
        <w:t>, 2020)</w:t>
      </w:r>
      <w:r w:rsidR="00C4691F">
        <w:t>.</w:t>
      </w:r>
    </w:p>
    <w:p w14:paraId="4440ACCC" w14:textId="77777777" w:rsidR="00AC51AB" w:rsidRDefault="00AC51AB" w:rsidP="00AC51AB">
      <w:r w:rsidRPr="00EE7C77">
        <w:rPr>
          <w:b/>
        </w:rPr>
        <w:t>Performance and appraisal:</w:t>
      </w:r>
      <w:r w:rsidR="003A45AC">
        <w:t xml:space="preserve"> </w:t>
      </w:r>
      <w:r w:rsidR="00EE7C77">
        <w:t xml:space="preserve">In the given scenario, if the superiors are not conscious to provide employees with job appraisal, it will badly affect the performance standard of the company. If the employees are appraised for their good performance, they will get encouraged to bring out more </w:t>
      </w:r>
      <w:r w:rsidR="00EE7C77">
        <w:lastRenderedPageBreak/>
        <w:t xml:space="preserve">perfect performance from their activities. It will also make them inquisitive to look for innovative things in future. </w:t>
      </w:r>
    </w:p>
    <w:p w14:paraId="0031EC99" w14:textId="77777777" w:rsidR="00AC51AB" w:rsidRDefault="00AC51AB" w:rsidP="00AC51AB">
      <w:r w:rsidRPr="00E6233F">
        <w:rPr>
          <w:b/>
        </w:rPr>
        <w:t>Communication:</w:t>
      </w:r>
      <w:r w:rsidR="00EE7C77">
        <w:t xml:space="preserve"> </w:t>
      </w:r>
      <w:r w:rsidR="005D029D">
        <w:t xml:space="preserve">In the given case, a prominent part can be played by </w:t>
      </w:r>
      <w:r w:rsidR="000F5333">
        <w:t xml:space="preserve">the </w:t>
      </w:r>
      <w:r w:rsidR="005D029D">
        <w:t xml:space="preserve">communication aspect as </w:t>
      </w:r>
      <w:r w:rsidR="000F5333">
        <w:t>it will be tough for them to direct organisational operations without having internal contacts. A good interpersonal relationship needs especially when the company is encouraging the employees to execute works by staying at home. This type of virtual work environment requires full communication strength as well as strong employee activities.</w:t>
      </w:r>
      <w:r w:rsidR="00E6233F">
        <w:t xml:space="preserve"> Without any scope of deep communication, such a work environment </w:t>
      </w:r>
      <w:proofErr w:type="spellStart"/>
      <w:r w:rsidR="00E6233F">
        <w:t>can not</w:t>
      </w:r>
      <w:proofErr w:type="spellEnd"/>
      <w:r w:rsidR="00E6233F">
        <w:t xml:space="preserve"> be run. </w:t>
      </w:r>
    </w:p>
    <w:p w14:paraId="164E6A66" w14:textId="77777777" w:rsidR="00AC51AB" w:rsidRDefault="00AC51AB" w:rsidP="00AC51AB">
      <w:r w:rsidRPr="00CE6830">
        <w:rPr>
          <w:b/>
        </w:rPr>
        <w:t>Fair treatment:</w:t>
      </w:r>
      <w:r w:rsidR="00E6233F">
        <w:t xml:space="preserve"> If the given company tends to discriminate among people in the workplace, it will demotivate them. Moreover, it will be unfair to treat people partially in the company. It gives rise to internal conflict and employee turnover</w:t>
      </w:r>
      <w:r w:rsidR="0076560E" w:rsidRPr="0076560E">
        <w:t xml:space="preserve"> (</w:t>
      </w:r>
      <w:proofErr w:type="spellStart"/>
      <w:r w:rsidR="0076560E" w:rsidRPr="0076560E">
        <w:t>Widyawati</w:t>
      </w:r>
      <w:proofErr w:type="spellEnd"/>
      <w:r w:rsidR="0076560E" w:rsidRPr="0076560E">
        <w:t>, 2020)</w:t>
      </w:r>
      <w:r w:rsidR="00E6233F">
        <w:t xml:space="preserve">. </w:t>
      </w:r>
    </w:p>
    <w:p w14:paraId="5954831A" w14:textId="77777777" w:rsidR="00AC51AB" w:rsidRDefault="00AC51AB" w:rsidP="00AC51AB">
      <w:r w:rsidRPr="00CE6830">
        <w:rPr>
          <w:b/>
        </w:rPr>
        <w:t>Pay and benefits:</w:t>
      </w:r>
      <w:r w:rsidR="00CE6830">
        <w:t xml:space="preserve"> Financial benefits are the most </w:t>
      </w:r>
      <w:proofErr w:type="spellStart"/>
      <w:r w:rsidR="00CE6830">
        <w:t>heartwarming</w:t>
      </w:r>
      <w:proofErr w:type="spellEnd"/>
      <w:r w:rsidR="00CE6830">
        <w:t xml:space="preserve"> and eye-catching benefit provided by an organisation and it stimulates employees to the extreme to contribute as much as they can. They will be more focused on their activities if they have to worry less about their financial problems and they get financial benefits as well.</w:t>
      </w:r>
    </w:p>
    <w:p w14:paraId="1A365F8F" w14:textId="77777777" w:rsidR="00AC51AB" w:rsidRDefault="00AC51AB" w:rsidP="00AC51AB">
      <w:r w:rsidRPr="00CE6830">
        <w:rPr>
          <w:b/>
        </w:rPr>
        <w:t>Health and safety:</w:t>
      </w:r>
      <w:r w:rsidR="00CE6830">
        <w:t xml:space="preserve"> This is an extremely serious topic for an organisation at present. Different organisations are taking measures now to fight against COVID-19. In this case, the company arranged numerous workplace health-related measures to make employees feel safe. Besides, the company has made opportunities for employees to contribute to operational actions by staying at home. These policies to ensure health safety by the company taken recently has made employees feel more reliable to work in such a workplace. </w:t>
      </w:r>
    </w:p>
    <w:p w14:paraId="32FCB835" w14:textId="77777777" w:rsidR="00AC51AB" w:rsidRDefault="00AC51AB" w:rsidP="00AC51AB">
      <w:r w:rsidRPr="00FE7E2F">
        <w:rPr>
          <w:b/>
        </w:rPr>
        <w:t>Family friendliness:</w:t>
      </w:r>
      <w:r w:rsidR="006268F2">
        <w:t xml:space="preserve"> In the following case, the company did not take any step to ensure family benefits yet. However, it has created opportunities to carry on organisational activities based on employee flexibility. This type of step creates gratefulness from the employee side and they get more relied on the organisation</w:t>
      </w:r>
      <w:r w:rsidR="0076560E" w:rsidRPr="0076560E">
        <w:t xml:space="preserve"> (</w:t>
      </w:r>
      <w:proofErr w:type="spellStart"/>
      <w:r w:rsidR="0076560E" w:rsidRPr="0076560E">
        <w:t>Widyawati</w:t>
      </w:r>
      <w:proofErr w:type="spellEnd"/>
      <w:r w:rsidR="0076560E" w:rsidRPr="0076560E">
        <w:t>, 2020)</w:t>
      </w:r>
      <w:r w:rsidR="006268F2">
        <w:t>.</w:t>
      </w:r>
    </w:p>
    <w:p w14:paraId="24339921" w14:textId="77777777" w:rsidR="00AC51AB" w:rsidRPr="00D70437" w:rsidRDefault="00AC51AB" w:rsidP="00AC51AB">
      <w:r w:rsidRPr="00EE4D56">
        <w:rPr>
          <w:b/>
        </w:rPr>
        <w:t>Job satisfaction:</w:t>
      </w:r>
      <w:r w:rsidR="00DA63CF">
        <w:t xml:space="preserve"> To create satisfactory involvement by the employees, the company has to be conscious enough to recognise their ultimate wants. In this case, the company should give financial benefits as well as mental support. This will stimulate their way of thinking and they will be </w:t>
      </w:r>
      <w:r w:rsidR="00DA63CF">
        <w:lastRenderedPageBreak/>
        <w:t>engaged in their assigned work more devotedly.</w:t>
      </w:r>
      <w:r w:rsidR="00EE4D56">
        <w:t xml:space="preserve"> Through the creation of the ultimate job satisfaction, the company can easily make the employees keen enough to perform their duties diligently.</w:t>
      </w:r>
    </w:p>
    <w:p w14:paraId="6A865297" w14:textId="77777777" w:rsidR="00BA0CB2" w:rsidRDefault="00BA0CB2" w:rsidP="00BA0CB2">
      <w:pPr>
        <w:pStyle w:val="1"/>
      </w:pPr>
      <w:bookmarkStart w:id="3" w:name="_Toc91210179"/>
      <w:r>
        <w:t>Employee engagement diagnostic tools</w:t>
      </w:r>
      <w:bookmarkEnd w:id="3"/>
    </w:p>
    <w:p w14:paraId="3E1B4F43" w14:textId="77777777" w:rsidR="007351AB" w:rsidRDefault="000B480C" w:rsidP="007351AB">
      <w:r>
        <w:t xml:space="preserve">The techniques and tools used to understand how much effort an employee is providing within an organisation are known as diagnostic tools. Some of the tools are highly used within an organisation and requires to be maintained </w:t>
      </w:r>
      <w:r w:rsidR="008B13EC">
        <w:t xml:space="preserve">throughout </w:t>
      </w:r>
      <w:r>
        <w:t xml:space="preserve">time to create employee accountability. </w:t>
      </w:r>
    </w:p>
    <w:p w14:paraId="38BC801A" w14:textId="77777777" w:rsidR="008B13EC" w:rsidRDefault="004507BC" w:rsidP="007351AB">
      <w:r w:rsidRPr="006E4D3B">
        <w:rPr>
          <w:b/>
        </w:rPr>
        <w:t>Reward programme:</w:t>
      </w:r>
      <w:r w:rsidR="00E47422">
        <w:t xml:space="preserve"> For potential employees, recognition is a very important factor. If the employees get rewarded based on their performance regularly, they can easily understand their points of rectification. The given company can announce </w:t>
      </w:r>
      <w:r w:rsidR="006E4D3B">
        <w:t xml:space="preserve">a </w:t>
      </w:r>
      <w:r w:rsidR="00E47422">
        <w:t xml:space="preserve">yearly reward programme to identify the group of people who are relentlessly working for the welfare of the </w:t>
      </w:r>
      <w:r w:rsidR="006E4D3B">
        <w:t>company as well as trying their best to ensure a great contribution to the assignments. This type of reward programme will also help them to understand how other employees in the company are also working</w:t>
      </w:r>
      <w:r w:rsidR="0076560E" w:rsidRPr="0076560E">
        <w:t xml:space="preserve"> (Yadav, 2020)</w:t>
      </w:r>
      <w:r w:rsidR="006E4D3B">
        <w:t>.</w:t>
      </w:r>
    </w:p>
    <w:p w14:paraId="328B3937" w14:textId="77777777" w:rsidR="004507BC" w:rsidRDefault="004507BC" w:rsidP="007351AB">
      <w:r w:rsidRPr="00066DAA">
        <w:rPr>
          <w:b/>
        </w:rPr>
        <w:t>Employee survey:</w:t>
      </w:r>
      <w:r w:rsidR="00066DAA">
        <w:t xml:space="preserve"> Doing a survey is nothing new to various companies rather it is something that encourages people to conduct an in-depth evaluation </w:t>
      </w:r>
      <w:r w:rsidR="00FC1AD8">
        <w:t xml:space="preserve">on a certain issue. </w:t>
      </w:r>
      <w:r w:rsidR="004D73D4">
        <w:t xml:space="preserve">Employees can provide their feedback in both online and offline surveys. The summary of such surveys can help the company to determine all the private opinions of employees as well. As an outcome of it, </w:t>
      </w:r>
      <w:r w:rsidR="00ED4858">
        <w:t xml:space="preserve">surveys reveal employee interest, knacks, and other necessary opinions. This helps the company to sort out future activities to ensure proper employee contribution. </w:t>
      </w:r>
    </w:p>
    <w:p w14:paraId="221ECFAB" w14:textId="77777777" w:rsidR="004507BC" w:rsidRDefault="004507BC" w:rsidP="007351AB">
      <w:r w:rsidRPr="00E620F9">
        <w:rPr>
          <w:b/>
        </w:rPr>
        <w:t>One-to-one communication:</w:t>
      </w:r>
      <w:r w:rsidR="00E620F9">
        <w:t xml:space="preserve"> In this case, individual communication takes place between the employees and superiors. This type of communication process is quite reliable as one can easily portray their way of thinking to the organisation</w:t>
      </w:r>
      <w:r w:rsidR="0076560E">
        <w:t xml:space="preserve"> (Torrington et al, 2014)</w:t>
      </w:r>
      <w:r w:rsidR="00E620F9">
        <w:t>.</w:t>
      </w:r>
    </w:p>
    <w:p w14:paraId="1311A10D" w14:textId="77777777" w:rsidR="004507BC" w:rsidRDefault="004507BC" w:rsidP="007351AB">
      <w:r w:rsidRPr="002D3FCE">
        <w:rPr>
          <w:b/>
        </w:rPr>
        <w:t>Interviews:</w:t>
      </w:r>
      <w:r w:rsidR="007D5B9B">
        <w:t xml:space="preserve"> In this case, a thorough and tough interview takes place to know about the people’s performance during a certain time being. Here, the interviewer usually asks tasks related to detailed and hard questions and employees tend to answer them. Here, the best performers can easily be judged and also they can be used</w:t>
      </w:r>
      <w:r w:rsidR="002D3FCE">
        <w:t xml:space="preserve"> for taking future realistic actions while selecting new employees.</w:t>
      </w:r>
    </w:p>
    <w:p w14:paraId="265C1F9B" w14:textId="77777777" w:rsidR="004507BC" w:rsidRDefault="004507BC" w:rsidP="007351AB">
      <w:r w:rsidRPr="002B323E">
        <w:rPr>
          <w:b/>
        </w:rPr>
        <w:t>Focus groups:</w:t>
      </w:r>
      <w:r w:rsidR="002B323E">
        <w:t xml:space="preserve"> It is a highly eminent measurement tool for an organisational evaluation for manpower engagement. The company can arrange focus group discussion opportunities for </w:t>
      </w:r>
      <w:r w:rsidR="002B323E">
        <w:lastRenderedPageBreak/>
        <w:t xml:space="preserve">employees so that they can bring out their internal thoughts and speak out their emotions and mentality during the discussion. If these can be analysed and written properly, the company can get understand the behavioural pattern of the people. This creates room for making </w:t>
      </w:r>
      <w:r w:rsidR="00C85A20">
        <w:t xml:space="preserve">a </w:t>
      </w:r>
      <w:r w:rsidR="002B323E">
        <w:t>more innovative and approachable employee benefits plan</w:t>
      </w:r>
      <w:r w:rsidR="00C85A20">
        <w:t>s</w:t>
      </w:r>
      <w:r w:rsidR="002B323E">
        <w:t>.</w:t>
      </w:r>
    </w:p>
    <w:p w14:paraId="37353368" w14:textId="77777777" w:rsidR="004507BC" w:rsidRDefault="004507BC" w:rsidP="007351AB">
      <w:r w:rsidRPr="00485178">
        <w:rPr>
          <w:b/>
        </w:rPr>
        <w:t>Social media:</w:t>
      </w:r>
      <w:r w:rsidR="00C85A20">
        <w:t xml:space="preserve"> To get information on the employee behaviour and intention is a particularly important topic, an organisation can rummage through the social media actions of the employees. </w:t>
      </w:r>
      <w:r w:rsidR="00485178">
        <w:t>The monitoring has to be tough and all the information gained through the social media presence of customers can easily be recorded by the company. The overall actions enable the company to understand how to deal with its employees in near future</w:t>
      </w:r>
      <w:r w:rsidR="0076560E" w:rsidRPr="0076560E">
        <w:t xml:space="preserve"> (Yadav, 2020)</w:t>
      </w:r>
      <w:r w:rsidR="00485178">
        <w:t>.</w:t>
      </w:r>
    </w:p>
    <w:p w14:paraId="0F01FC2B" w14:textId="77777777" w:rsidR="001476C6" w:rsidRDefault="001476C6" w:rsidP="00925876">
      <w:pPr>
        <w:pStyle w:val="1"/>
      </w:pPr>
      <w:bookmarkStart w:id="4" w:name="_Toc91210180"/>
      <w:r>
        <w:t>Employee value proposition and future and previously covered strategy analysis</w:t>
      </w:r>
      <w:bookmarkEnd w:id="4"/>
    </w:p>
    <w:p w14:paraId="5A33B9DD" w14:textId="77777777" w:rsidR="004507BC" w:rsidRDefault="00196A00" w:rsidP="007351AB">
      <w:r>
        <w:t>An organisation must have a bunch of value</w:t>
      </w:r>
      <w:r w:rsidR="003D7C3A">
        <w:t>s</w:t>
      </w:r>
      <w:r>
        <w:t xml:space="preserve"> created for its employees and also </w:t>
      </w:r>
      <w:r w:rsidR="00D8260F">
        <w:t xml:space="preserve">these values will help them to cover a strong position in terms of ensuring employee engagement within the company. </w:t>
      </w:r>
    </w:p>
    <w:p w14:paraId="0D6E2EA0" w14:textId="77777777" w:rsidR="003D7C3A" w:rsidRDefault="007C3CED" w:rsidP="007351AB">
      <w:r>
        <w:rPr>
          <w:noProof/>
          <w:lang w:val="en-US"/>
        </w:rPr>
        <w:drawing>
          <wp:inline distT="0" distB="0" distL="0" distR="0" wp14:anchorId="4DDC6E01" wp14:editId="1C74F9F4">
            <wp:extent cx="5819775" cy="2286000"/>
            <wp:effectExtent l="0" t="0" r="9525"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6FF73B6" w14:textId="77777777" w:rsidR="00AA4797" w:rsidRDefault="00AA4797" w:rsidP="00AA4797">
      <w:pPr>
        <w:jc w:val="center"/>
      </w:pPr>
      <w:r>
        <w:t>Figure 3: An Employee Value Proposition</w:t>
      </w:r>
    </w:p>
    <w:p w14:paraId="2106E0D0" w14:textId="77777777" w:rsidR="00AA4797" w:rsidRDefault="00AA4797" w:rsidP="00AA4797">
      <w:pPr>
        <w:jc w:val="center"/>
      </w:pPr>
      <w:r>
        <w:t xml:space="preserve">Source: </w:t>
      </w:r>
      <w:r w:rsidR="0076560E">
        <w:t>(Bridger, 2019)</w:t>
      </w:r>
    </w:p>
    <w:p w14:paraId="1FEB6148" w14:textId="77777777" w:rsidR="00F26074" w:rsidRDefault="00965EF0" w:rsidP="00AA4797">
      <w:r>
        <w:t xml:space="preserve">The value proposition is set with the intention of knowing more about employee contribution and intention. Also, these particular steps of communicating EVP can be used more efficiently while </w:t>
      </w:r>
      <w:r>
        <w:lastRenderedPageBreak/>
        <w:t xml:space="preserve">recruiting someone new in the company in the given case. As an outcome of it, </w:t>
      </w:r>
      <w:r w:rsidR="00F26074">
        <w:t>the abilities possessed by the employees can be recorded and monitored from even earlier and make statements of future strategies according to it.</w:t>
      </w:r>
    </w:p>
    <w:p w14:paraId="23FFD934" w14:textId="77777777" w:rsidR="00F26074" w:rsidRDefault="00F26074" w:rsidP="00AA4797">
      <w:pPr>
        <w:rPr>
          <w:b/>
        </w:rPr>
      </w:pPr>
      <w:r w:rsidRPr="00F26074">
        <w:rPr>
          <w:b/>
        </w:rPr>
        <w:t xml:space="preserve">Strategies </w:t>
      </w:r>
    </w:p>
    <w:p w14:paraId="293C75C3" w14:textId="77777777" w:rsidR="009B43E1" w:rsidRDefault="009B43E1" w:rsidP="00AA4797">
      <w:r>
        <w:t xml:space="preserve">Every organisation tends to adopt strategies to ensure employee engagement in the organisation. In this case study, one thing is apparent that the company is quite productive and cautious of retaining its people. It tends to not stop and tries to develop various </w:t>
      </w:r>
      <w:r w:rsidR="00042216">
        <w:t>strategies to make people of the organisation accustomed to such environment and tactics and get more engaged</w:t>
      </w:r>
      <w:r w:rsidR="0076560E">
        <w:t xml:space="preserve"> (Torrington et al, 2014)</w:t>
      </w:r>
      <w:r w:rsidR="00042216">
        <w:t xml:space="preserve">. </w:t>
      </w:r>
    </w:p>
    <w:p w14:paraId="0F7E7377" w14:textId="77777777" w:rsidR="00042216" w:rsidRDefault="00042216" w:rsidP="00AA4797">
      <w:r>
        <w:t xml:space="preserve">First of all, if a glance is taken at their previous activities, a few things can be noted. The company emphasised how the entire activities in the company can be manipulated by stimulating employee performance. So it set up strategic planning including releasing career growth opportunities through role restructuring. Besides, </w:t>
      </w:r>
      <w:r w:rsidR="0006643B">
        <w:t xml:space="preserve">the company launched various services related to the COVID-19 pandemic fight back. Its activities provide an idea that the company is trying to make an image to employees that it cares about their health and is willing to take any steps to ensure their safety. Their flexibility in work is also another factor that they encouraged as this type of thing can create reliability from their end easily. </w:t>
      </w:r>
    </w:p>
    <w:p w14:paraId="0120437F" w14:textId="77777777" w:rsidR="00605BAB" w:rsidRDefault="003407A2" w:rsidP="00AA4797">
      <w:r>
        <w:t xml:space="preserve">The company has been looking forward to getting some more unique strategic stance in the company to make employees feel better. Creating strict policies related to the quality line in all the managerial actions can be a strategic step to make employees feel warm. Besides, the biggest fact is that no other benefit can be well off than the financial benefits. </w:t>
      </w:r>
      <w:r w:rsidR="00BB0DA5">
        <w:t>If the high performing workers at a different level of management get a pay raise as a recognition of their job, it will make everyone do better than ever.</w:t>
      </w:r>
      <w:r w:rsidR="00205043">
        <w:t xml:space="preserve"> The company must be aware of fair treatment policies in the company and to ensure the activation of this policy, a survey should be conducted every year. In that survey, employee feedback will be evaluated only to gain a piece of knowledge on how the company progression activities can be performed. By the application of these strategies, the company is surely bound to make a good employee engagement plot</w:t>
      </w:r>
      <w:r w:rsidR="0076560E" w:rsidRPr="0076560E">
        <w:t xml:space="preserve"> (Johnson, 2021)</w:t>
      </w:r>
      <w:r w:rsidR="00205043">
        <w:t>.</w:t>
      </w:r>
    </w:p>
    <w:p w14:paraId="4DCA1981" w14:textId="77777777" w:rsidR="00605BAB" w:rsidRDefault="00605BAB">
      <w:pPr>
        <w:spacing w:line="276" w:lineRule="auto"/>
        <w:jc w:val="left"/>
      </w:pPr>
      <w:r>
        <w:br w:type="page"/>
      </w:r>
    </w:p>
    <w:p w14:paraId="5D4156CF" w14:textId="77777777" w:rsidR="003407A2" w:rsidRDefault="00605BAB" w:rsidP="00605BAB">
      <w:pPr>
        <w:pStyle w:val="1"/>
      </w:pPr>
      <w:bookmarkStart w:id="5" w:name="_Toc91210181"/>
      <w:r>
        <w:lastRenderedPageBreak/>
        <w:t>Conclusion</w:t>
      </w:r>
      <w:bookmarkEnd w:id="5"/>
    </w:p>
    <w:p w14:paraId="2EAC2C8D" w14:textId="77777777" w:rsidR="00605BAB" w:rsidRDefault="00AB181C" w:rsidP="00605BAB">
      <w:r>
        <w:t xml:space="preserve">This is a detailed report created based on different views of employee engagement activities occurring within an organisation. This report has been prepared based on how a company in the given case is applying various strategic means in terms of increasing the rate of employee engagement. </w:t>
      </w:r>
      <w:r w:rsidR="005F7DFB">
        <w:t>Employee engagement can be diligently evaluated only by using proper tools and this report particularly highlighted a few commonly used ones. It also depicted how the company can make a perfect employee value proposition under the influence of numerous communication means. The report concluded by assessing all the strictly undertaken tactics by the company used only to make the organisation’s employees more sincere.</w:t>
      </w:r>
    </w:p>
    <w:p w14:paraId="1E35DF89" w14:textId="77777777" w:rsidR="00F6045B" w:rsidRDefault="00F6045B" w:rsidP="00605BAB"/>
    <w:p w14:paraId="13CD5B18" w14:textId="77777777" w:rsidR="00F6045B" w:rsidRDefault="00F6045B">
      <w:pPr>
        <w:spacing w:line="276" w:lineRule="auto"/>
        <w:jc w:val="left"/>
      </w:pPr>
      <w:r>
        <w:br w:type="page"/>
      </w:r>
    </w:p>
    <w:p w14:paraId="482C76C5" w14:textId="77777777" w:rsidR="005D0A90" w:rsidRDefault="00F6045B" w:rsidP="005D0A90">
      <w:pPr>
        <w:pStyle w:val="1"/>
      </w:pPr>
      <w:bookmarkStart w:id="6" w:name="_Toc91210182"/>
      <w:r>
        <w:lastRenderedPageBreak/>
        <w:t>References</w:t>
      </w:r>
      <w:bookmarkEnd w:id="6"/>
    </w:p>
    <w:p w14:paraId="6CD52F3E" w14:textId="77777777" w:rsidR="00D723DB" w:rsidRDefault="00D723DB" w:rsidP="00F6045B">
      <w:r>
        <w:t>Armstrong, M., Taylor, S., 2017 Armstrong's Handbook of Human Resource Management Practice, 14th Edition, Kogan Page</w:t>
      </w:r>
    </w:p>
    <w:p w14:paraId="498248E5" w14:textId="77777777" w:rsidR="00D723DB" w:rsidRPr="00F6045B" w:rsidRDefault="00D723DB" w:rsidP="00F5726B">
      <w:r w:rsidRPr="005D0A90">
        <w:t>Bridger, E., 2019. EMPLOYEE ENGAGEMENT. 4th ed. [</w:t>
      </w:r>
      <w:proofErr w:type="spellStart"/>
      <w:r w:rsidRPr="005D0A90">
        <w:t>S.l.</w:t>
      </w:r>
      <w:proofErr w:type="spellEnd"/>
      <w:r w:rsidRPr="005D0A90">
        <w:t>]: KOGAN PAGE.</w:t>
      </w:r>
    </w:p>
    <w:p w14:paraId="26335E46" w14:textId="77777777" w:rsidR="00D723DB" w:rsidRDefault="00D723DB" w:rsidP="00F5726B">
      <w:r w:rsidRPr="005D0A90">
        <w:t xml:space="preserve">Johnson, L., 2021. Employee Engagement: Strategies, Models and Best Practices. [online] </w:t>
      </w:r>
      <w:proofErr w:type="spellStart"/>
      <w:r w:rsidRPr="005D0A90">
        <w:t>Valamis</w:t>
      </w:r>
      <w:proofErr w:type="spellEnd"/>
      <w:r w:rsidRPr="005D0A90">
        <w:t>. Available at: &lt;https://www.valamis.com/hub/employee-engagement&gt; [Accessed 23 December 2021].</w:t>
      </w:r>
    </w:p>
    <w:p w14:paraId="1BB4582F" w14:textId="77777777" w:rsidR="00D723DB" w:rsidRDefault="00D723DB" w:rsidP="00F5726B">
      <w:r>
        <w:t xml:space="preserve">MARCHINGTON, M., WILKINSON, A. 2012 Human resource management at work. 5th ed. London: Chartered Institute of Personnel and Development </w:t>
      </w:r>
    </w:p>
    <w:p w14:paraId="70A7B1C0" w14:textId="77777777" w:rsidR="00D723DB" w:rsidRDefault="00D723DB" w:rsidP="00F5726B">
      <w:r>
        <w:t>TAYLOR, S., WOODHAMS, C. 2012 Managing People and Organisations. London: Chartered Institute of Personnel and Development.</w:t>
      </w:r>
    </w:p>
    <w:p w14:paraId="6C5B192B" w14:textId="77777777" w:rsidR="00D723DB" w:rsidRDefault="00D723DB" w:rsidP="00F6045B">
      <w:pPr>
        <w:rPr>
          <w:rFonts w:ascii="Segoe UI Symbol" w:hAnsi="Segoe UI Symbol" w:cs="Segoe UI Symbol"/>
        </w:rPr>
      </w:pPr>
      <w:r>
        <w:t xml:space="preserve">Torrington, D., Hall, L., Taylor, S., Atkinson, C., 2014 Human Resource Management 9th Edition, Pearson </w:t>
      </w:r>
    </w:p>
    <w:p w14:paraId="7DE181BA" w14:textId="77777777" w:rsidR="00D723DB" w:rsidRDefault="00D723DB" w:rsidP="00F5726B">
      <w:proofErr w:type="spellStart"/>
      <w:r w:rsidRPr="005D0A90">
        <w:t>Widyawati</w:t>
      </w:r>
      <w:proofErr w:type="spellEnd"/>
      <w:r w:rsidRPr="005D0A90">
        <w:t xml:space="preserve">, S., 2020. The Influence of Employee Engagement, Self Esteem, Self-Efficacy </w:t>
      </w:r>
      <w:proofErr w:type="gramStart"/>
      <w:r w:rsidRPr="005D0A90">
        <w:t>On</w:t>
      </w:r>
      <w:proofErr w:type="gramEnd"/>
      <w:r w:rsidRPr="005D0A90">
        <w:t xml:space="preserve"> Employee Performance In Small Business. International Journal of Contemporary Research and Review, 11(04).</w:t>
      </w:r>
    </w:p>
    <w:p w14:paraId="4F3AA731" w14:textId="77777777" w:rsidR="00D723DB" w:rsidRDefault="00D723DB" w:rsidP="00F5726B">
      <w:r w:rsidRPr="005D0A90">
        <w:t>Yadav, S., 2020. Determining the Relationship between Employee Engagement and Employee Satisfaction: A Review of Literature. International Journal of Psychosocial Rehabilitation, 24(5), pp.5038-5048.</w:t>
      </w:r>
    </w:p>
    <w:p w14:paraId="182CEEED" w14:textId="77777777" w:rsidR="008768BF" w:rsidRPr="008768BF" w:rsidRDefault="008768BF" w:rsidP="00D723DB">
      <w:pPr>
        <w:pStyle w:val="1"/>
      </w:pPr>
    </w:p>
    <w:sectPr w:rsidR="008768BF" w:rsidRPr="008768BF" w:rsidSect="004F4B7D">
      <w:headerReference w:type="default" r:id="rId2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B405B" w14:textId="77777777" w:rsidR="001C0C0B" w:rsidRDefault="001C0C0B" w:rsidP="00085F4A">
      <w:pPr>
        <w:spacing w:after="0" w:line="240" w:lineRule="auto"/>
      </w:pPr>
      <w:r>
        <w:separator/>
      </w:r>
    </w:p>
  </w:endnote>
  <w:endnote w:type="continuationSeparator" w:id="0">
    <w:p w14:paraId="69243916" w14:textId="77777777" w:rsidR="001C0C0B" w:rsidRDefault="001C0C0B" w:rsidP="00085F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43EA7" w14:textId="77777777" w:rsidR="00085F4A" w:rsidRDefault="00085F4A">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8AAA0" w14:textId="77777777" w:rsidR="00085F4A" w:rsidRDefault="00085F4A">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BEE62" w14:textId="77777777" w:rsidR="00085F4A" w:rsidRDefault="00085F4A">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B9F3B" w14:textId="77777777" w:rsidR="001C0C0B" w:rsidRDefault="001C0C0B" w:rsidP="00085F4A">
      <w:pPr>
        <w:spacing w:after="0" w:line="240" w:lineRule="auto"/>
      </w:pPr>
      <w:r>
        <w:separator/>
      </w:r>
    </w:p>
  </w:footnote>
  <w:footnote w:type="continuationSeparator" w:id="0">
    <w:p w14:paraId="5288D37D" w14:textId="77777777" w:rsidR="001C0C0B" w:rsidRDefault="001C0C0B" w:rsidP="00085F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65032E" w14:textId="77777777" w:rsidR="00085F4A" w:rsidRDefault="00085F4A">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32557" w14:textId="77777777" w:rsidR="004F4B7D" w:rsidRDefault="004F4B7D">
    <w:pPr>
      <w:pStyle w:val="a3"/>
      <w:jc w:val="center"/>
    </w:pPr>
  </w:p>
  <w:p w14:paraId="188C3A39" w14:textId="77777777" w:rsidR="00085F4A" w:rsidRDefault="00085F4A">
    <w:pPr>
      <w:pStyle w:val="a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F3152" w14:textId="77777777" w:rsidR="00085F4A" w:rsidRDefault="00085F4A">
    <w:pPr>
      <w:pStyle w:val="a3"/>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3856172"/>
      <w:docPartObj>
        <w:docPartGallery w:val="Page Numbers (Top of Page)"/>
        <w:docPartUnique/>
      </w:docPartObj>
    </w:sdtPr>
    <w:sdtEndPr>
      <w:rPr>
        <w:noProof/>
      </w:rPr>
    </w:sdtEndPr>
    <w:sdtContent>
      <w:p w14:paraId="4B0EF1A9" w14:textId="77777777" w:rsidR="004F4B7D" w:rsidRDefault="004F4B7D">
        <w:pPr>
          <w:pStyle w:val="a3"/>
          <w:jc w:val="center"/>
        </w:pPr>
        <w:r>
          <w:fldChar w:fldCharType="begin"/>
        </w:r>
        <w:r>
          <w:instrText xml:space="preserve"> PAGE   \* MERGEFORMAT </w:instrText>
        </w:r>
        <w:r>
          <w:fldChar w:fldCharType="separate"/>
        </w:r>
        <w:r w:rsidR="00A010A4">
          <w:rPr>
            <w:noProof/>
          </w:rPr>
          <w:t>9</w:t>
        </w:r>
        <w:r>
          <w:rPr>
            <w:noProof/>
          </w:rPr>
          <w:fldChar w:fldCharType="end"/>
        </w:r>
      </w:p>
    </w:sdtContent>
  </w:sdt>
  <w:p w14:paraId="1759C7F3" w14:textId="77777777" w:rsidR="004F4B7D" w:rsidRDefault="004F4B7D">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3NjI0NjWyNDEyMDNW0lEKTi0uzszPAykwrAUAbSSgnCwAAAA="/>
  </w:docVars>
  <w:rsids>
    <w:rsidRoot w:val="006E023C"/>
    <w:rsid w:val="00042216"/>
    <w:rsid w:val="0006643B"/>
    <w:rsid w:val="00066DAA"/>
    <w:rsid w:val="00085F4A"/>
    <w:rsid w:val="000A5007"/>
    <w:rsid w:val="000B480C"/>
    <w:rsid w:val="000F5333"/>
    <w:rsid w:val="001070CB"/>
    <w:rsid w:val="001476C6"/>
    <w:rsid w:val="00196A00"/>
    <w:rsid w:val="001C0C0B"/>
    <w:rsid w:val="00205043"/>
    <w:rsid w:val="00210BB2"/>
    <w:rsid w:val="002210B7"/>
    <w:rsid w:val="002B323E"/>
    <w:rsid w:val="002D3FCE"/>
    <w:rsid w:val="0030302C"/>
    <w:rsid w:val="003407A2"/>
    <w:rsid w:val="003A45AC"/>
    <w:rsid w:val="003C2AB3"/>
    <w:rsid w:val="003D7C3A"/>
    <w:rsid w:val="00415175"/>
    <w:rsid w:val="004507BC"/>
    <w:rsid w:val="004772F2"/>
    <w:rsid w:val="00485178"/>
    <w:rsid w:val="00496DD2"/>
    <w:rsid w:val="004D53CA"/>
    <w:rsid w:val="004D73D4"/>
    <w:rsid w:val="004F4B7D"/>
    <w:rsid w:val="00521001"/>
    <w:rsid w:val="0052435C"/>
    <w:rsid w:val="005316EA"/>
    <w:rsid w:val="005338F1"/>
    <w:rsid w:val="005D029D"/>
    <w:rsid w:val="005D0A90"/>
    <w:rsid w:val="005F7DFB"/>
    <w:rsid w:val="00605BAB"/>
    <w:rsid w:val="0061095E"/>
    <w:rsid w:val="006268F2"/>
    <w:rsid w:val="006966A9"/>
    <w:rsid w:val="006E023C"/>
    <w:rsid w:val="006E4D3B"/>
    <w:rsid w:val="007351AB"/>
    <w:rsid w:val="00747C7E"/>
    <w:rsid w:val="0076560E"/>
    <w:rsid w:val="007668CC"/>
    <w:rsid w:val="007A635B"/>
    <w:rsid w:val="007C3CED"/>
    <w:rsid w:val="007C4FEA"/>
    <w:rsid w:val="007D5B9B"/>
    <w:rsid w:val="0082221C"/>
    <w:rsid w:val="008768BF"/>
    <w:rsid w:val="00885C33"/>
    <w:rsid w:val="008B13EC"/>
    <w:rsid w:val="00925876"/>
    <w:rsid w:val="00965EF0"/>
    <w:rsid w:val="00972DCA"/>
    <w:rsid w:val="009777F9"/>
    <w:rsid w:val="009B1C90"/>
    <w:rsid w:val="009B43E1"/>
    <w:rsid w:val="00A010A4"/>
    <w:rsid w:val="00AA4797"/>
    <w:rsid w:val="00AB181C"/>
    <w:rsid w:val="00AC51AB"/>
    <w:rsid w:val="00B00144"/>
    <w:rsid w:val="00BA0CB2"/>
    <w:rsid w:val="00BB0DA5"/>
    <w:rsid w:val="00BC1024"/>
    <w:rsid w:val="00BE5098"/>
    <w:rsid w:val="00C4691F"/>
    <w:rsid w:val="00C8132A"/>
    <w:rsid w:val="00C85A20"/>
    <w:rsid w:val="00CE6830"/>
    <w:rsid w:val="00D70437"/>
    <w:rsid w:val="00D723DB"/>
    <w:rsid w:val="00D8260F"/>
    <w:rsid w:val="00DA63CF"/>
    <w:rsid w:val="00DC1B34"/>
    <w:rsid w:val="00E01939"/>
    <w:rsid w:val="00E47422"/>
    <w:rsid w:val="00E620F9"/>
    <w:rsid w:val="00E6233F"/>
    <w:rsid w:val="00E63AB9"/>
    <w:rsid w:val="00ED4858"/>
    <w:rsid w:val="00EE4D56"/>
    <w:rsid w:val="00EE7C77"/>
    <w:rsid w:val="00F26074"/>
    <w:rsid w:val="00F415DC"/>
    <w:rsid w:val="00F5671B"/>
    <w:rsid w:val="00F5726B"/>
    <w:rsid w:val="00F57BB3"/>
    <w:rsid w:val="00F6045B"/>
    <w:rsid w:val="00FC1AD8"/>
    <w:rsid w:val="00FE45DB"/>
    <w:rsid w:val="00FE7E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6EECE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1095E"/>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61095E"/>
    <w:pPr>
      <w:keepNext/>
      <w:keepLines/>
      <w:spacing w:before="240" w:after="0"/>
      <w:outlineLvl w:val="0"/>
    </w:pPr>
    <w:rPr>
      <w:rFonts w:eastAsiaTheme="majorEastAsia" w:cstheme="majorBidi"/>
      <w:b/>
      <w:sz w:val="32"/>
      <w:szCs w:val="32"/>
    </w:rPr>
  </w:style>
  <w:style w:type="paragraph" w:styleId="2">
    <w:name w:val="heading 2"/>
    <w:basedOn w:val="a"/>
    <w:next w:val="a"/>
    <w:link w:val="20"/>
    <w:uiPriority w:val="9"/>
    <w:semiHidden/>
    <w:unhideWhenUsed/>
    <w:qFormat/>
    <w:rsid w:val="0061095E"/>
    <w:pPr>
      <w:keepNext/>
      <w:keepLines/>
      <w:spacing w:before="40" w:after="0"/>
      <w:outlineLvl w:val="1"/>
    </w:pPr>
    <w:rPr>
      <w:rFonts w:eastAsiaTheme="majorEastAsia" w:cstheme="majorBidi"/>
      <w:b/>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61095E"/>
    <w:rPr>
      <w:rFonts w:ascii="Times New Roman" w:eastAsiaTheme="majorEastAsia" w:hAnsi="Times New Roman" w:cstheme="majorBidi"/>
      <w:b/>
      <w:sz w:val="32"/>
      <w:szCs w:val="32"/>
      <w:lang w:val="en-GB"/>
    </w:rPr>
  </w:style>
  <w:style w:type="character" w:customStyle="1" w:styleId="20">
    <w:name w:val="Заглавие 2 Знак"/>
    <w:basedOn w:val="a0"/>
    <w:link w:val="2"/>
    <w:uiPriority w:val="9"/>
    <w:semiHidden/>
    <w:rsid w:val="0061095E"/>
    <w:rPr>
      <w:rFonts w:ascii="Times New Roman" w:eastAsiaTheme="majorEastAsia" w:hAnsi="Times New Roman" w:cstheme="majorBidi"/>
      <w:b/>
      <w:sz w:val="28"/>
      <w:szCs w:val="26"/>
      <w:lang w:val="en-GB"/>
    </w:rPr>
  </w:style>
  <w:style w:type="paragraph" w:styleId="a3">
    <w:name w:val="header"/>
    <w:basedOn w:val="a"/>
    <w:link w:val="a4"/>
    <w:uiPriority w:val="99"/>
    <w:unhideWhenUsed/>
    <w:rsid w:val="00085F4A"/>
    <w:pPr>
      <w:tabs>
        <w:tab w:val="center" w:pos="4680"/>
        <w:tab w:val="right" w:pos="9360"/>
      </w:tabs>
      <w:spacing w:after="0" w:line="240" w:lineRule="auto"/>
    </w:pPr>
  </w:style>
  <w:style w:type="character" w:customStyle="1" w:styleId="a4">
    <w:name w:val="Горен колонтитул Знак"/>
    <w:basedOn w:val="a0"/>
    <w:link w:val="a3"/>
    <w:uiPriority w:val="99"/>
    <w:rsid w:val="00085F4A"/>
    <w:rPr>
      <w:rFonts w:ascii="Times New Roman" w:hAnsi="Times New Roman"/>
      <w:sz w:val="24"/>
      <w:lang w:val="en-GB"/>
    </w:rPr>
  </w:style>
  <w:style w:type="paragraph" w:styleId="a5">
    <w:name w:val="footer"/>
    <w:basedOn w:val="a"/>
    <w:link w:val="a6"/>
    <w:uiPriority w:val="99"/>
    <w:unhideWhenUsed/>
    <w:rsid w:val="00085F4A"/>
    <w:pPr>
      <w:tabs>
        <w:tab w:val="center" w:pos="4680"/>
        <w:tab w:val="right" w:pos="9360"/>
      </w:tabs>
      <w:spacing w:after="0" w:line="240" w:lineRule="auto"/>
    </w:pPr>
  </w:style>
  <w:style w:type="character" w:customStyle="1" w:styleId="a6">
    <w:name w:val="Долен колонтитул Знак"/>
    <w:basedOn w:val="a0"/>
    <w:link w:val="a5"/>
    <w:uiPriority w:val="99"/>
    <w:rsid w:val="00085F4A"/>
    <w:rPr>
      <w:rFonts w:ascii="Times New Roman" w:hAnsi="Times New Roman"/>
      <w:sz w:val="24"/>
      <w:lang w:val="en-GB"/>
    </w:rPr>
  </w:style>
  <w:style w:type="paragraph" w:styleId="a7">
    <w:name w:val="TOC Heading"/>
    <w:basedOn w:val="1"/>
    <w:next w:val="a"/>
    <w:uiPriority w:val="39"/>
    <w:unhideWhenUsed/>
    <w:qFormat/>
    <w:rsid w:val="00972DCA"/>
    <w:pPr>
      <w:spacing w:line="259" w:lineRule="auto"/>
      <w:jc w:val="left"/>
      <w:outlineLvl w:val="9"/>
    </w:pPr>
    <w:rPr>
      <w:rFonts w:asciiTheme="majorHAnsi" w:hAnsiTheme="majorHAnsi"/>
      <w:b w:val="0"/>
      <w:color w:val="365F91" w:themeColor="accent1" w:themeShade="BF"/>
      <w:lang w:val="en-US"/>
    </w:rPr>
  </w:style>
  <w:style w:type="paragraph" w:styleId="11">
    <w:name w:val="toc 1"/>
    <w:basedOn w:val="a"/>
    <w:next w:val="a"/>
    <w:autoRedefine/>
    <w:uiPriority w:val="39"/>
    <w:unhideWhenUsed/>
    <w:rsid w:val="00972DCA"/>
    <w:pPr>
      <w:spacing w:after="100"/>
    </w:pPr>
  </w:style>
  <w:style w:type="character" w:styleId="a8">
    <w:name w:val="Hyperlink"/>
    <w:basedOn w:val="a0"/>
    <w:uiPriority w:val="99"/>
    <w:unhideWhenUsed/>
    <w:rsid w:val="00972DC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microsoft.com/office/2007/relationships/diagramDrawing" Target="diagrams/drawing1.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diagramQuickStyle" Target="diagrams/quickStyle2.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diagramColors" Target="diagrams/colors1.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QuickStyle" Target="diagrams/quickStyle1.xml"/><Relationship Id="rId20"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eader" Target="header4.xml"/><Relationship Id="rId5" Type="http://schemas.openxmlformats.org/officeDocument/2006/relationships/footnotes" Target="footnotes.xml"/><Relationship Id="rId15" Type="http://schemas.openxmlformats.org/officeDocument/2006/relationships/diagramLayout" Target="diagrams/layout1.xml"/><Relationship Id="rId23" Type="http://schemas.microsoft.com/office/2007/relationships/diagramDrawing" Target="diagrams/drawing2.xml"/><Relationship Id="rId10" Type="http://schemas.openxmlformats.org/officeDocument/2006/relationships/footer" Target="footer2.xml"/><Relationship Id="rId19" Type="http://schemas.openxmlformats.org/officeDocument/2006/relationships/diagramData" Target="diagrams/data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diagramData" Target="diagrams/data1.xml"/><Relationship Id="rId22"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C948BD-0AC0-4218-A3EE-1EB698D0EC6E}" type="doc">
      <dgm:prSet loTypeId="urn:diagrams.loki3.com/VaryingWidthList" loCatId="officeonline" qsTypeId="urn:microsoft.com/office/officeart/2005/8/quickstyle/simple1" qsCatId="simple" csTypeId="urn:microsoft.com/office/officeart/2005/8/colors/colorful5" csCatId="colorful" phldr="1"/>
      <dgm:spPr/>
    </dgm:pt>
    <dgm:pt modelId="{660444CE-DCDE-4960-B0B0-F91BB846EA62}">
      <dgm:prSet phldrT="[Text]"/>
      <dgm:spPr/>
      <dgm:t>
        <a:bodyPr/>
        <a:lstStyle/>
        <a:p>
          <a:r>
            <a:rPr lang="en-US">
              <a:latin typeface="Times New Roman" panose="02020603050405020304" pitchFamily="18" charset="0"/>
              <a:cs typeface="Times New Roman" panose="02020603050405020304" pitchFamily="18" charset="0"/>
            </a:rPr>
            <a:t>Training and career development</a:t>
          </a:r>
        </a:p>
      </dgm:t>
    </dgm:pt>
    <dgm:pt modelId="{1A16A53E-1AA9-4C03-828E-CEC444F4D5AA}" type="parTrans" cxnId="{AFAF5836-1C28-47CA-8CF7-EC271F4F5B00}">
      <dgm:prSet/>
      <dgm:spPr/>
      <dgm:t>
        <a:bodyPr/>
        <a:lstStyle/>
        <a:p>
          <a:endParaRPr lang="en-US"/>
        </a:p>
      </dgm:t>
    </dgm:pt>
    <dgm:pt modelId="{C84024CB-F7F2-4E10-BDCA-FEFB1E5DD461}" type="sibTrans" cxnId="{AFAF5836-1C28-47CA-8CF7-EC271F4F5B00}">
      <dgm:prSet/>
      <dgm:spPr/>
      <dgm:t>
        <a:bodyPr/>
        <a:lstStyle/>
        <a:p>
          <a:endParaRPr lang="en-US"/>
        </a:p>
      </dgm:t>
    </dgm:pt>
    <dgm:pt modelId="{393A5B8B-6DC5-487F-9DF9-2CC146A81104}">
      <dgm:prSet phldrT="[Text]"/>
      <dgm:spPr/>
      <dgm:t>
        <a:bodyPr/>
        <a:lstStyle/>
        <a:p>
          <a:r>
            <a:rPr lang="en-US">
              <a:latin typeface="Times New Roman" panose="02020603050405020304" pitchFamily="18" charset="0"/>
              <a:cs typeface="Times New Roman" panose="02020603050405020304" pitchFamily="18" charset="0"/>
            </a:rPr>
            <a:t>Performance and appraisal</a:t>
          </a:r>
        </a:p>
      </dgm:t>
    </dgm:pt>
    <dgm:pt modelId="{2B3A0403-3B22-47AC-BA0B-9050ECB1FF84}" type="parTrans" cxnId="{12F7F5CD-B2CF-465D-8636-836970F08237}">
      <dgm:prSet/>
      <dgm:spPr/>
      <dgm:t>
        <a:bodyPr/>
        <a:lstStyle/>
        <a:p>
          <a:endParaRPr lang="en-US"/>
        </a:p>
      </dgm:t>
    </dgm:pt>
    <dgm:pt modelId="{E7B386F3-9CEA-4624-AB27-61E32357C554}" type="sibTrans" cxnId="{12F7F5CD-B2CF-465D-8636-836970F08237}">
      <dgm:prSet/>
      <dgm:spPr/>
      <dgm:t>
        <a:bodyPr/>
        <a:lstStyle/>
        <a:p>
          <a:endParaRPr lang="en-US"/>
        </a:p>
      </dgm:t>
    </dgm:pt>
    <dgm:pt modelId="{48E9431C-C83D-4A83-8921-C38C81144C1E}">
      <dgm:prSet phldrT="[Text]"/>
      <dgm:spPr/>
      <dgm:t>
        <a:bodyPr/>
        <a:lstStyle/>
        <a:p>
          <a:r>
            <a:rPr lang="en-US">
              <a:latin typeface="Times New Roman" panose="02020603050405020304" pitchFamily="18" charset="0"/>
              <a:cs typeface="Times New Roman" panose="02020603050405020304" pitchFamily="18" charset="0"/>
            </a:rPr>
            <a:t>Communication</a:t>
          </a:r>
        </a:p>
      </dgm:t>
    </dgm:pt>
    <dgm:pt modelId="{365D0B80-C8BE-4A55-8E51-22C4E21A8613}" type="parTrans" cxnId="{711A287C-CE3A-4210-9624-FCF20590A1CA}">
      <dgm:prSet/>
      <dgm:spPr/>
      <dgm:t>
        <a:bodyPr/>
        <a:lstStyle/>
        <a:p>
          <a:endParaRPr lang="en-US"/>
        </a:p>
      </dgm:t>
    </dgm:pt>
    <dgm:pt modelId="{AF511E3A-82D4-4CD7-9852-B97460987245}" type="sibTrans" cxnId="{711A287C-CE3A-4210-9624-FCF20590A1CA}">
      <dgm:prSet/>
      <dgm:spPr/>
      <dgm:t>
        <a:bodyPr/>
        <a:lstStyle/>
        <a:p>
          <a:endParaRPr lang="en-US"/>
        </a:p>
      </dgm:t>
    </dgm:pt>
    <dgm:pt modelId="{D691B70D-B071-48EC-90DA-FAA6EB18DD12}">
      <dgm:prSet phldrT="[Text]"/>
      <dgm:spPr/>
      <dgm:t>
        <a:bodyPr/>
        <a:lstStyle/>
        <a:p>
          <a:r>
            <a:rPr lang="en-US">
              <a:latin typeface="Times New Roman" panose="02020603050405020304" pitchFamily="18" charset="0"/>
              <a:cs typeface="Times New Roman" panose="02020603050405020304" pitchFamily="18" charset="0"/>
            </a:rPr>
            <a:t>Fair treatment</a:t>
          </a:r>
        </a:p>
      </dgm:t>
    </dgm:pt>
    <dgm:pt modelId="{AE60A435-C24F-4589-9058-668EAB0713B5}" type="parTrans" cxnId="{9353D4BA-9EE1-4A36-9732-28AE37D1DEBE}">
      <dgm:prSet/>
      <dgm:spPr/>
      <dgm:t>
        <a:bodyPr/>
        <a:lstStyle/>
        <a:p>
          <a:endParaRPr lang="en-US"/>
        </a:p>
      </dgm:t>
    </dgm:pt>
    <dgm:pt modelId="{D10212E5-129B-4199-BBBE-F85AA03E5FE7}" type="sibTrans" cxnId="{9353D4BA-9EE1-4A36-9732-28AE37D1DEBE}">
      <dgm:prSet/>
      <dgm:spPr/>
      <dgm:t>
        <a:bodyPr/>
        <a:lstStyle/>
        <a:p>
          <a:endParaRPr lang="en-US"/>
        </a:p>
      </dgm:t>
    </dgm:pt>
    <dgm:pt modelId="{4D6F6637-5F17-4C72-BAD1-685837F2C7C1}">
      <dgm:prSet phldrT="[Text]"/>
      <dgm:spPr/>
      <dgm:t>
        <a:bodyPr/>
        <a:lstStyle/>
        <a:p>
          <a:r>
            <a:rPr lang="en-US">
              <a:latin typeface="Times New Roman" panose="02020603050405020304" pitchFamily="18" charset="0"/>
              <a:cs typeface="Times New Roman" panose="02020603050405020304" pitchFamily="18" charset="0"/>
            </a:rPr>
            <a:t>Pay and benefits</a:t>
          </a:r>
        </a:p>
      </dgm:t>
    </dgm:pt>
    <dgm:pt modelId="{C1B5BC8C-1E9D-49B8-B34D-184543B4D39C}" type="parTrans" cxnId="{F7276922-B485-41AC-88E7-1F0BA1F48A9B}">
      <dgm:prSet/>
      <dgm:spPr/>
      <dgm:t>
        <a:bodyPr/>
        <a:lstStyle/>
        <a:p>
          <a:endParaRPr lang="en-US"/>
        </a:p>
      </dgm:t>
    </dgm:pt>
    <dgm:pt modelId="{DE10AD84-7047-44E0-B269-9DBEA2658AFB}" type="sibTrans" cxnId="{F7276922-B485-41AC-88E7-1F0BA1F48A9B}">
      <dgm:prSet/>
      <dgm:spPr/>
      <dgm:t>
        <a:bodyPr/>
        <a:lstStyle/>
        <a:p>
          <a:endParaRPr lang="en-US"/>
        </a:p>
      </dgm:t>
    </dgm:pt>
    <dgm:pt modelId="{E14DD099-8E71-4531-A5B3-58E2A0293C19}">
      <dgm:prSet phldrT="[Text]"/>
      <dgm:spPr/>
      <dgm:t>
        <a:bodyPr/>
        <a:lstStyle/>
        <a:p>
          <a:r>
            <a:rPr lang="en-US">
              <a:latin typeface="Times New Roman" panose="02020603050405020304" pitchFamily="18" charset="0"/>
              <a:cs typeface="Times New Roman" panose="02020603050405020304" pitchFamily="18" charset="0"/>
            </a:rPr>
            <a:t>Health and safety</a:t>
          </a:r>
        </a:p>
      </dgm:t>
    </dgm:pt>
    <dgm:pt modelId="{614CB999-1658-459D-B490-C2D4FD97C94B}" type="parTrans" cxnId="{87920756-7E31-44AC-A8C7-E4EA340F8195}">
      <dgm:prSet/>
      <dgm:spPr/>
      <dgm:t>
        <a:bodyPr/>
        <a:lstStyle/>
        <a:p>
          <a:endParaRPr lang="en-US"/>
        </a:p>
      </dgm:t>
    </dgm:pt>
    <dgm:pt modelId="{8465B2C1-89B5-4718-B329-2D8BF95D4ACD}" type="sibTrans" cxnId="{87920756-7E31-44AC-A8C7-E4EA340F8195}">
      <dgm:prSet/>
      <dgm:spPr/>
      <dgm:t>
        <a:bodyPr/>
        <a:lstStyle/>
        <a:p>
          <a:endParaRPr lang="en-US"/>
        </a:p>
      </dgm:t>
    </dgm:pt>
    <dgm:pt modelId="{0480D952-0DD6-4598-B4D5-351ECAB693B9}">
      <dgm:prSet phldrT="[Text]"/>
      <dgm:spPr/>
      <dgm:t>
        <a:bodyPr/>
        <a:lstStyle/>
        <a:p>
          <a:r>
            <a:rPr lang="en-US">
              <a:latin typeface="Times New Roman" panose="02020603050405020304" pitchFamily="18" charset="0"/>
              <a:cs typeface="Times New Roman" panose="02020603050405020304" pitchFamily="18" charset="0"/>
            </a:rPr>
            <a:t>Family friendliness</a:t>
          </a:r>
        </a:p>
      </dgm:t>
    </dgm:pt>
    <dgm:pt modelId="{47835B31-834B-4E3F-ADDF-07E33C0741B9}" type="parTrans" cxnId="{5569C56D-7907-4377-A8B6-D6AF549D8BD1}">
      <dgm:prSet/>
      <dgm:spPr/>
      <dgm:t>
        <a:bodyPr/>
        <a:lstStyle/>
        <a:p>
          <a:endParaRPr lang="en-US"/>
        </a:p>
      </dgm:t>
    </dgm:pt>
    <dgm:pt modelId="{F736CBC6-7F74-497D-9CF2-17E6E7C0CB09}" type="sibTrans" cxnId="{5569C56D-7907-4377-A8B6-D6AF549D8BD1}">
      <dgm:prSet/>
      <dgm:spPr/>
      <dgm:t>
        <a:bodyPr/>
        <a:lstStyle/>
        <a:p>
          <a:endParaRPr lang="en-US"/>
        </a:p>
      </dgm:t>
    </dgm:pt>
    <dgm:pt modelId="{DD8E56B4-7770-4EFC-88AB-261FD8EF165C}">
      <dgm:prSet phldrT="[Text]"/>
      <dgm:spPr/>
      <dgm:t>
        <a:bodyPr/>
        <a:lstStyle/>
        <a:p>
          <a:r>
            <a:rPr lang="en-US">
              <a:latin typeface="Times New Roman" panose="02020603050405020304" pitchFamily="18" charset="0"/>
              <a:cs typeface="Times New Roman" panose="02020603050405020304" pitchFamily="18" charset="0"/>
            </a:rPr>
            <a:t>Job satisafction</a:t>
          </a:r>
        </a:p>
      </dgm:t>
    </dgm:pt>
    <dgm:pt modelId="{0BA8DA89-C1F3-410A-A3E9-74DA4FBA9405}" type="parTrans" cxnId="{EB762A1D-7F37-46A8-90BA-A5F9439240A9}">
      <dgm:prSet/>
      <dgm:spPr/>
      <dgm:t>
        <a:bodyPr/>
        <a:lstStyle/>
        <a:p>
          <a:endParaRPr lang="en-US"/>
        </a:p>
      </dgm:t>
    </dgm:pt>
    <dgm:pt modelId="{B852BAA0-5CC1-4835-B606-6CE8A1839F92}" type="sibTrans" cxnId="{EB762A1D-7F37-46A8-90BA-A5F9439240A9}">
      <dgm:prSet/>
      <dgm:spPr/>
      <dgm:t>
        <a:bodyPr/>
        <a:lstStyle/>
        <a:p>
          <a:endParaRPr lang="en-US"/>
        </a:p>
      </dgm:t>
    </dgm:pt>
    <dgm:pt modelId="{6E4FBAA8-5C3B-47D8-9ED5-782027C25E2D}" type="pres">
      <dgm:prSet presAssocID="{14C948BD-0AC0-4218-A3EE-1EB698D0EC6E}" presName="Name0" presStyleCnt="0">
        <dgm:presLayoutVars>
          <dgm:resizeHandles/>
        </dgm:presLayoutVars>
      </dgm:prSet>
      <dgm:spPr/>
    </dgm:pt>
    <dgm:pt modelId="{124F128C-F9C6-4BC6-87AF-F6859BBAEF4D}" type="pres">
      <dgm:prSet presAssocID="{660444CE-DCDE-4960-B0B0-F91BB846EA62}" presName="text" presStyleLbl="node1" presStyleIdx="0" presStyleCnt="8">
        <dgm:presLayoutVars>
          <dgm:bulletEnabled val="1"/>
        </dgm:presLayoutVars>
      </dgm:prSet>
      <dgm:spPr/>
    </dgm:pt>
    <dgm:pt modelId="{C04896C7-A608-43AB-9440-6F5B7B9D4EFB}" type="pres">
      <dgm:prSet presAssocID="{C84024CB-F7F2-4E10-BDCA-FEFB1E5DD461}" presName="space" presStyleCnt="0"/>
      <dgm:spPr/>
    </dgm:pt>
    <dgm:pt modelId="{4ADF1E15-8A9D-43D4-B4E1-D707E37D338D}" type="pres">
      <dgm:prSet presAssocID="{393A5B8B-6DC5-487F-9DF9-2CC146A81104}" presName="text" presStyleLbl="node1" presStyleIdx="1" presStyleCnt="8" custScaleX="123848">
        <dgm:presLayoutVars>
          <dgm:bulletEnabled val="1"/>
        </dgm:presLayoutVars>
      </dgm:prSet>
      <dgm:spPr/>
    </dgm:pt>
    <dgm:pt modelId="{285D003F-F12D-4784-82C7-A27B16C1FE3D}" type="pres">
      <dgm:prSet presAssocID="{E7B386F3-9CEA-4624-AB27-61E32357C554}" presName="space" presStyleCnt="0"/>
      <dgm:spPr/>
    </dgm:pt>
    <dgm:pt modelId="{086E2AC0-8BF0-412C-9898-1223A263C0A4}" type="pres">
      <dgm:prSet presAssocID="{48E9431C-C83D-4A83-8921-C38C81144C1E}" presName="text" presStyleLbl="node1" presStyleIdx="2" presStyleCnt="8" custScaleX="200718">
        <dgm:presLayoutVars>
          <dgm:bulletEnabled val="1"/>
        </dgm:presLayoutVars>
      </dgm:prSet>
      <dgm:spPr/>
    </dgm:pt>
    <dgm:pt modelId="{199CA14C-A5C2-4417-9D5E-50C8B75A080E}" type="pres">
      <dgm:prSet presAssocID="{AF511E3A-82D4-4CD7-9852-B97460987245}" presName="space" presStyleCnt="0"/>
      <dgm:spPr/>
    </dgm:pt>
    <dgm:pt modelId="{B643D9EF-213D-4F77-8F88-EA1F07E316D7}" type="pres">
      <dgm:prSet presAssocID="{D691B70D-B071-48EC-90DA-FAA6EB18DD12}" presName="text" presStyleLbl="node1" presStyleIdx="3" presStyleCnt="8" custScaleX="223878">
        <dgm:presLayoutVars>
          <dgm:bulletEnabled val="1"/>
        </dgm:presLayoutVars>
      </dgm:prSet>
      <dgm:spPr/>
    </dgm:pt>
    <dgm:pt modelId="{D1408922-507D-4B7E-9781-E21B65B587E4}" type="pres">
      <dgm:prSet presAssocID="{D10212E5-129B-4199-BBBE-F85AA03E5FE7}" presName="space" presStyleCnt="0"/>
      <dgm:spPr/>
    </dgm:pt>
    <dgm:pt modelId="{D9754501-C1D8-4339-9DF8-E17796BFFD03}" type="pres">
      <dgm:prSet presAssocID="{4D6F6637-5F17-4C72-BAD1-685837F2C7C1}" presName="text" presStyleLbl="node1" presStyleIdx="4" presStyleCnt="8" custScaleX="194028">
        <dgm:presLayoutVars>
          <dgm:bulletEnabled val="1"/>
        </dgm:presLayoutVars>
      </dgm:prSet>
      <dgm:spPr/>
    </dgm:pt>
    <dgm:pt modelId="{7EB78AA7-4FF2-41A3-AF4D-CA6031B86019}" type="pres">
      <dgm:prSet presAssocID="{DE10AD84-7047-44E0-B269-9DBEA2658AFB}" presName="space" presStyleCnt="0"/>
      <dgm:spPr/>
    </dgm:pt>
    <dgm:pt modelId="{7672FD98-79B5-433C-905C-1E62C3929C90}" type="pres">
      <dgm:prSet presAssocID="{E14DD099-8E71-4531-A5B3-58E2A0293C19}" presName="text" presStyleLbl="node1" presStyleIdx="5" presStyleCnt="8" custScaleX="184788">
        <dgm:presLayoutVars>
          <dgm:bulletEnabled val="1"/>
        </dgm:presLayoutVars>
      </dgm:prSet>
      <dgm:spPr/>
    </dgm:pt>
    <dgm:pt modelId="{CF72D8AF-5D49-46C1-AE48-046AAE958693}" type="pres">
      <dgm:prSet presAssocID="{8465B2C1-89B5-4718-B329-2D8BF95D4ACD}" presName="space" presStyleCnt="0"/>
      <dgm:spPr/>
    </dgm:pt>
    <dgm:pt modelId="{AECC1EEE-154B-4E46-BB96-89DEFE02136B}" type="pres">
      <dgm:prSet presAssocID="{0480D952-0DD6-4598-B4D5-351ECAB693B9}" presName="text" presStyleLbl="node1" presStyleIdx="6" presStyleCnt="8" custScaleX="166310">
        <dgm:presLayoutVars>
          <dgm:bulletEnabled val="1"/>
        </dgm:presLayoutVars>
      </dgm:prSet>
      <dgm:spPr/>
    </dgm:pt>
    <dgm:pt modelId="{2E55FB7F-2412-44BC-9E59-44F9010F2434}" type="pres">
      <dgm:prSet presAssocID="{F736CBC6-7F74-497D-9CF2-17E6E7C0CB09}" presName="space" presStyleCnt="0"/>
      <dgm:spPr/>
    </dgm:pt>
    <dgm:pt modelId="{63DC8B13-2487-4DF6-89AC-15F3C1C9E5D8}" type="pres">
      <dgm:prSet presAssocID="{DD8E56B4-7770-4EFC-88AB-261FD8EF165C}" presName="text" presStyleLbl="node1" presStyleIdx="7" presStyleCnt="8" custScaleX="207887">
        <dgm:presLayoutVars>
          <dgm:bulletEnabled val="1"/>
        </dgm:presLayoutVars>
      </dgm:prSet>
      <dgm:spPr/>
    </dgm:pt>
  </dgm:ptLst>
  <dgm:cxnLst>
    <dgm:cxn modelId="{79D81B07-FC36-4A16-B8F1-E07A30315A95}" type="presOf" srcId="{660444CE-DCDE-4960-B0B0-F91BB846EA62}" destId="{124F128C-F9C6-4BC6-87AF-F6859BBAEF4D}" srcOrd="0" destOrd="0" presId="urn:diagrams.loki3.com/VaryingWidthList"/>
    <dgm:cxn modelId="{0422BD0A-6D76-4C30-8570-A3BD1B6FAECC}" type="presOf" srcId="{E14DD099-8E71-4531-A5B3-58E2A0293C19}" destId="{7672FD98-79B5-433C-905C-1E62C3929C90}" srcOrd="0" destOrd="0" presId="urn:diagrams.loki3.com/VaryingWidthList"/>
    <dgm:cxn modelId="{41045619-A153-4E8C-862A-F77F8E3BD539}" type="presOf" srcId="{D691B70D-B071-48EC-90DA-FAA6EB18DD12}" destId="{B643D9EF-213D-4F77-8F88-EA1F07E316D7}" srcOrd="0" destOrd="0" presId="urn:diagrams.loki3.com/VaryingWidthList"/>
    <dgm:cxn modelId="{EB762A1D-7F37-46A8-90BA-A5F9439240A9}" srcId="{14C948BD-0AC0-4218-A3EE-1EB698D0EC6E}" destId="{DD8E56B4-7770-4EFC-88AB-261FD8EF165C}" srcOrd="7" destOrd="0" parTransId="{0BA8DA89-C1F3-410A-A3E9-74DA4FBA9405}" sibTransId="{B852BAA0-5CC1-4835-B606-6CE8A1839F92}"/>
    <dgm:cxn modelId="{F7276922-B485-41AC-88E7-1F0BA1F48A9B}" srcId="{14C948BD-0AC0-4218-A3EE-1EB698D0EC6E}" destId="{4D6F6637-5F17-4C72-BAD1-685837F2C7C1}" srcOrd="4" destOrd="0" parTransId="{C1B5BC8C-1E9D-49B8-B34D-184543B4D39C}" sibTransId="{DE10AD84-7047-44E0-B269-9DBEA2658AFB}"/>
    <dgm:cxn modelId="{AFAF5836-1C28-47CA-8CF7-EC271F4F5B00}" srcId="{14C948BD-0AC0-4218-A3EE-1EB698D0EC6E}" destId="{660444CE-DCDE-4960-B0B0-F91BB846EA62}" srcOrd="0" destOrd="0" parTransId="{1A16A53E-1AA9-4C03-828E-CEC444F4D5AA}" sibTransId="{C84024CB-F7F2-4E10-BDCA-FEFB1E5DD461}"/>
    <dgm:cxn modelId="{5569C56D-7907-4377-A8B6-D6AF549D8BD1}" srcId="{14C948BD-0AC0-4218-A3EE-1EB698D0EC6E}" destId="{0480D952-0DD6-4598-B4D5-351ECAB693B9}" srcOrd="6" destOrd="0" parTransId="{47835B31-834B-4E3F-ADDF-07E33C0741B9}" sibTransId="{F736CBC6-7F74-497D-9CF2-17E6E7C0CB09}"/>
    <dgm:cxn modelId="{87920756-7E31-44AC-A8C7-E4EA340F8195}" srcId="{14C948BD-0AC0-4218-A3EE-1EB698D0EC6E}" destId="{E14DD099-8E71-4531-A5B3-58E2A0293C19}" srcOrd="5" destOrd="0" parTransId="{614CB999-1658-459D-B490-C2D4FD97C94B}" sibTransId="{8465B2C1-89B5-4718-B329-2D8BF95D4ACD}"/>
    <dgm:cxn modelId="{313C6377-F6CA-4449-A037-9B87AE25841D}" type="presOf" srcId="{DD8E56B4-7770-4EFC-88AB-261FD8EF165C}" destId="{63DC8B13-2487-4DF6-89AC-15F3C1C9E5D8}" srcOrd="0" destOrd="0" presId="urn:diagrams.loki3.com/VaryingWidthList"/>
    <dgm:cxn modelId="{711A287C-CE3A-4210-9624-FCF20590A1CA}" srcId="{14C948BD-0AC0-4218-A3EE-1EB698D0EC6E}" destId="{48E9431C-C83D-4A83-8921-C38C81144C1E}" srcOrd="2" destOrd="0" parTransId="{365D0B80-C8BE-4A55-8E51-22C4E21A8613}" sibTransId="{AF511E3A-82D4-4CD7-9852-B97460987245}"/>
    <dgm:cxn modelId="{5FE995B6-3A15-4445-844B-B12CAD22BB20}" type="presOf" srcId="{14C948BD-0AC0-4218-A3EE-1EB698D0EC6E}" destId="{6E4FBAA8-5C3B-47D8-9ED5-782027C25E2D}" srcOrd="0" destOrd="0" presId="urn:diagrams.loki3.com/VaryingWidthList"/>
    <dgm:cxn modelId="{782A5EB8-4A58-492A-9AE8-661AFEC711A9}" type="presOf" srcId="{48E9431C-C83D-4A83-8921-C38C81144C1E}" destId="{086E2AC0-8BF0-412C-9898-1223A263C0A4}" srcOrd="0" destOrd="0" presId="urn:diagrams.loki3.com/VaryingWidthList"/>
    <dgm:cxn modelId="{9353D4BA-9EE1-4A36-9732-28AE37D1DEBE}" srcId="{14C948BD-0AC0-4218-A3EE-1EB698D0EC6E}" destId="{D691B70D-B071-48EC-90DA-FAA6EB18DD12}" srcOrd="3" destOrd="0" parTransId="{AE60A435-C24F-4589-9058-668EAB0713B5}" sibTransId="{D10212E5-129B-4199-BBBE-F85AA03E5FE7}"/>
    <dgm:cxn modelId="{ABCDF1CC-4264-4A55-BC89-6F9927D331C7}" type="presOf" srcId="{4D6F6637-5F17-4C72-BAD1-685837F2C7C1}" destId="{D9754501-C1D8-4339-9DF8-E17796BFFD03}" srcOrd="0" destOrd="0" presId="urn:diagrams.loki3.com/VaryingWidthList"/>
    <dgm:cxn modelId="{12F7F5CD-B2CF-465D-8636-836970F08237}" srcId="{14C948BD-0AC0-4218-A3EE-1EB698D0EC6E}" destId="{393A5B8B-6DC5-487F-9DF9-2CC146A81104}" srcOrd="1" destOrd="0" parTransId="{2B3A0403-3B22-47AC-BA0B-9050ECB1FF84}" sibTransId="{E7B386F3-9CEA-4624-AB27-61E32357C554}"/>
    <dgm:cxn modelId="{DCC948E3-29EE-4E61-A9EC-B8F61428015E}" type="presOf" srcId="{0480D952-0DD6-4598-B4D5-351ECAB693B9}" destId="{AECC1EEE-154B-4E46-BB96-89DEFE02136B}" srcOrd="0" destOrd="0" presId="urn:diagrams.loki3.com/VaryingWidthList"/>
    <dgm:cxn modelId="{2C46DEF5-BE89-4592-82E2-D8ABA8CB90AE}" type="presOf" srcId="{393A5B8B-6DC5-487F-9DF9-2CC146A81104}" destId="{4ADF1E15-8A9D-43D4-B4E1-D707E37D338D}" srcOrd="0" destOrd="0" presId="urn:diagrams.loki3.com/VaryingWidthList"/>
    <dgm:cxn modelId="{BDCD2BEE-72FD-4C21-BC56-053DDCB18B31}" type="presParOf" srcId="{6E4FBAA8-5C3B-47D8-9ED5-782027C25E2D}" destId="{124F128C-F9C6-4BC6-87AF-F6859BBAEF4D}" srcOrd="0" destOrd="0" presId="urn:diagrams.loki3.com/VaryingWidthList"/>
    <dgm:cxn modelId="{53535214-92FF-4B3B-851E-7CA8928A7CB6}" type="presParOf" srcId="{6E4FBAA8-5C3B-47D8-9ED5-782027C25E2D}" destId="{C04896C7-A608-43AB-9440-6F5B7B9D4EFB}" srcOrd="1" destOrd="0" presId="urn:diagrams.loki3.com/VaryingWidthList"/>
    <dgm:cxn modelId="{5F1AF879-73B5-4123-AB0C-34C26D5FF57D}" type="presParOf" srcId="{6E4FBAA8-5C3B-47D8-9ED5-782027C25E2D}" destId="{4ADF1E15-8A9D-43D4-B4E1-D707E37D338D}" srcOrd="2" destOrd="0" presId="urn:diagrams.loki3.com/VaryingWidthList"/>
    <dgm:cxn modelId="{CC011497-3CB5-40BF-B329-76AB17B9C4DC}" type="presParOf" srcId="{6E4FBAA8-5C3B-47D8-9ED5-782027C25E2D}" destId="{285D003F-F12D-4784-82C7-A27B16C1FE3D}" srcOrd="3" destOrd="0" presId="urn:diagrams.loki3.com/VaryingWidthList"/>
    <dgm:cxn modelId="{C36382EA-34F9-4ABD-A0FE-EE9B91AC4300}" type="presParOf" srcId="{6E4FBAA8-5C3B-47D8-9ED5-782027C25E2D}" destId="{086E2AC0-8BF0-412C-9898-1223A263C0A4}" srcOrd="4" destOrd="0" presId="urn:diagrams.loki3.com/VaryingWidthList"/>
    <dgm:cxn modelId="{5488EEE2-27D0-4800-9600-D1ECC3C8E398}" type="presParOf" srcId="{6E4FBAA8-5C3B-47D8-9ED5-782027C25E2D}" destId="{199CA14C-A5C2-4417-9D5E-50C8B75A080E}" srcOrd="5" destOrd="0" presId="urn:diagrams.loki3.com/VaryingWidthList"/>
    <dgm:cxn modelId="{7F2DC40A-39EC-44E9-9D45-9AF20EC51A8E}" type="presParOf" srcId="{6E4FBAA8-5C3B-47D8-9ED5-782027C25E2D}" destId="{B643D9EF-213D-4F77-8F88-EA1F07E316D7}" srcOrd="6" destOrd="0" presId="urn:diagrams.loki3.com/VaryingWidthList"/>
    <dgm:cxn modelId="{7328A283-E18D-4B66-8E80-F13CC0389C1D}" type="presParOf" srcId="{6E4FBAA8-5C3B-47D8-9ED5-782027C25E2D}" destId="{D1408922-507D-4B7E-9781-E21B65B587E4}" srcOrd="7" destOrd="0" presId="urn:diagrams.loki3.com/VaryingWidthList"/>
    <dgm:cxn modelId="{F965E71B-F663-4C99-BCDD-20EA9C3A8A9E}" type="presParOf" srcId="{6E4FBAA8-5C3B-47D8-9ED5-782027C25E2D}" destId="{D9754501-C1D8-4339-9DF8-E17796BFFD03}" srcOrd="8" destOrd="0" presId="urn:diagrams.loki3.com/VaryingWidthList"/>
    <dgm:cxn modelId="{0EF02164-B7DE-44A8-97CB-FCB4220A3050}" type="presParOf" srcId="{6E4FBAA8-5C3B-47D8-9ED5-782027C25E2D}" destId="{7EB78AA7-4FF2-41A3-AF4D-CA6031B86019}" srcOrd="9" destOrd="0" presId="urn:diagrams.loki3.com/VaryingWidthList"/>
    <dgm:cxn modelId="{12A4A5DC-E0ED-478E-B380-0A8FA121959B}" type="presParOf" srcId="{6E4FBAA8-5C3B-47D8-9ED5-782027C25E2D}" destId="{7672FD98-79B5-433C-905C-1E62C3929C90}" srcOrd="10" destOrd="0" presId="urn:diagrams.loki3.com/VaryingWidthList"/>
    <dgm:cxn modelId="{7AB62B59-1579-4344-B487-17166280585D}" type="presParOf" srcId="{6E4FBAA8-5C3B-47D8-9ED5-782027C25E2D}" destId="{CF72D8AF-5D49-46C1-AE48-046AAE958693}" srcOrd="11" destOrd="0" presId="urn:diagrams.loki3.com/VaryingWidthList"/>
    <dgm:cxn modelId="{FFEDF375-8DFF-4295-BC85-9DA56CFD9B07}" type="presParOf" srcId="{6E4FBAA8-5C3B-47D8-9ED5-782027C25E2D}" destId="{AECC1EEE-154B-4E46-BB96-89DEFE02136B}" srcOrd="12" destOrd="0" presId="urn:diagrams.loki3.com/VaryingWidthList"/>
    <dgm:cxn modelId="{C1111A9A-8359-4243-A57A-DF0587C4D091}" type="presParOf" srcId="{6E4FBAA8-5C3B-47D8-9ED5-782027C25E2D}" destId="{2E55FB7F-2412-44BC-9E59-44F9010F2434}" srcOrd="13" destOrd="0" presId="urn:diagrams.loki3.com/VaryingWidthList"/>
    <dgm:cxn modelId="{E80EB4BE-5DF7-42D9-9650-1142DDB4F1A4}" type="presParOf" srcId="{6E4FBAA8-5C3B-47D8-9ED5-782027C25E2D}" destId="{63DC8B13-2487-4DF6-89AC-15F3C1C9E5D8}" srcOrd="14" destOrd="0" presId="urn:diagrams.loki3.com/VaryingWidth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0E30A77-6DEE-41CF-BAEC-25497B9B00FC}" type="doc">
      <dgm:prSet loTypeId="urn:microsoft.com/office/officeart/2008/layout/VerticalCurvedList" loCatId="list" qsTypeId="urn:microsoft.com/office/officeart/2005/8/quickstyle/simple1" qsCatId="simple" csTypeId="urn:microsoft.com/office/officeart/2005/8/colors/colorful5" csCatId="colorful" phldr="1"/>
      <dgm:spPr/>
      <dgm:t>
        <a:bodyPr/>
        <a:lstStyle/>
        <a:p>
          <a:endParaRPr lang="en-US"/>
        </a:p>
      </dgm:t>
    </dgm:pt>
    <dgm:pt modelId="{BB945C1F-99A4-4DA4-B403-8B9ECD69958B}">
      <dgm:prSet phldrT="[Text]"/>
      <dgm:spPr/>
      <dgm:t>
        <a:bodyPr/>
        <a:lstStyle/>
        <a:p>
          <a:r>
            <a:rPr lang="en-US">
              <a:latin typeface="Times New Roman" panose="02020603050405020304" pitchFamily="18" charset="0"/>
              <a:cs typeface="Times New Roman" panose="02020603050405020304" pitchFamily="18" charset="0"/>
            </a:rPr>
            <a:t>Inspecting the recently provided relevant offers </a:t>
          </a:r>
        </a:p>
      </dgm:t>
    </dgm:pt>
    <dgm:pt modelId="{0E64F78A-1BFD-494B-975C-1B0DBB823D5F}" type="parTrans" cxnId="{5A0C881A-7517-4CB0-AD42-D8AA40D6F702}">
      <dgm:prSet/>
      <dgm:spPr/>
      <dgm:t>
        <a:bodyPr/>
        <a:lstStyle/>
        <a:p>
          <a:endParaRPr lang="en-US"/>
        </a:p>
      </dgm:t>
    </dgm:pt>
    <dgm:pt modelId="{E69B1D44-5995-499E-9FE9-EF43A105E2DE}" type="sibTrans" cxnId="{5A0C881A-7517-4CB0-AD42-D8AA40D6F702}">
      <dgm:prSet/>
      <dgm:spPr/>
      <dgm:t>
        <a:bodyPr/>
        <a:lstStyle/>
        <a:p>
          <a:endParaRPr lang="en-US"/>
        </a:p>
      </dgm:t>
    </dgm:pt>
    <dgm:pt modelId="{B327D538-5163-4D1B-9AA7-542A064DCB00}">
      <dgm:prSet phldrT="[Text]"/>
      <dgm:spPr/>
      <dgm:t>
        <a:bodyPr/>
        <a:lstStyle/>
        <a:p>
          <a:r>
            <a:rPr lang="en-US">
              <a:latin typeface="Times New Roman" panose="02020603050405020304" pitchFamily="18" charset="0"/>
              <a:cs typeface="Times New Roman" panose="02020603050405020304" pitchFamily="18" charset="0"/>
            </a:rPr>
            <a:t>Using different EVP channels to others be aware of it</a:t>
          </a:r>
        </a:p>
      </dgm:t>
    </dgm:pt>
    <dgm:pt modelId="{DB53C3FF-D927-41AD-82D4-0B303082DE65}" type="parTrans" cxnId="{49C192BF-A4C9-4857-B734-711D0AC754CD}">
      <dgm:prSet/>
      <dgm:spPr/>
      <dgm:t>
        <a:bodyPr/>
        <a:lstStyle/>
        <a:p>
          <a:endParaRPr lang="en-US"/>
        </a:p>
      </dgm:t>
    </dgm:pt>
    <dgm:pt modelId="{4866DDE2-062E-4378-9FE0-AFCF24FBD7D6}" type="sibTrans" cxnId="{49C192BF-A4C9-4857-B734-711D0AC754CD}">
      <dgm:prSet/>
      <dgm:spPr/>
      <dgm:t>
        <a:bodyPr/>
        <a:lstStyle/>
        <a:p>
          <a:endParaRPr lang="en-US"/>
        </a:p>
      </dgm:t>
    </dgm:pt>
    <dgm:pt modelId="{9F4B077C-C03D-42C3-9AC0-7F9413764FE1}">
      <dgm:prSet phldrT="[Text]"/>
      <dgm:spPr/>
      <dgm:t>
        <a:bodyPr/>
        <a:lstStyle/>
        <a:p>
          <a:r>
            <a:rPr lang="en-US">
              <a:latin typeface="Times New Roman" panose="02020603050405020304" pitchFamily="18" charset="0"/>
              <a:cs typeface="Times New Roman" panose="02020603050405020304" pitchFamily="18" charset="0"/>
            </a:rPr>
            <a:t>Monitoring and reviewing the latest outcome</a:t>
          </a:r>
        </a:p>
      </dgm:t>
    </dgm:pt>
    <dgm:pt modelId="{5BD01952-61AB-48F8-B46A-CEB966E0ACA6}" type="parTrans" cxnId="{773C9139-A6FE-4321-9949-274AAB8B1270}">
      <dgm:prSet/>
      <dgm:spPr/>
      <dgm:t>
        <a:bodyPr/>
        <a:lstStyle/>
        <a:p>
          <a:endParaRPr lang="en-US"/>
        </a:p>
      </dgm:t>
    </dgm:pt>
    <dgm:pt modelId="{C066BD3A-6EBE-4216-9D92-2DD927785BC3}" type="sibTrans" cxnId="{773C9139-A6FE-4321-9949-274AAB8B1270}">
      <dgm:prSet/>
      <dgm:spPr/>
      <dgm:t>
        <a:bodyPr/>
        <a:lstStyle/>
        <a:p>
          <a:endParaRPr lang="en-US"/>
        </a:p>
      </dgm:t>
    </dgm:pt>
    <dgm:pt modelId="{A051B7C0-F35F-45CD-87AE-E0FB0EE8C9E6}">
      <dgm:prSet phldrT="[Text]"/>
      <dgm:spPr/>
      <dgm:t>
        <a:bodyPr/>
        <a:lstStyle/>
        <a:p>
          <a:r>
            <a:rPr lang="en-US">
              <a:latin typeface="Times New Roman" panose="02020603050405020304" pitchFamily="18" charset="0"/>
              <a:cs typeface="Times New Roman" panose="02020603050405020304" pitchFamily="18" charset="0"/>
            </a:rPr>
            <a:t>Creating a separate and complete value proposition</a:t>
          </a:r>
        </a:p>
      </dgm:t>
    </dgm:pt>
    <dgm:pt modelId="{639E9351-CD93-492F-A505-1956BDA66E1D}" type="parTrans" cxnId="{CD925BB0-85A0-457A-BA08-4E11CF0CB558}">
      <dgm:prSet/>
      <dgm:spPr/>
      <dgm:t>
        <a:bodyPr/>
        <a:lstStyle/>
        <a:p>
          <a:endParaRPr lang="en-US"/>
        </a:p>
      </dgm:t>
    </dgm:pt>
    <dgm:pt modelId="{0A8E5FD3-47BF-4070-81E8-8C10B02A3CAF}" type="sibTrans" cxnId="{CD925BB0-85A0-457A-BA08-4E11CF0CB558}">
      <dgm:prSet/>
      <dgm:spPr/>
      <dgm:t>
        <a:bodyPr/>
        <a:lstStyle/>
        <a:p>
          <a:endParaRPr lang="en-US"/>
        </a:p>
      </dgm:t>
    </dgm:pt>
    <dgm:pt modelId="{294A55D2-A6DC-44EA-BAE6-FE517307B9EE}">
      <dgm:prSet phldrT="[Text]"/>
      <dgm:spPr/>
      <dgm:t>
        <a:bodyPr/>
        <a:lstStyle/>
        <a:p>
          <a:r>
            <a:rPr lang="en-US">
              <a:latin typeface="Times New Roman" panose="02020603050405020304" pitchFamily="18" charset="0"/>
              <a:cs typeface="Times New Roman" panose="02020603050405020304" pitchFamily="18" charset="0"/>
            </a:rPr>
            <a:t>Taking detailed interview of all existing employees</a:t>
          </a:r>
        </a:p>
      </dgm:t>
    </dgm:pt>
    <dgm:pt modelId="{D00C246B-5CCF-40A9-8918-B960E8861FCD}" type="parTrans" cxnId="{D5CFC117-C5AF-4207-B113-172A5EE24F59}">
      <dgm:prSet/>
      <dgm:spPr/>
      <dgm:t>
        <a:bodyPr/>
        <a:lstStyle/>
        <a:p>
          <a:endParaRPr lang="en-US"/>
        </a:p>
      </dgm:t>
    </dgm:pt>
    <dgm:pt modelId="{0A9151DF-3CE7-47D1-9577-0B216205B9C1}" type="sibTrans" cxnId="{D5CFC117-C5AF-4207-B113-172A5EE24F59}">
      <dgm:prSet/>
      <dgm:spPr/>
      <dgm:t>
        <a:bodyPr/>
        <a:lstStyle/>
        <a:p>
          <a:endParaRPr lang="en-US"/>
        </a:p>
      </dgm:t>
    </dgm:pt>
    <dgm:pt modelId="{6D776018-1019-4C95-929C-8F118B5A2E6B}">
      <dgm:prSet phldrT="[Text]"/>
      <dgm:spPr/>
      <dgm:t>
        <a:bodyPr/>
        <a:lstStyle/>
        <a:p>
          <a:r>
            <a:rPr lang="en-US">
              <a:latin typeface="Times New Roman" panose="02020603050405020304" pitchFamily="18" charset="0"/>
              <a:cs typeface="Times New Roman" panose="02020603050405020304" pitchFamily="18" charset="0"/>
            </a:rPr>
            <a:t>Determining all the efficient and important keys of EVP</a:t>
          </a:r>
        </a:p>
      </dgm:t>
    </dgm:pt>
    <dgm:pt modelId="{FCF15051-F941-406B-A728-90B53788DC21}" type="parTrans" cxnId="{0C67FB52-C476-42E3-9AAC-6B6214C0DE16}">
      <dgm:prSet/>
      <dgm:spPr/>
      <dgm:t>
        <a:bodyPr/>
        <a:lstStyle/>
        <a:p>
          <a:endParaRPr lang="en-US"/>
        </a:p>
      </dgm:t>
    </dgm:pt>
    <dgm:pt modelId="{D0CD057C-4E28-40F7-838F-477577C3B55F}" type="sibTrans" cxnId="{0C67FB52-C476-42E3-9AAC-6B6214C0DE16}">
      <dgm:prSet/>
      <dgm:spPr/>
      <dgm:t>
        <a:bodyPr/>
        <a:lstStyle/>
        <a:p>
          <a:endParaRPr lang="en-US"/>
        </a:p>
      </dgm:t>
    </dgm:pt>
    <dgm:pt modelId="{EDA03C0D-28E7-4413-8A0E-B9CE398FB616}" type="pres">
      <dgm:prSet presAssocID="{D0E30A77-6DEE-41CF-BAEC-25497B9B00FC}" presName="Name0" presStyleCnt="0">
        <dgm:presLayoutVars>
          <dgm:chMax val="7"/>
          <dgm:chPref val="7"/>
          <dgm:dir/>
        </dgm:presLayoutVars>
      </dgm:prSet>
      <dgm:spPr/>
    </dgm:pt>
    <dgm:pt modelId="{483DAAEB-4935-40EA-BBB5-40DC3DE75A30}" type="pres">
      <dgm:prSet presAssocID="{D0E30A77-6DEE-41CF-BAEC-25497B9B00FC}" presName="Name1" presStyleCnt="0"/>
      <dgm:spPr/>
    </dgm:pt>
    <dgm:pt modelId="{BA96B145-472D-4788-97DF-E5D670A5C9E5}" type="pres">
      <dgm:prSet presAssocID="{D0E30A77-6DEE-41CF-BAEC-25497B9B00FC}" presName="cycle" presStyleCnt="0"/>
      <dgm:spPr/>
    </dgm:pt>
    <dgm:pt modelId="{C56F43C3-9EA7-49CF-9873-7A4CC4844820}" type="pres">
      <dgm:prSet presAssocID="{D0E30A77-6DEE-41CF-BAEC-25497B9B00FC}" presName="srcNode" presStyleLbl="node1" presStyleIdx="0" presStyleCnt="6"/>
      <dgm:spPr/>
    </dgm:pt>
    <dgm:pt modelId="{6C603B28-66E4-4AE0-B914-26C205301353}" type="pres">
      <dgm:prSet presAssocID="{D0E30A77-6DEE-41CF-BAEC-25497B9B00FC}" presName="conn" presStyleLbl="parChTrans1D2" presStyleIdx="0" presStyleCnt="1"/>
      <dgm:spPr/>
    </dgm:pt>
    <dgm:pt modelId="{88F91AC4-0C0E-40E1-976F-542ACE76F94F}" type="pres">
      <dgm:prSet presAssocID="{D0E30A77-6DEE-41CF-BAEC-25497B9B00FC}" presName="extraNode" presStyleLbl="node1" presStyleIdx="0" presStyleCnt="6"/>
      <dgm:spPr/>
    </dgm:pt>
    <dgm:pt modelId="{4DDF4710-EA62-40BE-B44C-4216CD32D805}" type="pres">
      <dgm:prSet presAssocID="{D0E30A77-6DEE-41CF-BAEC-25497B9B00FC}" presName="dstNode" presStyleLbl="node1" presStyleIdx="0" presStyleCnt="6"/>
      <dgm:spPr/>
    </dgm:pt>
    <dgm:pt modelId="{30FEB2E9-2C2F-4905-BFB6-6C96F2E67003}" type="pres">
      <dgm:prSet presAssocID="{BB945C1F-99A4-4DA4-B403-8B9ECD69958B}" presName="text_1" presStyleLbl="node1" presStyleIdx="0" presStyleCnt="6">
        <dgm:presLayoutVars>
          <dgm:bulletEnabled val="1"/>
        </dgm:presLayoutVars>
      </dgm:prSet>
      <dgm:spPr/>
    </dgm:pt>
    <dgm:pt modelId="{B469A7D4-7DC5-4761-9489-7ED2A279F293}" type="pres">
      <dgm:prSet presAssocID="{BB945C1F-99A4-4DA4-B403-8B9ECD69958B}" presName="accent_1" presStyleCnt="0"/>
      <dgm:spPr/>
    </dgm:pt>
    <dgm:pt modelId="{7E1DD8DB-F960-4395-ADF3-359C4FB26E96}" type="pres">
      <dgm:prSet presAssocID="{BB945C1F-99A4-4DA4-B403-8B9ECD69958B}" presName="accentRepeatNode" presStyleLbl="solidFgAcc1" presStyleIdx="0" presStyleCnt="6"/>
      <dgm:spPr/>
    </dgm:pt>
    <dgm:pt modelId="{B853408E-56A0-4A42-862A-2F90FC93C749}" type="pres">
      <dgm:prSet presAssocID="{294A55D2-A6DC-44EA-BAE6-FE517307B9EE}" presName="text_2" presStyleLbl="node1" presStyleIdx="1" presStyleCnt="6">
        <dgm:presLayoutVars>
          <dgm:bulletEnabled val="1"/>
        </dgm:presLayoutVars>
      </dgm:prSet>
      <dgm:spPr/>
    </dgm:pt>
    <dgm:pt modelId="{13959B28-685B-4F98-A51E-0DC49577D6C0}" type="pres">
      <dgm:prSet presAssocID="{294A55D2-A6DC-44EA-BAE6-FE517307B9EE}" presName="accent_2" presStyleCnt="0"/>
      <dgm:spPr/>
    </dgm:pt>
    <dgm:pt modelId="{9659E50D-A0F6-466A-B2C4-A45FDD1B1193}" type="pres">
      <dgm:prSet presAssocID="{294A55D2-A6DC-44EA-BAE6-FE517307B9EE}" presName="accentRepeatNode" presStyleLbl="solidFgAcc1" presStyleIdx="1" presStyleCnt="6"/>
      <dgm:spPr/>
    </dgm:pt>
    <dgm:pt modelId="{B526EC75-E433-4CBA-A9D7-696484192C22}" type="pres">
      <dgm:prSet presAssocID="{6D776018-1019-4C95-929C-8F118B5A2E6B}" presName="text_3" presStyleLbl="node1" presStyleIdx="2" presStyleCnt="6">
        <dgm:presLayoutVars>
          <dgm:bulletEnabled val="1"/>
        </dgm:presLayoutVars>
      </dgm:prSet>
      <dgm:spPr/>
    </dgm:pt>
    <dgm:pt modelId="{4783D449-DE44-4189-8DAE-62938130F3EB}" type="pres">
      <dgm:prSet presAssocID="{6D776018-1019-4C95-929C-8F118B5A2E6B}" presName="accent_3" presStyleCnt="0"/>
      <dgm:spPr/>
    </dgm:pt>
    <dgm:pt modelId="{548FC368-B5DF-4EA1-9319-E8770D5EE43E}" type="pres">
      <dgm:prSet presAssocID="{6D776018-1019-4C95-929C-8F118B5A2E6B}" presName="accentRepeatNode" presStyleLbl="solidFgAcc1" presStyleIdx="2" presStyleCnt="6"/>
      <dgm:spPr/>
    </dgm:pt>
    <dgm:pt modelId="{919B693D-5D94-438E-A282-BE8359309226}" type="pres">
      <dgm:prSet presAssocID="{A051B7C0-F35F-45CD-87AE-E0FB0EE8C9E6}" presName="text_4" presStyleLbl="node1" presStyleIdx="3" presStyleCnt="6">
        <dgm:presLayoutVars>
          <dgm:bulletEnabled val="1"/>
        </dgm:presLayoutVars>
      </dgm:prSet>
      <dgm:spPr/>
    </dgm:pt>
    <dgm:pt modelId="{1A332205-2F3C-4DAE-BA52-AF89421D7D3C}" type="pres">
      <dgm:prSet presAssocID="{A051B7C0-F35F-45CD-87AE-E0FB0EE8C9E6}" presName="accent_4" presStyleCnt="0"/>
      <dgm:spPr/>
    </dgm:pt>
    <dgm:pt modelId="{CF3CDC84-72D6-40DF-A5DB-439D65726F41}" type="pres">
      <dgm:prSet presAssocID="{A051B7C0-F35F-45CD-87AE-E0FB0EE8C9E6}" presName="accentRepeatNode" presStyleLbl="solidFgAcc1" presStyleIdx="3" presStyleCnt="6"/>
      <dgm:spPr/>
    </dgm:pt>
    <dgm:pt modelId="{D59499F2-E1EC-4906-9FAD-606610AA00DE}" type="pres">
      <dgm:prSet presAssocID="{B327D538-5163-4D1B-9AA7-542A064DCB00}" presName="text_5" presStyleLbl="node1" presStyleIdx="4" presStyleCnt="6">
        <dgm:presLayoutVars>
          <dgm:bulletEnabled val="1"/>
        </dgm:presLayoutVars>
      </dgm:prSet>
      <dgm:spPr/>
    </dgm:pt>
    <dgm:pt modelId="{35D42B2D-C4D9-49DA-A571-95623AE84DA3}" type="pres">
      <dgm:prSet presAssocID="{B327D538-5163-4D1B-9AA7-542A064DCB00}" presName="accent_5" presStyleCnt="0"/>
      <dgm:spPr/>
    </dgm:pt>
    <dgm:pt modelId="{2B3FAD97-22E0-45E8-9346-4B3E40C90692}" type="pres">
      <dgm:prSet presAssocID="{B327D538-5163-4D1B-9AA7-542A064DCB00}" presName="accentRepeatNode" presStyleLbl="solidFgAcc1" presStyleIdx="4" presStyleCnt="6"/>
      <dgm:spPr/>
    </dgm:pt>
    <dgm:pt modelId="{A9129DE8-62C2-4625-8885-1B404F436BC6}" type="pres">
      <dgm:prSet presAssocID="{9F4B077C-C03D-42C3-9AC0-7F9413764FE1}" presName="text_6" presStyleLbl="node1" presStyleIdx="5" presStyleCnt="6">
        <dgm:presLayoutVars>
          <dgm:bulletEnabled val="1"/>
        </dgm:presLayoutVars>
      </dgm:prSet>
      <dgm:spPr/>
    </dgm:pt>
    <dgm:pt modelId="{E59D2E1D-F0A4-43A0-BAF0-2B61C85E0EFB}" type="pres">
      <dgm:prSet presAssocID="{9F4B077C-C03D-42C3-9AC0-7F9413764FE1}" presName="accent_6" presStyleCnt="0"/>
      <dgm:spPr/>
    </dgm:pt>
    <dgm:pt modelId="{055388EF-DC4F-45FE-BE30-8723B91793FA}" type="pres">
      <dgm:prSet presAssocID="{9F4B077C-C03D-42C3-9AC0-7F9413764FE1}" presName="accentRepeatNode" presStyleLbl="solidFgAcc1" presStyleIdx="5" presStyleCnt="6"/>
      <dgm:spPr/>
    </dgm:pt>
  </dgm:ptLst>
  <dgm:cxnLst>
    <dgm:cxn modelId="{D5CFC117-C5AF-4207-B113-172A5EE24F59}" srcId="{D0E30A77-6DEE-41CF-BAEC-25497B9B00FC}" destId="{294A55D2-A6DC-44EA-BAE6-FE517307B9EE}" srcOrd="1" destOrd="0" parTransId="{D00C246B-5CCF-40A9-8918-B960E8861FCD}" sibTransId="{0A9151DF-3CE7-47D1-9577-0B216205B9C1}"/>
    <dgm:cxn modelId="{5A0C881A-7517-4CB0-AD42-D8AA40D6F702}" srcId="{D0E30A77-6DEE-41CF-BAEC-25497B9B00FC}" destId="{BB945C1F-99A4-4DA4-B403-8B9ECD69958B}" srcOrd="0" destOrd="0" parTransId="{0E64F78A-1BFD-494B-975C-1B0DBB823D5F}" sibTransId="{E69B1D44-5995-499E-9FE9-EF43A105E2DE}"/>
    <dgm:cxn modelId="{27D8471D-0DBD-4043-AE37-186015105E50}" type="presOf" srcId="{A051B7C0-F35F-45CD-87AE-E0FB0EE8C9E6}" destId="{919B693D-5D94-438E-A282-BE8359309226}" srcOrd="0" destOrd="0" presId="urn:microsoft.com/office/officeart/2008/layout/VerticalCurvedList"/>
    <dgm:cxn modelId="{08D50423-9F3E-49D9-8314-643F3D03A9E4}" type="presOf" srcId="{9F4B077C-C03D-42C3-9AC0-7F9413764FE1}" destId="{A9129DE8-62C2-4625-8885-1B404F436BC6}" srcOrd="0" destOrd="0" presId="urn:microsoft.com/office/officeart/2008/layout/VerticalCurvedList"/>
    <dgm:cxn modelId="{9B12D32E-125D-432D-A2BB-3C466717B615}" type="presOf" srcId="{B327D538-5163-4D1B-9AA7-542A064DCB00}" destId="{D59499F2-E1EC-4906-9FAD-606610AA00DE}" srcOrd="0" destOrd="0" presId="urn:microsoft.com/office/officeart/2008/layout/VerticalCurvedList"/>
    <dgm:cxn modelId="{773C9139-A6FE-4321-9949-274AAB8B1270}" srcId="{D0E30A77-6DEE-41CF-BAEC-25497B9B00FC}" destId="{9F4B077C-C03D-42C3-9AC0-7F9413764FE1}" srcOrd="5" destOrd="0" parTransId="{5BD01952-61AB-48F8-B46A-CEB966E0ACA6}" sibTransId="{C066BD3A-6EBE-4216-9D92-2DD927785BC3}"/>
    <dgm:cxn modelId="{41E0995B-084F-413B-B1DE-0EA414FE07F3}" type="presOf" srcId="{D0E30A77-6DEE-41CF-BAEC-25497B9B00FC}" destId="{EDA03C0D-28E7-4413-8A0E-B9CE398FB616}" srcOrd="0" destOrd="0" presId="urn:microsoft.com/office/officeart/2008/layout/VerticalCurvedList"/>
    <dgm:cxn modelId="{E4961465-65B4-42D4-AAFD-F3FC48759B89}" type="presOf" srcId="{6D776018-1019-4C95-929C-8F118B5A2E6B}" destId="{B526EC75-E433-4CBA-A9D7-696484192C22}" srcOrd="0" destOrd="0" presId="urn:microsoft.com/office/officeart/2008/layout/VerticalCurvedList"/>
    <dgm:cxn modelId="{0C67FB52-C476-42E3-9AAC-6B6214C0DE16}" srcId="{D0E30A77-6DEE-41CF-BAEC-25497B9B00FC}" destId="{6D776018-1019-4C95-929C-8F118B5A2E6B}" srcOrd="2" destOrd="0" parTransId="{FCF15051-F941-406B-A728-90B53788DC21}" sibTransId="{D0CD057C-4E28-40F7-838F-477577C3B55F}"/>
    <dgm:cxn modelId="{8061E178-E5D1-4378-9B86-DD8D51956F37}" type="presOf" srcId="{294A55D2-A6DC-44EA-BAE6-FE517307B9EE}" destId="{B853408E-56A0-4A42-862A-2F90FC93C749}" srcOrd="0" destOrd="0" presId="urn:microsoft.com/office/officeart/2008/layout/VerticalCurvedList"/>
    <dgm:cxn modelId="{CD925BB0-85A0-457A-BA08-4E11CF0CB558}" srcId="{D0E30A77-6DEE-41CF-BAEC-25497B9B00FC}" destId="{A051B7C0-F35F-45CD-87AE-E0FB0EE8C9E6}" srcOrd="3" destOrd="0" parTransId="{639E9351-CD93-492F-A505-1956BDA66E1D}" sibTransId="{0A8E5FD3-47BF-4070-81E8-8C10B02A3CAF}"/>
    <dgm:cxn modelId="{49C192BF-A4C9-4857-B734-711D0AC754CD}" srcId="{D0E30A77-6DEE-41CF-BAEC-25497B9B00FC}" destId="{B327D538-5163-4D1B-9AA7-542A064DCB00}" srcOrd="4" destOrd="0" parTransId="{DB53C3FF-D927-41AD-82D4-0B303082DE65}" sibTransId="{4866DDE2-062E-4378-9FE0-AFCF24FBD7D6}"/>
    <dgm:cxn modelId="{4080D9D6-B138-40F4-B5A2-426F62217699}" type="presOf" srcId="{BB945C1F-99A4-4DA4-B403-8B9ECD69958B}" destId="{30FEB2E9-2C2F-4905-BFB6-6C96F2E67003}" srcOrd="0" destOrd="0" presId="urn:microsoft.com/office/officeart/2008/layout/VerticalCurvedList"/>
    <dgm:cxn modelId="{B1AF1DF3-221C-4A83-8733-8027E08756E7}" type="presOf" srcId="{E69B1D44-5995-499E-9FE9-EF43A105E2DE}" destId="{6C603B28-66E4-4AE0-B914-26C205301353}" srcOrd="0" destOrd="0" presId="urn:microsoft.com/office/officeart/2008/layout/VerticalCurvedList"/>
    <dgm:cxn modelId="{8F9B749A-9E72-49EC-8ADE-B6B0739F2751}" type="presParOf" srcId="{EDA03C0D-28E7-4413-8A0E-B9CE398FB616}" destId="{483DAAEB-4935-40EA-BBB5-40DC3DE75A30}" srcOrd="0" destOrd="0" presId="urn:microsoft.com/office/officeart/2008/layout/VerticalCurvedList"/>
    <dgm:cxn modelId="{2C6C02CF-463E-46F2-B522-ED024B39EA57}" type="presParOf" srcId="{483DAAEB-4935-40EA-BBB5-40DC3DE75A30}" destId="{BA96B145-472D-4788-97DF-E5D670A5C9E5}" srcOrd="0" destOrd="0" presId="urn:microsoft.com/office/officeart/2008/layout/VerticalCurvedList"/>
    <dgm:cxn modelId="{FE48E256-076C-4709-822F-48BB7251A45A}" type="presParOf" srcId="{BA96B145-472D-4788-97DF-E5D670A5C9E5}" destId="{C56F43C3-9EA7-49CF-9873-7A4CC4844820}" srcOrd="0" destOrd="0" presId="urn:microsoft.com/office/officeart/2008/layout/VerticalCurvedList"/>
    <dgm:cxn modelId="{E18B7D09-9FE3-41BE-B497-7D1A7A59990D}" type="presParOf" srcId="{BA96B145-472D-4788-97DF-E5D670A5C9E5}" destId="{6C603B28-66E4-4AE0-B914-26C205301353}" srcOrd="1" destOrd="0" presId="urn:microsoft.com/office/officeart/2008/layout/VerticalCurvedList"/>
    <dgm:cxn modelId="{8F6CD1BC-51E6-4447-91F4-30326C090705}" type="presParOf" srcId="{BA96B145-472D-4788-97DF-E5D670A5C9E5}" destId="{88F91AC4-0C0E-40E1-976F-542ACE76F94F}" srcOrd="2" destOrd="0" presId="urn:microsoft.com/office/officeart/2008/layout/VerticalCurvedList"/>
    <dgm:cxn modelId="{C9AEF65F-CC74-4E96-990C-5857AD834C20}" type="presParOf" srcId="{BA96B145-472D-4788-97DF-E5D670A5C9E5}" destId="{4DDF4710-EA62-40BE-B44C-4216CD32D805}" srcOrd="3" destOrd="0" presId="urn:microsoft.com/office/officeart/2008/layout/VerticalCurvedList"/>
    <dgm:cxn modelId="{0607433F-285C-4687-ACAD-E728A87FA568}" type="presParOf" srcId="{483DAAEB-4935-40EA-BBB5-40DC3DE75A30}" destId="{30FEB2E9-2C2F-4905-BFB6-6C96F2E67003}" srcOrd="1" destOrd="0" presId="urn:microsoft.com/office/officeart/2008/layout/VerticalCurvedList"/>
    <dgm:cxn modelId="{8560C020-5747-4630-B545-45EE418D2B3C}" type="presParOf" srcId="{483DAAEB-4935-40EA-BBB5-40DC3DE75A30}" destId="{B469A7D4-7DC5-4761-9489-7ED2A279F293}" srcOrd="2" destOrd="0" presId="urn:microsoft.com/office/officeart/2008/layout/VerticalCurvedList"/>
    <dgm:cxn modelId="{8F6A3613-17A1-4ECB-8FF0-06BC7C5368DE}" type="presParOf" srcId="{B469A7D4-7DC5-4761-9489-7ED2A279F293}" destId="{7E1DD8DB-F960-4395-ADF3-359C4FB26E96}" srcOrd="0" destOrd="0" presId="urn:microsoft.com/office/officeart/2008/layout/VerticalCurvedList"/>
    <dgm:cxn modelId="{2E15B236-FAA3-446A-9DE7-835836582BBB}" type="presParOf" srcId="{483DAAEB-4935-40EA-BBB5-40DC3DE75A30}" destId="{B853408E-56A0-4A42-862A-2F90FC93C749}" srcOrd="3" destOrd="0" presId="urn:microsoft.com/office/officeart/2008/layout/VerticalCurvedList"/>
    <dgm:cxn modelId="{633913CD-C5A0-4A4F-A422-F3F5122B6C30}" type="presParOf" srcId="{483DAAEB-4935-40EA-BBB5-40DC3DE75A30}" destId="{13959B28-685B-4F98-A51E-0DC49577D6C0}" srcOrd="4" destOrd="0" presId="urn:microsoft.com/office/officeart/2008/layout/VerticalCurvedList"/>
    <dgm:cxn modelId="{17DA7B0D-972D-41B2-92CE-AB3DB146A612}" type="presParOf" srcId="{13959B28-685B-4F98-A51E-0DC49577D6C0}" destId="{9659E50D-A0F6-466A-B2C4-A45FDD1B1193}" srcOrd="0" destOrd="0" presId="urn:microsoft.com/office/officeart/2008/layout/VerticalCurvedList"/>
    <dgm:cxn modelId="{149EC465-35F1-4FD7-AFE7-CAA2BE21F3D7}" type="presParOf" srcId="{483DAAEB-4935-40EA-BBB5-40DC3DE75A30}" destId="{B526EC75-E433-4CBA-A9D7-696484192C22}" srcOrd="5" destOrd="0" presId="urn:microsoft.com/office/officeart/2008/layout/VerticalCurvedList"/>
    <dgm:cxn modelId="{EBCBB76D-0586-4DD4-BD56-C95E0140D4C8}" type="presParOf" srcId="{483DAAEB-4935-40EA-BBB5-40DC3DE75A30}" destId="{4783D449-DE44-4189-8DAE-62938130F3EB}" srcOrd="6" destOrd="0" presId="urn:microsoft.com/office/officeart/2008/layout/VerticalCurvedList"/>
    <dgm:cxn modelId="{DE7D6130-B857-4937-881F-56050B9F5FD2}" type="presParOf" srcId="{4783D449-DE44-4189-8DAE-62938130F3EB}" destId="{548FC368-B5DF-4EA1-9319-E8770D5EE43E}" srcOrd="0" destOrd="0" presId="urn:microsoft.com/office/officeart/2008/layout/VerticalCurvedList"/>
    <dgm:cxn modelId="{144028A3-12FF-48E1-BD85-D85C506B6F31}" type="presParOf" srcId="{483DAAEB-4935-40EA-BBB5-40DC3DE75A30}" destId="{919B693D-5D94-438E-A282-BE8359309226}" srcOrd="7" destOrd="0" presId="urn:microsoft.com/office/officeart/2008/layout/VerticalCurvedList"/>
    <dgm:cxn modelId="{135EE91B-05D8-44B2-9434-D55B8D2B6419}" type="presParOf" srcId="{483DAAEB-4935-40EA-BBB5-40DC3DE75A30}" destId="{1A332205-2F3C-4DAE-BA52-AF89421D7D3C}" srcOrd="8" destOrd="0" presId="urn:microsoft.com/office/officeart/2008/layout/VerticalCurvedList"/>
    <dgm:cxn modelId="{1551B4CE-618B-4A17-A6F1-A19AE40F13B7}" type="presParOf" srcId="{1A332205-2F3C-4DAE-BA52-AF89421D7D3C}" destId="{CF3CDC84-72D6-40DF-A5DB-439D65726F41}" srcOrd="0" destOrd="0" presId="urn:microsoft.com/office/officeart/2008/layout/VerticalCurvedList"/>
    <dgm:cxn modelId="{1749DEC8-BE33-4674-BB4E-43C88B5D193B}" type="presParOf" srcId="{483DAAEB-4935-40EA-BBB5-40DC3DE75A30}" destId="{D59499F2-E1EC-4906-9FAD-606610AA00DE}" srcOrd="9" destOrd="0" presId="urn:microsoft.com/office/officeart/2008/layout/VerticalCurvedList"/>
    <dgm:cxn modelId="{1EF8AC6B-F9C1-4250-A45D-AB7491B653DB}" type="presParOf" srcId="{483DAAEB-4935-40EA-BBB5-40DC3DE75A30}" destId="{35D42B2D-C4D9-49DA-A571-95623AE84DA3}" srcOrd="10" destOrd="0" presId="urn:microsoft.com/office/officeart/2008/layout/VerticalCurvedList"/>
    <dgm:cxn modelId="{6E63BCA7-A2C6-46D7-A231-D850D19843D8}" type="presParOf" srcId="{35D42B2D-C4D9-49DA-A571-95623AE84DA3}" destId="{2B3FAD97-22E0-45E8-9346-4B3E40C90692}" srcOrd="0" destOrd="0" presId="urn:microsoft.com/office/officeart/2008/layout/VerticalCurvedList"/>
    <dgm:cxn modelId="{F6BF5456-520F-470E-831D-761B87C58B7E}" type="presParOf" srcId="{483DAAEB-4935-40EA-BBB5-40DC3DE75A30}" destId="{A9129DE8-62C2-4625-8885-1B404F436BC6}" srcOrd="11" destOrd="0" presId="urn:microsoft.com/office/officeart/2008/layout/VerticalCurvedList"/>
    <dgm:cxn modelId="{C1E3C6B6-2D69-4867-9FB4-7832BD7F5CF3}" type="presParOf" srcId="{483DAAEB-4935-40EA-BBB5-40DC3DE75A30}" destId="{E59D2E1D-F0A4-43A0-BAF0-2B61C85E0EFB}" srcOrd="12" destOrd="0" presId="urn:microsoft.com/office/officeart/2008/layout/VerticalCurvedList"/>
    <dgm:cxn modelId="{376892D8-F8A3-4516-A2BD-7A476EF5F61B}" type="presParOf" srcId="{E59D2E1D-F0A4-43A0-BAF0-2B61C85E0EFB}" destId="{055388EF-DC4F-45FE-BE30-8723B91793FA}" srcOrd="0" destOrd="0" presId="urn:microsoft.com/office/officeart/2008/layout/VerticalCurvedLis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4F128C-F9C6-4BC6-87AF-F6859BBAEF4D}">
      <dsp:nvSpPr>
        <dsp:cNvPr id="0" name=""/>
        <dsp:cNvSpPr/>
      </dsp:nvSpPr>
      <dsp:spPr>
        <a:xfrm>
          <a:off x="1538212" y="93"/>
          <a:ext cx="2610000" cy="282875"/>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US" sz="1500" kern="1200">
              <a:latin typeface="Times New Roman" panose="02020603050405020304" pitchFamily="18" charset="0"/>
              <a:cs typeface="Times New Roman" panose="02020603050405020304" pitchFamily="18" charset="0"/>
            </a:rPr>
            <a:t>Training and career development</a:t>
          </a:r>
        </a:p>
      </dsp:txBody>
      <dsp:txXfrm>
        <a:off x="1538212" y="93"/>
        <a:ext cx="2610000" cy="282875"/>
      </dsp:txXfrm>
    </dsp:sp>
    <dsp:sp modelId="{4ADF1E15-8A9D-43D4-B4E1-D707E37D338D}">
      <dsp:nvSpPr>
        <dsp:cNvPr id="0" name=""/>
        <dsp:cNvSpPr/>
      </dsp:nvSpPr>
      <dsp:spPr>
        <a:xfrm>
          <a:off x="1533519" y="297113"/>
          <a:ext cx="2619385" cy="282875"/>
        </a:xfrm>
        <a:prstGeom prst="rect">
          <a:avLst/>
        </a:prstGeom>
        <a:solidFill>
          <a:schemeClr val="accent5">
            <a:hueOff val="-1419125"/>
            <a:satOff val="5687"/>
            <a:lumOff val="123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US" sz="1500" kern="1200">
              <a:latin typeface="Times New Roman" panose="02020603050405020304" pitchFamily="18" charset="0"/>
              <a:cs typeface="Times New Roman" panose="02020603050405020304" pitchFamily="18" charset="0"/>
            </a:rPr>
            <a:t>Performance and appraisal</a:t>
          </a:r>
        </a:p>
      </dsp:txBody>
      <dsp:txXfrm>
        <a:off x="1533519" y="297113"/>
        <a:ext cx="2619385" cy="282875"/>
      </dsp:txXfrm>
    </dsp:sp>
    <dsp:sp modelId="{086E2AC0-8BF0-412C-9898-1223A263C0A4}">
      <dsp:nvSpPr>
        <dsp:cNvPr id="0" name=""/>
        <dsp:cNvSpPr/>
      </dsp:nvSpPr>
      <dsp:spPr>
        <a:xfrm>
          <a:off x="1533527" y="594132"/>
          <a:ext cx="2619369" cy="282875"/>
        </a:xfrm>
        <a:prstGeom prst="rect">
          <a:avLst/>
        </a:prstGeom>
        <a:solidFill>
          <a:schemeClr val="accent5">
            <a:hueOff val="-2838251"/>
            <a:satOff val="11375"/>
            <a:lumOff val="246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US" sz="1500" kern="1200">
              <a:latin typeface="Times New Roman" panose="02020603050405020304" pitchFamily="18" charset="0"/>
              <a:cs typeface="Times New Roman" panose="02020603050405020304" pitchFamily="18" charset="0"/>
            </a:rPr>
            <a:t>Communication</a:t>
          </a:r>
        </a:p>
      </dsp:txBody>
      <dsp:txXfrm>
        <a:off x="1533527" y="594132"/>
        <a:ext cx="2619369" cy="282875"/>
      </dsp:txXfrm>
    </dsp:sp>
    <dsp:sp modelId="{B643D9EF-213D-4F77-8F88-EA1F07E316D7}">
      <dsp:nvSpPr>
        <dsp:cNvPr id="0" name=""/>
        <dsp:cNvSpPr/>
      </dsp:nvSpPr>
      <dsp:spPr>
        <a:xfrm>
          <a:off x="1533526" y="891152"/>
          <a:ext cx="2619372" cy="282875"/>
        </a:xfrm>
        <a:prstGeom prst="rect">
          <a:avLst/>
        </a:prstGeom>
        <a:solidFill>
          <a:schemeClr val="accent5">
            <a:hueOff val="-4257376"/>
            <a:satOff val="17062"/>
            <a:lumOff val="369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US" sz="1500" kern="1200">
              <a:latin typeface="Times New Roman" panose="02020603050405020304" pitchFamily="18" charset="0"/>
              <a:cs typeface="Times New Roman" panose="02020603050405020304" pitchFamily="18" charset="0"/>
            </a:rPr>
            <a:t>Fair treatment</a:t>
          </a:r>
        </a:p>
      </dsp:txBody>
      <dsp:txXfrm>
        <a:off x="1533526" y="891152"/>
        <a:ext cx="2619372" cy="282875"/>
      </dsp:txXfrm>
    </dsp:sp>
    <dsp:sp modelId="{D9754501-C1D8-4339-9DF8-E17796BFFD03}">
      <dsp:nvSpPr>
        <dsp:cNvPr id="0" name=""/>
        <dsp:cNvSpPr/>
      </dsp:nvSpPr>
      <dsp:spPr>
        <a:xfrm>
          <a:off x="1533523" y="1188171"/>
          <a:ext cx="2619377" cy="282875"/>
        </a:xfrm>
        <a:prstGeom prst="rect">
          <a:avLst/>
        </a:prstGeom>
        <a:solidFill>
          <a:schemeClr val="accent5">
            <a:hueOff val="-5676501"/>
            <a:satOff val="22749"/>
            <a:lumOff val="49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US" sz="1500" kern="1200">
              <a:latin typeface="Times New Roman" panose="02020603050405020304" pitchFamily="18" charset="0"/>
              <a:cs typeface="Times New Roman" panose="02020603050405020304" pitchFamily="18" charset="0"/>
            </a:rPr>
            <a:t>Pay and benefits</a:t>
          </a:r>
        </a:p>
      </dsp:txBody>
      <dsp:txXfrm>
        <a:off x="1533523" y="1188171"/>
        <a:ext cx="2619377" cy="282875"/>
      </dsp:txXfrm>
    </dsp:sp>
    <dsp:sp modelId="{7672FD98-79B5-433C-905C-1E62C3929C90}">
      <dsp:nvSpPr>
        <dsp:cNvPr id="0" name=""/>
        <dsp:cNvSpPr/>
      </dsp:nvSpPr>
      <dsp:spPr>
        <a:xfrm>
          <a:off x="1533527" y="1485191"/>
          <a:ext cx="2619369" cy="282875"/>
        </a:xfrm>
        <a:prstGeom prst="rect">
          <a:avLst/>
        </a:prstGeom>
        <a:solidFill>
          <a:schemeClr val="accent5">
            <a:hueOff val="-7095626"/>
            <a:satOff val="28436"/>
            <a:lumOff val="616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US" sz="1500" kern="1200">
              <a:latin typeface="Times New Roman" panose="02020603050405020304" pitchFamily="18" charset="0"/>
              <a:cs typeface="Times New Roman" panose="02020603050405020304" pitchFamily="18" charset="0"/>
            </a:rPr>
            <a:t>Health and safety</a:t>
          </a:r>
        </a:p>
      </dsp:txBody>
      <dsp:txXfrm>
        <a:off x="1533527" y="1485191"/>
        <a:ext cx="2619369" cy="282875"/>
      </dsp:txXfrm>
    </dsp:sp>
    <dsp:sp modelId="{AECC1EEE-154B-4E46-BB96-89DEFE02136B}">
      <dsp:nvSpPr>
        <dsp:cNvPr id="0" name=""/>
        <dsp:cNvSpPr/>
      </dsp:nvSpPr>
      <dsp:spPr>
        <a:xfrm>
          <a:off x="1533521" y="1782210"/>
          <a:ext cx="2619382" cy="282875"/>
        </a:xfrm>
        <a:prstGeom prst="rect">
          <a:avLst/>
        </a:prstGeom>
        <a:solidFill>
          <a:schemeClr val="accent5">
            <a:hueOff val="-8514751"/>
            <a:satOff val="34124"/>
            <a:lumOff val="739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US" sz="1500" kern="1200">
              <a:latin typeface="Times New Roman" panose="02020603050405020304" pitchFamily="18" charset="0"/>
              <a:cs typeface="Times New Roman" panose="02020603050405020304" pitchFamily="18" charset="0"/>
            </a:rPr>
            <a:t>Family friendliness</a:t>
          </a:r>
        </a:p>
      </dsp:txBody>
      <dsp:txXfrm>
        <a:off x="1533521" y="1782210"/>
        <a:ext cx="2619382" cy="282875"/>
      </dsp:txXfrm>
    </dsp:sp>
    <dsp:sp modelId="{63DC8B13-2487-4DF6-89AC-15F3C1C9E5D8}">
      <dsp:nvSpPr>
        <dsp:cNvPr id="0" name=""/>
        <dsp:cNvSpPr/>
      </dsp:nvSpPr>
      <dsp:spPr>
        <a:xfrm>
          <a:off x="1533524" y="2079230"/>
          <a:ext cx="2619376" cy="282875"/>
        </a:xfrm>
        <a:prstGeom prst="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US" sz="1500" kern="1200">
              <a:latin typeface="Times New Roman" panose="02020603050405020304" pitchFamily="18" charset="0"/>
              <a:cs typeface="Times New Roman" panose="02020603050405020304" pitchFamily="18" charset="0"/>
            </a:rPr>
            <a:t>Job satisafction</a:t>
          </a:r>
        </a:p>
      </dsp:txBody>
      <dsp:txXfrm>
        <a:off x="1533524" y="2079230"/>
        <a:ext cx="2619376" cy="28287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603B28-66E4-4AE0-B914-26C205301353}">
      <dsp:nvSpPr>
        <dsp:cNvPr id="0" name=""/>
        <dsp:cNvSpPr/>
      </dsp:nvSpPr>
      <dsp:spPr>
        <a:xfrm>
          <a:off x="-2582738" y="-398591"/>
          <a:ext cx="3083184" cy="3083184"/>
        </a:xfrm>
        <a:prstGeom prst="blockArc">
          <a:avLst>
            <a:gd name="adj1" fmla="val 18900000"/>
            <a:gd name="adj2" fmla="val 2700000"/>
            <a:gd name="adj3" fmla="val 701"/>
          </a:avLst>
        </a:pr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0FEB2E9-2C2F-4905-BFB6-6C96F2E67003}">
      <dsp:nvSpPr>
        <dsp:cNvPr id="0" name=""/>
        <dsp:cNvSpPr/>
      </dsp:nvSpPr>
      <dsp:spPr>
        <a:xfrm>
          <a:off x="188464" y="120380"/>
          <a:ext cx="5604205" cy="240670"/>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1032" tIns="33020" rIns="33020" bIns="33020" numCol="1" spcCol="1270" anchor="ctr" anchorCtr="0">
          <a:noAutofit/>
        </a:bodyPr>
        <a:lstStyle/>
        <a:p>
          <a:pPr marL="0" lvl="0" indent="0" algn="l"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Inspecting the recently provided relevant offers </a:t>
          </a:r>
        </a:p>
      </dsp:txBody>
      <dsp:txXfrm>
        <a:off x="188464" y="120380"/>
        <a:ext cx="5604205" cy="240670"/>
      </dsp:txXfrm>
    </dsp:sp>
    <dsp:sp modelId="{7E1DD8DB-F960-4395-ADF3-359C4FB26E96}">
      <dsp:nvSpPr>
        <dsp:cNvPr id="0" name=""/>
        <dsp:cNvSpPr/>
      </dsp:nvSpPr>
      <dsp:spPr>
        <a:xfrm>
          <a:off x="38046" y="90297"/>
          <a:ext cx="300837" cy="300837"/>
        </a:xfrm>
        <a:prstGeom prst="ellipse">
          <a:avLst/>
        </a:prstGeom>
        <a:solidFill>
          <a:schemeClr val="lt1">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853408E-56A0-4A42-862A-2F90FC93C749}">
      <dsp:nvSpPr>
        <dsp:cNvPr id="0" name=""/>
        <dsp:cNvSpPr/>
      </dsp:nvSpPr>
      <dsp:spPr>
        <a:xfrm>
          <a:off x="386432" y="481340"/>
          <a:ext cx="5406237" cy="240670"/>
        </a:xfrm>
        <a:prstGeom prst="rect">
          <a:avLst/>
        </a:prstGeom>
        <a:solidFill>
          <a:schemeClr val="accent5">
            <a:hueOff val="-1986775"/>
            <a:satOff val="7962"/>
            <a:lumOff val="172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1032" tIns="33020" rIns="33020" bIns="33020" numCol="1" spcCol="1270" anchor="ctr" anchorCtr="0">
          <a:noAutofit/>
        </a:bodyPr>
        <a:lstStyle/>
        <a:p>
          <a:pPr marL="0" lvl="0" indent="0" algn="l"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Taking detailed interview of all existing employees</a:t>
          </a:r>
        </a:p>
      </dsp:txBody>
      <dsp:txXfrm>
        <a:off x="386432" y="481340"/>
        <a:ext cx="5406237" cy="240670"/>
      </dsp:txXfrm>
    </dsp:sp>
    <dsp:sp modelId="{9659E50D-A0F6-466A-B2C4-A45FDD1B1193}">
      <dsp:nvSpPr>
        <dsp:cNvPr id="0" name=""/>
        <dsp:cNvSpPr/>
      </dsp:nvSpPr>
      <dsp:spPr>
        <a:xfrm>
          <a:off x="236013" y="451256"/>
          <a:ext cx="300837" cy="300837"/>
        </a:xfrm>
        <a:prstGeom prst="ellipse">
          <a:avLst/>
        </a:prstGeom>
        <a:solidFill>
          <a:schemeClr val="lt1">
            <a:hueOff val="0"/>
            <a:satOff val="0"/>
            <a:lumOff val="0"/>
            <a:alphaOff val="0"/>
          </a:schemeClr>
        </a:solidFill>
        <a:ln w="25400" cap="flat" cmpd="sng" algn="ctr">
          <a:solidFill>
            <a:schemeClr val="accent5">
              <a:hueOff val="-1986775"/>
              <a:satOff val="7962"/>
              <a:lumOff val="1726"/>
              <a:alphaOff val="0"/>
            </a:schemeClr>
          </a:solidFill>
          <a:prstDash val="solid"/>
        </a:ln>
        <a:effectLst/>
      </dsp:spPr>
      <dsp:style>
        <a:lnRef idx="2">
          <a:scrgbClr r="0" g="0" b="0"/>
        </a:lnRef>
        <a:fillRef idx="1">
          <a:scrgbClr r="0" g="0" b="0"/>
        </a:fillRef>
        <a:effectRef idx="0">
          <a:scrgbClr r="0" g="0" b="0"/>
        </a:effectRef>
        <a:fontRef idx="minor"/>
      </dsp:style>
    </dsp:sp>
    <dsp:sp modelId="{B526EC75-E433-4CBA-A9D7-696484192C22}">
      <dsp:nvSpPr>
        <dsp:cNvPr id="0" name=""/>
        <dsp:cNvSpPr/>
      </dsp:nvSpPr>
      <dsp:spPr>
        <a:xfrm>
          <a:off x="476958" y="842299"/>
          <a:ext cx="5315711" cy="240670"/>
        </a:xfrm>
        <a:prstGeom prst="rect">
          <a:avLst/>
        </a:prstGeom>
        <a:solidFill>
          <a:schemeClr val="accent5">
            <a:hueOff val="-3973551"/>
            <a:satOff val="15924"/>
            <a:lumOff val="345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1032" tIns="33020" rIns="33020" bIns="33020" numCol="1" spcCol="1270" anchor="ctr" anchorCtr="0">
          <a:noAutofit/>
        </a:bodyPr>
        <a:lstStyle/>
        <a:p>
          <a:pPr marL="0" lvl="0" indent="0" algn="l"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Determining all the efficient and important keys of EVP</a:t>
          </a:r>
        </a:p>
      </dsp:txBody>
      <dsp:txXfrm>
        <a:off x="476958" y="842299"/>
        <a:ext cx="5315711" cy="240670"/>
      </dsp:txXfrm>
    </dsp:sp>
    <dsp:sp modelId="{548FC368-B5DF-4EA1-9319-E8770D5EE43E}">
      <dsp:nvSpPr>
        <dsp:cNvPr id="0" name=""/>
        <dsp:cNvSpPr/>
      </dsp:nvSpPr>
      <dsp:spPr>
        <a:xfrm>
          <a:off x="326539" y="812215"/>
          <a:ext cx="300837" cy="300837"/>
        </a:xfrm>
        <a:prstGeom prst="ellipse">
          <a:avLst/>
        </a:prstGeom>
        <a:solidFill>
          <a:schemeClr val="lt1">
            <a:hueOff val="0"/>
            <a:satOff val="0"/>
            <a:lumOff val="0"/>
            <a:alphaOff val="0"/>
          </a:schemeClr>
        </a:solidFill>
        <a:ln w="25400" cap="flat" cmpd="sng" algn="ctr">
          <a:solidFill>
            <a:schemeClr val="accent5">
              <a:hueOff val="-3973551"/>
              <a:satOff val="15924"/>
              <a:lumOff val="3451"/>
              <a:alphaOff val="0"/>
            </a:schemeClr>
          </a:solidFill>
          <a:prstDash val="solid"/>
        </a:ln>
        <a:effectLst/>
      </dsp:spPr>
      <dsp:style>
        <a:lnRef idx="2">
          <a:scrgbClr r="0" g="0" b="0"/>
        </a:lnRef>
        <a:fillRef idx="1">
          <a:scrgbClr r="0" g="0" b="0"/>
        </a:fillRef>
        <a:effectRef idx="0">
          <a:scrgbClr r="0" g="0" b="0"/>
        </a:effectRef>
        <a:fontRef idx="minor"/>
      </dsp:style>
    </dsp:sp>
    <dsp:sp modelId="{919B693D-5D94-438E-A282-BE8359309226}">
      <dsp:nvSpPr>
        <dsp:cNvPr id="0" name=""/>
        <dsp:cNvSpPr/>
      </dsp:nvSpPr>
      <dsp:spPr>
        <a:xfrm>
          <a:off x="476958" y="1203030"/>
          <a:ext cx="5315711" cy="240670"/>
        </a:xfrm>
        <a:prstGeom prst="rect">
          <a:avLst/>
        </a:prstGeom>
        <a:solidFill>
          <a:schemeClr val="accent5">
            <a:hueOff val="-5960326"/>
            <a:satOff val="23887"/>
            <a:lumOff val="517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1032" tIns="33020" rIns="33020" bIns="33020" numCol="1" spcCol="1270" anchor="ctr" anchorCtr="0">
          <a:noAutofit/>
        </a:bodyPr>
        <a:lstStyle/>
        <a:p>
          <a:pPr marL="0" lvl="0" indent="0" algn="l"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Creating a separate and complete value proposition</a:t>
          </a:r>
        </a:p>
      </dsp:txBody>
      <dsp:txXfrm>
        <a:off x="476958" y="1203030"/>
        <a:ext cx="5315711" cy="240670"/>
      </dsp:txXfrm>
    </dsp:sp>
    <dsp:sp modelId="{CF3CDC84-72D6-40DF-A5DB-439D65726F41}">
      <dsp:nvSpPr>
        <dsp:cNvPr id="0" name=""/>
        <dsp:cNvSpPr/>
      </dsp:nvSpPr>
      <dsp:spPr>
        <a:xfrm>
          <a:off x="326539" y="1172946"/>
          <a:ext cx="300837" cy="300837"/>
        </a:xfrm>
        <a:prstGeom prst="ellipse">
          <a:avLst/>
        </a:prstGeom>
        <a:solidFill>
          <a:schemeClr val="lt1">
            <a:hueOff val="0"/>
            <a:satOff val="0"/>
            <a:lumOff val="0"/>
            <a:alphaOff val="0"/>
          </a:schemeClr>
        </a:solidFill>
        <a:ln w="25400" cap="flat" cmpd="sng" algn="ctr">
          <a:solidFill>
            <a:schemeClr val="accent5">
              <a:hueOff val="-5960326"/>
              <a:satOff val="23887"/>
              <a:lumOff val="5177"/>
              <a:alphaOff val="0"/>
            </a:schemeClr>
          </a:solidFill>
          <a:prstDash val="solid"/>
        </a:ln>
        <a:effectLst/>
      </dsp:spPr>
      <dsp:style>
        <a:lnRef idx="2">
          <a:scrgbClr r="0" g="0" b="0"/>
        </a:lnRef>
        <a:fillRef idx="1">
          <a:scrgbClr r="0" g="0" b="0"/>
        </a:fillRef>
        <a:effectRef idx="0">
          <a:scrgbClr r="0" g="0" b="0"/>
        </a:effectRef>
        <a:fontRef idx="minor"/>
      </dsp:style>
    </dsp:sp>
    <dsp:sp modelId="{D59499F2-E1EC-4906-9FAD-606610AA00DE}">
      <dsp:nvSpPr>
        <dsp:cNvPr id="0" name=""/>
        <dsp:cNvSpPr/>
      </dsp:nvSpPr>
      <dsp:spPr>
        <a:xfrm>
          <a:off x="386432" y="1563989"/>
          <a:ext cx="5406237" cy="240670"/>
        </a:xfrm>
        <a:prstGeom prst="rect">
          <a:avLst/>
        </a:prstGeom>
        <a:solidFill>
          <a:schemeClr val="accent5">
            <a:hueOff val="-7947101"/>
            <a:satOff val="31849"/>
            <a:lumOff val="690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1032" tIns="33020" rIns="33020" bIns="33020" numCol="1" spcCol="1270" anchor="ctr" anchorCtr="0">
          <a:noAutofit/>
        </a:bodyPr>
        <a:lstStyle/>
        <a:p>
          <a:pPr marL="0" lvl="0" indent="0" algn="l"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Using different EVP channels to others be aware of it</a:t>
          </a:r>
        </a:p>
      </dsp:txBody>
      <dsp:txXfrm>
        <a:off x="386432" y="1563989"/>
        <a:ext cx="5406237" cy="240670"/>
      </dsp:txXfrm>
    </dsp:sp>
    <dsp:sp modelId="{2B3FAD97-22E0-45E8-9346-4B3E40C90692}">
      <dsp:nvSpPr>
        <dsp:cNvPr id="0" name=""/>
        <dsp:cNvSpPr/>
      </dsp:nvSpPr>
      <dsp:spPr>
        <a:xfrm>
          <a:off x="236013" y="1533906"/>
          <a:ext cx="300837" cy="300837"/>
        </a:xfrm>
        <a:prstGeom prst="ellipse">
          <a:avLst/>
        </a:prstGeom>
        <a:solidFill>
          <a:schemeClr val="lt1">
            <a:hueOff val="0"/>
            <a:satOff val="0"/>
            <a:lumOff val="0"/>
            <a:alphaOff val="0"/>
          </a:schemeClr>
        </a:solidFill>
        <a:ln w="25400" cap="flat" cmpd="sng" algn="ctr">
          <a:solidFill>
            <a:schemeClr val="accent5">
              <a:hueOff val="-7947101"/>
              <a:satOff val="31849"/>
              <a:lumOff val="6902"/>
              <a:alphaOff val="0"/>
            </a:schemeClr>
          </a:solidFill>
          <a:prstDash val="solid"/>
        </a:ln>
        <a:effectLst/>
      </dsp:spPr>
      <dsp:style>
        <a:lnRef idx="2">
          <a:scrgbClr r="0" g="0" b="0"/>
        </a:lnRef>
        <a:fillRef idx="1">
          <a:scrgbClr r="0" g="0" b="0"/>
        </a:fillRef>
        <a:effectRef idx="0">
          <a:scrgbClr r="0" g="0" b="0"/>
        </a:effectRef>
        <a:fontRef idx="minor"/>
      </dsp:style>
    </dsp:sp>
    <dsp:sp modelId="{A9129DE8-62C2-4625-8885-1B404F436BC6}">
      <dsp:nvSpPr>
        <dsp:cNvPr id="0" name=""/>
        <dsp:cNvSpPr/>
      </dsp:nvSpPr>
      <dsp:spPr>
        <a:xfrm>
          <a:off x="188464" y="1924949"/>
          <a:ext cx="5604205" cy="240670"/>
        </a:xfrm>
        <a:prstGeom prst="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1032" tIns="33020" rIns="33020" bIns="33020" numCol="1" spcCol="1270" anchor="ctr" anchorCtr="0">
          <a:noAutofit/>
        </a:bodyPr>
        <a:lstStyle/>
        <a:p>
          <a:pPr marL="0" lvl="0" indent="0" algn="l" defTabSz="577850">
            <a:lnSpc>
              <a:spcPct val="90000"/>
            </a:lnSpc>
            <a:spcBef>
              <a:spcPct val="0"/>
            </a:spcBef>
            <a:spcAft>
              <a:spcPct val="35000"/>
            </a:spcAft>
            <a:buNone/>
          </a:pPr>
          <a:r>
            <a:rPr lang="en-US" sz="1300" kern="1200">
              <a:latin typeface="Times New Roman" panose="02020603050405020304" pitchFamily="18" charset="0"/>
              <a:cs typeface="Times New Roman" panose="02020603050405020304" pitchFamily="18" charset="0"/>
            </a:rPr>
            <a:t>Monitoring and reviewing the latest outcome</a:t>
          </a:r>
        </a:p>
      </dsp:txBody>
      <dsp:txXfrm>
        <a:off x="188464" y="1924949"/>
        <a:ext cx="5604205" cy="240670"/>
      </dsp:txXfrm>
    </dsp:sp>
    <dsp:sp modelId="{055388EF-DC4F-45FE-BE30-8723B91793FA}">
      <dsp:nvSpPr>
        <dsp:cNvPr id="0" name=""/>
        <dsp:cNvSpPr/>
      </dsp:nvSpPr>
      <dsp:spPr>
        <a:xfrm>
          <a:off x="38046" y="1894865"/>
          <a:ext cx="300837" cy="300837"/>
        </a:xfrm>
        <a:prstGeom prst="ellipse">
          <a:avLst/>
        </a:prstGeom>
        <a:solidFill>
          <a:schemeClr val="lt1">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48FC30-8CE3-4945-8E74-92B5B2776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2272</Words>
  <Characters>12951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2021-12-23T21:49:00Z</dcterms:created>
  <dcterms:modified xsi:type="dcterms:W3CDTF">2022-01-05T18:04:00Z</dcterms:modified>
</cp:coreProperties>
</file>