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DB6" w:rsidRPr="00980DB6" w:rsidRDefault="00980DB6" w:rsidP="00980DB6">
      <w:pPr>
        <w:autoSpaceDE w:val="0"/>
        <w:autoSpaceDN w:val="0"/>
        <w:adjustRightInd w:val="0"/>
        <w:spacing w:after="0" w:line="240" w:lineRule="auto"/>
        <w:rPr>
          <w:rFonts w:ascii="Calibri" w:eastAsiaTheme="minorEastAsia" w:hAnsi="Calibri" w:cs="Calibri"/>
          <w:b/>
          <w:lang w:eastAsia="en-GB"/>
        </w:rPr>
      </w:pPr>
      <w:r w:rsidRPr="00980DB6">
        <w:rPr>
          <w:rFonts w:ascii="Calibri" w:eastAsiaTheme="minorEastAsia" w:hAnsi="Calibri" w:cs="Calibri"/>
          <w:lang w:eastAsia="en-GB"/>
        </w:rPr>
        <w:t>Since 1997, it seems that Early Years have been the Improving the quality of Early Years provision is one way in which the government focuses on addressing equality in education and bridging the gap of disadvantage, with the ultimate aim being that ‘Providing children with good‐quality education and care in their earliest years can help them succeed at school and later in life. All of this clearly contributes to the creation of a society where opportunities are equal regardless of background’ (DfE, 2013, p.1). However, within the last decade there is still an identifiable deficit in children’s achievement in education: ‘In the most recent OECD PISA survey in 2006 we fell from 4</w:t>
      </w:r>
      <w:r w:rsidRPr="00980DB6">
        <w:rPr>
          <w:rFonts w:ascii="Calibri" w:eastAsiaTheme="minorEastAsia" w:hAnsi="Calibri" w:cs="Calibri"/>
          <w:vertAlign w:val="superscript"/>
          <w:lang w:eastAsia="en-GB"/>
        </w:rPr>
        <w:t>th</w:t>
      </w:r>
      <w:r w:rsidRPr="00980DB6">
        <w:rPr>
          <w:rFonts w:ascii="Calibri" w:eastAsiaTheme="minorEastAsia" w:hAnsi="Calibri" w:cs="Calibri"/>
          <w:lang w:eastAsia="en-GB"/>
        </w:rPr>
        <w:t xml:space="preserve"> in the world in the 2000 survey to 14th in science, 7th to 17th in literacy, and 8th to 24th in mathematics. The only way we can catch up, and have the world‐class schools our children deserve, is by learning the lessons of other countries’ success’ (DfE, 2010, P.1). Therefore, a continual striving for improvement of quality is vital: ‘both the previous and current governments have attempted to drive up quality, acknowledging the importance of the early years agenda and its increasing political prominence’ (Parker, 2013, p.4). Continual reform in government policies supports the idea that improvements can work towards eradicating poverty by building up a good future education system that can increase opportunities for all (Lubeck et al., 2001, p. 216).</w:t>
      </w:r>
      <w:r w:rsidRPr="00980DB6">
        <w:rPr>
          <w:rFonts w:ascii="Calibri" w:eastAsiaTheme="minorEastAsia" w:hAnsi="Calibri" w:cs="Calibri"/>
          <w:b/>
          <w:lang w:eastAsia="en-GB"/>
        </w:rPr>
        <w:t xml:space="preserve"> </w:t>
      </w:r>
    </w:p>
    <w:p w:rsidR="00980DB6" w:rsidRPr="00980DB6" w:rsidRDefault="00980DB6" w:rsidP="00980DB6">
      <w:pPr>
        <w:autoSpaceDE w:val="0"/>
        <w:autoSpaceDN w:val="0"/>
        <w:adjustRightInd w:val="0"/>
        <w:spacing w:after="0" w:line="240" w:lineRule="auto"/>
        <w:rPr>
          <w:rFonts w:ascii="Calibri" w:eastAsiaTheme="minorEastAsia" w:hAnsi="Calibri" w:cs="Calibri"/>
          <w:b/>
          <w:lang w:eastAsia="en-GB"/>
        </w:rPr>
      </w:pPr>
    </w:p>
    <w:p w:rsidR="00980DB6" w:rsidRPr="00980DB6" w:rsidRDefault="00980DB6" w:rsidP="00980DB6">
      <w:pPr>
        <w:autoSpaceDE w:val="0"/>
        <w:autoSpaceDN w:val="0"/>
        <w:adjustRightInd w:val="0"/>
        <w:spacing w:after="100" w:afterAutospacing="1" w:line="240" w:lineRule="auto"/>
        <w:rPr>
          <w:rFonts w:ascii="Calibri" w:eastAsiaTheme="minorEastAsia" w:hAnsi="Calibri" w:cs="Calibri"/>
          <w:lang w:eastAsia="en-GB"/>
        </w:rPr>
      </w:pPr>
      <w:r w:rsidRPr="00980DB6">
        <w:rPr>
          <w:rFonts w:ascii="Calibri" w:eastAsiaTheme="minorEastAsia" w:hAnsi="Calibri" w:cs="Calibri"/>
          <w:lang w:eastAsia="en-GB"/>
        </w:rPr>
        <w:t xml:space="preserve">Mathematics has long been recognised as one of the key factors for raising the quality of childhood educational frameworks and enhancing future academic success (Aubrey and </w:t>
      </w:r>
      <w:proofErr w:type="spellStart"/>
      <w:r w:rsidRPr="00980DB6">
        <w:rPr>
          <w:rFonts w:ascii="Calibri" w:eastAsiaTheme="minorEastAsia" w:hAnsi="Calibri" w:cs="Calibri"/>
          <w:lang w:eastAsia="en-GB"/>
        </w:rPr>
        <w:t>Döndü</w:t>
      </w:r>
      <w:proofErr w:type="spellEnd"/>
      <w:r w:rsidRPr="00980DB6">
        <w:rPr>
          <w:rFonts w:ascii="Calibri" w:eastAsiaTheme="minorEastAsia" w:hAnsi="Calibri" w:cs="Calibri"/>
          <w:lang w:eastAsia="en-GB"/>
        </w:rPr>
        <w:t>, 2012).</w:t>
      </w:r>
      <w:r w:rsidRPr="00980DB6">
        <w:rPr>
          <w:rFonts w:eastAsiaTheme="minorEastAsia" w:cs="Trebuchet MS"/>
          <w:lang w:eastAsia="en-GB"/>
        </w:rPr>
        <w:t xml:space="preserve"> Past attempts to pursue this have included the identification of an insufficient framework, with previous versions of the Early Years curriculum described as a ‘structural problem’ that needed remedy as it was ‘inefficient’ (</w:t>
      </w:r>
      <w:r w:rsidRPr="00980DB6">
        <w:rPr>
          <w:rFonts w:eastAsiaTheme="minorEastAsia" w:cs="TimesNewRomanPS-BoldMT"/>
          <w:bCs/>
          <w:lang w:eastAsia="en-GB"/>
        </w:rPr>
        <w:t xml:space="preserve">OECD, 2010). The quality of this aspect of the educational curriculum was clearly seen as an issue. As a result, the Labour government and The National Childcare Strategy, a ten-year plan (DfE, 1998), were key drivers for change, followed by the ‘Every Child Matters’ initiative (DfE, 2003) and the birth of the Foundation Stage (EYFS, 2000), which covered the education of children between three to four years and justified nursery funding. This was then superseded by the Early Years Foundation Stage (EYFS, 2008). </w:t>
      </w:r>
      <w:r w:rsidRPr="00980DB6">
        <w:rPr>
          <w:rFonts w:eastAsiaTheme="minorEastAsia" w:cs="Code"/>
          <w:lang w:eastAsia="en-GB"/>
        </w:rPr>
        <w:t xml:space="preserve">At the end of all of this, the intention was to </w:t>
      </w:r>
      <w:r w:rsidRPr="00980DB6">
        <w:rPr>
          <w:rFonts w:eastAsiaTheme="minorEastAsia" w:cs="TimesNewRomanPS-BoldMT"/>
          <w:bCs/>
          <w:lang w:eastAsia="en-GB"/>
        </w:rPr>
        <w:t>raise the skilled work force to compete globally, and to kick-start reform in the Early Years education system. This led to</w:t>
      </w:r>
      <w:r w:rsidRPr="00980DB6">
        <w:rPr>
          <w:rFonts w:ascii="Calibri" w:eastAsiaTheme="minorEastAsia" w:hAnsi="Calibri" w:cs="Calibri"/>
          <w:lang w:eastAsia="en-GB"/>
        </w:rPr>
        <w:t xml:space="preserve"> numerous references in terms of what the quality of care, education and practitioner’s training should look like in the Early Years sector. </w:t>
      </w:r>
      <w:r w:rsidRPr="00980DB6">
        <w:rPr>
          <w:rFonts w:eastAsiaTheme="minorEastAsia" w:cs="TimesNewRomanPS-BoldMT"/>
          <w:bCs/>
          <w:lang w:eastAsia="en-GB"/>
        </w:rPr>
        <w:t xml:space="preserve">In turn, this gave the Labour government the impetus to drive </w:t>
      </w:r>
      <w:r w:rsidRPr="00980DB6">
        <w:rPr>
          <w:rFonts w:eastAsiaTheme="minorEastAsia" w:cs="Times New Roman"/>
          <w:bCs/>
          <w:lang w:eastAsia="en-GB"/>
        </w:rPr>
        <w:t xml:space="preserve">the National Numeracy Strategy (NNS, 1999) as one of the key content drivers in the current EYFS (2014), </w:t>
      </w:r>
      <w:r w:rsidRPr="00980DB6">
        <w:rPr>
          <w:rFonts w:eastAsiaTheme="minorEastAsia" w:cs="TimesNewRomanPS-BoldMT"/>
          <w:bCs/>
          <w:lang w:eastAsia="en-GB"/>
        </w:rPr>
        <w:t>creating a difference in the way children are cared for and educated in early childhood provisions in England.</w:t>
      </w:r>
      <w:r w:rsidRPr="00980DB6">
        <w:rPr>
          <w:rFonts w:ascii="Calibri" w:eastAsiaTheme="minorEastAsia" w:hAnsi="Calibri" w:cs="Calibri"/>
          <w:lang w:eastAsia="en-GB"/>
        </w:rPr>
        <w:t xml:space="preserve"> </w:t>
      </w:r>
    </w:p>
    <w:p w:rsidR="00980DB6" w:rsidRPr="00980DB6" w:rsidRDefault="00980DB6" w:rsidP="00980DB6">
      <w:pPr>
        <w:autoSpaceDE w:val="0"/>
        <w:autoSpaceDN w:val="0"/>
        <w:adjustRightInd w:val="0"/>
        <w:spacing w:after="100" w:afterAutospacing="1" w:line="240" w:lineRule="auto"/>
        <w:rPr>
          <w:rFonts w:ascii="Calibri" w:eastAsiaTheme="minorEastAsia" w:hAnsi="Calibri" w:cs="Calibri"/>
          <w:lang w:eastAsia="en-GB"/>
        </w:rPr>
      </w:pPr>
      <w:r w:rsidRPr="00980DB6">
        <w:rPr>
          <w:rFonts w:ascii="Calibri" w:eastAsiaTheme="minorEastAsia" w:hAnsi="Calibri" w:cs="Calibri"/>
          <w:lang w:eastAsia="en-GB"/>
        </w:rPr>
        <w:t>It is understood that there is a fundamental connection between the quality of care and education and curriculum in Early Years practice. From 1997 to 2006, the issue of mathematics has come to the forefront of the agenda through driving the improvements and the standards hanging on discourse. The National Numeracy Strategies employed by the government (DfES, 1997-2006, p.3) instigated a drive to improve children’s mathematics and as a result the Primary Framework for Literacy and Mathematics was born in 2006. This embedded the principles of ‘Every Child Matters’ (DfE, 2003); children enjoying and achieving, being healthy and staying safe, learning and teaching - all with the purpose of reducing ‘</w:t>
      </w:r>
      <w:r w:rsidRPr="00980DB6">
        <w:rPr>
          <w:rFonts w:eastAsiaTheme="minorEastAsia" w:cs="MyriadMM-Light"/>
          <w:lang w:eastAsia="en-GB"/>
        </w:rPr>
        <w:t xml:space="preserve">the numbers of children who experience educational failure’ </w:t>
      </w:r>
      <w:r w:rsidRPr="00980DB6">
        <w:rPr>
          <w:rFonts w:ascii="Calibri" w:eastAsiaTheme="minorEastAsia" w:hAnsi="Calibri" w:cs="Calibri"/>
          <w:lang w:eastAsia="en-GB"/>
        </w:rPr>
        <w:t xml:space="preserve">(DfE, 2003, p.10). Following on from this another government drive to signify impact was taken through steering the policy towards a more formal structure. </w:t>
      </w:r>
      <w:bookmarkStart w:id="0" w:name="_GoBack"/>
      <w:bookmarkEnd w:id="0"/>
    </w:p>
    <w:p w:rsidR="00980DB6" w:rsidRDefault="00980DB6" w:rsidP="00980DB6">
      <w:pPr>
        <w:pStyle w:val="xmsonormal"/>
        <w:shd w:val="clear" w:color="auto" w:fill="FFFFFF"/>
        <w:spacing w:before="0" w:beforeAutospacing="0" w:after="0" w:afterAutospacing="0"/>
        <w:textAlignment w:val="baseline"/>
        <w:rPr>
          <w:rFonts w:ascii="Calibri" w:hAnsi="Calibri" w:cs="Calibri"/>
          <w:color w:val="212121"/>
          <w:sz w:val="22"/>
          <w:szCs w:val="22"/>
        </w:rPr>
      </w:pPr>
      <w:r>
        <w:rPr>
          <w:rFonts w:ascii="Calibri" w:hAnsi="Calibri" w:cs="Calibri"/>
          <w:color w:val="212121"/>
          <w:sz w:val="22"/>
          <w:szCs w:val="22"/>
        </w:rPr>
        <w:t>Therefore, I believe it is vital to take oneself to task and ask questions regarding what it takes to be a good Early Years teacher. Should we be drawing ideas from a diverse range of philosophers such as Cavell </w:t>
      </w:r>
      <w:r>
        <w:rPr>
          <w:rFonts w:ascii="Verdana" w:hAnsi="Verdana" w:cs="Calibri"/>
          <w:color w:val="000000"/>
          <w:sz w:val="17"/>
          <w:szCs w:val="17"/>
          <w:bdr w:val="none" w:sz="0" w:space="0" w:color="auto" w:frame="1"/>
        </w:rPr>
        <w:t>(1979), who </w:t>
      </w:r>
      <w:r>
        <w:rPr>
          <w:rFonts w:ascii="Calibri" w:hAnsi="Calibri" w:cs="Calibri"/>
          <w:color w:val="212121"/>
          <w:sz w:val="22"/>
          <w:szCs w:val="22"/>
        </w:rPr>
        <w:t xml:space="preserve">argues that one must at the beginning of the journey learn to cultivate, before then embracing change? This would ensure that change is a constant progression towards a new method of thinking and then sharing the process of this new knowledge with a group of people to obtain what Cavell regarded as a ‘moral perfection’ or ‘fascination with education’. This resonates with the work of Foucault, as discussed in </w:t>
      </w:r>
      <w:proofErr w:type="spellStart"/>
      <w:r>
        <w:rPr>
          <w:rFonts w:ascii="Calibri" w:hAnsi="Calibri" w:cs="Calibri"/>
          <w:color w:val="212121"/>
          <w:sz w:val="22"/>
          <w:szCs w:val="22"/>
        </w:rPr>
        <w:t>MacNaughton</w:t>
      </w:r>
      <w:proofErr w:type="spellEnd"/>
      <w:r>
        <w:rPr>
          <w:rFonts w:ascii="Calibri" w:hAnsi="Calibri" w:cs="Calibri"/>
          <w:color w:val="212121"/>
          <w:sz w:val="22"/>
          <w:szCs w:val="22"/>
        </w:rPr>
        <w:t xml:space="preserve"> (2005), on how one’s determination can </w:t>
      </w:r>
      <w:r>
        <w:rPr>
          <w:rFonts w:ascii="Calibri" w:hAnsi="Calibri" w:cs="Calibri"/>
          <w:color w:val="212121"/>
          <w:sz w:val="22"/>
          <w:szCs w:val="22"/>
        </w:rPr>
        <w:lastRenderedPageBreak/>
        <w:t>shape practice in wanting to know the ‘truth’: this can be worked towards by studying and engaging harder with the children to arrive at judgements using varying approaches in early care and education. </w:t>
      </w:r>
    </w:p>
    <w:p w:rsidR="00F9021E" w:rsidRDefault="00F9021E"/>
    <w:sectPr w:rsidR="00F90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NewRomanPS-BoldMT">
    <w:panose1 w:val="00000000000000000000"/>
    <w:charset w:val="00"/>
    <w:family w:val="auto"/>
    <w:notTrueType/>
    <w:pitch w:val="default"/>
    <w:sig w:usb0="00000003" w:usb1="00000000" w:usb2="00000000" w:usb3="00000000" w:csb0="00000001" w:csb1="00000000"/>
  </w:font>
  <w:font w:name="Code">
    <w:altName w:val="Calibri"/>
    <w:panose1 w:val="00000000000000000000"/>
    <w:charset w:val="00"/>
    <w:family w:val="swiss"/>
    <w:notTrueType/>
    <w:pitch w:val="default"/>
    <w:sig w:usb0="00000003" w:usb1="00000000" w:usb2="00000000" w:usb3="00000000" w:csb0="00000001" w:csb1="00000000"/>
  </w:font>
  <w:font w:name="MyriadMM-Ligh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B6"/>
    <w:rsid w:val="00980DB6"/>
    <w:rsid w:val="00F90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3EC6B-9597-4007-8813-279F1FF8C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D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980D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Shah</dc:creator>
  <cp:keywords/>
  <dc:description/>
  <cp:lastModifiedBy>Tara Shah</cp:lastModifiedBy>
  <cp:revision>1</cp:revision>
  <dcterms:created xsi:type="dcterms:W3CDTF">2019-01-19T11:25:00Z</dcterms:created>
  <dcterms:modified xsi:type="dcterms:W3CDTF">2019-01-19T11:32:00Z</dcterms:modified>
</cp:coreProperties>
</file>