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EA05F3" w14:textId="77777777" w:rsidR="00EC6C35" w:rsidRPr="003401AD" w:rsidRDefault="00DD5F20" w:rsidP="00DD5F20">
      <w:pPr>
        <w:jc w:val="center"/>
        <w:rPr>
          <w:b/>
          <w:u w:val="single"/>
        </w:rPr>
      </w:pPr>
      <w:r w:rsidRPr="003401AD">
        <w:rPr>
          <w:b/>
          <w:u w:val="single"/>
        </w:rPr>
        <w:t>How and why did Vergil manipulate myths about Dido?</w:t>
      </w:r>
    </w:p>
    <w:p w14:paraId="3DF30D40" w14:textId="1114C409" w:rsidR="00DD5F20" w:rsidRPr="003401AD" w:rsidRDefault="00DD5F20" w:rsidP="00DD5F20">
      <w:r w:rsidRPr="003401AD">
        <w:t xml:space="preserve">In order to address how and why Vergil manipulated myths of Dido, this essay must first analyse who Vergil was. </w:t>
      </w:r>
      <w:r w:rsidR="00DC1199" w:rsidRPr="003401AD">
        <w:t xml:space="preserve">Vergil was the author of a number of works the most </w:t>
      </w:r>
      <w:r w:rsidR="00397A59" w:rsidRPr="003401AD">
        <w:t>well-known</w:t>
      </w:r>
      <w:r w:rsidR="00DC1199" w:rsidRPr="003401AD">
        <w:t xml:space="preserve"> of which is the </w:t>
      </w:r>
      <w:r w:rsidR="00DC1199" w:rsidRPr="003401AD">
        <w:rPr>
          <w:i/>
        </w:rPr>
        <w:t>Aeneid</w:t>
      </w:r>
      <w:r w:rsidR="00F26FF5" w:rsidRPr="003401AD">
        <w:rPr>
          <w:rStyle w:val="FootnoteReference"/>
          <w:i/>
        </w:rPr>
        <w:footnoteReference w:id="1"/>
      </w:r>
      <w:r w:rsidR="00DC1199" w:rsidRPr="003401AD">
        <w:rPr>
          <w:i/>
        </w:rPr>
        <w:t xml:space="preserve"> </w:t>
      </w:r>
      <w:r w:rsidR="00DC1199" w:rsidRPr="003401AD">
        <w:t xml:space="preserve">the 12 book epic that looks back on the works of Homer (the </w:t>
      </w:r>
      <w:r w:rsidR="00DC1199" w:rsidRPr="003401AD">
        <w:rPr>
          <w:i/>
        </w:rPr>
        <w:t>Iliad</w:t>
      </w:r>
      <w:r w:rsidR="00F26FF5" w:rsidRPr="003401AD">
        <w:rPr>
          <w:rStyle w:val="FootnoteReference"/>
          <w:i/>
        </w:rPr>
        <w:footnoteReference w:id="2"/>
      </w:r>
      <w:r w:rsidR="00DC1199" w:rsidRPr="003401AD">
        <w:rPr>
          <w:i/>
        </w:rPr>
        <w:t xml:space="preserve"> </w:t>
      </w:r>
      <w:r w:rsidR="00DC1199" w:rsidRPr="003401AD">
        <w:t xml:space="preserve">and the </w:t>
      </w:r>
      <w:r w:rsidR="00DC1199" w:rsidRPr="003401AD">
        <w:rPr>
          <w:i/>
        </w:rPr>
        <w:t>Odyssey</w:t>
      </w:r>
      <w:r w:rsidR="00F26FF5" w:rsidRPr="003401AD">
        <w:rPr>
          <w:rStyle w:val="FootnoteReference"/>
          <w:i/>
        </w:rPr>
        <w:footnoteReference w:id="3"/>
      </w:r>
      <w:r w:rsidR="00DC1199" w:rsidRPr="003401AD">
        <w:t>) combining themes of war and the individual into a single work which follows the journey of the Trojan prince Aeneas as he and the survivors of the Trojan war flee Troy to found a new land which was prophesised, Rome</w:t>
      </w:r>
      <w:r w:rsidR="00F26FF5" w:rsidRPr="003401AD">
        <w:rPr>
          <w:rStyle w:val="FootnoteReference"/>
        </w:rPr>
        <w:footnoteReference w:id="4"/>
      </w:r>
      <w:r w:rsidRPr="003401AD">
        <w:t>.</w:t>
      </w:r>
      <w:r w:rsidR="00DC1199" w:rsidRPr="003401AD">
        <w:t xml:space="preserve"> The epic was written during the reign of Augustus which during book 6 is seen through the procession of ‘future’ rulers of Rome where Aeneas sees Julius Caesar and Augustus</w:t>
      </w:r>
      <w:r w:rsidR="00F26FF5" w:rsidRPr="003401AD">
        <w:rPr>
          <w:rStyle w:val="FootnoteReference"/>
        </w:rPr>
        <w:footnoteReference w:id="5"/>
      </w:r>
      <w:r w:rsidR="00DC1199" w:rsidRPr="003401AD">
        <w:t>. Focusing on the case study of Dido, t</w:t>
      </w:r>
      <w:r w:rsidRPr="003401AD">
        <w:t xml:space="preserve">he most well-known portrayal of Dido is in Vergil’s </w:t>
      </w:r>
      <w:r w:rsidRPr="003401AD">
        <w:rPr>
          <w:i/>
        </w:rPr>
        <w:t>Aeneid</w:t>
      </w:r>
      <w:r w:rsidR="00F26FF5" w:rsidRPr="003401AD">
        <w:rPr>
          <w:rStyle w:val="FootnoteReference"/>
          <w:i/>
        </w:rPr>
        <w:footnoteReference w:id="6"/>
      </w:r>
      <w:r w:rsidRPr="003401AD">
        <w:t>. However, for a reader familiar with the myth of Dido they will be able to tell that Vergil borrowed aspects of the myth and applied them to the epics narrative.</w:t>
      </w:r>
    </w:p>
    <w:p w14:paraId="30501F27" w14:textId="0FCEDCE2" w:rsidR="00E34898" w:rsidRPr="003401AD" w:rsidRDefault="00E34898" w:rsidP="00DD5F20">
      <w:r w:rsidRPr="003401AD">
        <w:t xml:space="preserve">The original myth begins with the death of Dido’s father who intended she would share rule of her </w:t>
      </w:r>
      <w:r w:rsidR="000C15A1" w:rsidRPr="003401AD">
        <w:t>father’s</w:t>
      </w:r>
      <w:r w:rsidRPr="003401AD">
        <w:t xml:space="preserve"> kingdom</w:t>
      </w:r>
      <w:r w:rsidR="000C15A1" w:rsidRPr="003401AD">
        <w:t xml:space="preserve"> equally</w:t>
      </w:r>
      <w:r w:rsidRPr="003401AD">
        <w:t xml:space="preserve"> with her brother. Her brother rose up and killed her husband and Dido fled. Upon arriving on what would soon be</w:t>
      </w:r>
      <w:r w:rsidR="000C15A1" w:rsidRPr="003401AD">
        <w:t>come Carthage, the local lord Iarbas</w:t>
      </w:r>
      <w:r w:rsidRPr="003401AD">
        <w:t xml:space="preserve"> offered to sell Dido as much land as a bull hide would cover. Dido cut the hide into thin strips and used it to outline a portion of the land and set to building Carthage. Iarbas pursued Dido and </w:t>
      </w:r>
      <w:r w:rsidR="000C15A1" w:rsidRPr="003401AD">
        <w:t>hoped to marry her, Dido refused and threw herself onto a funeral pyre. The ending of the original myth changed slightly in that in some instances she throws herself onto a blade in front of all her people</w:t>
      </w:r>
      <w:r w:rsidR="00F26FF5" w:rsidRPr="003401AD">
        <w:rPr>
          <w:rStyle w:val="FootnoteReference"/>
        </w:rPr>
        <w:footnoteReference w:id="7"/>
      </w:r>
      <w:r w:rsidR="000C15A1" w:rsidRPr="003401AD">
        <w:t xml:space="preserve">. Vergil uses aspects of the myth in the narrative of the </w:t>
      </w:r>
      <w:r w:rsidR="000C15A1" w:rsidRPr="003401AD">
        <w:rPr>
          <w:i/>
        </w:rPr>
        <w:t xml:space="preserve">Aeneid, </w:t>
      </w:r>
      <w:r w:rsidR="000C15A1" w:rsidRPr="003401AD">
        <w:t>primarily which instead of the local lord causing Dido’s death it is Aeneas, the protagonist of the epic. Aeneas and his men arrive in Carthage and through divine intervention of Juno and Venus</w:t>
      </w:r>
      <w:r w:rsidR="00F26FF5" w:rsidRPr="003401AD">
        <w:rPr>
          <w:rStyle w:val="FootnoteReference"/>
        </w:rPr>
        <w:footnoteReference w:id="8"/>
      </w:r>
      <w:r w:rsidR="000C15A1" w:rsidRPr="003401AD">
        <w:t>, Dido quickly falls in love with him, on a hunting trip Juno sends a storm which traps the two in a cave where it is said they were married.</w:t>
      </w:r>
      <w:r w:rsidR="00DC1199" w:rsidRPr="003401AD">
        <w:t xml:space="preserve"> Juno is seen to be actively trying to prevent Aeneas from leaving Carthage</w:t>
      </w:r>
      <w:r w:rsidR="00F26FF5" w:rsidRPr="003401AD">
        <w:rPr>
          <w:rStyle w:val="FootnoteReference"/>
        </w:rPr>
        <w:footnoteReference w:id="9"/>
      </w:r>
      <w:r w:rsidR="00DC1199" w:rsidRPr="003401AD">
        <w:t xml:space="preserve"> as the city is one of her favourites and she is aware of the prophecies surrounding the rise of Rome and fall of Carthage so she and Venus use Dido as a distraction to prevent the hero from ‘returning’ or in this case, founding Rome</w:t>
      </w:r>
      <w:r w:rsidR="00F26FF5" w:rsidRPr="003401AD">
        <w:rPr>
          <w:rStyle w:val="FootnoteReference"/>
        </w:rPr>
        <w:footnoteReference w:id="10"/>
      </w:r>
      <w:r w:rsidR="00DC1199" w:rsidRPr="003401AD">
        <w:t>.</w:t>
      </w:r>
      <w:r w:rsidR="000C15A1" w:rsidRPr="003401AD">
        <w:t xml:space="preserve"> Issues were created within Carthage at this stage as Dido began to obsess over Aeneas and neglect the building projects of her city</w:t>
      </w:r>
      <w:r w:rsidR="00F26FF5" w:rsidRPr="003401AD">
        <w:rPr>
          <w:rStyle w:val="FootnoteReference"/>
        </w:rPr>
        <w:footnoteReference w:id="11"/>
      </w:r>
      <w:r w:rsidR="000C15A1" w:rsidRPr="003401AD">
        <w:t>. The aim of the divine was to convince Aeneas to stay in Carthage however Jupiter intervened</w:t>
      </w:r>
      <w:r w:rsidR="00F26FF5" w:rsidRPr="003401AD">
        <w:rPr>
          <w:rStyle w:val="FootnoteReference"/>
        </w:rPr>
        <w:footnoteReference w:id="12"/>
      </w:r>
      <w:r w:rsidR="000C15A1" w:rsidRPr="003401AD">
        <w:t xml:space="preserve"> and upon his message Aeneas prepared to leave Carthage in secret</w:t>
      </w:r>
      <w:r w:rsidR="00F26FF5" w:rsidRPr="003401AD">
        <w:rPr>
          <w:rStyle w:val="FootnoteReference"/>
        </w:rPr>
        <w:footnoteReference w:id="13"/>
      </w:r>
      <w:r w:rsidR="000C15A1" w:rsidRPr="003401AD">
        <w:t>. When Dido found out about Aeneas’ plans she threw herself onto a funeral pyre</w:t>
      </w:r>
      <w:r w:rsidR="00F26FF5" w:rsidRPr="003401AD">
        <w:rPr>
          <w:rStyle w:val="FootnoteReference"/>
        </w:rPr>
        <w:footnoteReference w:id="14"/>
      </w:r>
      <w:r w:rsidR="000C15A1" w:rsidRPr="003401AD">
        <w:t xml:space="preserve"> which could be seen from Aeneas’ sailing ship although he was unaware of what had happened until he encountered her in the underworld in book 6</w:t>
      </w:r>
      <w:r w:rsidR="00F26FF5" w:rsidRPr="003401AD">
        <w:rPr>
          <w:rStyle w:val="FootnoteReference"/>
        </w:rPr>
        <w:footnoteReference w:id="15"/>
      </w:r>
      <w:r w:rsidR="000C15A1" w:rsidRPr="003401AD">
        <w:t xml:space="preserve">. </w:t>
      </w:r>
    </w:p>
    <w:p w14:paraId="0CC7D8EA" w14:textId="5E579525" w:rsidR="000C15A1" w:rsidRPr="003401AD" w:rsidRDefault="000C15A1" w:rsidP="00DD5F20">
      <w:r w:rsidRPr="003401AD">
        <w:t xml:space="preserve">Now this essay has established the two versions of the myth of Dido, it will discuss how the myth is manipulated. Primarily, Vergil manipulates the representation of Dido herself, instead of being the </w:t>
      </w:r>
      <w:r w:rsidRPr="003401AD">
        <w:lastRenderedPageBreak/>
        <w:t xml:space="preserve">Queen of Carthage who would rather have died that betray the memory of her husband became a woman who was overcome by emotion. Representing the idea of the female gender being weak leaders, there are of course contradictions to this idea but by using Dido in this way it also changes the representation of destiny. Aeneas was not intended to stay in Carthage and even with the divine intervention of Juno and Venus </w:t>
      </w:r>
      <w:r w:rsidR="00C35B95" w:rsidRPr="003401AD">
        <w:t>eventually ruining Dido and based on the historical link, dooming Carthage to be inferior to Rome.</w:t>
      </w:r>
    </w:p>
    <w:p w14:paraId="69D92FE5" w14:textId="3C3F98F2" w:rsidR="00C35B95" w:rsidRPr="003401AD" w:rsidRDefault="00C35B95" w:rsidP="00DD5F20">
      <w:r w:rsidRPr="003401AD">
        <w:t>There are many reasons why Vergil may have done these things. Initially, there is the historical idea that Carthage was prophesised to rise and be a rival to Rome. Rome defeated Carthage during the Punic Wars between 264 and 146BC</w:t>
      </w:r>
      <w:r w:rsidR="00F26FF5" w:rsidRPr="003401AD">
        <w:rPr>
          <w:rStyle w:val="FootnoteReference"/>
        </w:rPr>
        <w:footnoteReference w:id="16"/>
      </w:r>
      <w:r w:rsidRPr="003401AD">
        <w:t xml:space="preserve">, now this raises an interesting idea that Rome was able to defy fate and remain standing against an opposing force. </w:t>
      </w:r>
      <w:r w:rsidR="00DC1199" w:rsidRPr="003401AD">
        <w:t>Vergil warns that emotion out of control such as love can cause disorder both physically and emotionally</w:t>
      </w:r>
      <w:r w:rsidR="00F26FF5" w:rsidRPr="003401AD">
        <w:rPr>
          <w:rStyle w:val="FootnoteReference"/>
        </w:rPr>
        <w:footnoteReference w:id="17"/>
      </w:r>
      <w:r w:rsidR="00DC1199" w:rsidRPr="003401AD">
        <w:t xml:space="preserve"> and this is seen in his portrayal of Dido who through how easily she was manipulated by the divine show a weakness in her resolve as a Queen, portraying the Roman ideal that a woman couldn’t rule and using this as a justification for the inferiority of the Kingdom</w:t>
      </w:r>
      <w:r w:rsidR="00F26FF5" w:rsidRPr="003401AD">
        <w:t>. Vergil’s version of the myth also has Aeneas and Dido as husband and wife</w:t>
      </w:r>
      <w:r w:rsidR="00F26FF5" w:rsidRPr="003401AD">
        <w:rPr>
          <w:rStyle w:val="FootnoteReference"/>
        </w:rPr>
        <w:footnoteReference w:id="18"/>
      </w:r>
      <w:r w:rsidR="00F26FF5" w:rsidRPr="003401AD">
        <w:t xml:space="preserve"> and the departure of Aeneas and the subsequent reaction of Dido supports the Roman ideals of the man being the head of the household and while the </w:t>
      </w:r>
      <w:r w:rsidR="003401AD" w:rsidRPr="003401AD">
        <w:t>wife (or slaves under her guidance) maintains</w:t>
      </w:r>
      <w:r w:rsidR="00F26FF5" w:rsidRPr="003401AD">
        <w:t xml:space="preserve"> it the husband is the one who runs it.</w:t>
      </w:r>
    </w:p>
    <w:p w14:paraId="1A1994E8" w14:textId="7B6DB59B" w:rsidR="003401AD" w:rsidRDefault="003401AD" w:rsidP="00DD5F20">
      <w:r w:rsidRPr="003401AD">
        <w:t>To conclude, there are many reasons why Vergil would manipulate the myth of Dido for his own purposes in the text ‘</w:t>
      </w:r>
      <w:r w:rsidRPr="003401AD">
        <w:rPr>
          <w:i/>
        </w:rPr>
        <w:t>Aeneid</w:t>
      </w:r>
      <w:r w:rsidRPr="003401AD">
        <w:t xml:space="preserve">’. Primarily a historian would focus on the </w:t>
      </w:r>
      <w:r>
        <w:t>animosity</w:t>
      </w:r>
      <w:r w:rsidRPr="003401AD">
        <w:t xml:space="preserve"> between Rome and Carthage that at the time of the epics production, during the reign of Augustus, the roman populace would have been aware that Carthage and Rome were on the brink of war until Carthage’s defeat in the Punic wars, the text used in this way provided a prophesied </w:t>
      </w:r>
      <w:r>
        <w:t>justification for the conflict as well as creating the ideology that their success was assured from the founding of their city. The manipulation of the leader of Carthage in this was also highlights the ideology of men being stronger, better leaders than women, in this case showing how the city founded by a woman could not overcome the one led by men, from Aeneas to Caesar to Augustus.</w:t>
      </w:r>
      <w:r w:rsidR="00C64330">
        <w:t xml:space="preserve"> This can be simplified to a household analogy briefly mentioned earlier as well as to draw comparisons to the immortals in the epic Jupiter and Juno for although Juno attempts to stop Aeneas in Carthage, Jupiter over rules her, again proving male dominance even among deities. Finally, the historical connection made between Carthage and Rome can be used as a reason in politics for Vergil to manipulate the myth of Dido as this was produced for Augustus, no author would want to write something denying the Emperor his lineage or suggest that a neighbouring state could rival them for dominance.</w:t>
      </w:r>
    </w:p>
    <w:p w14:paraId="093E6321" w14:textId="77777777" w:rsidR="0016709A" w:rsidRDefault="0016709A" w:rsidP="00DD5F20"/>
    <w:p w14:paraId="396DAE26" w14:textId="77777777" w:rsidR="0016709A" w:rsidRDefault="0016709A" w:rsidP="00DD5F20"/>
    <w:p w14:paraId="3FBEB462" w14:textId="77777777" w:rsidR="0016709A" w:rsidRDefault="0016709A" w:rsidP="00DD5F20"/>
    <w:p w14:paraId="121ADF82" w14:textId="77777777" w:rsidR="0016709A" w:rsidRDefault="0016709A" w:rsidP="00DD5F20"/>
    <w:p w14:paraId="6B9C2451" w14:textId="77777777" w:rsidR="0016709A" w:rsidRDefault="0016709A" w:rsidP="00DD5F20"/>
    <w:p w14:paraId="602A2605" w14:textId="77777777" w:rsidR="0016709A" w:rsidRPr="003401AD" w:rsidRDefault="0016709A" w:rsidP="00DD5F20">
      <w:bookmarkStart w:id="0" w:name="_GoBack"/>
      <w:bookmarkEnd w:id="0"/>
    </w:p>
    <w:p w14:paraId="25211E8C" w14:textId="77777777" w:rsidR="004E3BE1" w:rsidRPr="003401AD" w:rsidRDefault="004E3BE1" w:rsidP="00DD5F20"/>
    <w:p w14:paraId="029D958A" w14:textId="7ECB6B86" w:rsidR="004E3BE1" w:rsidRPr="003401AD" w:rsidRDefault="004E3BE1" w:rsidP="00DD5F20">
      <w:pPr>
        <w:rPr>
          <w:b/>
          <w:u w:val="single"/>
        </w:rPr>
      </w:pPr>
      <w:r w:rsidRPr="003401AD">
        <w:rPr>
          <w:b/>
          <w:u w:val="single"/>
        </w:rPr>
        <w:lastRenderedPageBreak/>
        <w:t>Bibliography:</w:t>
      </w:r>
    </w:p>
    <w:p w14:paraId="7CB3ABA2" w14:textId="77777777" w:rsidR="003401AD" w:rsidRPr="003401AD" w:rsidRDefault="003401AD" w:rsidP="003401AD">
      <w:pPr>
        <w:pStyle w:val="NormalWeb"/>
        <w:shd w:val="clear" w:color="auto" w:fill="FFFFFF"/>
        <w:rPr>
          <w:rFonts w:asciiTheme="minorHAnsi" w:hAnsiTheme="minorHAnsi" w:cs="Arial"/>
          <w:color w:val="000000"/>
          <w:sz w:val="22"/>
          <w:szCs w:val="22"/>
          <w:lang w:val="en"/>
        </w:rPr>
      </w:pPr>
      <w:r w:rsidRPr="003401AD">
        <w:rPr>
          <w:rFonts w:asciiTheme="minorHAnsi" w:hAnsiTheme="minorHAnsi" w:cs="Arial"/>
          <w:color w:val="000000"/>
          <w:sz w:val="22"/>
          <w:szCs w:val="22"/>
          <w:lang w:val="en"/>
        </w:rPr>
        <w:t xml:space="preserve">Bagnall, N. (1990). </w:t>
      </w:r>
      <w:r w:rsidRPr="003401AD">
        <w:rPr>
          <w:rFonts w:asciiTheme="minorHAnsi" w:hAnsiTheme="minorHAnsi" w:cs="Arial"/>
          <w:i/>
          <w:iCs/>
          <w:color w:val="000000"/>
          <w:sz w:val="22"/>
          <w:szCs w:val="22"/>
          <w:lang w:val="en"/>
        </w:rPr>
        <w:t>The Punic wars</w:t>
      </w:r>
      <w:r w:rsidRPr="003401AD">
        <w:rPr>
          <w:rFonts w:asciiTheme="minorHAnsi" w:hAnsiTheme="minorHAnsi" w:cs="Arial"/>
          <w:color w:val="000000"/>
          <w:sz w:val="22"/>
          <w:szCs w:val="22"/>
          <w:lang w:val="en"/>
        </w:rPr>
        <w:t>. London: Hutchinson.</w:t>
      </w:r>
    </w:p>
    <w:p w14:paraId="13CC4FCE" w14:textId="77777777" w:rsidR="003401AD" w:rsidRPr="003401AD" w:rsidRDefault="003401AD" w:rsidP="003401AD">
      <w:pPr>
        <w:pStyle w:val="NormalWeb"/>
        <w:shd w:val="clear" w:color="auto" w:fill="FFFFFF"/>
        <w:rPr>
          <w:rFonts w:asciiTheme="minorHAnsi" w:hAnsiTheme="minorHAnsi" w:cs="Arial"/>
          <w:color w:val="000000"/>
          <w:sz w:val="22"/>
          <w:szCs w:val="22"/>
          <w:lang w:val="en"/>
        </w:rPr>
      </w:pPr>
      <w:r w:rsidRPr="003401AD">
        <w:rPr>
          <w:rFonts w:asciiTheme="minorHAnsi" w:hAnsiTheme="minorHAnsi" w:cs="Arial"/>
          <w:color w:val="000000"/>
          <w:sz w:val="22"/>
          <w:szCs w:val="22"/>
          <w:lang w:val="en"/>
        </w:rPr>
        <w:t xml:space="preserve">Berens, E. (n.d.). </w:t>
      </w:r>
      <w:r w:rsidRPr="003401AD">
        <w:rPr>
          <w:rFonts w:asciiTheme="minorHAnsi" w:hAnsiTheme="minorHAnsi" w:cs="Arial"/>
          <w:i/>
          <w:iCs/>
          <w:color w:val="000000"/>
          <w:sz w:val="22"/>
          <w:szCs w:val="22"/>
          <w:lang w:val="en"/>
        </w:rPr>
        <w:t>Mythology: Who's Who in Greek and Roman Mythology</w:t>
      </w:r>
      <w:r w:rsidRPr="003401AD">
        <w:rPr>
          <w:rFonts w:asciiTheme="minorHAnsi" w:hAnsiTheme="minorHAnsi" w:cs="Arial"/>
          <w:color w:val="000000"/>
          <w:sz w:val="22"/>
          <w:szCs w:val="22"/>
          <w:lang w:val="en"/>
        </w:rPr>
        <w:t>.</w:t>
      </w:r>
    </w:p>
    <w:p w14:paraId="201E3F52" w14:textId="77777777" w:rsidR="003401AD" w:rsidRPr="003401AD" w:rsidRDefault="003401AD" w:rsidP="003401AD">
      <w:pPr>
        <w:pStyle w:val="NormalWeb"/>
        <w:shd w:val="clear" w:color="auto" w:fill="FFFFFF"/>
        <w:rPr>
          <w:rFonts w:asciiTheme="minorHAnsi" w:hAnsiTheme="minorHAnsi" w:cs="Arial"/>
          <w:color w:val="000000"/>
          <w:sz w:val="22"/>
          <w:szCs w:val="22"/>
          <w:lang w:val="en"/>
        </w:rPr>
      </w:pPr>
      <w:r w:rsidRPr="003401AD">
        <w:rPr>
          <w:rFonts w:asciiTheme="minorHAnsi" w:hAnsiTheme="minorHAnsi" w:cs="Arial"/>
          <w:color w:val="000000"/>
          <w:sz w:val="22"/>
          <w:szCs w:val="22"/>
          <w:lang w:val="en"/>
        </w:rPr>
        <w:t xml:space="preserve">Burden, M. (2009). </w:t>
      </w:r>
      <w:r w:rsidRPr="003401AD">
        <w:rPr>
          <w:rFonts w:asciiTheme="minorHAnsi" w:hAnsiTheme="minorHAnsi" w:cs="Arial"/>
          <w:i/>
          <w:iCs/>
          <w:color w:val="000000"/>
          <w:sz w:val="22"/>
          <w:szCs w:val="22"/>
          <w:lang w:val="en"/>
        </w:rPr>
        <w:t>A woman scorn'd</w:t>
      </w:r>
      <w:r w:rsidRPr="003401AD">
        <w:rPr>
          <w:rFonts w:asciiTheme="minorHAnsi" w:hAnsiTheme="minorHAnsi" w:cs="Arial"/>
          <w:color w:val="000000"/>
          <w:sz w:val="22"/>
          <w:szCs w:val="22"/>
          <w:lang w:val="en"/>
        </w:rPr>
        <w:t>. London: Faber.</w:t>
      </w:r>
    </w:p>
    <w:p w14:paraId="436FEA15" w14:textId="77777777" w:rsidR="003401AD" w:rsidRPr="003401AD" w:rsidRDefault="003401AD" w:rsidP="003401AD">
      <w:pPr>
        <w:pStyle w:val="NormalWeb"/>
        <w:shd w:val="clear" w:color="auto" w:fill="FFFFFF"/>
        <w:rPr>
          <w:rFonts w:asciiTheme="minorHAnsi" w:hAnsiTheme="minorHAnsi" w:cs="Arial"/>
          <w:color w:val="000000"/>
          <w:sz w:val="22"/>
          <w:szCs w:val="22"/>
          <w:lang w:val="en"/>
        </w:rPr>
      </w:pPr>
      <w:r w:rsidRPr="003401AD">
        <w:rPr>
          <w:rFonts w:asciiTheme="minorHAnsi" w:hAnsiTheme="minorHAnsi" w:cs="Arial"/>
          <w:color w:val="000000"/>
          <w:sz w:val="22"/>
          <w:szCs w:val="22"/>
          <w:lang w:val="en"/>
        </w:rPr>
        <w:t xml:space="preserve">Homer., Verity, A. and Graziosi, B. (2017). </w:t>
      </w:r>
      <w:r w:rsidRPr="003401AD">
        <w:rPr>
          <w:rFonts w:asciiTheme="minorHAnsi" w:hAnsiTheme="minorHAnsi" w:cs="Arial"/>
          <w:i/>
          <w:iCs/>
          <w:color w:val="000000"/>
          <w:sz w:val="22"/>
          <w:szCs w:val="22"/>
          <w:lang w:val="en"/>
        </w:rPr>
        <w:t>The Iliad</w:t>
      </w:r>
      <w:r w:rsidRPr="003401AD">
        <w:rPr>
          <w:rFonts w:asciiTheme="minorHAnsi" w:hAnsiTheme="minorHAnsi" w:cs="Arial"/>
          <w:color w:val="000000"/>
          <w:sz w:val="22"/>
          <w:szCs w:val="22"/>
          <w:lang w:val="en"/>
        </w:rPr>
        <w:t>. Oxford: Oxford University Press.</w:t>
      </w:r>
    </w:p>
    <w:p w14:paraId="3773F16F" w14:textId="77777777" w:rsidR="003401AD" w:rsidRPr="003401AD" w:rsidRDefault="003401AD" w:rsidP="003401AD">
      <w:pPr>
        <w:pStyle w:val="NormalWeb"/>
        <w:shd w:val="clear" w:color="auto" w:fill="FFFFFF"/>
        <w:rPr>
          <w:rFonts w:asciiTheme="minorHAnsi" w:hAnsiTheme="minorHAnsi" w:cs="Arial"/>
          <w:color w:val="000000"/>
          <w:sz w:val="22"/>
          <w:szCs w:val="22"/>
          <w:lang w:val="en"/>
        </w:rPr>
      </w:pPr>
      <w:r w:rsidRPr="003401AD">
        <w:rPr>
          <w:rFonts w:asciiTheme="minorHAnsi" w:hAnsiTheme="minorHAnsi" w:cs="Arial"/>
          <w:color w:val="000000"/>
          <w:sz w:val="22"/>
          <w:szCs w:val="22"/>
          <w:lang w:val="en"/>
        </w:rPr>
        <w:t xml:space="preserve">Homer (n.d.). </w:t>
      </w:r>
      <w:r w:rsidRPr="003401AD">
        <w:rPr>
          <w:rFonts w:asciiTheme="minorHAnsi" w:hAnsiTheme="minorHAnsi" w:cs="Arial"/>
          <w:i/>
          <w:iCs/>
          <w:color w:val="000000"/>
          <w:sz w:val="22"/>
          <w:szCs w:val="22"/>
          <w:lang w:val="en"/>
        </w:rPr>
        <w:t>The Odyssey</w:t>
      </w:r>
      <w:r w:rsidRPr="003401AD">
        <w:rPr>
          <w:rFonts w:asciiTheme="minorHAnsi" w:hAnsiTheme="minorHAnsi" w:cs="Arial"/>
          <w:color w:val="000000"/>
          <w:sz w:val="22"/>
          <w:szCs w:val="22"/>
          <w:lang w:val="en"/>
        </w:rPr>
        <w:t>.</w:t>
      </w:r>
    </w:p>
    <w:p w14:paraId="760205F0" w14:textId="77777777" w:rsidR="003401AD" w:rsidRPr="003401AD" w:rsidRDefault="003401AD" w:rsidP="003401AD">
      <w:pPr>
        <w:pStyle w:val="NormalWeb"/>
        <w:shd w:val="clear" w:color="auto" w:fill="FFFFFF"/>
        <w:rPr>
          <w:rFonts w:asciiTheme="minorHAnsi" w:hAnsiTheme="minorHAnsi" w:cs="Arial"/>
          <w:color w:val="000000"/>
          <w:sz w:val="22"/>
          <w:szCs w:val="22"/>
          <w:lang w:val="en"/>
        </w:rPr>
      </w:pPr>
      <w:r w:rsidRPr="003401AD">
        <w:rPr>
          <w:rFonts w:asciiTheme="minorHAnsi" w:hAnsiTheme="minorHAnsi" w:cs="Arial"/>
          <w:color w:val="000000"/>
          <w:sz w:val="22"/>
          <w:szCs w:val="22"/>
          <w:lang w:val="en"/>
        </w:rPr>
        <w:t xml:space="preserve">Hoyos, D. (n.d.). </w:t>
      </w:r>
      <w:r w:rsidRPr="003401AD">
        <w:rPr>
          <w:rFonts w:asciiTheme="minorHAnsi" w:hAnsiTheme="minorHAnsi" w:cs="Arial"/>
          <w:i/>
          <w:iCs/>
          <w:color w:val="000000"/>
          <w:sz w:val="22"/>
          <w:szCs w:val="22"/>
          <w:lang w:val="en"/>
        </w:rPr>
        <w:t>A Companion to the Punic Wars</w:t>
      </w:r>
      <w:r w:rsidRPr="003401AD">
        <w:rPr>
          <w:rFonts w:asciiTheme="minorHAnsi" w:hAnsiTheme="minorHAnsi" w:cs="Arial"/>
          <w:color w:val="000000"/>
          <w:sz w:val="22"/>
          <w:szCs w:val="22"/>
          <w:lang w:val="en"/>
        </w:rPr>
        <w:t>.</w:t>
      </w:r>
    </w:p>
    <w:p w14:paraId="46AAC77E" w14:textId="77777777" w:rsidR="003401AD" w:rsidRPr="003401AD" w:rsidRDefault="003401AD" w:rsidP="003401AD">
      <w:pPr>
        <w:pStyle w:val="NormalWeb"/>
        <w:shd w:val="clear" w:color="auto" w:fill="FFFFFF"/>
        <w:rPr>
          <w:rFonts w:asciiTheme="minorHAnsi" w:hAnsiTheme="minorHAnsi" w:cs="Arial"/>
          <w:color w:val="000000"/>
          <w:sz w:val="22"/>
          <w:szCs w:val="22"/>
          <w:lang w:val="en"/>
        </w:rPr>
      </w:pPr>
      <w:r w:rsidRPr="003401AD">
        <w:rPr>
          <w:rFonts w:asciiTheme="minorHAnsi" w:hAnsiTheme="minorHAnsi" w:cs="Arial"/>
          <w:color w:val="000000"/>
          <w:sz w:val="22"/>
          <w:szCs w:val="22"/>
          <w:lang w:val="en"/>
        </w:rPr>
        <w:t xml:space="preserve">Virgil and Ferry, D. (n.d.). </w:t>
      </w:r>
      <w:r w:rsidRPr="003401AD">
        <w:rPr>
          <w:rFonts w:asciiTheme="minorHAnsi" w:hAnsiTheme="minorHAnsi" w:cs="Arial"/>
          <w:i/>
          <w:iCs/>
          <w:color w:val="000000"/>
          <w:sz w:val="22"/>
          <w:szCs w:val="22"/>
          <w:lang w:val="en"/>
        </w:rPr>
        <w:t>The Aeneid</w:t>
      </w:r>
      <w:r w:rsidRPr="003401AD">
        <w:rPr>
          <w:rFonts w:asciiTheme="minorHAnsi" w:hAnsiTheme="minorHAnsi" w:cs="Arial"/>
          <w:color w:val="000000"/>
          <w:sz w:val="22"/>
          <w:szCs w:val="22"/>
          <w:lang w:val="en"/>
        </w:rPr>
        <w:t>.</w:t>
      </w:r>
    </w:p>
    <w:p w14:paraId="5CE8F12F" w14:textId="77777777" w:rsidR="004E3BE1" w:rsidRPr="003401AD" w:rsidRDefault="004E3BE1" w:rsidP="00DD5F20"/>
    <w:sectPr w:rsidR="004E3BE1" w:rsidRPr="003401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4A046C" w14:textId="77777777" w:rsidR="00DC0204" w:rsidRDefault="00DC0204" w:rsidP="00F26FF5">
      <w:pPr>
        <w:spacing w:after="0" w:line="240" w:lineRule="auto"/>
      </w:pPr>
      <w:r>
        <w:separator/>
      </w:r>
    </w:p>
  </w:endnote>
  <w:endnote w:type="continuationSeparator" w:id="0">
    <w:p w14:paraId="2C883E2D" w14:textId="77777777" w:rsidR="00DC0204" w:rsidRDefault="00DC0204" w:rsidP="00F26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F9FFE2" w14:textId="77777777" w:rsidR="00DC0204" w:rsidRDefault="00DC0204" w:rsidP="00F26FF5">
      <w:pPr>
        <w:spacing w:after="0" w:line="240" w:lineRule="auto"/>
      </w:pPr>
      <w:r>
        <w:separator/>
      </w:r>
    </w:p>
  </w:footnote>
  <w:footnote w:type="continuationSeparator" w:id="0">
    <w:p w14:paraId="070FBC7B" w14:textId="77777777" w:rsidR="00DC0204" w:rsidRDefault="00DC0204" w:rsidP="00F26FF5">
      <w:pPr>
        <w:spacing w:after="0" w:line="240" w:lineRule="auto"/>
      </w:pPr>
      <w:r>
        <w:continuationSeparator/>
      </w:r>
    </w:p>
  </w:footnote>
  <w:footnote w:id="1">
    <w:p w14:paraId="4D12C3D0" w14:textId="67260F15" w:rsidR="00F26FF5" w:rsidRPr="004E3BE1" w:rsidRDefault="00F26FF5">
      <w:pPr>
        <w:pStyle w:val="FootnoteText"/>
      </w:pPr>
      <w:r w:rsidRPr="004E3BE1">
        <w:rPr>
          <w:rStyle w:val="FootnoteReference"/>
        </w:rPr>
        <w:footnoteRef/>
      </w:r>
      <w:r w:rsidRPr="004E3BE1">
        <w:t xml:space="preserve"> </w:t>
      </w:r>
      <w:r w:rsidR="004E3BE1" w:rsidRPr="004E3BE1">
        <w:rPr>
          <w:rStyle w:val="selectable"/>
          <w:rFonts w:cs="Arial"/>
          <w:color w:val="000000"/>
          <w:lang w:val="en"/>
        </w:rPr>
        <w:t>(Virgil and Ferry, n.d.)</w:t>
      </w:r>
    </w:p>
  </w:footnote>
  <w:footnote w:id="2">
    <w:p w14:paraId="52458D51" w14:textId="17200266" w:rsidR="00F26FF5" w:rsidRPr="004E3BE1" w:rsidRDefault="00F26FF5">
      <w:pPr>
        <w:pStyle w:val="FootnoteText"/>
      </w:pPr>
      <w:r w:rsidRPr="004E3BE1">
        <w:rPr>
          <w:rStyle w:val="FootnoteReference"/>
        </w:rPr>
        <w:footnoteRef/>
      </w:r>
      <w:r w:rsidRPr="004E3BE1">
        <w:t xml:space="preserve"> </w:t>
      </w:r>
      <w:r w:rsidR="004E3BE1" w:rsidRPr="004E3BE1">
        <w:rPr>
          <w:rStyle w:val="selectable"/>
          <w:rFonts w:cs="Arial"/>
          <w:color w:val="000000"/>
          <w:lang w:val="en"/>
        </w:rPr>
        <w:t>(Homer., Verity and Graziosi, 2017)</w:t>
      </w:r>
    </w:p>
  </w:footnote>
  <w:footnote w:id="3">
    <w:p w14:paraId="24E345AB" w14:textId="3DF0B067" w:rsidR="00F26FF5" w:rsidRPr="004E3BE1" w:rsidRDefault="00F26FF5">
      <w:pPr>
        <w:pStyle w:val="FootnoteText"/>
      </w:pPr>
      <w:r w:rsidRPr="004E3BE1">
        <w:rPr>
          <w:rStyle w:val="FootnoteReference"/>
        </w:rPr>
        <w:footnoteRef/>
      </w:r>
      <w:r w:rsidRPr="004E3BE1">
        <w:t xml:space="preserve"> </w:t>
      </w:r>
      <w:r w:rsidR="004E3BE1" w:rsidRPr="004E3BE1">
        <w:rPr>
          <w:rStyle w:val="selectable"/>
          <w:rFonts w:cs="Arial"/>
          <w:color w:val="000000"/>
          <w:lang w:val="en"/>
        </w:rPr>
        <w:t>(Homer, n.d.)</w:t>
      </w:r>
    </w:p>
  </w:footnote>
  <w:footnote w:id="4">
    <w:p w14:paraId="48833D95" w14:textId="52326FA0" w:rsidR="00F26FF5" w:rsidRPr="004E3BE1" w:rsidRDefault="00F26FF5">
      <w:pPr>
        <w:pStyle w:val="FootnoteText"/>
      </w:pPr>
      <w:r w:rsidRPr="004E3BE1">
        <w:rPr>
          <w:rStyle w:val="FootnoteReference"/>
        </w:rPr>
        <w:footnoteRef/>
      </w:r>
      <w:r w:rsidRPr="004E3BE1">
        <w:t xml:space="preserve"> </w:t>
      </w:r>
      <w:r w:rsidR="004E3BE1" w:rsidRPr="004E3BE1">
        <w:rPr>
          <w:rStyle w:val="selectable"/>
          <w:rFonts w:cs="Arial"/>
          <w:color w:val="000000"/>
          <w:lang w:val="en"/>
        </w:rPr>
        <w:t>(Virgil and Ferry, n.d.)</w:t>
      </w:r>
    </w:p>
  </w:footnote>
  <w:footnote w:id="5">
    <w:p w14:paraId="3A8281A7" w14:textId="295FE767" w:rsidR="00F26FF5" w:rsidRPr="004E3BE1" w:rsidRDefault="00F26FF5">
      <w:pPr>
        <w:pStyle w:val="FootnoteText"/>
      </w:pPr>
      <w:r w:rsidRPr="004E3BE1">
        <w:rPr>
          <w:rStyle w:val="FootnoteReference"/>
        </w:rPr>
        <w:footnoteRef/>
      </w:r>
      <w:r w:rsidRPr="004E3BE1">
        <w:t xml:space="preserve"> </w:t>
      </w:r>
      <w:r w:rsidR="004E3BE1" w:rsidRPr="004E3BE1">
        <w:rPr>
          <w:rStyle w:val="selectable"/>
          <w:rFonts w:cs="Arial"/>
          <w:color w:val="000000"/>
          <w:lang w:val="en"/>
        </w:rPr>
        <w:t>(Virgil and Ferry, n.d.)</w:t>
      </w:r>
    </w:p>
  </w:footnote>
  <w:footnote w:id="6">
    <w:p w14:paraId="64B1362E" w14:textId="579DF724" w:rsidR="00F26FF5" w:rsidRPr="004E3BE1" w:rsidRDefault="00F26FF5">
      <w:pPr>
        <w:pStyle w:val="FootnoteText"/>
      </w:pPr>
      <w:r w:rsidRPr="004E3BE1">
        <w:rPr>
          <w:rStyle w:val="FootnoteReference"/>
        </w:rPr>
        <w:footnoteRef/>
      </w:r>
      <w:r w:rsidRPr="004E3BE1">
        <w:t xml:space="preserve"> </w:t>
      </w:r>
      <w:r w:rsidR="004E3BE1" w:rsidRPr="004E3BE1">
        <w:rPr>
          <w:rStyle w:val="selectable"/>
          <w:rFonts w:cs="Arial"/>
          <w:color w:val="000000"/>
          <w:lang w:val="en"/>
        </w:rPr>
        <w:t>(Virgil and Ferry, n.d.)</w:t>
      </w:r>
    </w:p>
  </w:footnote>
  <w:footnote w:id="7">
    <w:p w14:paraId="5EE0649A" w14:textId="0A125285" w:rsidR="00F26FF5" w:rsidRPr="004E3BE1" w:rsidRDefault="00F26FF5">
      <w:pPr>
        <w:pStyle w:val="FootnoteText"/>
      </w:pPr>
      <w:r w:rsidRPr="004E3BE1">
        <w:rPr>
          <w:rStyle w:val="FootnoteReference"/>
        </w:rPr>
        <w:footnoteRef/>
      </w:r>
      <w:r w:rsidRPr="004E3BE1">
        <w:t xml:space="preserve"> </w:t>
      </w:r>
      <w:r w:rsidR="004E3BE1" w:rsidRPr="004E3BE1">
        <w:rPr>
          <w:rStyle w:val="selectable"/>
          <w:rFonts w:cs="Arial"/>
          <w:color w:val="000000"/>
          <w:lang w:val="en"/>
        </w:rPr>
        <w:t>(Berens, n.d.)</w:t>
      </w:r>
    </w:p>
  </w:footnote>
  <w:footnote w:id="8">
    <w:p w14:paraId="0862130E" w14:textId="52F5A956" w:rsidR="00F26FF5" w:rsidRPr="004E3BE1" w:rsidRDefault="00F26FF5">
      <w:pPr>
        <w:pStyle w:val="FootnoteText"/>
      </w:pPr>
      <w:r w:rsidRPr="004E3BE1">
        <w:rPr>
          <w:rStyle w:val="FootnoteReference"/>
        </w:rPr>
        <w:footnoteRef/>
      </w:r>
      <w:r w:rsidRPr="004E3BE1">
        <w:t xml:space="preserve"> </w:t>
      </w:r>
      <w:r w:rsidR="004E3BE1" w:rsidRPr="004E3BE1">
        <w:rPr>
          <w:rStyle w:val="selectable"/>
          <w:rFonts w:cs="Arial"/>
          <w:color w:val="000000"/>
          <w:lang w:val="en"/>
        </w:rPr>
        <w:t>(Virgil and Ferry, n.d.)</w:t>
      </w:r>
    </w:p>
  </w:footnote>
  <w:footnote w:id="9">
    <w:p w14:paraId="3F7D91B1" w14:textId="1520106E" w:rsidR="00F26FF5" w:rsidRPr="004E3BE1" w:rsidRDefault="00F26FF5">
      <w:pPr>
        <w:pStyle w:val="FootnoteText"/>
      </w:pPr>
      <w:r w:rsidRPr="004E3BE1">
        <w:rPr>
          <w:rStyle w:val="FootnoteReference"/>
        </w:rPr>
        <w:footnoteRef/>
      </w:r>
      <w:r w:rsidRPr="004E3BE1">
        <w:t xml:space="preserve"> </w:t>
      </w:r>
      <w:r w:rsidR="004E3BE1" w:rsidRPr="004E3BE1">
        <w:rPr>
          <w:rStyle w:val="selectable"/>
          <w:rFonts w:cs="Arial"/>
          <w:color w:val="000000"/>
          <w:lang w:val="en"/>
        </w:rPr>
        <w:t>(Virgil and Ferry, n.d.)</w:t>
      </w:r>
    </w:p>
  </w:footnote>
  <w:footnote w:id="10">
    <w:p w14:paraId="6E1CE487" w14:textId="58EF822B" w:rsidR="00F26FF5" w:rsidRPr="004E3BE1" w:rsidRDefault="00F26FF5">
      <w:pPr>
        <w:pStyle w:val="FootnoteText"/>
      </w:pPr>
      <w:r w:rsidRPr="004E3BE1">
        <w:rPr>
          <w:rStyle w:val="FootnoteReference"/>
        </w:rPr>
        <w:footnoteRef/>
      </w:r>
      <w:r w:rsidRPr="004E3BE1">
        <w:t xml:space="preserve"> </w:t>
      </w:r>
      <w:r w:rsidR="004E3BE1" w:rsidRPr="004E3BE1">
        <w:rPr>
          <w:rStyle w:val="selectable"/>
          <w:rFonts w:cs="Arial"/>
          <w:color w:val="000000"/>
          <w:lang w:val="en"/>
        </w:rPr>
        <w:t>(Virgil and Ferry, n.d.)</w:t>
      </w:r>
    </w:p>
  </w:footnote>
  <w:footnote w:id="11">
    <w:p w14:paraId="2F47A4C8" w14:textId="6F832624" w:rsidR="00F26FF5" w:rsidRPr="004E3BE1" w:rsidRDefault="00F26FF5">
      <w:pPr>
        <w:pStyle w:val="FootnoteText"/>
      </w:pPr>
      <w:r w:rsidRPr="004E3BE1">
        <w:rPr>
          <w:rStyle w:val="FootnoteReference"/>
        </w:rPr>
        <w:footnoteRef/>
      </w:r>
      <w:r w:rsidRPr="004E3BE1">
        <w:t xml:space="preserve"> </w:t>
      </w:r>
      <w:r w:rsidR="004E3BE1" w:rsidRPr="004E3BE1">
        <w:rPr>
          <w:rStyle w:val="selectable"/>
          <w:rFonts w:cs="Arial"/>
          <w:color w:val="000000"/>
          <w:lang w:val="en"/>
        </w:rPr>
        <w:t>(Virgil and Ferry, n.d.)</w:t>
      </w:r>
    </w:p>
  </w:footnote>
  <w:footnote w:id="12">
    <w:p w14:paraId="3A40F4E0" w14:textId="58E2C501" w:rsidR="00F26FF5" w:rsidRPr="004E3BE1" w:rsidRDefault="00F26FF5">
      <w:pPr>
        <w:pStyle w:val="FootnoteText"/>
      </w:pPr>
      <w:r w:rsidRPr="004E3BE1">
        <w:rPr>
          <w:rStyle w:val="FootnoteReference"/>
        </w:rPr>
        <w:footnoteRef/>
      </w:r>
      <w:r w:rsidRPr="004E3BE1">
        <w:t xml:space="preserve"> </w:t>
      </w:r>
      <w:r w:rsidR="004E3BE1" w:rsidRPr="004E3BE1">
        <w:rPr>
          <w:rStyle w:val="selectable"/>
          <w:rFonts w:cs="Arial"/>
          <w:color w:val="000000"/>
          <w:lang w:val="en"/>
        </w:rPr>
        <w:t>(Virgil and Ferry, n.d.)</w:t>
      </w:r>
    </w:p>
  </w:footnote>
  <w:footnote w:id="13">
    <w:p w14:paraId="16BF1D98" w14:textId="2C006387" w:rsidR="00F26FF5" w:rsidRPr="004E3BE1" w:rsidRDefault="00F26FF5">
      <w:pPr>
        <w:pStyle w:val="FootnoteText"/>
      </w:pPr>
      <w:r w:rsidRPr="004E3BE1">
        <w:rPr>
          <w:rStyle w:val="FootnoteReference"/>
        </w:rPr>
        <w:footnoteRef/>
      </w:r>
      <w:r w:rsidRPr="004E3BE1">
        <w:t xml:space="preserve"> </w:t>
      </w:r>
      <w:r w:rsidR="004E3BE1" w:rsidRPr="004E3BE1">
        <w:rPr>
          <w:rStyle w:val="selectable"/>
          <w:rFonts w:cs="Arial"/>
          <w:color w:val="000000"/>
          <w:lang w:val="en"/>
        </w:rPr>
        <w:t>(Virgil and Ferry, n.d.)</w:t>
      </w:r>
    </w:p>
  </w:footnote>
  <w:footnote w:id="14">
    <w:p w14:paraId="2AEE8DEA" w14:textId="35D449A0" w:rsidR="00F26FF5" w:rsidRPr="004E3BE1" w:rsidRDefault="00F26FF5">
      <w:pPr>
        <w:pStyle w:val="FootnoteText"/>
      </w:pPr>
      <w:r w:rsidRPr="004E3BE1">
        <w:rPr>
          <w:rStyle w:val="FootnoteReference"/>
        </w:rPr>
        <w:footnoteRef/>
      </w:r>
      <w:r w:rsidRPr="004E3BE1">
        <w:t xml:space="preserve"> </w:t>
      </w:r>
      <w:r w:rsidR="004E3BE1" w:rsidRPr="004E3BE1">
        <w:rPr>
          <w:rStyle w:val="selectable"/>
          <w:rFonts w:cs="Arial"/>
          <w:color w:val="000000"/>
          <w:lang w:val="en"/>
        </w:rPr>
        <w:t>(Virgil and Ferry, n.d.)</w:t>
      </w:r>
    </w:p>
  </w:footnote>
  <w:footnote w:id="15">
    <w:p w14:paraId="0DFC75F0" w14:textId="67837DC8" w:rsidR="00F26FF5" w:rsidRDefault="00F26FF5">
      <w:pPr>
        <w:pStyle w:val="FootnoteText"/>
      </w:pPr>
      <w:r w:rsidRPr="004E3BE1">
        <w:rPr>
          <w:rStyle w:val="FootnoteReference"/>
        </w:rPr>
        <w:footnoteRef/>
      </w:r>
      <w:r w:rsidRPr="004E3BE1">
        <w:t xml:space="preserve"> </w:t>
      </w:r>
      <w:r w:rsidR="004E3BE1" w:rsidRPr="004E3BE1">
        <w:rPr>
          <w:rStyle w:val="selectable"/>
          <w:rFonts w:cs="Arial"/>
          <w:color w:val="000000"/>
          <w:lang w:val="en"/>
        </w:rPr>
        <w:t>(Virgil and Ferry, n.d.)</w:t>
      </w:r>
    </w:p>
  </w:footnote>
  <w:footnote w:id="16">
    <w:p w14:paraId="16605D9A" w14:textId="05F16EDE" w:rsidR="00F26FF5" w:rsidRPr="003401AD" w:rsidRDefault="00F26FF5">
      <w:pPr>
        <w:pStyle w:val="FootnoteText"/>
      </w:pPr>
      <w:r w:rsidRPr="003401AD">
        <w:rPr>
          <w:rStyle w:val="FootnoteReference"/>
        </w:rPr>
        <w:footnoteRef/>
      </w:r>
      <w:r w:rsidRPr="003401AD">
        <w:t xml:space="preserve"> </w:t>
      </w:r>
      <w:r w:rsidR="003401AD" w:rsidRPr="003401AD">
        <w:rPr>
          <w:rStyle w:val="selectable"/>
          <w:rFonts w:cs="Arial"/>
          <w:color w:val="000000"/>
          <w:lang w:val="en"/>
        </w:rPr>
        <w:t>(Bagnall, 1990)</w:t>
      </w:r>
    </w:p>
  </w:footnote>
  <w:footnote w:id="17">
    <w:p w14:paraId="0FEF87AB" w14:textId="7C1FA504" w:rsidR="00F26FF5" w:rsidRPr="003401AD" w:rsidRDefault="00F26FF5">
      <w:pPr>
        <w:pStyle w:val="FootnoteText"/>
      </w:pPr>
      <w:r w:rsidRPr="003401AD">
        <w:rPr>
          <w:rStyle w:val="FootnoteReference"/>
        </w:rPr>
        <w:footnoteRef/>
      </w:r>
      <w:r w:rsidRPr="003401AD">
        <w:t xml:space="preserve"> </w:t>
      </w:r>
      <w:r w:rsidR="004E3BE1" w:rsidRPr="003401AD">
        <w:rPr>
          <w:rStyle w:val="selectable"/>
          <w:rFonts w:cs="Arial"/>
          <w:color w:val="000000"/>
          <w:lang w:val="en"/>
        </w:rPr>
        <w:t>(Virgil and Ferry, n.d.)</w:t>
      </w:r>
    </w:p>
  </w:footnote>
  <w:footnote w:id="18">
    <w:p w14:paraId="49C9CAB4" w14:textId="10CE226F" w:rsidR="00F26FF5" w:rsidRDefault="00F26FF5">
      <w:pPr>
        <w:pStyle w:val="FootnoteText"/>
      </w:pPr>
      <w:r w:rsidRPr="003401AD">
        <w:rPr>
          <w:rStyle w:val="FootnoteReference"/>
        </w:rPr>
        <w:footnoteRef/>
      </w:r>
      <w:r w:rsidRPr="003401AD">
        <w:t xml:space="preserve"> </w:t>
      </w:r>
      <w:r w:rsidR="004E3BE1" w:rsidRPr="003401AD">
        <w:rPr>
          <w:rStyle w:val="selectable"/>
          <w:rFonts w:cs="Arial"/>
          <w:color w:val="000000"/>
          <w:lang w:val="en"/>
        </w:rPr>
        <w:t>(Virgil and Ferry, n.d.)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F20"/>
    <w:rsid w:val="000C15A1"/>
    <w:rsid w:val="0016709A"/>
    <w:rsid w:val="003401AD"/>
    <w:rsid w:val="00397A59"/>
    <w:rsid w:val="004E3BE1"/>
    <w:rsid w:val="00C35B95"/>
    <w:rsid w:val="00C64330"/>
    <w:rsid w:val="00DA6EA2"/>
    <w:rsid w:val="00DC0204"/>
    <w:rsid w:val="00DC1199"/>
    <w:rsid w:val="00DD5F20"/>
    <w:rsid w:val="00E34898"/>
    <w:rsid w:val="00E537B9"/>
    <w:rsid w:val="00F26FF5"/>
    <w:rsid w:val="00F85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7E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401A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26F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6FF5"/>
    <w:rPr>
      <w:sz w:val="20"/>
      <w:szCs w:val="20"/>
    </w:rPr>
  </w:style>
  <w:style w:type="character" w:styleId="FootnoteReference">
    <w:name w:val="footnote reference"/>
    <w:basedOn w:val="DefaultParagraphFont"/>
    <w:uiPriority w:val="99"/>
    <w:semiHidden/>
    <w:unhideWhenUsed/>
    <w:rsid w:val="00F26FF5"/>
    <w:rPr>
      <w:vertAlign w:val="superscript"/>
    </w:rPr>
  </w:style>
  <w:style w:type="character" w:customStyle="1" w:styleId="selectable">
    <w:name w:val="selectable"/>
    <w:basedOn w:val="DefaultParagraphFont"/>
    <w:rsid w:val="004E3BE1"/>
  </w:style>
  <w:style w:type="character" w:customStyle="1" w:styleId="Heading2Char">
    <w:name w:val="Heading 2 Char"/>
    <w:basedOn w:val="DefaultParagraphFont"/>
    <w:link w:val="Heading2"/>
    <w:uiPriority w:val="9"/>
    <w:rsid w:val="003401A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401AD"/>
    <w:pPr>
      <w:spacing w:after="150"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401A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26F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6FF5"/>
    <w:rPr>
      <w:sz w:val="20"/>
      <w:szCs w:val="20"/>
    </w:rPr>
  </w:style>
  <w:style w:type="character" w:styleId="FootnoteReference">
    <w:name w:val="footnote reference"/>
    <w:basedOn w:val="DefaultParagraphFont"/>
    <w:uiPriority w:val="99"/>
    <w:semiHidden/>
    <w:unhideWhenUsed/>
    <w:rsid w:val="00F26FF5"/>
    <w:rPr>
      <w:vertAlign w:val="superscript"/>
    </w:rPr>
  </w:style>
  <w:style w:type="character" w:customStyle="1" w:styleId="selectable">
    <w:name w:val="selectable"/>
    <w:basedOn w:val="DefaultParagraphFont"/>
    <w:rsid w:val="004E3BE1"/>
  </w:style>
  <w:style w:type="character" w:customStyle="1" w:styleId="Heading2Char">
    <w:name w:val="Heading 2 Char"/>
    <w:basedOn w:val="DefaultParagraphFont"/>
    <w:link w:val="Heading2"/>
    <w:uiPriority w:val="9"/>
    <w:rsid w:val="003401A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401AD"/>
    <w:pPr>
      <w:spacing w:after="15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35133">
      <w:bodyDiv w:val="1"/>
      <w:marLeft w:val="0"/>
      <w:marRight w:val="0"/>
      <w:marTop w:val="0"/>
      <w:marBottom w:val="0"/>
      <w:divBdr>
        <w:top w:val="none" w:sz="0" w:space="0" w:color="auto"/>
        <w:left w:val="none" w:sz="0" w:space="0" w:color="auto"/>
        <w:bottom w:val="none" w:sz="0" w:space="0" w:color="auto"/>
        <w:right w:val="none" w:sz="0" w:space="0" w:color="auto"/>
      </w:divBdr>
      <w:divsChild>
        <w:div w:id="1961573143">
          <w:marLeft w:val="0"/>
          <w:marRight w:val="0"/>
          <w:marTop w:val="0"/>
          <w:marBottom w:val="0"/>
          <w:divBdr>
            <w:top w:val="none" w:sz="0" w:space="0" w:color="auto"/>
            <w:left w:val="none" w:sz="0" w:space="0" w:color="auto"/>
            <w:bottom w:val="none" w:sz="0" w:space="0" w:color="auto"/>
            <w:right w:val="none" w:sz="0" w:space="0" w:color="auto"/>
          </w:divBdr>
          <w:divsChild>
            <w:div w:id="1964454458">
              <w:marLeft w:val="0"/>
              <w:marRight w:val="0"/>
              <w:marTop w:val="0"/>
              <w:marBottom w:val="0"/>
              <w:divBdr>
                <w:top w:val="none" w:sz="0" w:space="0" w:color="auto"/>
                <w:left w:val="none" w:sz="0" w:space="0" w:color="auto"/>
                <w:bottom w:val="none" w:sz="0" w:space="0" w:color="auto"/>
                <w:right w:val="none" w:sz="0" w:space="0" w:color="auto"/>
              </w:divBdr>
              <w:divsChild>
                <w:div w:id="397097704">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 w:id="765618246">
      <w:bodyDiv w:val="1"/>
      <w:marLeft w:val="0"/>
      <w:marRight w:val="0"/>
      <w:marTop w:val="0"/>
      <w:marBottom w:val="0"/>
      <w:divBdr>
        <w:top w:val="none" w:sz="0" w:space="0" w:color="auto"/>
        <w:left w:val="none" w:sz="0" w:space="0" w:color="auto"/>
        <w:bottom w:val="none" w:sz="0" w:space="0" w:color="auto"/>
        <w:right w:val="none" w:sz="0" w:space="0" w:color="auto"/>
      </w:divBdr>
      <w:divsChild>
        <w:div w:id="329605094">
          <w:marLeft w:val="0"/>
          <w:marRight w:val="0"/>
          <w:marTop w:val="0"/>
          <w:marBottom w:val="0"/>
          <w:divBdr>
            <w:top w:val="none" w:sz="0" w:space="0" w:color="auto"/>
            <w:left w:val="none" w:sz="0" w:space="0" w:color="auto"/>
            <w:bottom w:val="none" w:sz="0" w:space="0" w:color="auto"/>
            <w:right w:val="none" w:sz="0" w:space="0" w:color="auto"/>
          </w:divBdr>
          <w:divsChild>
            <w:div w:id="935821078">
              <w:marLeft w:val="0"/>
              <w:marRight w:val="0"/>
              <w:marTop w:val="0"/>
              <w:marBottom w:val="0"/>
              <w:divBdr>
                <w:top w:val="none" w:sz="0" w:space="0" w:color="auto"/>
                <w:left w:val="none" w:sz="0" w:space="0" w:color="auto"/>
                <w:bottom w:val="none" w:sz="0" w:space="0" w:color="auto"/>
                <w:right w:val="none" w:sz="0" w:space="0" w:color="auto"/>
              </w:divBdr>
              <w:divsChild>
                <w:div w:id="1228566487">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FD32E-248C-41F8-A0E7-2D194D233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Pages>
  <Words>967</Words>
  <Characters>5512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Bowie (1601293)</dc:creator>
  <cp:keywords/>
  <dc:description/>
  <cp:lastModifiedBy>tammy bowie</cp:lastModifiedBy>
  <cp:revision>5</cp:revision>
  <dcterms:created xsi:type="dcterms:W3CDTF">2017-12-08T16:37:00Z</dcterms:created>
  <dcterms:modified xsi:type="dcterms:W3CDTF">2017-12-12T05:02:00Z</dcterms:modified>
</cp:coreProperties>
</file>