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05E7C" w14:textId="77777777" w:rsidR="0088109F" w:rsidRPr="007F3E94" w:rsidRDefault="0088109F" w:rsidP="007F3E94">
      <w:pPr>
        <w:spacing w:line="480" w:lineRule="auto"/>
        <w:rPr>
          <w:b/>
          <w:bCs/>
          <w:sz w:val="22"/>
          <w:szCs w:val="22"/>
        </w:rPr>
      </w:pPr>
    </w:p>
    <w:p w14:paraId="49802C7F" w14:textId="540EEF3E" w:rsidR="00AF26BC" w:rsidRPr="007F3E94" w:rsidRDefault="00F23C5B" w:rsidP="007F3E94">
      <w:pPr>
        <w:spacing w:line="480" w:lineRule="auto"/>
        <w:rPr>
          <w:b/>
          <w:bCs/>
          <w:sz w:val="22"/>
          <w:szCs w:val="22"/>
        </w:rPr>
      </w:pPr>
      <w:r w:rsidRPr="007F3E94">
        <w:rPr>
          <w:b/>
          <w:bCs/>
          <w:sz w:val="22"/>
          <w:szCs w:val="22"/>
        </w:rPr>
        <w:t xml:space="preserve">Acknowledgement </w:t>
      </w:r>
    </w:p>
    <w:p w14:paraId="1F92281C" w14:textId="77777777" w:rsidR="00F23C5B" w:rsidRPr="007F3E94" w:rsidRDefault="00F23C5B" w:rsidP="007F3E94">
      <w:pPr>
        <w:spacing w:line="480" w:lineRule="auto"/>
        <w:rPr>
          <w:sz w:val="22"/>
          <w:szCs w:val="22"/>
        </w:rPr>
      </w:pPr>
    </w:p>
    <w:p w14:paraId="309E5B29" w14:textId="1E8DD9FE" w:rsidR="00F23C5B" w:rsidRPr="007F3E94" w:rsidRDefault="00F23C5B" w:rsidP="007F3E94">
      <w:pPr>
        <w:spacing w:line="480" w:lineRule="auto"/>
        <w:rPr>
          <w:b/>
          <w:bCs/>
          <w:sz w:val="22"/>
          <w:szCs w:val="22"/>
        </w:rPr>
      </w:pPr>
      <w:r w:rsidRPr="007F3E94">
        <w:rPr>
          <w:sz w:val="22"/>
          <w:szCs w:val="22"/>
        </w:rPr>
        <w:t xml:space="preserve">Artificial Intelligence tools, such as ChatGPT and </w:t>
      </w:r>
      <w:r w:rsidR="004037E9" w:rsidRPr="007F3E94">
        <w:rPr>
          <w:sz w:val="22"/>
          <w:szCs w:val="22"/>
        </w:rPr>
        <w:t xml:space="preserve">Quill </w:t>
      </w:r>
      <w:r w:rsidR="00941279" w:rsidRPr="007F3E94">
        <w:rPr>
          <w:sz w:val="22"/>
          <w:szCs w:val="22"/>
        </w:rPr>
        <w:t>Bot were</w:t>
      </w:r>
      <w:r w:rsidRPr="007F3E94">
        <w:rPr>
          <w:sz w:val="22"/>
          <w:szCs w:val="22"/>
        </w:rPr>
        <w:t xml:space="preserve"> used to support the summarisation of academic research and assist with grammar and punctuation. All sources were critically reviewed to ensure accuracy and academic integrity.</w:t>
      </w:r>
    </w:p>
    <w:p w14:paraId="58D8EDAF" w14:textId="77777777" w:rsidR="00AF26BC" w:rsidRPr="007F3E94" w:rsidRDefault="00AF26BC" w:rsidP="007F3E94">
      <w:pPr>
        <w:spacing w:line="480" w:lineRule="auto"/>
        <w:rPr>
          <w:b/>
          <w:bCs/>
          <w:sz w:val="22"/>
          <w:szCs w:val="22"/>
        </w:rPr>
      </w:pPr>
    </w:p>
    <w:p w14:paraId="5FAEE352" w14:textId="77777777" w:rsidR="00150A99" w:rsidRPr="007F3E94" w:rsidRDefault="00150A99" w:rsidP="007F3E94">
      <w:pPr>
        <w:spacing w:line="480" w:lineRule="auto"/>
        <w:rPr>
          <w:b/>
          <w:bCs/>
          <w:sz w:val="22"/>
          <w:szCs w:val="22"/>
        </w:rPr>
      </w:pPr>
      <w:r w:rsidRPr="007F3E94">
        <w:rPr>
          <w:b/>
          <w:bCs/>
          <w:sz w:val="22"/>
          <w:szCs w:val="22"/>
        </w:rPr>
        <w:t>Research question</w:t>
      </w:r>
    </w:p>
    <w:p w14:paraId="5353A305" w14:textId="77777777" w:rsidR="00150A99" w:rsidRPr="007F3E94" w:rsidRDefault="00150A99" w:rsidP="007F3E94">
      <w:pPr>
        <w:spacing w:line="480" w:lineRule="auto"/>
        <w:rPr>
          <w:sz w:val="22"/>
          <w:szCs w:val="22"/>
        </w:rPr>
      </w:pPr>
      <w:r w:rsidRPr="007F3E94">
        <w:rPr>
          <w:sz w:val="22"/>
          <w:szCs w:val="22"/>
        </w:rPr>
        <w:t>How does a teacher's understanding of child development and the factors influencing it contribute to fostering a supportive and restorative approach to behaviour responses in the classroom?</w:t>
      </w:r>
    </w:p>
    <w:p w14:paraId="4AA1D5AD" w14:textId="77777777" w:rsidR="00150A99" w:rsidRPr="007F3E94" w:rsidRDefault="00150A99" w:rsidP="007F3E94">
      <w:pPr>
        <w:spacing w:line="480" w:lineRule="auto"/>
        <w:rPr>
          <w:sz w:val="22"/>
          <w:szCs w:val="22"/>
        </w:rPr>
      </w:pPr>
    </w:p>
    <w:p w14:paraId="3D8F260A" w14:textId="77777777" w:rsidR="00150A99" w:rsidRPr="007F3E94" w:rsidRDefault="00150A99" w:rsidP="007F3E94">
      <w:pPr>
        <w:spacing w:line="480" w:lineRule="auto"/>
        <w:rPr>
          <w:b/>
          <w:bCs/>
          <w:sz w:val="22"/>
          <w:szCs w:val="22"/>
        </w:rPr>
      </w:pPr>
      <w:r w:rsidRPr="007F3E94">
        <w:rPr>
          <w:b/>
          <w:bCs/>
          <w:sz w:val="22"/>
          <w:szCs w:val="22"/>
        </w:rPr>
        <w:t>Aim:</w:t>
      </w:r>
    </w:p>
    <w:p w14:paraId="37B31F75" w14:textId="77777777"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aim of the question is to explore how a teacher's understanding of child development and its influencing factors can enhance behaviour management strategies in the classroom. Specifically, it seeks to examine how this knowledge enables educators to implement supportive and restorative approaches that address the underlying causes of student behaviours, rather than merely responding to the behaviours themselves. Prioritising a preventative approach. </w:t>
      </w:r>
    </w:p>
    <w:p w14:paraId="6DCA8C77" w14:textId="77777777"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0E7B9D95" w14:textId="67932BDD" w:rsidR="00150A99" w:rsidRPr="007F3E94" w:rsidRDefault="00150A9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The objectives of this study are:​</w:t>
      </w:r>
    </w:p>
    <w:p w14:paraId="3759036B" w14:textId="77777777"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bookmarkStart w:id="0" w:name="_Hlk195432649"/>
      <w:r w:rsidRPr="007F3E94">
        <w:rPr>
          <w:rStyle w:val="Strong"/>
          <w:b w:val="0"/>
          <w:bCs w:val="0"/>
          <w:sz w:val="22"/>
          <w:szCs w:val="22"/>
        </w:rPr>
        <w:t>Examine how teachers’ understanding of child development influences their behaviour management strategies and attitudes.</w:t>
      </w:r>
      <w:r w:rsidRPr="007F3E94">
        <w:rPr>
          <w:b/>
          <w:bCs/>
          <w:sz w:val="22"/>
          <w:szCs w:val="22"/>
        </w:rPr>
        <w:t xml:space="preserve"> </w:t>
      </w:r>
      <w:r w:rsidRPr="007F3E94">
        <w:rPr>
          <w:sz w:val="22"/>
          <w:szCs w:val="22"/>
        </w:rPr>
        <w:t xml:space="preserve">This includes analysing literature </w:t>
      </w:r>
      <w:r w:rsidRPr="007F3E94">
        <w:rPr>
          <w:sz w:val="22"/>
          <w:szCs w:val="22"/>
        </w:rPr>
        <w:lastRenderedPageBreak/>
        <w:t>that links developmental psychology with educational practice, explores teacher interpretations of behaviour through a developmental lens, and evaluates the impact of teacher knowledge or misconceptions on behaviour responses.</w:t>
      </w:r>
    </w:p>
    <w:bookmarkEnd w:id="0"/>
    <w:p w14:paraId="6CE4F2BD" w14:textId="428D306E"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Identify and evaluate supportive and restorative behaviour management approaches by analysing theoretical frameworks and empirical studies that address the root causes of student behaviour, with a focus on preventative, relationship</w:t>
      </w:r>
      <w:r w:rsidR="00D87E2F" w:rsidRPr="007F3E94">
        <w:rPr>
          <w:sz w:val="22"/>
          <w:szCs w:val="22"/>
        </w:rPr>
        <w:t xml:space="preserve"> </w:t>
      </w:r>
      <w:r w:rsidRPr="007F3E94">
        <w:rPr>
          <w:sz w:val="22"/>
          <w:szCs w:val="22"/>
        </w:rPr>
        <w:t>focused strategies.</w:t>
      </w:r>
    </w:p>
    <w:p w14:paraId="264138D1" w14:textId="77777777" w:rsidR="00150A99" w:rsidRPr="007F3E94" w:rsidRDefault="00150A99"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Critically evaluate local and national policies in Wales and compare them with international frameworks, analysing how each influences approaches to behaviour management</w:t>
      </w:r>
    </w:p>
    <w:p w14:paraId="2D375CC9" w14:textId="51394C71" w:rsidR="00B36C01" w:rsidRPr="007F3E94" w:rsidRDefault="00B36C01" w:rsidP="007F3E94">
      <w:pPr>
        <w:pStyle w:val="ListParagraph"/>
        <w:numPr>
          <w:ilvl w:val="0"/>
          <w:numId w:val="11"/>
        </w:num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Analyse teacher training and professional development in Wales, focusing on qualifications, content, and barriers to effective </w:t>
      </w:r>
      <w:r w:rsidR="009555F0" w:rsidRPr="007F3E94">
        <w:rPr>
          <w:sz w:val="22"/>
          <w:szCs w:val="22"/>
        </w:rPr>
        <w:t>implementation, particularly</w:t>
      </w:r>
      <w:r w:rsidRPr="007F3E94">
        <w:rPr>
          <w:sz w:val="22"/>
          <w:szCs w:val="22"/>
        </w:rPr>
        <w:t xml:space="preserve"> in relation to behaviour management and restorative practices</w:t>
      </w:r>
      <w:r w:rsidR="00BD6321" w:rsidRPr="007F3E94">
        <w:rPr>
          <w:sz w:val="22"/>
          <w:szCs w:val="22"/>
        </w:rPr>
        <w:t xml:space="preserve">, </w:t>
      </w:r>
      <w:r w:rsidRPr="007F3E94">
        <w:rPr>
          <w:sz w:val="22"/>
          <w:szCs w:val="22"/>
        </w:rPr>
        <w:t>through document analysis and a review of relevant literature.</w:t>
      </w:r>
    </w:p>
    <w:p w14:paraId="0B71DEC3" w14:textId="77777777" w:rsidR="00C87DBD" w:rsidRPr="007F3E94" w:rsidRDefault="00C87DBD" w:rsidP="007F3E94">
      <w:pPr>
        <w:spacing w:line="480" w:lineRule="auto"/>
        <w:rPr>
          <w:b/>
          <w:bCs/>
          <w:sz w:val="22"/>
          <w:szCs w:val="22"/>
        </w:rPr>
      </w:pPr>
    </w:p>
    <w:p w14:paraId="5CE1287B" w14:textId="48829C5A" w:rsidR="00C60C52" w:rsidRPr="007F3E94" w:rsidRDefault="00C60C52" w:rsidP="007F3E94">
      <w:pPr>
        <w:spacing w:line="480" w:lineRule="auto"/>
        <w:rPr>
          <w:b/>
          <w:bCs/>
          <w:sz w:val="22"/>
          <w:szCs w:val="22"/>
        </w:rPr>
      </w:pPr>
      <w:r w:rsidRPr="007F3E94">
        <w:rPr>
          <w:b/>
          <w:bCs/>
          <w:sz w:val="22"/>
          <w:szCs w:val="22"/>
        </w:rPr>
        <w:t>Methodology</w:t>
      </w:r>
    </w:p>
    <w:p w14:paraId="1C185721" w14:textId="77777777"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This literature review adopts a narrative approach to critically examine academic and policy literature on teacher training, professional development, and behaviour management in Wales. Key themes were drawn from peer-reviewed journals, government documents, and relevant theoretical frameworks, with sources selected for their credibility and relevance to the relationship between teacher knowledge, child development, and restorative practices.</w:t>
      </w:r>
    </w:p>
    <w:p w14:paraId="6CD33F1D" w14:textId="77D58AC7"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review focuses on teacher training and professional development in Wales, particularly how these prepare educators to implement restorative and supportive behaviour strategies. It includes literature published within the last </w:t>
      </w:r>
      <w:r w:rsidR="002D0F49" w:rsidRPr="007F3E94">
        <w:rPr>
          <w:rFonts w:ascii="Times New Roman" w:eastAsia="Times New Roman" w:hAnsi="Times New Roman" w:cs="Times New Roman"/>
          <w:kern w:val="0"/>
          <w:sz w:val="22"/>
          <w:szCs w:val="22"/>
          <w:lang w:eastAsia="en-GB"/>
          <w14:ligatures w14:val="none"/>
        </w:rPr>
        <w:t>ten</w:t>
      </w:r>
      <w:r w:rsidRPr="007F3E94">
        <w:rPr>
          <w:rFonts w:ascii="Times New Roman" w:eastAsia="Times New Roman" w:hAnsi="Times New Roman" w:cs="Times New Roman"/>
          <w:kern w:val="0"/>
          <w:sz w:val="22"/>
          <w:szCs w:val="22"/>
          <w:lang w:eastAsia="en-GB"/>
          <w14:ligatures w14:val="none"/>
        </w:rPr>
        <w:t xml:space="preserve"> years to reflect current educational policy and practice. The scope is limited to primary and secondary education, excluding early years and post</w:t>
      </w:r>
      <w:r w:rsidR="002D0F4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compulsory phases. While </w:t>
      </w:r>
      <w:r w:rsidRPr="007F3E94">
        <w:rPr>
          <w:rFonts w:ascii="Times New Roman" w:eastAsia="Times New Roman" w:hAnsi="Times New Roman" w:cs="Times New Roman"/>
          <w:kern w:val="0"/>
          <w:sz w:val="22"/>
          <w:szCs w:val="22"/>
          <w:lang w:eastAsia="en-GB"/>
          <w14:ligatures w14:val="none"/>
        </w:rPr>
        <w:lastRenderedPageBreak/>
        <w:t>international comparisons are referenced, the emphasis remains on the Welsh context, especially in relation to national guidance, curriculum reform, and professional standards.</w:t>
      </w:r>
    </w:p>
    <w:p w14:paraId="7F29293A" w14:textId="245E6041" w:rsidR="00C60C52" w:rsidRPr="007F3E94" w:rsidRDefault="00C60C52"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A thematic approach was used to identify patterns across the literature, including training quality, policy alignment, and implementation barriers. The work of Gaw (2020) helped inform the direction and focus of this review.</w:t>
      </w:r>
    </w:p>
    <w:p w14:paraId="1EDE1489" w14:textId="77777777" w:rsidR="00C60C52" w:rsidRPr="007F3E94" w:rsidRDefault="00C60C52" w:rsidP="007F3E94">
      <w:pPr>
        <w:spacing w:line="480" w:lineRule="auto"/>
        <w:rPr>
          <w:b/>
          <w:bCs/>
          <w:sz w:val="22"/>
          <w:szCs w:val="22"/>
        </w:rPr>
      </w:pPr>
    </w:p>
    <w:p w14:paraId="43B5FAE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Introduction</w:t>
      </w:r>
    </w:p>
    <w:p w14:paraId="37676435"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Understanding and responding effectively to student behaviour is a critical challenge in education, directly influencing both the classroom climate and student outcomes. This literature review examines how a teacher’s knowledge and understanding of child development and the factors influencing it contribute to fostering supportive and restorative behaviour responses in the classroom. Four key themes have emerged through a comprehensive review of current research: developmental theory, cultural relevance and international perspectives, neuroscientific insights into behaviour and trauma, and teacher training and professional knowledge.</w:t>
      </w:r>
    </w:p>
    <w:p w14:paraId="147C1B80" w14:textId="78E4B8AA"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This topic is especially timely in Wales, where the Welsh Government has made the promotion of supportive and restorative approaches to behaviour a key priority in recent educational policy (Welsh Government, 2023). The national emphasis aims to move away from punitive discipline towards practices that foster well</w:t>
      </w:r>
      <w:r w:rsidR="00447DED"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being and positive relationships, aligning closely with the themes explored in this review.</w:t>
      </w:r>
    </w:p>
    <w:p w14:paraId="7837B39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The first theme explores foundational theories of child development, emphasising cognitive, social, and emotional growth stages that inform teachers’ expectations and responses. Building on this, the review integrates cultural and international perspectives, acknowledging how diverse backgrounds and educational contexts shape behaviour and the appropriateness of restorative practices. This highlights the importance of culturally responsive teaching in behaviour management.</w:t>
      </w:r>
    </w:p>
    <w:p w14:paraId="0BF1D3F8"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The third theme incorporates neuroscientific research, particularly insights into how trauma and neurodevelopment impact behaviour regulation. Understanding the brain’s role in emotional and behavioural responses supports trauma-informed and empathetic approaches.</w:t>
      </w:r>
    </w:p>
    <w:p w14:paraId="575D8D69" w14:textId="002203F5"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Finally, the review addresses the crucial role of teacher training, knowledge, and ongoing professional development in equipping educators to apply these insights effectively. It examines how </w:t>
      </w:r>
      <w:r w:rsidR="00D31034" w:rsidRPr="007F3E94">
        <w:rPr>
          <w:rFonts w:ascii="Times New Roman" w:eastAsia="Times New Roman" w:hAnsi="Times New Roman" w:cs="Times New Roman"/>
          <w:kern w:val="0"/>
          <w:sz w:val="22"/>
          <w:szCs w:val="22"/>
          <w:lang w:eastAsia="en-GB"/>
          <w14:ligatures w14:val="none"/>
        </w:rPr>
        <w:t>well-prepared</w:t>
      </w:r>
      <w:r w:rsidRPr="007F3E94">
        <w:rPr>
          <w:rFonts w:ascii="Times New Roman" w:eastAsia="Times New Roman" w:hAnsi="Times New Roman" w:cs="Times New Roman"/>
          <w:kern w:val="0"/>
          <w:sz w:val="22"/>
          <w:szCs w:val="22"/>
          <w:lang w:eastAsia="en-GB"/>
          <w14:ligatures w14:val="none"/>
        </w:rPr>
        <w:t xml:space="preserve"> teachers are to implement supportive and restorative strategies grounded in developmental and neuroscientific understanding.</w:t>
      </w:r>
    </w:p>
    <w:p w14:paraId="3B06D773" w14:textId="182AD51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Throughout the review, limitations within the current literature are critically discussed, including gaps in empirical evidence and challenges in translating theory into practice. Recommendations for future research are also outlined, particularly the need for longitudinal and </w:t>
      </w:r>
      <w:r w:rsidR="00D31034" w:rsidRPr="007F3E94">
        <w:rPr>
          <w:rFonts w:ascii="Times New Roman" w:eastAsia="Times New Roman" w:hAnsi="Times New Roman" w:cs="Times New Roman"/>
          <w:kern w:val="0"/>
          <w:sz w:val="22"/>
          <w:szCs w:val="22"/>
          <w:lang w:eastAsia="en-GB"/>
          <w14:ligatures w14:val="none"/>
        </w:rPr>
        <w:t>cross-cultural</w:t>
      </w:r>
      <w:r w:rsidRPr="007F3E94">
        <w:rPr>
          <w:rFonts w:ascii="Times New Roman" w:eastAsia="Times New Roman" w:hAnsi="Times New Roman" w:cs="Times New Roman"/>
          <w:kern w:val="0"/>
          <w:sz w:val="22"/>
          <w:szCs w:val="22"/>
          <w:lang w:eastAsia="en-GB"/>
          <w14:ligatures w14:val="none"/>
        </w:rPr>
        <w:t xml:space="preserve"> studies</w:t>
      </w:r>
      <w:r w:rsidR="00D00981" w:rsidRPr="007F3E94">
        <w:rPr>
          <w:rFonts w:ascii="Times New Roman" w:eastAsia="Times New Roman" w:hAnsi="Times New Roman" w:cs="Times New Roman"/>
          <w:kern w:val="0"/>
          <w:sz w:val="22"/>
          <w:szCs w:val="22"/>
          <w:lang w:eastAsia="en-GB"/>
          <w14:ligatures w14:val="none"/>
        </w:rPr>
        <w:t xml:space="preserve">, student </w:t>
      </w:r>
      <w:r w:rsidR="000E4A15" w:rsidRPr="007F3E94">
        <w:rPr>
          <w:rFonts w:ascii="Times New Roman" w:eastAsia="Times New Roman" w:hAnsi="Times New Roman" w:cs="Times New Roman"/>
          <w:kern w:val="0"/>
          <w:sz w:val="22"/>
          <w:szCs w:val="22"/>
          <w:lang w:eastAsia="en-GB"/>
          <w14:ligatures w14:val="none"/>
        </w:rPr>
        <w:t>perspectives on expectations within the classrooms in Wales,</w:t>
      </w:r>
      <w:r w:rsidRPr="007F3E94">
        <w:rPr>
          <w:rFonts w:ascii="Times New Roman" w:eastAsia="Times New Roman" w:hAnsi="Times New Roman" w:cs="Times New Roman"/>
          <w:kern w:val="0"/>
          <w:sz w:val="22"/>
          <w:szCs w:val="22"/>
          <w:lang w:eastAsia="en-GB"/>
          <w14:ligatures w14:val="none"/>
        </w:rPr>
        <w:t xml:space="preserve"> and enhanced focus on teacher education.</w:t>
      </w:r>
    </w:p>
    <w:p w14:paraId="10843C9C" w14:textId="7392ED14"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By synthesising these themes, this review aims to demonstrate the complex interplay between developmental knowledge, cultural sensitivity, neuroscientific understanding, and teacher expertise in promoting restorative behaviour responses in diverse classroom settings.</w:t>
      </w:r>
      <w:r w:rsidR="009C4644" w:rsidRPr="007F3E94">
        <w:rPr>
          <w:rFonts w:ascii="Times New Roman" w:eastAsia="Times New Roman" w:hAnsi="Times New Roman" w:cs="Times New Roman"/>
          <w:kern w:val="0"/>
          <w:sz w:val="22"/>
          <w:szCs w:val="22"/>
          <w:lang w:eastAsia="en-GB"/>
          <w14:ligatures w14:val="none"/>
        </w:rPr>
        <w:t xml:space="preserve"> </w:t>
      </w:r>
      <w:r w:rsidR="007F0C1B" w:rsidRPr="007F3E94">
        <w:rPr>
          <w:rFonts w:ascii="Times New Roman" w:eastAsia="Times New Roman" w:hAnsi="Times New Roman" w:cs="Times New Roman"/>
          <w:kern w:val="0"/>
          <w:sz w:val="22"/>
          <w:szCs w:val="22"/>
          <w:lang w:eastAsia="en-GB"/>
          <w14:ligatures w14:val="none"/>
        </w:rPr>
        <w:t>Additionally</w:t>
      </w:r>
      <w:r w:rsidR="009C4644" w:rsidRPr="007F3E94">
        <w:rPr>
          <w:rFonts w:ascii="Times New Roman" w:eastAsia="Times New Roman" w:hAnsi="Times New Roman" w:cs="Times New Roman"/>
          <w:kern w:val="0"/>
          <w:sz w:val="22"/>
          <w:szCs w:val="22"/>
          <w:lang w:eastAsia="en-GB"/>
          <w14:ligatures w14:val="none"/>
        </w:rPr>
        <w:t xml:space="preserve">, </w:t>
      </w:r>
      <w:r w:rsidR="007F0C1B" w:rsidRPr="007F3E94">
        <w:rPr>
          <w:rFonts w:ascii="Times New Roman" w:eastAsia="Times New Roman" w:hAnsi="Times New Roman" w:cs="Times New Roman"/>
          <w:kern w:val="0"/>
          <w:sz w:val="22"/>
          <w:szCs w:val="22"/>
          <w:lang w:eastAsia="en-GB"/>
          <w14:ligatures w14:val="none"/>
        </w:rPr>
        <w:t xml:space="preserve">the </w:t>
      </w:r>
      <w:r w:rsidR="002016B1" w:rsidRPr="007F3E94">
        <w:rPr>
          <w:rFonts w:ascii="Times New Roman" w:eastAsia="Times New Roman" w:hAnsi="Times New Roman" w:cs="Times New Roman"/>
          <w:kern w:val="0"/>
          <w:sz w:val="22"/>
          <w:szCs w:val="22"/>
          <w:lang w:eastAsia="en-GB"/>
          <w14:ligatures w14:val="none"/>
        </w:rPr>
        <w:t xml:space="preserve">review will highlight the deficit between policy creation and implementation in Wales. </w:t>
      </w:r>
    </w:p>
    <w:p w14:paraId="3C15DA61" w14:textId="77777777" w:rsidR="00AD4C69" w:rsidRPr="007F3E94" w:rsidRDefault="00AD4C69" w:rsidP="007F3E94">
      <w:pPr>
        <w:spacing w:line="480" w:lineRule="auto"/>
        <w:rPr>
          <w:sz w:val="22"/>
          <w:szCs w:val="22"/>
        </w:rPr>
      </w:pPr>
    </w:p>
    <w:p w14:paraId="12AB10E3" w14:textId="77777777" w:rsidR="00B36C01" w:rsidRPr="007F3E94" w:rsidRDefault="00B36C0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54AE84D1" w14:textId="77777777" w:rsidR="00AD4C69" w:rsidRPr="007F3E94" w:rsidRDefault="00AD4C6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5E8507D6" w14:textId="408392FF" w:rsidR="0021685C" w:rsidRPr="007F3E94" w:rsidRDefault="0021685C" w:rsidP="007F3E94">
      <w:pPr>
        <w:spacing w:before="100" w:beforeAutospacing="1" w:after="100" w:afterAutospacing="1" w:line="480" w:lineRule="auto"/>
        <w:rPr>
          <w:rFonts w:ascii="Times New Roman" w:eastAsia="Times New Roman" w:hAnsi="Times New Roman" w:cs="Times New Roman"/>
          <w:b/>
          <w:bCs/>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 xml:space="preserve">Child development </w:t>
      </w:r>
    </w:p>
    <w:p w14:paraId="7BB5F9D9" w14:textId="4220CDC9"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Child development theories provide a foundation for understanding how teachers can shape behaviour through developmentally attuned responses. Erikson’s psychosocial theory</w:t>
      </w:r>
      <w:r w:rsidR="002016B1"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particularly the industry vs. inferiority stage</w:t>
      </w:r>
      <w:r w:rsidR="002016B1"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highlights the importance of competence and recognition in fostering motivation </w:t>
      </w:r>
      <w:r w:rsidRPr="007F3E94">
        <w:rPr>
          <w:rFonts w:ascii="Times New Roman" w:eastAsia="Times New Roman" w:hAnsi="Times New Roman" w:cs="Times New Roman"/>
          <w:kern w:val="0"/>
          <w:sz w:val="22"/>
          <w:szCs w:val="22"/>
          <w:lang w:eastAsia="en-GB"/>
          <w14:ligatures w14:val="none"/>
        </w:rPr>
        <w:lastRenderedPageBreak/>
        <w:t>and reducing behavioural issues (Ch</w:t>
      </w:r>
      <w:r w:rsidR="00105425">
        <w:rPr>
          <w:rFonts w:ascii="Times New Roman" w:eastAsia="Times New Roman" w:hAnsi="Times New Roman" w:cs="Times New Roman"/>
          <w:kern w:val="0"/>
          <w:sz w:val="22"/>
          <w:szCs w:val="22"/>
          <w:lang w:eastAsia="en-GB"/>
          <w14:ligatures w14:val="none"/>
        </w:rPr>
        <w:t>a</w:t>
      </w:r>
      <w:r w:rsidRPr="007F3E94">
        <w:rPr>
          <w:rFonts w:ascii="Times New Roman" w:eastAsia="Times New Roman" w:hAnsi="Times New Roman" w:cs="Times New Roman"/>
          <w:kern w:val="0"/>
          <w:sz w:val="22"/>
          <w:szCs w:val="22"/>
          <w:lang w:eastAsia="en-GB"/>
          <w14:ligatures w14:val="none"/>
        </w:rPr>
        <w:t>rry, 202</w:t>
      </w:r>
      <w:r w:rsidR="00105425">
        <w:rPr>
          <w:rFonts w:ascii="Times New Roman" w:eastAsia="Times New Roman" w:hAnsi="Times New Roman" w:cs="Times New Roman"/>
          <w:kern w:val="0"/>
          <w:sz w:val="22"/>
          <w:szCs w:val="22"/>
          <w:lang w:eastAsia="en-GB"/>
          <w14:ligatures w14:val="none"/>
        </w:rPr>
        <w:t>4</w:t>
      </w:r>
      <w:r w:rsidRPr="007F3E94">
        <w:rPr>
          <w:rFonts w:ascii="Times New Roman" w:eastAsia="Times New Roman" w:hAnsi="Times New Roman" w:cs="Times New Roman"/>
          <w:kern w:val="0"/>
          <w:sz w:val="22"/>
          <w:szCs w:val="22"/>
          <w:lang w:eastAsia="en-GB"/>
          <w14:ligatures w14:val="none"/>
        </w:rPr>
        <w:t xml:space="preserve">). This perspective encourages teachers to view behaviour as a reflection of unmet developmental needs, rather than mere defiance </w:t>
      </w:r>
      <w:r w:rsidR="00BF697D">
        <w:rPr>
          <w:rFonts w:ascii="Times New Roman" w:eastAsia="Times New Roman" w:hAnsi="Times New Roman" w:cs="Times New Roman"/>
          <w:kern w:val="0"/>
          <w:sz w:val="22"/>
          <w:szCs w:val="22"/>
          <w:lang w:eastAsia="en-GB"/>
          <w14:ligatures w14:val="none"/>
        </w:rPr>
        <w:t>(</w:t>
      </w:r>
      <w:r w:rsidR="008B2945">
        <w:rPr>
          <w:rFonts w:ascii="Times New Roman" w:eastAsia="Times New Roman" w:hAnsi="Times New Roman" w:cs="Times New Roman"/>
          <w:kern w:val="0"/>
          <w:sz w:val="22"/>
          <w:szCs w:val="22"/>
          <w:lang w:eastAsia="en-GB"/>
          <w14:ligatures w14:val="none"/>
        </w:rPr>
        <w:t>L</w:t>
      </w:r>
      <w:r w:rsidR="00BF697D">
        <w:t>unsky</w:t>
      </w:r>
      <w:r w:rsidR="008B2945">
        <w:t xml:space="preserve">, </w:t>
      </w:r>
      <w:r w:rsidR="00BF697D">
        <w:t xml:space="preserve">Balogh, </w:t>
      </w:r>
      <w:r w:rsidR="008B2945">
        <w:t xml:space="preserve">and </w:t>
      </w:r>
      <w:r w:rsidR="00BF697D">
        <w:t xml:space="preserve"> Cairney</w:t>
      </w:r>
      <w:r w:rsidR="008B2945">
        <w:t xml:space="preserve"> </w:t>
      </w:r>
      <w:r w:rsidR="00BF697D">
        <w:t>(2017</w:t>
      </w:r>
      <w:r w:rsidR="00EB79EB">
        <w:t>).</w:t>
      </w:r>
      <w:r w:rsidR="00EB79EB" w:rsidRPr="007F3E94">
        <w:rPr>
          <w:rFonts w:ascii="Times New Roman" w:eastAsia="Times New Roman" w:hAnsi="Times New Roman" w:cs="Times New Roman"/>
          <w:kern w:val="0"/>
          <w:sz w:val="22"/>
          <w:szCs w:val="22"/>
          <w:lang w:eastAsia="en-GB"/>
          <w14:ligatures w14:val="none"/>
        </w:rPr>
        <w:t xml:space="preserve"> While</w:t>
      </w:r>
      <w:r w:rsidRPr="007F3E94">
        <w:rPr>
          <w:rFonts w:ascii="Times New Roman" w:eastAsia="Times New Roman" w:hAnsi="Times New Roman" w:cs="Times New Roman"/>
          <w:kern w:val="0"/>
          <w:sz w:val="22"/>
          <w:szCs w:val="22"/>
          <w:lang w:eastAsia="en-GB"/>
          <w14:ligatures w14:val="none"/>
        </w:rPr>
        <w:t xml:space="preserve"> respected for its lifespan approach, Erikson’s theory has been critiqued for its lack of cultural specificity and oversimplification of developmental processes. Khan and Larik (2023) build on Erikson by emphasising love and care as transformative across life stages, arguing for emotionally safe, autonomy-supportive learning environments. Although insightful, t</w:t>
      </w:r>
      <w:r w:rsidR="00E843AF" w:rsidRPr="007F3E94">
        <w:rPr>
          <w:rFonts w:ascii="Times New Roman" w:eastAsia="Times New Roman" w:hAnsi="Times New Roman" w:cs="Times New Roman"/>
          <w:kern w:val="0"/>
          <w:sz w:val="22"/>
          <w:szCs w:val="22"/>
          <w:lang w:eastAsia="en-GB"/>
          <w14:ligatures w14:val="none"/>
        </w:rPr>
        <w:t xml:space="preserve">he research </w:t>
      </w:r>
      <w:r w:rsidRPr="007F3E94">
        <w:rPr>
          <w:rFonts w:ascii="Times New Roman" w:eastAsia="Times New Roman" w:hAnsi="Times New Roman" w:cs="Times New Roman"/>
          <w:kern w:val="0"/>
          <w:sz w:val="22"/>
          <w:szCs w:val="22"/>
          <w:lang w:eastAsia="en-GB"/>
          <w14:ligatures w14:val="none"/>
        </w:rPr>
        <w:t>is largely theoretical, lacking classroom</w:t>
      </w:r>
      <w:r w:rsidR="00E843AF"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based empirical data.</w:t>
      </w:r>
      <w:r w:rsidR="006A1FD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Franzen (2019) strengthens this position with empirical evidence that positive teacher</w:t>
      </w:r>
      <w:r w:rsidR="006A1FD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student relationships foster self-regulation and resilience. However, like many studies in this field, its generalisability is limited by contextual factors such as school setting and teacher training. Franzen’s work aligns with relational and restorative models (Oxley, 20</w:t>
      </w:r>
      <w:r w:rsidR="00047410">
        <w:rPr>
          <w:rFonts w:ascii="Times New Roman" w:eastAsia="Times New Roman" w:hAnsi="Times New Roman" w:cs="Times New Roman"/>
          <w:kern w:val="0"/>
          <w:sz w:val="22"/>
          <w:szCs w:val="22"/>
          <w:lang w:eastAsia="en-GB"/>
          <w14:ligatures w14:val="none"/>
        </w:rPr>
        <w:t>21</w:t>
      </w:r>
      <w:r w:rsidRPr="007F3E94">
        <w:rPr>
          <w:rFonts w:ascii="Times New Roman" w:eastAsia="Times New Roman" w:hAnsi="Times New Roman" w:cs="Times New Roman"/>
          <w:kern w:val="0"/>
          <w:sz w:val="22"/>
          <w:szCs w:val="22"/>
          <w:lang w:eastAsia="en-GB"/>
          <w14:ligatures w14:val="none"/>
        </w:rPr>
        <w:t>), which prioritise empathy and connection. Yet Oxley’s approach can face practical challenges if not supported by whole-school commitment and adequate training.</w:t>
      </w:r>
    </w:p>
    <w:p w14:paraId="7A78E624" w14:textId="0CA6AB22" w:rsidR="00C63508" w:rsidRPr="007F3E94" w:rsidRDefault="006A1FD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Furthermore, </w:t>
      </w:r>
      <w:r w:rsidR="00C63508" w:rsidRPr="007F3E94">
        <w:rPr>
          <w:rFonts w:ascii="Times New Roman" w:eastAsia="Times New Roman" w:hAnsi="Times New Roman" w:cs="Times New Roman"/>
          <w:kern w:val="0"/>
          <w:sz w:val="22"/>
          <w:szCs w:val="22"/>
          <w:lang w:eastAsia="en-GB"/>
          <w14:ligatures w14:val="none"/>
        </w:rPr>
        <w:t>Porter (2008)</w:t>
      </w:r>
      <w:r w:rsidR="009555F0" w:rsidRPr="007F3E94">
        <w:rPr>
          <w:rFonts w:ascii="Times New Roman" w:eastAsia="Times New Roman" w:hAnsi="Times New Roman" w:cs="Times New Roman"/>
          <w:kern w:val="0"/>
          <w:sz w:val="22"/>
          <w:szCs w:val="22"/>
          <w:lang w:eastAsia="en-GB"/>
          <w14:ligatures w14:val="none"/>
        </w:rPr>
        <w:t>;</w:t>
      </w:r>
      <w:r w:rsidR="00C63508" w:rsidRPr="007F3E94">
        <w:rPr>
          <w:rFonts w:ascii="Times New Roman" w:eastAsia="Times New Roman" w:hAnsi="Times New Roman" w:cs="Times New Roman"/>
          <w:kern w:val="0"/>
          <w:sz w:val="22"/>
          <w:szCs w:val="22"/>
          <w:lang w:eastAsia="en-GB"/>
          <w14:ligatures w14:val="none"/>
        </w:rPr>
        <w:t xml:space="preserve"> Ghabban (2018) also argue that behaviour reflects developmental needs, suggesting that misbehaviour should be met with relational support. While Porter’s work remains influential, its age raises concerns about current applicability, and Ghabban’s conclusions could benefit from broader cultural perspectives. Nevertheless, these studies frame Erikson’s theory as not just developmental, but practically relevant for restorative classroom practice. Together, they point to the need for more robust, context-sensitive research to inform implementation.</w:t>
      </w:r>
      <w:r w:rsidR="005C20B4" w:rsidRPr="007F3E94">
        <w:rPr>
          <w:rFonts w:ascii="Times New Roman" w:eastAsia="Times New Roman" w:hAnsi="Times New Roman" w:cs="Times New Roman"/>
          <w:kern w:val="0"/>
          <w:sz w:val="22"/>
          <w:szCs w:val="22"/>
          <w:lang w:eastAsia="en-GB"/>
          <w14:ligatures w14:val="none"/>
        </w:rPr>
        <w:t xml:space="preserve"> </w:t>
      </w:r>
      <w:r w:rsidR="007F0572" w:rsidRPr="007F3E94">
        <w:rPr>
          <w:rFonts w:ascii="Times New Roman" w:eastAsia="Times New Roman" w:hAnsi="Times New Roman" w:cs="Times New Roman"/>
          <w:kern w:val="0"/>
          <w:sz w:val="22"/>
          <w:szCs w:val="22"/>
          <w:lang w:eastAsia="en-GB"/>
          <w14:ligatures w14:val="none"/>
        </w:rPr>
        <w:t xml:space="preserve">However, </w:t>
      </w:r>
      <w:r w:rsidR="00C63508" w:rsidRPr="007F3E94">
        <w:rPr>
          <w:rFonts w:ascii="Times New Roman" w:eastAsia="Times New Roman" w:hAnsi="Times New Roman" w:cs="Times New Roman"/>
          <w:kern w:val="0"/>
          <w:sz w:val="22"/>
          <w:szCs w:val="22"/>
          <w:lang w:eastAsia="en-GB"/>
          <w14:ligatures w14:val="none"/>
        </w:rPr>
        <w:t>Critiques of Erikson highlight the risk of applying a rigid, stage-based model. Lovett (1986) emphasises that psychosocial development is cumulative and shaped by prior experiences, challenging linear interpretations. Charry (2024) and Winthrop et al. (2020) argue that fixed-stage frameworks inadequately serve students with disrupted developmental trajectories or learning needs, advocating instead for flexible, context-driven strategies.</w:t>
      </w:r>
    </w:p>
    <w:p w14:paraId="0B21D995" w14:textId="411FDB21" w:rsidR="00C63508" w:rsidRPr="007F3E94" w:rsidRDefault="00DD62A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Additionally, </w:t>
      </w:r>
      <w:r w:rsidR="00C63508" w:rsidRPr="007F3E94">
        <w:rPr>
          <w:rFonts w:ascii="Times New Roman" w:eastAsia="Times New Roman" w:hAnsi="Times New Roman" w:cs="Times New Roman"/>
          <w:kern w:val="0"/>
          <w:sz w:val="22"/>
          <w:szCs w:val="22"/>
          <w:lang w:eastAsia="en-GB"/>
          <w14:ligatures w14:val="none"/>
        </w:rPr>
        <w:t>Piaget’s theory of cognitive development also informs behavioural expectations, particularly during the formal operational stage, where students develop abstract reasoning and moral awareness (Jain &amp; Adav, 2022</w:t>
      </w:r>
      <w:r w:rsidR="005D0420"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 xml:space="preserve">Frazier et al., 2021). These capacities enable greater autonomy and </w:t>
      </w:r>
      <w:r w:rsidR="00C63508" w:rsidRPr="007F3E94">
        <w:rPr>
          <w:rFonts w:ascii="Times New Roman" w:eastAsia="Times New Roman" w:hAnsi="Times New Roman" w:cs="Times New Roman"/>
          <w:kern w:val="0"/>
          <w:sz w:val="22"/>
          <w:szCs w:val="22"/>
          <w:lang w:eastAsia="en-GB"/>
          <w14:ligatures w14:val="none"/>
        </w:rPr>
        <w:lastRenderedPageBreak/>
        <w:t>self-regulation, shifting the focus of behaviour management toward participation and moral reasoning (Pollard et al., 2023). Piaget’s framework also helps teachers understand that disengagement or disruptive behaviour may signal cognitive overload or developmental mismatch (Reynolds et al., 2024; Demetriou et al., 2022). However, findings from laboratory</w:t>
      </w:r>
      <w:r w:rsidR="00114490"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based studies often lack ecological validity when applied to real classrooms.</w:t>
      </w:r>
    </w:p>
    <w:p w14:paraId="4E78D7E8" w14:textId="5D64DC5B" w:rsidR="00C63508" w:rsidRPr="007F3E94" w:rsidRDefault="00114490"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Nevertheless, t</w:t>
      </w:r>
      <w:r w:rsidR="00C63508" w:rsidRPr="007F3E94">
        <w:rPr>
          <w:rFonts w:ascii="Times New Roman" w:eastAsia="Times New Roman" w:hAnsi="Times New Roman" w:cs="Times New Roman"/>
          <w:kern w:val="0"/>
          <w:sz w:val="22"/>
          <w:szCs w:val="22"/>
          <w:lang w:eastAsia="en-GB"/>
          <w14:ligatures w14:val="none"/>
        </w:rPr>
        <w:t xml:space="preserve">eachers using Piagetian principles adapt instruction to developmental stages, reducing frustration and improving engagement (Zhou </w:t>
      </w:r>
      <w:r w:rsidR="005441F4" w:rsidRPr="007F3E94">
        <w:rPr>
          <w:rFonts w:ascii="Times New Roman" w:eastAsia="Times New Roman" w:hAnsi="Times New Roman" w:cs="Times New Roman"/>
          <w:kern w:val="0"/>
          <w:sz w:val="22"/>
          <w:szCs w:val="22"/>
          <w:lang w:eastAsia="en-GB"/>
          <w14:ligatures w14:val="none"/>
        </w:rPr>
        <w:t>and</w:t>
      </w:r>
      <w:r w:rsidR="00C63508" w:rsidRPr="007F3E94">
        <w:rPr>
          <w:rFonts w:ascii="Times New Roman" w:eastAsia="Times New Roman" w:hAnsi="Times New Roman" w:cs="Times New Roman"/>
          <w:kern w:val="0"/>
          <w:sz w:val="22"/>
          <w:szCs w:val="22"/>
          <w:lang w:eastAsia="en-GB"/>
          <w14:ligatures w14:val="none"/>
        </w:rPr>
        <w:t xml:space="preserve"> Brown, 2015). Although theoretically sound, there is limited empirical evidence directly linking these adaptations to improved behaviour. Blake (2015) supports developmentally attuned pedagogy, but his small</w:t>
      </w:r>
      <w:r w:rsidR="008E2863"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scale qualitative study limits broader applicability. Larger or mixed-methods studies would help solidify the evidence base.</w:t>
      </w:r>
      <w:r w:rsidR="008E2863" w:rsidRPr="007F3E94">
        <w:rPr>
          <w:rFonts w:ascii="Times New Roman" w:eastAsia="Times New Roman" w:hAnsi="Times New Roman" w:cs="Times New Roman"/>
          <w:kern w:val="0"/>
          <w:sz w:val="22"/>
          <w:szCs w:val="22"/>
          <w:lang w:eastAsia="en-GB"/>
          <w14:ligatures w14:val="none"/>
        </w:rPr>
        <w:t xml:space="preserve"> </w:t>
      </w:r>
      <w:r w:rsidR="009671CE" w:rsidRPr="007F3E94">
        <w:rPr>
          <w:rFonts w:ascii="Times New Roman" w:eastAsia="Times New Roman" w:hAnsi="Times New Roman" w:cs="Times New Roman"/>
          <w:kern w:val="0"/>
          <w:sz w:val="22"/>
          <w:szCs w:val="22"/>
          <w:lang w:eastAsia="en-GB"/>
          <w14:ligatures w14:val="none"/>
        </w:rPr>
        <w:t xml:space="preserve">Moreover, </w:t>
      </w:r>
      <w:r w:rsidR="00C63508" w:rsidRPr="007F3E94">
        <w:rPr>
          <w:rFonts w:ascii="Times New Roman" w:eastAsia="Times New Roman" w:hAnsi="Times New Roman" w:cs="Times New Roman"/>
          <w:kern w:val="0"/>
          <w:sz w:val="22"/>
          <w:szCs w:val="22"/>
          <w:lang w:eastAsia="en-GB"/>
          <w14:ligatures w14:val="none"/>
        </w:rPr>
        <w:t>Students’ cognitive maturity also enables participatory behaviour strategies, like co-constructing classroom norms (Wray</w:t>
      </w:r>
      <w:r w:rsidR="005441F4" w:rsidRPr="007F3E94">
        <w:rPr>
          <w:rFonts w:ascii="Times New Roman" w:eastAsia="Times New Roman" w:hAnsi="Times New Roman" w:cs="Times New Roman"/>
          <w:kern w:val="0"/>
          <w:sz w:val="22"/>
          <w:szCs w:val="22"/>
          <w:lang w:eastAsia="en-GB"/>
          <w14:ligatures w14:val="none"/>
        </w:rPr>
        <w:t>,</w:t>
      </w:r>
      <w:r w:rsidR="00C63508" w:rsidRPr="007F3E94">
        <w:rPr>
          <w:rFonts w:ascii="Times New Roman" w:eastAsia="Times New Roman" w:hAnsi="Times New Roman" w:cs="Times New Roman"/>
          <w:kern w:val="0"/>
          <w:sz w:val="22"/>
          <w:szCs w:val="22"/>
          <w:lang w:eastAsia="en-GB"/>
          <w14:ligatures w14:val="none"/>
        </w:rPr>
        <w:t xml:space="preserve"> Medwell, 2021</w:t>
      </w:r>
      <w:r w:rsidR="003C5D21" w:rsidRPr="007F3E94">
        <w:rPr>
          <w:rFonts w:ascii="Times New Roman" w:eastAsia="Times New Roman" w:hAnsi="Times New Roman" w:cs="Times New Roman"/>
          <w:kern w:val="0"/>
          <w:sz w:val="22"/>
          <w:szCs w:val="22"/>
          <w:lang w:eastAsia="en-GB"/>
          <w14:ligatures w14:val="none"/>
        </w:rPr>
        <w:t xml:space="preserve"> ; </w:t>
      </w:r>
      <w:r w:rsidR="00C63508" w:rsidRPr="007F3E94">
        <w:rPr>
          <w:rFonts w:ascii="Times New Roman" w:eastAsia="Times New Roman" w:hAnsi="Times New Roman" w:cs="Times New Roman"/>
          <w:kern w:val="0"/>
          <w:sz w:val="22"/>
          <w:szCs w:val="22"/>
          <w:lang w:eastAsia="en-GB"/>
          <w14:ligatures w14:val="none"/>
        </w:rPr>
        <w:t>Sharma, 2024). These practices promote accountability and empathy, though small sample sizes and qualitative methods reduce generalisability.</w:t>
      </w:r>
    </w:p>
    <w:p w14:paraId="0CFFC676" w14:textId="0B300506" w:rsidR="00C63508" w:rsidRPr="007F3E94" w:rsidRDefault="00D3388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Piaget’s theory is often criticised for lacking direct behavioural strategies, a gap that has led some educators to adopt behaviourist approaches based on reinforcement and punishment (Matsepe, 2022; Anwar et al., 2024) </w:t>
      </w:r>
      <w:r w:rsidR="00C63508" w:rsidRPr="007F3E94">
        <w:rPr>
          <w:rFonts w:ascii="Times New Roman" w:eastAsia="Times New Roman" w:hAnsi="Times New Roman" w:cs="Times New Roman"/>
          <w:kern w:val="0"/>
          <w:sz w:val="22"/>
          <w:szCs w:val="22"/>
          <w:lang w:eastAsia="en-GB"/>
          <w14:ligatures w14:val="none"/>
        </w:rPr>
        <w:t>These models, supported by experimental research, provide clear outcomes (Raffi et al., 2020) but have been criticised for neglecting intrinsic motivation and long-term self-regulation (Peet et al., 2022</w:t>
      </w:r>
      <w:r w:rsidR="003C5D21" w:rsidRPr="007F3E94">
        <w:rPr>
          <w:rFonts w:ascii="Times New Roman" w:eastAsia="Times New Roman" w:hAnsi="Times New Roman" w:cs="Times New Roman"/>
          <w:kern w:val="0"/>
          <w:sz w:val="22"/>
          <w:szCs w:val="22"/>
          <w:lang w:eastAsia="en-GB"/>
          <w14:ligatures w14:val="none"/>
        </w:rPr>
        <w:t xml:space="preserve">; </w:t>
      </w:r>
      <w:r w:rsidR="00C63508" w:rsidRPr="007F3E94">
        <w:rPr>
          <w:rFonts w:ascii="Times New Roman" w:eastAsia="Times New Roman" w:hAnsi="Times New Roman" w:cs="Times New Roman"/>
          <w:kern w:val="0"/>
          <w:sz w:val="22"/>
          <w:szCs w:val="22"/>
          <w:lang w:eastAsia="en-GB"/>
          <w14:ligatures w14:val="none"/>
        </w:rPr>
        <w:t>Perry et al., 2018).</w:t>
      </w:r>
    </w:p>
    <w:p w14:paraId="4B6D54EA" w14:textId="422B37B6"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Jones et al. (2024) found that teachers favour behaviourist methods for their simplicity and immediate results, but also acknowledged the emotional costs, such as increased anxiety and disengagement. Th</w:t>
      </w:r>
      <w:r w:rsidR="001F5399" w:rsidRPr="007F3E94">
        <w:rPr>
          <w:rFonts w:ascii="Times New Roman" w:eastAsia="Times New Roman" w:hAnsi="Times New Roman" w:cs="Times New Roman"/>
          <w:kern w:val="0"/>
          <w:sz w:val="22"/>
          <w:szCs w:val="22"/>
          <w:lang w:eastAsia="en-GB"/>
          <w14:ligatures w14:val="none"/>
        </w:rPr>
        <w:t>e</w:t>
      </w:r>
      <w:r w:rsidRPr="007F3E94">
        <w:rPr>
          <w:rFonts w:ascii="Times New Roman" w:eastAsia="Times New Roman" w:hAnsi="Times New Roman" w:cs="Times New Roman"/>
          <w:kern w:val="0"/>
          <w:sz w:val="22"/>
          <w:szCs w:val="22"/>
          <w:lang w:eastAsia="en-GB"/>
          <w14:ligatures w14:val="none"/>
        </w:rPr>
        <w:t xml:space="preserve"> study aligns with critiques from Ryan </w:t>
      </w:r>
      <w:r w:rsidR="00D5278A" w:rsidRPr="007F3E94">
        <w:rPr>
          <w:rFonts w:ascii="Times New Roman" w:eastAsia="Times New Roman" w:hAnsi="Times New Roman" w:cs="Times New Roman"/>
          <w:kern w:val="0"/>
          <w:sz w:val="22"/>
          <w:szCs w:val="22"/>
          <w:lang w:eastAsia="en-GB"/>
          <w14:ligatures w14:val="none"/>
        </w:rPr>
        <w:t xml:space="preserve">and </w:t>
      </w:r>
      <w:r w:rsidRPr="007F3E94">
        <w:rPr>
          <w:rFonts w:ascii="Times New Roman" w:eastAsia="Times New Roman" w:hAnsi="Times New Roman" w:cs="Times New Roman"/>
          <w:kern w:val="0"/>
          <w:sz w:val="22"/>
          <w:szCs w:val="22"/>
          <w:lang w:eastAsia="en-GB"/>
          <w14:ligatures w14:val="none"/>
        </w:rPr>
        <w:t xml:space="preserve">Deci (2020) and Skinner et al. (2022) on the limitations of extrinsic control. However, Jones et al. overlook the moderating role of teachers’ developmental knowledge, which limits the study’s explanatory power. </w:t>
      </w:r>
      <w:r w:rsidR="009D5FB1" w:rsidRPr="007F3E94">
        <w:rPr>
          <w:rFonts w:ascii="Times New Roman" w:eastAsia="Times New Roman" w:hAnsi="Times New Roman" w:cs="Times New Roman"/>
          <w:kern w:val="0"/>
          <w:sz w:val="22"/>
          <w:szCs w:val="22"/>
          <w:lang w:eastAsia="en-GB"/>
          <w14:ligatures w14:val="none"/>
        </w:rPr>
        <w:t xml:space="preserve">Nevertheless, </w:t>
      </w:r>
      <w:r w:rsidR="00A60093" w:rsidRPr="007F3E94">
        <w:rPr>
          <w:rFonts w:ascii="Times New Roman" w:eastAsia="Times New Roman" w:hAnsi="Times New Roman" w:cs="Times New Roman"/>
          <w:kern w:val="0"/>
          <w:sz w:val="22"/>
          <w:szCs w:val="22"/>
          <w:lang w:eastAsia="en-GB"/>
          <w14:ligatures w14:val="none"/>
        </w:rPr>
        <w:t>r</w:t>
      </w:r>
      <w:r w:rsidRPr="007F3E94">
        <w:rPr>
          <w:rFonts w:ascii="Times New Roman" w:eastAsia="Times New Roman" w:hAnsi="Times New Roman" w:cs="Times New Roman"/>
          <w:kern w:val="0"/>
          <w:sz w:val="22"/>
          <w:szCs w:val="22"/>
          <w:lang w:eastAsia="en-GB"/>
          <w14:ligatures w14:val="none"/>
        </w:rPr>
        <w:t>ecent research suggests that teachers with a strong foundation in developmental theory are more likely to use relational strategies suited to students’ cognitive and emotional readiness</w:t>
      </w:r>
      <w:r w:rsidR="00A60093" w:rsidRPr="007F3E94">
        <w:rPr>
          <w:rFonts w:ascii="Times New Roman" w:eastAsia="Times New Roman" w:hAnsi="Times New Roman" w:cs="Times New Roman"/>
          <w:kern w:val="0"/>
          <w:sz w:val="22"/>
          <w:szCs w:val="22"/>
          <w:lang w:eastAsia="en-GB"/>
          <w14:ligatures w14:val="none"/>
        </w:rPr>
        <w:t xml:space="preserve"> (Wang et al., 2025</w:t>
      </w:r>
      <w:r w:rsidR="003C5D21" w:rsidRPr="007F3E94">
        <w:rPr>
          <w:rFonts w:ascii="Times New Roman" w:eastAsia="Times New Roman" w:hAnsi="Times New Roman" w:cs="Times New Roman"/>
          <w:kern w:val="0"/>
          <w:sz w:val="22"/>
          <w:szCs w:val="22"/>
          <w:lang w:eastAsia="en-GB"/>
          <w14:ligatures w14:val="none"/>
        </w:rPr>
        <w:t>;</w:t>
      </w:r>
      <w:r w:rsidR="00A60093" w:rsidRPr="007F3E94">
        <w:rPr>
          <w:rFonts w:ascii="Times New Roman" w:eastAsia="Times New Roman" w:hAnsi="Times New Roman" w:cs="Times New Roman"/>
          <w:kern w:val="0"/>
          <w:sz w:val="22"/>
          <w:szCs w:val="22"/>
          <w:lang w:eastAsia="en-GB"/>
          <w14:ligatures w14:val="none"/>
        </w:rPr>
        <w:t xml:space="preserve"> Talafian et al., 2023) </w:t>
      </w:r>
      <w:r w:rsidRPr="007F3E94">
        <w:rPr>
          <w:rFonts w:ascii="Times New Roman" w:eastAsia="Times New Roman" w:hAnsi="Times New Roman" w:cs="Times New Roman"/>
          <w:kern w:val="0"/>
          <w:sz w:val="22"/>
          <w:szCs w:val="22"/>
          <w:lang w:eastAsia="en-GB"/>
          <w14:ligatures w14:val="none"/>
        </w:rPr>
        <w:t>This</w:t>
      </w:r>
      <w:r w:rsidR="00A60093" w:rsidRPr="007F3E94">
        <w:rPr>
          <w:rFonts w:ascii="Times New Roman" w:eastAsia="Times New Roman" w:hAnsi="Times New Roman" w:cs="Times New Roman"/>
          <w:kern w:val="0"/>
          <w:sz w:val="22"/>
          <w:szCs w:val="22"/>
          <w:lang w:eastAsia="en-GB"/>
          <w14:ligatures w14:val="none"/>
        </w:rPr>
        <w:t xml:space="preserve"> </w:t>
      </w:r>
      <w:r w:rsidR="00A60093" w:rsidRPr="007F3E94">
        <w:rPr>
          <w:rFonts w:ascii="Times New Roman" w:eastAsia="Times New Roman" w:hAnsi="Times New Roman" w:cs="Times New Roman"/>
          <w:kern w:val="0"/>
          <w:sz w:val="22"/>
          <w:szCs w:val="22"/>
          <w:lang w:eastAsia="en-GB"/>
          <w14:ligatures w14:val="none"/>
        </w:rPr>
        <w:lastRenderedPageBreak/>
        <w:t xml:space="preserve">seems to </w:t>
      </w:r>
      <w:r w:rsidRPr="007F3E94">
        <w:rPr>
          <w:rFonts w:ascii="Times New Roman" w:eastAsia="Times New Roman" w:hAnsi="Times New Roman" w:cs="Times New Roman"/>
          <w:kern w:val="0"/>
          <w:sz w:val="22"/>
          <w:szCs w:val="22"/>
          <w:lang w:eastAsia="en-GB"/>
          <w14:ligatures w14:val="none"/>
        </w:rPr>
        <w:t>indicate</w:t>
      </w:r>
      <w:r w:rsidR="00A60093"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that the popularity of behaviourist approaches may stem more from gaps in teacher training than their pedagogical value.</w:t>
      </w:r>
    </w:p>
    <w:p w14:paraId="66FEF505" w14:textId="211E89E8" w:rsidR="009F6BB7" w:rsidRPr="007F3E94" w:rsidRDefault="009F6BB7" w:rsidP="007F3E94">
      <w:pPr>
        <w:spacing w:before="100" w:beforeAutospacing="1" w:after="100" w:afterAutospacing="1" w:line="480" w:lineRule="auto"/>
        <w:rPr>
          <w:sz w:val="22"/>
          <w:szCs w:val="22"/>
        </w:rPr>
      </w:pPr>
      <w:r w:rsidRPr="007F3E94">
        <w:rPr>
          <w:sz w:val="22"/>
          <w:szCs w:val="22"/>
        </w:rPr>
        <w:t>Despite its limitations, the study by Jones et al. highlights the value of relational practices, which participants associated with long-term behavioural and emotional development. This is echoed in wider research demonstrating that strong teacher-student relationships positively influence behaviour and classroom climate (Durlak et al., 2011</w:t>
      </w:r>
      <w:r w:rsidR="00712A15" w:rsidRPr="007F3E94">
        <w:rPr>
          <w:sz w:val="22"/>
          <w:szCs w:val="22"/>
        </w:rPr>
        <w:t xml:space="preserve">; </w:t>
      </w:r>
      <w:r w:rsidRPr="007F3E94">
        <w:rPr>
          <w:sz w:val="22"/>
          <w:szCs w:val="22"/>
        </w:rPr>
        <w:t xml:space="preserve"> Anyal et al., 2018). Di Lisio et al. (2025) further link supportive teacher-student interactions to academic achievement and emotional resilience, while Mills-Webb and Hennessey (2025) report a reduction in disciplinary incidents in schools that implement relationship-based approaches. Together, these findings suggest that relational strategies provide a more sustainable and holistic alternative to behaviourist models, especially when embedded within a supportive whole-school culture.</w:t>
      </w:r>
    </w:p>
    <w:p w14:paraId="3368D54D" w14:textId="2E112726" w:rsidR="00C63508" w:rsidRPr="007F3E94" w:rsidRDefault="00995DFA"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This emphasis on relational practices</w:t>
      </w:r>
      <w:r w:rsidR="00B621DE" w:rsidRPr="007F3E94">
        <w:rPr>
          <w:sz w:val="22"/>
          <w:szCs w:val="22"/>
        </w:rPr>
        <w:t xml:space="preserve"> appears to </w:t>
      </w:r>
      <w:r w:rsidRPr="007F3E94">
        <w:rPr>
          <w:sz w:val="22"/>
          <w:szCs w:val="22"/>
        </w:rPr>
        <w:t>align closely with Bronfenbrenner’s ecological systems theory, which underscores that the effectiveness of teacher-student relationships is deeply influenced by the wider social and institutional environments in which they are embedded</w:t>
      </w:r>
      <w:r w:rsidR="00C63508" w:rsidRPr="007F3E94">
        <w:rPr>
          <w:rFonts w:ascii="Times New Roman" w:eastAsia="Times New Roman" w:hAnsi="Times New Roman" w:cs="Times New Roman"/>
          <w:kern w:val="0"/>
          <w:sz w:val="22"/>
          <w:szCs w:val="22"/>
          <w:lang w:eastAsia="en-GB"/>
          <w14:ligatures w14:val="none"/>
        </w:rPr>
        <w:t xml:space="preserve">. Development occurs through interactions between microsystems (e.g., families, teachers), mesosystems (e.g., school-home connections), and broader social systems (Tong </w:t>
      </w:r>
      <w:r w:rsidR="00D5278A" w:rsidRPr="007F3E94">
        <w:rPr>
          <w:rFonts w:ascii="Times New Roman" w:eastAsia="Times New Roman" w:hAnsi="Times New Roman" w:cs="Times New Roman"/>
          <w:kern w:val="0"/>
          <w:sz w:val="22"/>
          <w:szCs w:val="22"/>
          <w:lang w:eastAsia="en-GB"/>
          <w14:ligatures w14:val="none"/>
        </w:rPr>
        <w:t>and</w:t>
      </w:r>
      <w:r w:rsidR="00C63508" w:rsidRPr="007F3E94">
        <w:rPr>
          <w:rFonts w:ascii="Times New Roman" w:eastAsia="Times New Roman" w:hAnsi="Times New Roman" w:cs="Times New Roman"/>
          <w:kern w:val="0"/>
          <w:sz w:val="22"/>
          <w:szCs w:val="22"/>
          <w:lang w:eastAsia="en-GB"/>
          <w14:ligatures w14:val="none"/>
        </w:rPr>
        <w:t xml:space="preserve"> An, 2024). Research by Wang et al. (2024) </w:t>
      </w:r>
      <w:r w:rsidR="003C0CCB" w:rsidRPr="007F3E94">
        <w:rPr>
          <w:rFonts w:ascii="Times New Roman" w:eastAsia="Times New Roman" w:hAnsi="Times New Roman" w:cs="Times New Roman"/>
          <w:kern w:val="0"/>
          <w:sz w:val="22"/>
          <w:szCs w:val="22"/>
          <w:lang w:eastAsia="en-GB"/>
          <w14:ligatures w14:val="none"/>
        </w:rPr>
        <w:t xml:space="preserve">and </w:t>
      </w:r>
      <w:r w:rsidR="00C63508" w:rsidRPr="007F3E94">
        <w:rPr>
          <w:rFonts w:ascii="Times New Roman" w:eastAsia="Times New Roman" w:hAnsi="Times New Roman" w:cs="Times New Roman"/>
          <w:kern w:val="0"/>
          <w:sz w:val="22"/>
          <w:szCs w:val="22"/>
          <w:lang w:eastAsia="en-GB"/>
          <w14:ligatures w14:val="none"/>
        </w:rPr>
        <w:t>Hamre &amp; Pianta (2019) confirms the importance of these layers, noting that teacher-student relationships are most effective when supported by broader institutional and societal systems.</w:t>
      </w:r>
    </w:p>
    <w:p w14:paraId="57CBA9B0" w14:textId="66E59528"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Rimm-Kaufman </w:t>
      </w:r>
      <w:r w:rsidR="00D5278A"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Sandilos (2016) found that such relationships buffer students from adversity, improving emotional regulation and social skills. Murdock </w:t>
      </w:r>
      <w:r w:rsidR="00D5278A"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Stipek (2020) extend this argument by emphasising how teacher practices are shaped by family, community, and school dynamics. These findings reinforce the ecological model's claim that development is a product of multiple, interacting systems.</w:t>
      </w:r>
    </w:p>
    <w:p w14:paraId="3B39A00D" w14:textId="213824FB"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Cultural context also plays a key role. Oshar et al. (2021) and Kobuljonova (2024) show that both teacher approaches and student responses to behaviour management are shaped by cultural expectations. This supports Bronfenbrenner’s assertion that macro</w:t>
      </w:r>
      <w:r w:rsidR="005A2CA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level influences</w:t>
      </w:r>
      <w:r w:rsidR="00AF745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such as societal norms</w:t>
      </w:r>
      <w:r w:rsidR="00AF745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are integral to developmental outcomes. </w:t>
      </w:r>
      <w:r w:rsidR="00AF7452" w:rsidRPr="007F3E94">
        <w:rPr>
          <w:rFonts w:ascii="Times New Roman" w:eastAsia="Times New Roman" w:hAnsi="Times New Roman" w:cs="Times New Roman"/>
          <w:kern w:val="0"/>
          <w:sz w:val="22"/>
          <w:szCs w:val="22"/>
          <w:lang w:eastAsia="en-GB"/>
          <w14:ligatures w14:val="none"/>
        </w:rPr>
        <w:t>Therefore, it seems a</w:t>
      </w:r>
      <w:r w:rsidRPr="007F3E94">
        <w:rPr>
          <w:rFonts w:ascii="Times New Roman" w:eastAsia="Times New Roman" w:hAnsi="Times New Roman" w:cs="Times New Roman"/>
          <w:kern w:val="0"/>
          <w:sz w:val="22"/>
          <w:szCs w:val="22"/>
          <w:lang w:eastAsia="en-GB"/>
          <w14:ligatures w14:val="none"/>
        </w:rPr>
        <w:t xml:space="preserve"> culturally aware, context-sensitive approach is therefore essential for effective behaviour management.</w:t>
      </w:r>
    </w:p>
    <w:p w14:paraId="2CBDE7C5" w14:textId="77777777" w:rsidR="00C63508" w:rsidRPr="007F3E94" w:rsidRDefault="00C6350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conclusion, child development theories offer essential insights for behaviour management. Erikson and Piaget highlight the importance of recognition, autonomy, and cognitive readiness, while Bronfenbrenner reminds us that students’ development is shaped by layered social environments. Behaviourist methods may deliver short-term gains but often overlook emotional and developmental needs. Research consistently points toward relational strategies as more sustainable and supportive. Ultimately, combining individual developmental insights with an ecological, culturally informed lens provides a more effective, equitable framework for classroom behaviour.</w:t>
      </w:r>
    </w:p>
    <w:p w14:paraId="7F1889E2" w14:textId="77777777" w:rsidR="0034368F" w:rsidRPr="007F3E94" w:rsidRDefault="0034368F" w:rsidP="007F3E94">
      <w:pPr>
        <w:spacing w:line="480" w:lineRule="auto"/>
        <w:rPr>
          <w:b/>
          <w:bCs/>
          <w:sz w:val="22"/>
          <w:szCs w:val="22"/>
        </w:rPr>
      </w:pPr>
    </w:p>
    <w:p w14:paraId="65DE9973" w14:textId="1E6D0EBC" w:rsidR="0034368F" w:rsidRPr="007F3E94" w:rsidRDefault="003854D9" w:rsidP="007F3E94">
      <w:pPr>
        <w:spacing w:line="480" w:lineRule="auto"/>
        <w:rPr>
          <w:b/>
          <w:bCs/>
          <w:sz w:val="22"/>
          <w:szCs w:val="22"/>
        </w:rPr>
      </w:pPr>
      <w:r w:rsidRPr="007F3E94">
        <w:rPr>
          <w:b/>
          <w:bCs/>
          <w:sz w:val="22"/>
          <w:szCs w:val="22"/>
        </w:rPr>
        <w:t xml:space="preserve">Cultural </w:t>
      </w:r>
      <w:r w:rsidR="00523C18" w:rsidRPr="007F3E94">
        <w:rPr>
          <w:b/>
          <w:bCs/>
          <w:sz w:val="22"/>
          <w:szCs w:val="22"/>
        </w:rPr>
        <w:t xml:space="preserve">relevance and international perspectives </w:t>
      </w:r>
    </w:p>
    <w:p w14:paraId="06E897E3" w14:textId="0278168D" w:rsidR="00837DDE" w:rsidRPr="007F3E94" w:rsidRDefault="0034368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Indeed, to fully realise the potential of developmentally informed behaviour strategies, it </w:t>
      </w:r>
      <w:r w:rsidR="00806BBE" w:rsidRPr="007F3E94">
        <w:rPr>
          <w:sz w:val="22"/>
          <w:szCs w:val="22"/>
        </w:rPr>
        <w:t>seems</w:t>
      </w:r>
      <w:r w:rsidRPr="007F3E94">
        <w:rPr>
          <w:sz w:val="22"/>
          <w:szCs w:val="22"/>
        </w:rPr>
        <w:t xml:space="preserve"> crucial to consider the cultural contexts in which they are applied, as understandings of behaviour and appropriate responses vary widely across societies</w:t>
      </w:r>
      <w:r w:rsidR="00806BBE" w:rsidRPr="007F3E94">
        <w:rPr>
          <w:sz w:val="22"/>
          <w:szCs w:val="22"/>
        </w:rPr>
        <w:t xml:space="preserve">. </w:t>
      </w:r>
      <w:r w:rsidR="00E620C1" w:rsidRPr="007F3E94">
        <w:rPr>
          <w:rFonts w:ascii="Times New Roman" w:eastAsia="Times New Roman" w:hAnsi="Times New Roman" w:cs="Times New Roman"/>
          <w:kern w:val="0"/>
          <w:sz w:val="22"/>
          <w:szCs w:val="22"/>
          <w:lang w:eastAsia="en-GB"/>
          <w14:ligatures w14:val="none"/>
        </w:rPr>
        <w:t>C</w:t>
      </w:r>
      <w:r w:rsidR="00837DDE" w:rsidRPr="007F3E94">
        <w:rPr>
          <w:rFonts w:ascii="Times New Roman" w:eastAsia="Times New Roman" w:hAnsi="Times New Roman" w:cs="Times New Roman"/>
          <w:kern w:val="0"/>
          <w:sz w:val="22"/>
          <w:szCs w:val="22"/>
          <w:lang w:eastAsia="en-GB"/>
          <w14:ligatures w14:val="none"/>
        </w:rPr>
        <w:t>ultural norms and values significantly influence how teachers interpret and manage student behaviour (</w:t>
      </w:r>
      <w:r w:rsidR="00601DE3" w:rsidRPr="007F3E94">
        <w:rPr>
          <w:rFonts w:ascii="Times New Roman" w:eastAsia="Times New Roman" w:hAnsi="Times New Roman" w:cs="Times New Roman"/>
          <w:kern w:val="0"/>
          <w:sz w:val="22"/>
          <w:szCs w:val="22"/>
          <w:lang w:eastAsia="en-GB"/>
          <w14:ligatures w14:val="none"/>
        </w:rPr>
        <w:t>Z</w:t>
      </w:r>
      <w:r w:rsidR="005D5A5B" w:rsidRPr="007F3E94">
        <w:rPr>
          <w:rFonts w:ascii="Times New Roman" w:eastAsia="Times New Roman" w:hAnsi="Times New Roman" w:cs="Times New Roman"/>
          <w:kern w:val="0"/>
          <w:sz w:val="22"/>
          <w:szCs w:val="22"/>
          <w:lang w:eastAsia="en-GB"/>
          <w14:ligatures w14:val="none"/>
        </w:rPr>
        <w:t>h</w:t>
      </w:r>
      <w:r w:rsidR="00601DE3" w:rsidRPr="007F3E94">
        <w:rPr>
          <w:rFonts w:ascii="Times New Roman" w:eastAsia="Times New Roman" w:hAnsi="Times New Roman" w:cs="Times New Roman"/>
          <w:kern w:val="0"/>
          <w:sz w:val="22"/>
          <w:szCs w:val="22"/>
          <w:lang w:eastAsia="en-GB"/>
          <w14:ligatures w14:val="none"/>
        </w:rPr>
        <w:t xml:space="preserve">ang, Powers and </w:t>
      </w:r>
      <w:r w:rsidR="005D5A5B" w:rsidRPr="007F3E94">
        <w:rPr>
          <w:rFonts w:ascii="Times New Roman" w:eastAsia="Times New Roman" w:hAnsi="Times New Roman" w:cs="Times New Roman"/>
          <w:kern w:val="0"/>
          <w:sz w:val="22"/>
          <w:szCs w:val="22"/>
          <w:lang w:eastAsia="en-GB"/>
          <w14:ligatures w14:val="none"/>
        </w:rPr>
        <w:t>Pang</w:t>
      </w:r>
      <w:r w:rsidR="00837DDE" w:rsidRPr="007F3E94">
        <w:rPr>
          <w:rFonts w:ascii="Times New Roman" w:eastAsia="Times New Roman" w:hAnsi="Times New Roman" w:cs="Times New Roman"/>
          <w:kern w:val="0"/>
          <w:sz w:val="22"/>
          <w:szCs w:val="22"/>
          <w:lang w:eastAsia="en-GB"/>
          <w14:ligatures w14:val="none"/>
        </w:rPr>
        <w:t>, 2023). In collectivist cultures, where group harmony is prioritised, disruptive behaviour may be understood as a threat to social cohesion, prompting more community</w:t>
      </w:r>
      <w:r w:rsidR="002E6886" w:rsidRPr="007F3E94">
        <w:rPr>
          <w:rFonts w:ascii="Times New Roman" w:eastAsia="Times New Roman" w:hAnsi="Times New Roman" w:cs="Times New Roman"/>
          <w:kern w:val="0"/>
          <w:sz w:val="22"/>
          <w:szCs w:val="22"/>
          <w:lang w:eastAsia="en-GB"/>
          <w14:ligatures w14:val="none"/>
        </w:rPr>
        <w:t xml:space="preserve"> </w:t>
      </w:r>
      <w:r w:rsidR="00837DDE" w:rsidRPr="007F3E94">
        <w:rPr>
          <w:rFonts w:ascii="Times New Roman" w:eastAsia="Times New Roman" w:hAnsi="Times New Roman" w:cs="Times New Roman"/>
          <w:kern w:val="0"/>
          <w:sz w:val="22"/>
          <w:szCs w:val="22"/>
          <w:lang w:eastAsia="en-GB"/>
          <w14:ligatures w14:val="none"/>
        </w:rPr>
        <w:t xml:space="preserve">oriented disciplinary responses. In contrast, individualist cultures, which emphasise autonomy and self-expression, tend to view behaviour through the lens of personal responsibility (Kaur </w:t>
      </w:r>
      <w:r w:rsidR="00D5278A" w:rsidRPr="007F3E94">
        <w:rPr>
          <w:rFonts w:ascii="Times New Roman" w:eastAsia="Times New Roman" w:hAnsi="Times New Roman" w:cs="Times New Roman"/>
          <w:kern w:val="0"/>
          <w:sz w:val="22"/>
          <w:szCs w:val="22"/>
          <w:lang w:eastAsia="en-GB"/>
          <w14:ligatures w14:val="none"/>
        </w:rPr>
        <w:t>and</w:t>
      </w:r>
      <w:r w:rsidR="00837DDE" w:rsidRPr="007F3E94">
        <w:rPr>
          <w:rFonts w:ascii="Times New Roman" w:eastAsia="Times New Roman" w:hAnsi="Times New Roman" w:cs="Times New Roman"/>
          <w:kern w:val="0"/>
          <w:sz w:val="22"/>
          <w:szCs w:val="22"/>
          <w:lang w:eastAsia="en-GB"/>
          <w14:ligatures w14:val="none"/>
        </w:rPr>
        <w:t xml:space="preserve"> Mohammad, 2020). These cultural dimensions shape not only the expectations placed on students but also the behaviour management strategies adopted in schools (Rengi, 2023).</w:t>
      </w:r>
    </w:p>
    <w:p w14:paraId="52982011" w14:textId="2133F426" w:rsidR="00A42028" w:rsidRPr="007F3E94" w:rsidRDefault="00837DDE" w:rsidP="007F3E94">
      <w:pPr>
        <w:spacing w:before="100" w:beforeAutospacing="1" w:after="100" w:afterAutospacing="1" w:line="480" w:lineRule="auto"/>
        <w:rPr>
          <w:sz w:val="22"/>
          <w:szCs w:val="22"/>
        </w:rPr>
      </w:pPr>
      <w:r w:rsidRPr="007F3E94">
        <w:rPr>
          <w:rFonts w:ascii="Times New Roman" w:eastAsia="Times New Roman" w:hAnsi="Times New Roman" w:cs="Times New Roman"/>
          <w:kern w:val="0"/>
          <w:sz w:val="22"/>
          <w:szCs w:val="22"/>
          <w:lang w:eastAsia="en-GB"/>
          <w14:ligatures w14:val="none"/>
        </w:rPr>
        <w:lastRenderedPageBreak/>
        <w:t>While relational practices such as building strong teacher</w:t>
      </w:r>
      <w:r w:rsidR="002E6886"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student connections are generally advocated across contexts, their implementation and the interpretation of what constitutes “appropriate” behaviour often diverge culturally (Xu et al., 2023). For instance, Chen et al. (2018) highlight that actions such as speaking out of turn or questioning authority may be regarded as disrespectful in some societies but as independent thinking in others. This underscores the importance of culturally responsive pedagogy, whereby teachers adjust their behaviour management strategies to align with the cultural backgrounds and expectations of their students (DfE, 2024). </w:t>
      </w:r>
      <w:r w:rsidR="00F91F06" w:rsidRPr="007F3E94">
        <w:rPr>
          <w:sz w:val="22"/>
          <w:szCs w:val="22"/>
        </w:rPr>
        <w:t xml:space="preserve">However, a notable limitation of many of these studies is their tendency to </w:t>
      </w:r>
      <w:r w:rsidR="00F91F06" w:rsidRPr="007F3E94">
        <w:rPr>
          <w:rStyle w:val="Strong"/>
          <w:b w:val="0"/>
          <w:bCs w:val="0"/>
          <w:sz w:val="22"/>
          <w:szCs w:val="22"/>
        </w:rPr>
        <w:t>focus predominantly on teacher perspectives</w:t>
      </w:r>
      <w:r w:rsidR="00F91F06" w:rsidRPr="007F3E94">
        <w:rPr>
          <w:sz w:val="22"/>
          <w:szCs w:val="22"/>
        </w:rPr>
        <w:t xml:space="preserve">, often neglecting the voices of students and parents. This </w:t>
      </w:r>
      <w:r w:rsidR="00AA0A2F" w:rsidRPr="007F3E94">
        <w:rPr>
          <w:sz w:val="22"/>
          <w:szCs w:val="22"/>
        </w:rPr>
        <w:t>one-sided</w:t>
      </w:r>
      <w:r w:rsidR="00F91F06" w:rsidRPr="007F3E94">
        <w:rPr>
          <w:sz w:val="22"/>
          <w:szCs w:val="22"/>
        </w:rPr>
        <w:t xml:space="preserve"> viewpoint c</w:t>
      </w:r>
      <w:r w:rsidR="00AA0A2F" w:rsidRPr="007F3E94">
        <w:rPr>
          <w:sz w:val="22"/>
          <w:szCs w:val="22"/>
        </w:rPr>
        <w:t xml:space="preserve">ould </w:t>
      </w:r>
      <w:r w:rsidR="00A42028" w:rsidRPr="007F3E94">
        <w:rPr>
          <w:sz w:val="22"/>
          <w:szCs w:val="22"/>
        </w:rPr>
        <w:t>potentially obscure</w:t>
      </w:r>
      <w:r w:rsidR="00F91F06" w:rsidRPr="007F3E94">
        <w:rPr>
          <w:sz w:val="22"/>
          <w:szCs w:val="22"/>
        </w:rPr>
        <w:t xml:space="preserve"> how behaviour policies and cultural expectations are </w:t>
      </w:r>
      <w:r w:rsidR="00B36275" w:rsidRPr="007F3E94">
        <w:rPr>
          <w:sz w:val="22"/>
          <w:szCs w:val="22"/>
        </w:rPr>
        <w:t>experienced</w:t>
      </w:r>
      <w:r w:rsidR="00F91F06" w:rsidRPr="007F3E94">
        <w:rPr>
          <w:sz w:val="22"/>
          <w:szCs w:val="22"/>
        </w:rPr>
        <w:t xml:space="preserve"> by learners and their families</w:t>
      </w:r>
      <w:r w:rsidR="00AA0A2F" w:rsidRPr="007F3E94">
        <w:rPr>
          <w:sz w:val="22"/>
          <w:szCs w:val="22"/>
        </w:rPr>
        <w:t xml:space="preserve">. </w:t>
      </w:r>
    </w:p>
    <w:p w14:paraId="390246FD" w14:textId="2EF7DAE4" w:rsidR="00837DDE" w:rsidRPr="007F3E94" w:rsidRDefault="002C40A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Furthermore, </w:t>
      </w:r>
      <w:r w:rsidR="00837DDE" w:rsidRPr="007F3E94">
        <w:rPr>
          <w:rFonts w:ascii="Times New Roman" w:eastAsia="Times New Roman" w:hAnsi="Times New Roman" w:cs="Times New Roman"/>
          <w:kern w:val="0"/>
          <w:sz w:val="22"/>
          <w:szCs w:val="22"/>
          <w:lang w:eastAsia="en-GB"/>
          <w14:ligatures w14:val="none"/>
        </w:rPr>
        <w:t>Devi-McGleish (2023) further argues that norms around authority and hierarchy shape how relational practices are received. In high power</w:t>
      </w:r>
      <w:r w:rsidR="00490DB1" w:rsidRPr="007F3E94">
        <w:rPr>
          <w:rFonts w:ascii="Times New Roman" w:eastAsia="Times New Roman" w:hAnsi="Times New Roman" w:cs="Times New Roman"/>
          <w:kern w:val="0"/>
          <w:sz w:val="22"/>
          <w:szCs w:val="22"/>
          <w:lang w:eastAsia="en-GB"/>
          <w14:ligatures w14:val="none"/>
        </w:rPr>
        <w:t xml:space="preserve"> </w:t>
      </w:r>
      <w:r w:rsidR="00837DDE" w:rsidRPr="007F3E94">
        <w:rPr>
          <w:rFonts w:ascii="Times New Roman" w:eastAsia="Times New Roman" w:hAnsi="Times New Roman" w:cs="Times New Roman"/>
          <w:kern w:val="0"/>
          <w:sz w:val="22"/>
          <w:szCs w:val="22"/>
          <w:lang w:eastAsia="en-GB"/>
          <w14:ligatures w14:val="none"/>
        </w:rPr>
        <w:t xml:space="preserve">distance cultures, students may expect structured and directive teacher roles, while in egalitarian cultures, more democratic and collaborative relationships are both expected and effective (Hwang </w:t>
      </w:r>
      <w:r w:rsidR="005D5A5B" w:rsidRPr="007F3E94">
        <w:rPr>
          <w:rFonts w:ascii="Times New Roman" w:eastAsia="Times New Roman" w:hAnsi="Times New Roman" w:cs="Times New Roman"/>
          <w:kern w:val="0"/>
          <w:sz w:val="22"/>
          <w:szCs w:val="22"/>
          <w:lang w:eastAsia="en-GB"/>
          <w14:ligatures w14:val="none"/>
        </w:rPr>
        <w:t>and</w:t>
      </w:r>
      <w:r w:rsidR="00837DDE" w:rsidRPr="007F3E94">
        <w:rPr>
          <w:rFonts w:ascii="Times New Roman" w:eastAsia="Times New Roman" w:hAnsi="Times New Roman" w:cs="Times New Roman"/>
          <w:kern w:val="0"/>
          <w:sz w:val="22"/>
          <w:szCs w:val="22"/>
          <w:lang w:eastAsia="en-GB"/>
          <w14:ligatures w14:val="none"/>
        </w:rPr>
        <w:t xml:space="preserve"> Lee, 2024; Vogrinc &amp; Arnaut, 2023). These dynamics have critical implications for implementing restorative practices, which often rely on egalitarian dialogue and shared ownership of classroom norms. While these findings offer valuable insights, they also reflect a gap in quantitative, cross-cultural studies that could validate how different cultural dimensions impact the efficacy of relational approaches in behaviour management.</w:t>
      </w:r>
    </w:p>
    <w:p w14:paraId="276A2BAF" w14:textId="6C293002" w:rsidR="00837DDE" w:rsidRPr="007F3E94" w:rsidRDefault="0032601C"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Additionally, </w:t>
      </w:r>
      <w:r w:rsidR="00837DDE" w:rsidRPr="007F3E94">
        <w:rPr>
          <w:rFonts w:ascii="Times New Roman" w:eastAsia="Times New Roman" w:hAnsi="Times New Roman" w:cs="Times New Roman"/>
          <w:kern w:val="0"/>
          <w:sz w:val="22"/>
          <w:szCs w:val="22"/>
          <w:lang w:eastAsia="en-GB"/>
          <w14:ligatures w14:val="none"/>
        </w:rPr>
        <w:t xml:space="preserve">Societal narratives also influence teachers’ openness to restorative practices. Hwa (2024) contends that dominant public discourses construct “invisible boundaries” around behaviour management, framing what is considered professional or acceptable. </w:t>
      </w:r>
      <w:r w:rsidR="00570AE8" w:rsidRPr="007F3E94">
        <w:rPr>
          <w:rFonts w:ascii="Times New Roman" w:eastAsia="Times New Roman" w:hAnsi="Times New Roman" w:cs="Times New Roman"/>
          <w:kern w:val="0"/>
          <w:sz w:val="22"/>
          <w:szCs w:val="22"/>
          <w:lang w:eastAsia="en-GB"/>
          <w14:ligatures w14:val="none"/>
        </w:rPr>
        <w:t>The author states that i</w:t>
      </w:r>
      <w:r w:rsidR="00837DDE" w:rsidRPr="007F3E94">
        <w:rPr>
          <w:rFonts w:ascii="Times New Roman" w:eastAsia="Times New Roman" w:hAnsi="Times New Roman" w:cs="Times New Roman"/>
          <w:kern w:val="0"/>
          <w:sz w:val="22"/>
          <w:szCs w:val="22"/>
          <w:lang w:eastAsia="en-GB"/>
          <w14:ligatures w14:val="none"/>
        </w:rPr>
        <w:t xml:space="preserve">n cultures where discipline and control are prized, restorative strategies may be viewed as permissive or weak, discouraging their adoption. Hwa’s findings reveal a deeper conflict between societal expectations and pedagogical practices grounded in developmental psychology. </w:t>
      </w:r>
      <w:r w:rsidR="006765F6" w:rsidRPr="007F3E94">
        <w:rPr>
          <w:sz w:val="22"/>
          <w:szCs w:val="22"/>
        </w:rPr>
        <w:t xml:space="preserve">However, a  limitation of Hwa’s study lies in its </w:t>
      </w:r>
      <w:r w:rsidR="006765F6" w:rsidRPr="007F3E94">
        <w:rPr>
          <w:rStyle w:val="Strong"/>
          <w:b w:val="0"/>
          <w:bCs w:val="0"/>
          <w:sz w:val="22"/>
          <w:szCs w:val="22"/>
        </w:rPr>
        <w:t xml:space="preserve">focus on perceived cultural narratives rather than direct observation of </w:t>
      </w:r>
      <w:r w:rsidR="006765F6" w:rsidRPr="007F3E94">
        <w:rPr>
          <w:rStyle w:val="Strong"/>
          <w:b w:val="0"/>
          <w:bCs w:val="0"/>
          <w:sz w:val="22"/>
          <w:szCs w:val="22"/>
        </w:rPr>
        <w:lastRenderedPageBreak/>
        <w:t>classroom practice or policy implementation</w:t>
      </w:r>
      <w:r w:rsidR="006765F6" w:rsidRPr="007F3E94">
        <w:rPr>
          <w:sz w:val="22"/>
          <w:szCs w:val="22"/>
        </w:rPr>
        <w:t>. While the research compellingly highlights tensions between societal expectations and restorative pedagogy, it does so primarily through reported beliefs and attitudes, which may not fully reflect how these tensions manifest in real-world classroom behaviour management. Without triangulating self-reported data with observed practices or institutional outcomes, the study risks overgeneralising cultural narratives without capturing the complexity of actual teacher decision</w:t>
      </w:r>
      <w:r w:rsidR="00522E3A" w:rsidRPr="007F3E94">
        <w:rPr>
          <w:sz w:val="22"/>
          <w:szCs w:val="22"/>
        </w:rPr>
        <w:t xml:space="preserve"> </w:t>
      </w:r>
      <w:r w:rsidR="006765F6" w:rsidRPr="007F3E94">
        <w:rPr>
          <w:sz w:val="22"/>
          <w:szCs w:val="22"/>
        </w:rPr>
        <w:t>making processes. Future research could benefit from mixed methods approaches that examine not only perceptions but also practice across diverse educational settings.</w:t>
      </w:r>
    </w:p>
    <w:p w14:paraId="2F1A8EE6" w14:textId="6C5F9788" w:rsidR="00837DDE" w:rsidRPr="007F3E94" w:rsidRDefault="00837DDE"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Brooks (2022) </w:t>
      </w:r>
      <w:r w:rsidR="006948EE"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Devi-McGleish (2025) extend this line of inquiry by examining institutional constraints in urban U.S. schools and Welsh education, respectively. Brooks identifies how historical and racialised norms around authority complicate the use of restorative models in predominantly African American schools, while Devi-McGleish finds that schools with rigid behaviour systems are less receptive to restorative approaches, regardless of policy directives. Both studies reinforce the influence of entrenched cultural beliefs and institutional ethos. Yet, both are also limited by their narrow geographical focus and would benefit from comparative research that examines similar dynamics in other national or regional contexts.</w:t>
      </w:r>
    </w:p>
    <w:p w14:paraId="556F9CBF" w14:textId="1C28AA7E" w:rsidR="00837DDE" w:rsidRPr="007F3E94" w:rsidRDefault="00837DDE"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Cross</w:t>
      </w:r>
      <w:r w:rsidR="00EB06C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cultural comparisons offer further insights into the relationship between national ethos and behaviour policy. For example, in Finland, where teachers enjoy high levels of professional trust and autonomy, restorative practices are integrated more effectively within a broader commitment to student wellbeing and collaboration (Sahlberg, 2015</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Chung</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2023</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Kini</w:t>
      </w:r>
      <w:r w:rsidR="000C2419" w:rsidRPr="007F3E94">
        <w:rPr>
          <w:rFonts w:ascii="Times New Roman" w:eastAsia="Times New Roman" w:hAnsi="Times New Roman" w:cs="Times New Roman"/>
          <w:kern w:val="0"/>
          <w:sz w:val="22"/>
          <w:szCs w:val="22"/>
          <w:lang w:eastAsia="en-GB"/>
          <w14:ligatures w14:val="none"/>
        </w:rPr>
        <w:t xml:space="preserve">,and </w:t>
      </w:r>
      <w:r w:rsidRPr="007F3E94">
        <w:rPr>
          <w:rFonts w:ascii="Times New Roman" w:eastAsia="Times New Roman" w:hAnsi="Times New Roman" w:cs="Times New Roman"/>
          <w:kern w:val="0"/>
          <w:sz w:val="22"/>
          <w:szCs w:val="22"/>
          <w:lang w:eastAsia="en-GB"/>
          <w14:ligatures w14:val="none"/>
        </w:rPr>
        <w:t xml:space="preserve"> Dinapoli, 2025</w:t>
      </w:r>
      <w:r w:rsidR="006948E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Burg, 2021). This contrasts sharply with the United States, where zero-tolerance policies and accountability pressures have historically favoured punitive approaches, especially in marginalised communities (Fontanini-Axelrod, 2024). These contrasting models point to the significance of structural support and societal trust in enabling or constraining pedagogical innovation.</w:t>
      </w:r>
    </w:p>
    <w:p w14:paraId="2F976EA5" w14:textId="4E077A9D" w:rsidR="00571502" w:rsidRPr="007F3E94" w:rsidRDefault="007755AC"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In addition, Finland’s’</w:t>
      </w:r>
      <w:r w:rsidR="00571502" w:rsidRPr="007F3E94">
        <w:rPr>
          <w:rFonts w:ascii="Times New Roman" w:eastAsia="Times New Roman" w:hAnsi="Times New Roman" w:cs="Times New Roman"/>
          <w:kern w:val="0"/>
          <w:sz w:val="22"/>
          <w:szCs w:val="22"/>
          <w:lang w:eastAsia="en-GB"/>
          <w14:ligatures w14:val="none"/>
        </w:rPr>
        <w:t xml:space="preserve"> exclusionary practices like suspensions and expulsions are rare, with schools prioritising inclusive, restorative approaches (Malinen</w:t>
      </w:r>
      <w:r w:rsidR="006948EE" w:rsidRPr="007F3E94">
        <w:rPr>
          <w:rFonts w:ascii="Times New Roman" w:eastAsia="Times New Roman" w:hAnsi="Times New Roman" w:cs="Times New Roman"/>
          <w:kern w:val="0"/>
          <w:sz w:val="22"/>
          <w:szCs w:val="22"/>
          <w:lang w:eastAsia="en-GB"/>
          <w14:ligatures w14:val="none"/>
        </w:rPr>
        <w:t xml:space="preserve"> and</w:t>
      </w:r>
      <w:r w:rsidR="00571502" w:rsidRPr="007F3E94">
        <w:rPr>
          <w:rFonts w:ascii="Times New Roman" w:eastAsia="Times New Roman" w:hAnsi="Times New Roman" w:cs="Times New Roman"/>
          <w:kern w:val="0"/>
          <w:sz w:val="22"/>
          <w:szCs w:val="22"/>
          <w:lang w:eastAsia="en-GB"/>
          <w14:ligatures w14:val="none"/>
        </w:rPr>
        <w:t xml:space="preserve"> Illikainen, 2024</w:t>
      </w:r>
      <w:r w:rsidR="006948EE" w:rsidRPr="007F3E94">
        <w:rPr>
          <w:rFonts w:ascii="Times New Roman" w:eastAsia="Times New Roman" w:hAnsi="Times New Roman" w:cs="Times New Roman"/>
          <w:kern w:val="0"/>
          <w:sz w:val="22"/>
          <w:szCs w:val="22"/>
          <w:lang w:eastAsia="en-GB"/>
          <w14:ligatures w14:val="none"/>
        </w:rPr>
        <w:t xml:space="preserve">; </w:t>
      </w:r>
      <w:r w:rsidR="00571502" w:rsidRPr="007F3E94">
        <w:rPr>
          <w:rFonts w:ascii="Times New Roman" w:eastAsia="Times New Roman" w:hAnsi="Times New Roman" w:cs="Times New Roman"/>
          <w:kern w:val="0"/>
          <w:sz w:val="22"/>
          <w:szCs w:val="22"/>
          <w:lang w:eastAsia="en-GB"/>
          <w14:ligatures w14:val="none"/>
        </w:rPr>
        <w:t xml:space="preserve">Gellin, 2018). Only </w:t>
      </w:r>
      <w:r w:rsidRPr="007F3E94">
        <w:rPr>
          <w:rFonts w:ascii="Times New Roman" w:eastAsia="Times New Roman" w:hAnsi="Times New Roman" w:cs="Times New Roman"/>
          <w:kern w:val="0"/>
          <w:sz w:val="22"/>
          <w:szCs w:val="22"/>
          <w:lang w:eastAsia="en-GB"/>
          <w14:ligatures w14:val="none"/>
        </w:rPr>
        <w:t xml:space="preserve">thirty percent </w:t>
      </w:r>
      <w:r w:rsidR="00571502" w:rsidRPr="007F3E94">
        <w:rPr>
          <w:rFonts w:ascii="Times New Roman" w:eastAsia="Times New Roman" w:hAnsi="Times New Roman" w:cs="Times New Roman"/>
          <w:kern w:val="0"/>
          <w:sz w:val="22"/>
          <w:szCs w:val="22"/>
          <w:lang w:eastAsia="en-GB"/>
          <w14:ligatures w14:val="none"/>
        </w:rPr>
        <w:t xml:space="preserve">of Finnish teachers regularly use even minor sanctions like detention (Saloviita, 2017). In contrast, U.S. data from 2020–21 shows over </w:t>
      </w:r>
      <w:r w:rsidRPr="007F3E94">
        <w:rPr>
          <w:rFonts w:ascii="Times New Roman" w:eastAsia="Times New Roman" w:hAnsi="Times New Roman" w:cs="Times New Roman"/>
          <w:kern w:val="0"/>
          <w:sz w:val="22"/>
          <w:szCs w:val="22"/>
          <w:lang w:eastAsia="en-GB"/>
          <w14:ligatures w14:val="none"/>
        </w:rPr>
        <w:t xml:space="preserve">one point </w:t>
      </w:r>
      <w:r w:rsidR="00386AB3" w:rsidRPr="007F3E94">
        <w:rPr>
          <w:rFonts w:ascii="Times New Roman" w:eastAsia="Times New Roman" w:hAnsi="Times New Roman" w:cs="Times New Roman"/>
          <w:kern w:val="0"/>
          <w:sz w:val="22"/>
          <w:szCs w:val="22"/>
          <w:lang w:eastAsia="en-GB"/>
          <w14:ligatures w14:val="none"/>
        </w:rPr>
        <w:t>four million</w:t>
      </w:r>
      <w:r w:rsidR="00571502" w:rsidRPr="007F3E94">
        <w:rPr>
          <w:rFonts w:ascii="Times New Roman" w:eastAsia="Times New Roman" w:hAnsi="Times New Roman" w:cs="Times New Roman"/>
          <w:kern w:val="0"/>
          <w:sz w:val="22"/>
          <w:szCs w:val="22"/>
          <w:lang w:eastAsia="en-GB"/>
          <w14:ligatures w14:val="none"/>
        </w:rPr>
        <w:t xml:space="preserve"> suspensions and </w:t>
      </w:r>
      <w:r w:rsidR="00386AB3" w:rsidRPr="007F3E94">
        <w:rPr>
          <w:rFonts w:ascii="Times New Roman" w:eastAsia="Times New Roman" w:hAnsi="Times New Roman" w:cs="Times New Roman"/>
          <w:kern w:val="0"/>
          <w:sz w:val="22"/>
          <w:szCs w:val="22"/>
          <w:lang w:eastAsia="en-GB"/>
          <w14:ligatures w14:val="none"/>
        </w:rPr>
        <w:t>twenty-eight</w:t>
      </w:r>
      <w:r w:rsidRPr="007F3E94">
        <w:rPr>
          <w:rFonts w:ascii="Times New Roman" w:eastAsia="Times New Roman" w:hAnsi="Times New Roman" w:cs="Times New Roman"/>
          <w:kern w:val="0"/>
          <w:sz w:val="22"/>
          <w:szCs w:val="22"/>
          <w:lang w:eastAsia="en-GB"/>
          <w14:ligatures w14:val="none"/>
        </w:rPr>
        <w:t xml:space="preserve"> thousand</w:t>
      </w:r>
      <w:r w:rsidR="00571502" w:rsidRPr="007F3E94">
        <w:rPr>
          <w:rFonts w:ascii="Times New Roman" w:eastAsia="Times New Roman" w:hAnsi="Times New Roman" w:cs="Times New Roman"/>
          <w:kern w:val="0"/>
          <w:sz w:val="22"/>
          <w:szCs w:val="22"/>
          <w:lang w:eastAsia="en-GB"/>
          <w14:ligatures w14:val="none"/>
        </w:rPr>
        <w:t xml:space="preserve"> expulsions, reflecting a more punitive model (U.S. Department of Education</w:t>
      </w:r>
      <w:r w:rsidR="00EB7F01" w:rsidRPr="007F3E94">
        <w:rPr>
          <w:rFonts w:ascii="Times New Roman" w:eastAsia="Times New Roman" w:hAnsi="Times New Roman" w:cs="Times New Roman"/>
          <w:kern w:val="0"/>
          <w:sz w:val="22"/>
          <w:szCs w:val="22"/>
          <w:lang w:eastAsia="en-GB"/>
          <w14:ligatures w14:val="none"/>
        </w:rPr>
        <w:t>, 2020-21</w:t>
      </w:r>
      <w:r w:rsidR="00571502" w:rsidRPr="007F3E94">
        <w:rPr>
          <w:rFonts w:ascii="Times New Roman" w:eastAsia="Times New Roman" w:hAnsi="Times New Roman" w:cs="Times New Roman"/>
          <w:kern w:val="0"/>
          <w:sz w:val="22"/>
          <w:szCs w:val="22"/>
          <w:lang w:eastAsia="en-GB"/>
          <w14:ligatures w14:val="none"/>
        </w:rPr>
        <w:t xml:space="preserve">). These differences </w:t>
      </w:r>
      <w:r w:rsidR="00EB7F01" w:rsidRPr="007F3E94">
        <w:rPr>
          <w:rFonts w:ascii="Times New Roman" w:eastAsia="Times New Roman" w:hAnsi="Times New Roman" w:cs="Times New Roman"/>
          <w:kern w:val="0"/>
          <w:sz w:val="22"/>
          <w:szCs w:val="22"/>
          <w:lang w:eastAsia="en-GB"/>
          <w14:ligatures w14:val="none"/>
        </w:rPr>
        <w:t xml:space="preserve">seem to </w:t>
      </w:r>
      <w:r w:rsidR="00571502" w:rsidRPr="007F3E94">
        <w:rPr>
          <w:rFonts w:ascii="Times New Roman" w:eastAsia="Times New Roman" w:hAnsi="Times New Roman" w:cs="Times New Roman"/>
          <w:kern w:val="0"/>
          <w:sz w:val="22"/>
          <w:szCs w:val="22"/>
          <w:lang w:eastAsia="en-GB"/>
          <w14:ligatures w14:val="none"/>
        </w:rPr>
        <w:t>reveal how educational philosophies influence discipline</w:t>
      </w:r>
      <w:r w:rsidR="00EB7F01" w:rsidRPr="007F3E94">
        <w:rPr>
          <w:rFonts w:ascii="Times New Roman" w:eastAsia="Times New Roman" w:hAnsi="Times New Roman" w:cs="Times New Roman"/>
          <w:kern w:val="0"/>
          <w:sz w:val="22"/>
          <w:szCs w:val="22"/>
          <w:lang w:eastAsia="en-GB"/>
          <w14:ligatures w14:val="none"/>
        </w:rPr>
        <w:t xml:space="preserve">. For </w:t>
      </w:r>
      <w:r w:rsidR="00386AB3" w:rsidRPr="007F3E94">
        <w:rPr>
          <w:rFonts w:ascii="Times New Roman" w:eastAsia="Times New Roman" w:hAnsi="Times New Roman" w:cs="Times New Roman"/>
          <w:kern w:val="0"/>
          <w:sz w:val="22"/>
          <w:szCs w:val="22"/>
          <w:lang w:eastAsia="en-GB"/>
          <w14:ligatures w14:val="none"/>
        </w:rPr>
        <w:t>example, Finland’s</w:t>
      </w:r>
      <w:r w:rsidR="00571502" w:rsidRPr="007F3E94">
        <w:rPr>
          <w:rFonts w:ascii="Times New Roman" w:eastAsia="Times New Roman" w:hAnsi="Times New Roman" w:cs="Times New Roman"/>
          <w:kern w:val="0"/>
          <w:sz w:val="22"/>
          <w:szCs w:val="22"/>
          <w:lang w:eastAsia="en-GB"/>
          <w14:ligatures w14:val="none"/>
        </w:rPr>
        <w:t xml:space="preserve"> focus on autonomy and well-being aligns with Bronfenbrenner’s and Erikson’s theories, supporting connection and identity, while the U.S. model risks social disconnection and emotional harm (Anthony, 2022</w:t>
      </w:r>
      <w:r w:rsidR="006948EE" w:rsidRPr="007F3E94">
        <w:rPr>
          <w:rFonts w:ascii="Times New Roman" w:eastAsia="Times New Roman" w:hAnsi="Times New Roman" w:cs="Times New Roman"/>
          <w:kern w:val="0"/>
          <w:sz w:val="22"/>
          <w:szCs w:val="22"/>
          <w:lang w:eastAsia="en-GB"/>
          <w14:ligatures w14:val="none"/>
        </w:rPr>
        <w:t xml:space="preserve">; </w:t>
      </w:r>
      <w:r w:rsidR="00645EE5" w:rsidRPr="007F3E94">
        <w:rPr>
          <w:rFonts w:ascii="Times New Roman" w:eastAsia="Times New Roman" w:hAnsi="Times New Roman" w:cs="Times New Roman"/>
          <w:kern w:val="0"/>
          <w:sz w:val="22"/>
          <w:szCs w:val="22"/>
          <w:lang w:eastAsia="en-GB"/>
          <w14:ligatures w14:val="none"/>
        </w:rPr>
        <w:t xml:space="preserve"> </w:t>
      </w:r>
      <w:r w:rsidR="00571502" w:rsidRPr="007F3E94">
        <w:rPr>
          <w:rFonts w:ascii="Times New Roman" w:eastAsia="Times New Roman" w:hAnsi="Times New Roman" w:cs="Times New Roman"/>
          <w:kern w:val="0"/>
          <w:sz w:val="22"/>
          <w:szCs w:val="22"/>
          <w:lang w:eastAsia="en-GB"/>
          <w14:ligatures w14:val="none"/>
        </w:rPr>
        <w:t>Deggess-White, 2017).</w:t>
      </w:r>
    </w:p>
    <w:p w14:paraId="023A1EE0" w14:textId="4866454B"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Similarly, New Zealand’s Positive Behaviour for Learning (PB4L) framework integrates restorative practices grounded in Māori values, contributing to improved student engagement and overall school climate (Moller, 2023</w:t>
      </w:r>
      <w:r w:rsidR="006948EE" w:rsidRPr="007F3E94">
        <w:rPr>
          <w:rFonts w:ascii="Times New Roman" w:eastAsia="Times New Roman" w:hAnsi="Times New Roman" w:cs="Times New Roman"/>
          <w:kern w:val="0"/>
          <w:sz w:val="22"/>
          <w:szCs w:val="22"/>
          <w:lang w:eastAsia="en-GB"/>
          <w14:ligatures w14:val="none"/>
        </w:rPr>
        <w:t xml:space="preserve">; </w:t>
      </w:r>
      <w:r w:rsidRPr="00A07FE4">
        <w:rPr>
          <w:rFonts w:ascii="Times New Roman" w:eastAsia="Times New Roman" w:hAnsi="Times New Roman" w:cs="Times New Roman"/>
          <w:kern w:val="0"/>
          <w:sz w:val="22"/>
          <w:szCs w:val="22"/>
          <w:lang w:eastAsia="en-GB"/>
          <w14:ligatures w14:val="none"/>
        </w:rPr>
        <w:t>NZCER, 2025). The approach emphasises building positive relationships and collective responsibility, reflecting a broader cultural commitment to inclusive education. These developments support Hwa’s (2024) argument that societal narratives significantly shape educational practices, including how behaviour is interpreted and managed in schools.</w:t>
      </w:r>
    </w:p>
    <w:p w14:paraId="0ABF3319" w14:textId="77777777"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By contrast, educational systems in East Asia, shaped by Confucian values, place a strong emphasis on discipline, respect for authority, and academic performance. These cultural priorities often limit the uptake of restorative approaches. Rudolf (2024) links such rigid, compliance-driven disciplinary practices in countries like Japan, South Korea, and China to increased adolescent stress and reduced emotional well-being. This comparison highlights how national ethos and cultural values can either support or constrain restorative practice.</w:t>
      </w:r>
    </w:p>
    <w:p w14:paraId="6417F0A4" w14:textId="3F048AE7" w:rsidR="00A07FE4" w:rsidRPr="00A07FE4" w:rsidRDefault="00A07FE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A07FE4">
        <w:rPr>
          <w:rFonts w:ascii="Times New Roman" w:eastAsia="Times New Roman" w:hAnsi="Times New Roman" w:cs="Times New Roman"/>
          <w:kern w:val="0"/>
          <w:sz w:val="22"/>
          <w:szCs w:val="22"/>
          <w:lang w:eastAsia="en-GB"/>
          <w14:ligatures w14:val="none"/>
        </w:rPr>
        <w:t>In Wales, similar tension</w:t>
      </w:r>
      <w:r w:rsidR="005621F8" w:rsidRPr="007F3E94">
        <w:rPr>
          <w:rFonts w:ascii="Times New Roman" w:eastAsia="Times New Roman" w:hAnsi="Times New Roman" w:cs="Times New Roman"/>
          <w:kern w:val="0"/>
          <w:sz w:val="22"/>
          <w:szCs w:val="22"/>
          <w:lang w:eastAsia="en-GB"/>
          <w14:ligatures w14:val="none"/>
        </w:rPr>
        <w:t>s</w:t>
      </w:r>
      <w:r w:rsidRPr="00A07FE4">
        <w:rPr>
          <w:rFonts w:ascii="Times New Roman" w:eastAsia="Times New Roman" w:hAnsi="Times New Roman" w:cs="Times New Roman"/>
          <w:kern w:val="0"/>
          <w:sz w:val="22"/>
          <w:szCs w:val="22"/>
          <w:lang w:eastAsia="en-GB"/>
          <w14:ligatures w14:val="none"/>
        </w:rPr>
        <w:t xml:space="preserve"> exist</w:t>
      </w:r>
      <w:r w:rsidR="005621F8" w:rsidRPr="007F3E94">
        <w:rPr>
          <w:rFonts w:ascii="Times New Roman" w:eastAsia="Times New Roman" w:hAnsi="Times New Roman" w:cs="Times New Roman"/>
          <w:kern w:val="0"/>
          <w:sz w:val="22"/>
          <w:szCs w:val="22"/>
          <w:lang w:eastAsia="en-GB"/>
          <w14:ligatures w14:val="none"/>
        </w:rPr>
        <w:t xml:space="preserve">. It seems </w:t>
      </w:r>
      <w:r w:rsidRPr="00A07FE4">
        <w:rPr>
          <w:rFonts w:ascii="Times New Roman" w:eastAsia="Times New Roman" w:hAnsi="Times New Roman" w:cs="Times New Roman"/>
          <w:kern w:val="0"/>
          <w:sz w:val="22"/>
          <w:szCs w:val="22"/>
          <w:lang w:eastAsia="en-GB"/>
          <w14:ligatures w14:val="none"/>
        </w:rPr>
        <w:t>policy ambition and practical implementation</w:t>
      </w:r>
      <w:r w:rsidR="00ED6BCB" w:rsidRPr="007F3E94">
        <w:rPr>
          <w:rFonts w:ascii="Times New Roman" w:eastAsia="Times New Roman" w:hAnsi="Times New Roman" w:cs="Times New Roman"/>
          <w:kern w:val="0"/>
          <w:sz w:val="22"/>
          <w:szCs w:val="22"/>
          <w:lang w:eastAsia="en-GB"/>
          <w14:ligatures w14:val="none"/>
        </w:rPr>
        <w:t>s do not align</w:t>
      </w:r>
      <w:r w:rsidRPr="00A07FE4">
        <w:rPr>
          <w:rFonts w:ascii="Times New Roman" w:eastAsia="Times New Roman" w:hAnsi="Times New Roman" w:cs="Times New Roman"/>
          <w:kern w:val="0"/>
          <w:sz w:val="22"/>
          <w:szCs w:val="22"/>
          <w:lang w:eastAsia="en-GB"/>
          <w14:ligatures w14:val="none"/>
        </w:rPr>
        <w:t>. Despite progressive frameworks promoting inclusive, trauma-informed responses to behaviour, schools continue to face significant challenges in translating these principles into everyday practice.</w:t>
      </w:r>
    </w:p>
    <w:p w14:paraId="11F66C43" w14:textId="786D6820" w:rsidR="00186AC1" w:rsidRPr="007F3E94" w:rsidRDefault="00711B2F"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Indeed, t</w:t>
      </w:r>
      <w:r w:rsidR="00186AC1" w:rsidRPr="007F3E94">
        <w:rPr>
          <w:rFonts w:ascii="Times New Roman" w:eastAsia="Times New Roman" w:hAnsi="Times New Roman" w:cs="Times New Roman"/>
          <w:kern w:val="0"/>
          <w:sz w:val="22"/>
          <w:szCs w:val="22"/>
          <w:lang w:eastAsia="en-GB"/>
          <w14:ligatures w14:val="none"/>
        </w:rPr>
        <w:t>he Welsh Government’s 2024 statutory guidance on exclusions advocates early intervention and multi-agency collaboration, supporting a trauma-informed, rights-based approach (Welsh Government, 2024). However, recent data reveal a troubling rise in exclusions, with permanent exclusions increasing to zero point nine per one thousand pupils, up from zero point six the previous year, and fixed-term exclusions of five days or fewer rising to sixty-five point four per one thousand pupils. Exclusions exceeding five days also increased, reaching two point four per one thousand pupils, with students eligible for free school meals (FSM), those with Additional Learning Needs (ALN), and those with ADHD and BESD disproportionately affected (Welsh Government, 2024).</w:t>
      </w:r>
    </w:p>
    <w:p w14:paraId="6FEA0AA1" w14:textId="5AADEC96"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Thus, this gap between policy intent and implementation raises concerns about systemic challenges in translating inclusive policy into practice. High exclusion rates are detrimental to students’ emotional, social, and academic growth, especially for those with learning difficulties</w:t>
      </w:r>
      <w:r w:rsidR="002F432E" w:rsidRPr="007F3E94">
        <w:rPr>
          <w:sz w:val="22"/>
          <w:szCs w:val="22"/>
        </w:rPr>
        <w:t xml:space="preserve"> </w:t>
      </w:r>
      <w:r w:rsidR="00E231E4" w:rsidRPr="007F3E94">
        <w:rPr>
          <w:sz w:val="22"/>
          <w:szCs w:val="22"/>
        </w:rPr>
        <w:t>(F</w:t>
      </w:r>
      <w:r w:rsidR="002F432E" w:rsidRPr="007F3E94">
        <w:rPr>
          <w:sz w:val="22"/>
          <w:szCs w:val="22"/>
        </w:rPr>
        <w:t>ord</w:t>
      </w:r>
      <w:r w:rsidR="00453A2F" w:rsidRPr="007F3E94">
        <w:rPr>
          <w:sz w:val="22"/>
          <w:szCs w:val="22"/>
        </w:rPr>
        <w:t xml:space="preserve"> et al. </w:t>
      </w:r>
      <w:r w:rsidR="002F432E" w:rsidRPr="007F3E94">
        <w:rPr>
          <w:sz w:val="22"/>
          <w:szCs w:val="22"/>
        </w:rPr>
        <w:t>2017)</w:t>
      </w:r>
      <w:r w:rsidR="002F432E" w:rsidRPr="007F3E94">
        <w:rPr>
          <w:rFonts w:ascii="Times New Roman" w:eastAsia="Times New Roman" w:hAnsi="Times New Roman" w:cs="Times New Roman"/>
          <w:kern w:val="0"/>
          <w:sz w:val="22"/>
          <w:szCs w:val="22"/>
          <w:lang w:eastAsia="en-GB"/>
          <w14:ligatures w14:val="none"/>
        </w:rPr>
        <w:t xml:space="preserve"> </w:t>
      </w:r>
      <w:r w:rsidR="00B23AED" w:rsidRPr="007F3E94">
        <w:rPr>
          <w:rFonts w:ascii="Times New Roman" w:eastAsia="Times New Roman" w:hAnsi="Times New Roman" w:cs="Times New Roman"/>
          <w:kern w:val="0"/>
          <w:sz w:val="22"/>
          <w:szCs w:val="22"/>
          <w:lang w:eastAsia="en-GB"/>
          <w14:ligatures w14:val="none"/>
        </w:rPr>
        <w:t>Yet, d</w:t>
      </w:r>
      <w:r w:rsidRPr="007F3E94">
        <w:rPr>
          <w:rFonts w:ascii="Times New Roman" w:eastAsia="Times New Roman" w:hAnsi="Times New Roman" w:cs="Times New Roman"/>
          <w:kern w:val="0"/>
          <w:sz w:val="22"/>
          <w:szCs w:val="22"/>
          <w:lang w:eastAsia="en-GB"/>
          <w14:ligatures w14:val="none"/>
        </w:rPr>
        <w:t>espite legal frameworks like the Additional Learning Needs and Education Tribunal (Wales) Act 2018, which aims to ensure adequate support for these students. The increasing exclusion rates among such students suggest potential gaps in policy implementation and accessibility.</w:t>
      </w:r>
      <w:r w:rsidR="005E4E4B" w:rsidRPr="007F3E94">
        <w:rPr>
          <w:rFonts w:ascii="Times New Roman" w:eastAsia="Times New Roman" w:hAnsi="Times New Roman" w:cs="Times New Roman"/>
          <w:kern w:val="0"/>
          <w:sz w:val="22"/>
          <w:szCs w:val="22"/>
          <w:lang w:eastAsia="en-GB"/>
          <w14:ligatures w14:val="none"/>
        </w:rPr>
        <w:t xml:space="preserve"> Furthermore, t</w:t>
      </w:r>
      <w:r w:rsidRPr="007F3E94">
        <w:rPr>
          <w:rFonts w:ascii="Times New Roman" w:eastAsia="Times New Roman" w:hAnsi="Times New Roman" w:cs="Times New Roman"/>
          <w:kern w:val="0"/>
          <w:sz w:val="22"/>
          <w:szCs w:val="22"/>
          <w:lang w:eastAsia="en-GB"/>
          <w14:ligatures w14:val="none"/>
        </w:rPr>
        <w:t>he School Standards and Organisation (Wales) Act 2013 requires schools to promote a safe, inclusive environment and address learning barriers. However, rising exclusion figures suggest that schools may lack the necessary resources, strategies, or staff support to meet these obligations. While Wales’ exclusion guidance is grounded in trauma-informed, progressive principles, the rise in exclusion rates points to a gap between policy and school-level practice. Furthermore, the Framework on Embedding a Whole-School Approach to Mental Health and Well-being (2024) recommends safe, private spaces for distressed pupils, yet reviews of local school policies revealed continued use of punitive measures such as “inclusion rooms” or “isolation pods,” which contradict the framework’s approach. Isolation, as highlighted by Kupchik (2016) and Adams (2020), is associated with long-term psychological harm, including anxiety and rejection. Despite this, the Safe and Effective Intervention guidance (Welsh Government, 2013) allows isolation as a “short-term” measure, with ambiguous language that can lead to inconsistent implementation. While flexibility in policy can aid responsiveness (Howlett et al., 2018), ambiguity often leads to subjective practices, which can be harmful (Liu et al., 2018).</w:t>
      </w:r>
    </w:p>
    <w:p w14:paraId="00A6AB2B" w14:textId="77777777"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A similar contradiction appears in the treatment of breaktime, with the 2021 framework asserting that removing breaks for poor behaviour violates children’s rights (UNCRC, 1989), while the 2012 Practical Approaches to Behaviour Management permits it. This inconsistency risks undermining the framework’s rights-based intentions. A review of school policies found breaktime removal was still common, despite its ethical implications. As a comparison, removing breaks in the workplace would be unacceptable, raising concerns about how children are perceived within institutional systems.</w:t>
      </w:r>
    </w:p>
    <w:p w14:paraId="15013AA9" w14:textId="77777777" w:rsidR="00186AC1" w:rsidRPr="007F3E94" w:rsidRDefault="00186AC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On a positive note, the framework’s focus on professional development is a strength, calling for increased training on well-being and child development. This aligns with research by Schonert-Reichl (2017), who emphasises the importance of child development knowledge in effective teaching, and Darling-Hammond and Cook-Harvey (2018), who argue it improves student outcomes. However, resourcing remains a challenge, with only two percent of school spending allocated to professional development (Welsh Government, 2022), making the framework’s principles potentially aspirational without sufficient funding or clearer guidance.</w:t>
      </w:r>
    </w:p>
    <w:p w14:paraId="04A93C46" w14:textId="6184A377" w:rsidR="008C47A4" w:rsidRPr="007F3E94" w:rsidRDefault="008C47A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summary, my exploration of international approaches</w:t>
      </w:r>
      <w:r w:rsidR="009C24DD"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though limited to a brief review of government websites and selected research papers</w:t>
      </w:r>
      <w:r w:rsidR="009C24DD"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suggests that cultural values, societal expectations, and policy clarity strongly influence how restorative practices are adopted and applied. Finland and New Zealand, for example, illustrate the benefits of aligning national ethos, policy, and classroom practice to promote inclusive, supportive school environments. In contrast, more punitive models seen in the U.S. and parts of East Asia reflect how high-stakes accountability and cultural norms can negatively affect student wellbeing. In Wales, despite the presence of trauma-informed, rights-based policy frameworks, rising exclusion rates and inconsistent school</w:t>
      </w:r>
      <w:r w:rsidR="004116B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level practice reveal a troubling gap between policy and implementation.</w:t>
      </w:r>
    </w:p>
    <w:p w14:paraId="6B79FF87" w14:textId="36CF67DB" w:rsidR="008C47A4" w:rsidRPr="007F3E94" w:rsidRDefault="008C47A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To gain a more meaningful understanding of these dynamics, it would be valuable to conduct in-depth research into individual countries’ behavioural approaches and their long-term social and emotional outcomes. A focused investigation could, for instance, examine correlations between specific disciplinary models and rates of mental ill health</w:t>
      </w:r>
      <w:r w:rsidR="002924CC" w:rsidRPr="007F3E94">
        <w:rPr>
          <w:rFonts w:ascii="Times New Roman" w:eastAsia="Times New Roman" w:hAnsi="Times New Roman" w:cs="Times New Roman"/>
          <w:kern w:val="0"/>
          <w:sz w:val="22"/>
          <w:szCs w:val="22"/>
          <w:lang w:eastAsia="en-GB"/>
          <w14:ligatures w14:val="none"/>
        </w:rPr>
        <w:t>,</w:t>
      </w:r>
      <w:r w:rsidR="00C746A2"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particularly among boys, who are often </w:t>
      </w:r>
      <w:r w:rsidRPr="007F3E94">
        <w:rPr>
          <w:rFonts w:ascii="Times New Roman" w:eastAsia="Times New Roman" w:hAnsi="Times New Roman" w:cs="Times New Roman"/>
          <w:kern w:val="0"/>
          <w:sz w:val="22"/>
          <w:szCs w:val="22"/>
          <w:lang w:eastAsia="en-GB"/>
          <w14:ligatures w14:val="none"/>
        </w:rPr>
        <w:lastRenderedPageBreak/>
        <w:t>overrepresented in exclusion statistics and underdiagnosed in mental health contexts. Such research could inform more culturally responsive and developmentally supportive behaviour policies that prioritise both student wellbeing and equity in educational outcomes.</w:t>
      </w:r>
    </w:p>
    <w:p w14:paraId="1DD70029" w14:textId="77777777" w:rsidR="00EE1E15" w:rsidRPr="007F3E94" w:rsidRDefault="00EE1E15" w:rsidP="007F3E94">
      <w:pPr>
        <w:spacing w:line="480" w:lineRule="auto"/>
        <w:rPr>
          <w:sz w:val="22"/>
          <w:szCs w:val="22"/>
        </w:rPr>
      </w:pPr>
    </w:p>
    <w:p w14:paraId="725D69C1" w14:textId="1F275FE4" w:rsidR="00390211" w:rsidRPr="007F3E94" w:rsidRDefault="00CD6295" w:rsidP="007F3E94">
      <w:pPr>
        <w:spacing w:before="100" w:beforeAutospacing="1" w:after="100" w:afterAutospacing="1" w:line="480" w:lineRule="auto"/>
        <w:rPr>
          <w:sz w:val="22"/>
          <w:szCs w:val="22"/>
        </w:rPr>
      </w:pPr>
      <w:r w:rsidRPr="007F3E94">
        <w:rPr>
          <w:rFonts w:ascii="Times New Roman" w:eastAsia="Times New Roman" w:hAnsi="Times New Roman" w:cs="Times New Roman"/>
          <w:b/>
          <w:bCs/>
          <w:kern w:val="0"/>
          <w:sz w:val="22"/>
          <w:szCs w:val="22"/>
          <w:lang w:eastAsia="en-GB"/>
          <w14:ligatures w14:val="none"/>
        </w:rPr>
        <w:t>Neuroscientific Insights into Behaviour and trauma</w:t>
      </w:r>
    </w:p>
    <w:p w14:paraId="7FFC95E7" w14:textId="7AC52538" w:rsidR="004D182B" w:rsidRPr="007F3E94" w:rsidRDefault="00A73DE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Parallel to this, the development of emotion regulation in children </w:t>
      </w:r>
      <w:r w:rsidR="00D348D9" w:rsidRPr="007F3E94">
        <w:rPr>
          <w:sz w:val="22"/>
          <w:szCs w:val="22"/>
        </w:rPr>
        <w:t>seems</w:t>
      </w:r>
      <w:r w:rsidRPr="007F3E94">
        <w:rPr>
          <w:sz w:val="22"/>
          <w:szCs w:val="22"/>
        </w:rPr>
        <w:t xml:space="preserve"> crucial for understanding how disciplinary models</w:t>
      </w:r>
      <w:r w:rsidR="00481376" w:rsidRPr="007F3E94">
        <w:rPr>
          <w:sz w:val="22"/>
          <w:szCs w:val="22"/>
        </w:rPr>
        <w:t xml:space="preserve">, </w:t>
      </w:r>
      <w:r w:rsidRPr="007F3E94">
        <w:rPr>
          <w:sz w:val="22"/>
          <w:szCs w:val="22"/>
        </w:rPr>
        <w:t>whether restorative or punitive</w:t>
      </w:r>
      <w:r w:rsidR="00BF366C" w:rsidRPr="007F3E94">
        <w:rPr>
          <w:sz w:val="22"/>
          <w:szCs w:val="22"/>
        </w:rPr>
        <w:t xml:space="preserve">, </w:t>
      </w:r>
      <w:r w:rsidRPr="007F3E94">
        <w:rPr>
          <w:sz w:val="22"/>
          <w:szCs w:val="22"/>
        </w:rPr>
        <w:t>affect behavioural outcomes.</w:t>
      </w:r>
      <w:r w:rsidRPr="007F3E94">
        <w:rPr>
          <w:rFonts w:ascii="Times New Roman" w:eastAsia="Times New Roman" w:hAnsi="Times New Roman" w:cs="Times New Roman"/>
          <w:kern w:val="0"/>
          <w:sz w:val="22"/>
          <w:szCs w:val="22"/>
          <w:lang w:eastAsia="en-GB"/>
          <w14:ligatures w14:val="none"/>
        </w:rPr>
        <w:t xml:space="preserve"> The</w:t>
      </w:r>
      <w:r w:rsidR="001855E5" w:rsidRPr="007F3E94">
        <w:rPr>
          <w:rFonts w:ascii="Times New Roman" w:eastAsia="Times New Roman" w:hAnsi="Times New Roman" w:cs="Times New Roman"/>
          <w:kern w:val="0"/>
          <w:sz w:val="22"/>
          <w:szCs w:val="22"/>
          <w:lang w:eastAsia="en-GB"/>
          <w14:ligatures w14:val="none"/>
        </w:rPr>
        <w:t xml:space="preserve"> Prefrontal </w:t>
      </w:r>
      <w:r w:rsidR="00B318FE" w:rsidRPr="007F3E94">
        <w:rPr>
          <w:rFonts w:ascii="Times New Roman" w:eastAsia="Times New Roman" w:hAnsi="Times New Roman" w:cs="Times New Roman"/>
          <w:kern w:val="0"/>
          <w:sz w:val="22"/>
          <w:szCs w:val="22"/>
          <w:lang w:eastAsia="en-GB"/>
          <w14:ligatures w14:val="none"/>
        </w:rPr>
        <w:t>cortex is</w:t>
      </w:r>
      <w:r w:rsidR="001855E5" w:rsidRPr="007F3E94">
        <w:rPr>
          <w:rFonts w:ascii="Times New Roman" w:eastAsia="Times New Roman" w:hAnsi="Times New Roman" w:cs="Times New Roman"/>
          <w:kern w:val="0"/>
          <w:sz w:val="22"/>
          <w:szCs w:val="22"/>
          <w:lang w:eastAsia="en-GB"/>
          <w14:ligatures w14:val="none"/>
        </w:rPr>
        <w:t xml:space="preserve"> crucial for executive functions such as decision-making, impulse control, and moderating social behaviour</w:t>
      </w:r>
      <w:r w:rsidR="002F2F7D" w:rsidRPr="007F3E94">
        <w:rPr>
          <w:rFonts w:ascii="Times New Roman" w:eastAsia="Times New Roman" w:hAnsi="Times New Roman" w:cs="Times New Roman"/>
          <w:kern w:val="0"/>
          <w:sz w:val="22"/>
          <w:szCs w:val="22"/>
          <w:lang w:eastAsia="en-GB"/>
          <w14:ligatures w14:val="none"/>
        </w:rPr>
        <w:t xml:space="preserve"> (Friedman and Robbins, 2022</w:t>
      </w:r>
      <w:r w:rsidR="00431BE2" w:rsidRPr="007F3E94">
        <w:rPr>
          <w:rFonts w:ascii="Times New Roman" w:eastAsia="Times New Roman" w:hAnsi="Times New Roman" w:cs="Times New Roman"/>
          <w:kern w:val="0"/>
          <w:sz w:val="22"/>
          <w:szCs w:val="22"/>
          <w:lang w:eastAsia="en-GB"/>
          <w14:ligatures w14:val="none"/>
        </w:rPr>
        <w:t xml:space="preserve">). </w:t>
      </w:r>
      <w:r w:rsidR="001855E5" w:rsidRPr="007F3E94">
        <w:rPr>
          <w:rFonts w:ascii="Times New Roman" w:eastAsia="Times New Roman" w:hAnsi="Times New Roman" w:cs="Times New Roman"/>
          <w:kern w:val="0"/>
          <w:sz w:val="22"/>
          <w:szCs w:val="22"/>
          <w:lang w:eastAsia="en-GB"/>
          <w14:ligatures w14:val="none"/>
        </w:rPr>
        <w:t xml:space="preserve"> In children, the </w:t>
      </w:r>
      <w:r w:rsidR="00F15B51" w:rsidRPr="007F3E94">
        <w:rPr>
          <w:rFonts w:ascii="Times New Roman" w:eastAsia="Times New Roman" w:hAnsi="Times New Roman" w:cs="Times New Roman"/>
          <w:kern w:val="0"/>
          <w:sz w:val="22"/>
          <w:szCs w:val="22"/>
          <w:lang w:eastAsia="en-GB"/>
          <w14:ligatures w14:val="none"/>
        </w:rPr>
        <w:t>prefrontal cortex</w:t>
      </w:r>
      <w:r w:rsidR="001855E5" w:rsidRPr="007F3E94">
        <w:rPr>
          <w:rFonts w:ascii="Times New Roman" w:eastAsia="Times New Roman" w:hAnsi="Times New Roman" w:cs="Times New Roman"/>
          <w:kern w:val="0"/>
          <w:sz w:val="22"/>
          <w:szCs w:val="22"/>
          <w:lang w:eastAsia="en-GB"/>
          <w14:ligatures w14:val="none"/>
        </w:rPr>
        <w:t xml:space="preserve"> is still developing, which can lead to challenges in regulating emotions and </w:t>
      </w:r>
      <w:r w:rsidR="00F15B51" w:rsidRPr="007F3E94">
        <w:rPr>
          <w:rFonts w:ascii="Times New Roman" w:eastAsia="Times New Roman" w:hAnsi="Times New Roman" w:cs="Times New Roman"/>
          <w:kern w:val="0"/>
          <w:sz w:val="22"/>
          <w:szCs w:val="22"/>
          <w:lang w:eastAsia="en-GB"/>
          <w14:ligatures w14:val="none"/>
        </w:rPr>
        <w:t>behaviours</w:t>
      </w:r>
      <w:r w:rsidR="00000448" w:rsidRPr="007F3E94">
        <w:rPr>
          <w:rFonts w:ascii="Times New Roman" w:eastAsia="Times New Roman" w:hAnsi="Times New Roman" w:cs="Times New Roman"/>
          <w:kern w:val="0"/>
          <w:sz w:val="22"/>
          <w:szCs w:val="22"/>
          <w:lang w:eastAsia="en-GB"/>
          <w14:ligatures w14:val="none"/>
        </w:rPr>
        <w:t xml:space="preserve"> (Kolk and Rakic, 2022).</w:t>
      </w:r>
    </w:p>
    <w:p w14:paraId="27C3605D" w14:textId="53BED7F5" w:rsidR="002C6550"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Understanding the relationship between emotion regulation and </w:t>
      </w:r>
      <w:r w:rsidR="002C6550"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in children is essential for informing educational practices and improving </w:t>
      </w:r>
      <w:r w:rsidR="002C655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The studies “Regulatory Brain Development: Balancing Emotion and Cognition” and “The Neuroscience of Emotion Regulation Development: Implications for Education” provide compelling insights into how neurobiological development impacts emotional and </w:t>
      </w:r>
      <w:r w:rsidR="00F37A6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regulation, particularly in the context of education</w:t>
      </w:r>
      <w:r w:rsidR="00974594" w:rsidRPr="007F3E94">
        <w:rPr>
          <w:rFonts w:ascii="Times New Roman" w:eastAsia="Times New Roman" w:hAnsi="Times New Roman" w:cs="Times New Roman"/>
          <w:kern w:val="0"/>
          <w:sz w:val="22"/>
          <w:szCs w:val="22"/>
          <w:lang w:eastAsia="en-GB"/>
          <w14:ligatures w14:val="none"/>
        </w:rPr>
        <w:t xml:space="preserve"> (F</w:t>
      </w:r>
      <w:r w:rsidR="00974594" w:rsidRPr="007F3E94">
        <w:rPr>
          <w:sz w:val="22"/>
          <w:szCs w:val="22"/>
        </w:rPr>
        <w:t>riedman and Robbins, 2022</w:t>
      </w:r>
      <w:r w:rsidR="008D1E47" w:rsidRPr="007F3E94">
        <w:rPr>
          <w:sz w:val="22"/>
          <w:szCs w:val="22"/>
        </w:rPr>
        <w:t xml:space="preserve">; </w:t>
      </w:r>
      <w:r w:rsidR="00154E0C" w:rsidRPr="007F3E94">
        <w:rPr>
          <w:sz w:val="22"/>
          <w:szCs w:val="22"/>
        </w:rPr>
        <w:t xml:space="preserve"> Kolk and Rakic, 2022). </w:t>
      </w:r>
      <w:r w:rsidR="00974594" w:rsidRPr="007F3E94">
        <w:rPr>
          <w:sz w:val="22"/>
          <w:szCs w:val="22"/>
        </w:rPr>
        <w:t xml:space="preserve"> </w:t>
      </w:r>
      <w:r w:rsidRPr="007F3E94">
        <w:rPr>
          <w:rFonts w:ascii="Times New Roman" w:eastAsia="Times New Roman" w:hAnsi="Times New Roman" w:cs="Times New Roman"/>
          <w:kern w:val="0"/>
          <w:sz w:val="22"/>
          <w:szCs w:val="22"/>
          <w:lang w:eastAsia="en-GB"/>
          <w14:ligatures w14:val="none"/>
        </w:rPr>
        <w:t xml:space="preserve">However, while both studies offer valuable perspectives, their integration with </w:t>
      </w:r>
      <w:r w:rsidR="00F37A6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underscores the complexity of addressing dysregulation in educational environments.</w:t>
      </w:r>
    </w:p>
    <w:p w14:paraId="5B8FABBD" w14:textId="26A32A09"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The article </w:t>
      </w:r>
      <w:r w:rsidRPr="007F3E94">
        <w:rPr>
          <w:rFonts w:ascii="Times New Roman" w:eastAsia="Times New Roman" w:hAnsi="Times New Roman" w:cs="Times New Roman"/>
          <w:i/>
          <w:iCs/>
          <w:kern w:val="0"/>
          <w:sz w:val="22"/>
          <w:szCs w:val="22"/>
          <w:lang w:eastAsia="en-GB"/>
          <w14:ligatures w14:val="none"/>
        </w:rPr>
        <w:t>“Regulatory Brain Development: Balancing Emotion and Cognition”</w:t>
      </w:r>
      <w:r w:rsidRPr="007F3E94">
        <w:rPr>
          <w:rFonts w:ascii="Times New Roman" w:eastAsia="Times New Roman" w:hAnsi="Times New Roman" w:cs="Times New Roman"/>
          <w:kern w:val="0"/>
          <w:sz w:val="22"/>
          <w:szCs w:val="22"/>
          <w:lang w:eastAsia="en-GB"/>
          <w14:ligatures w14:val="none"/>
        </w:rPr>
        <w:t xml:space="preserve"> emphasi</w:t>
      </w:r>
      <w:r w:rsidR="00F37A60"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 xml:space="preserve">es the role of key brain regions, including the prefrontal </w:t>
      </w:r>
      <w:r w:rsidR="00B72DFB" w:rsidRPr="007F3E94">
        <w:rPr>
          <w:rFonts w:ascii="Times New Roman" w:eastAsia="Times New Roman" w:hAnsi="Times New Roman" w:cs="Times New Roman"/>
          <w:kern w:val="0"/>
          <w:sz w:val="22"/>
          <w:szCs w:val="22"/>
          <w:lang w:eastAsia="en-GB"/>
          <w14:ligatures w14:val="none"/>
        </w:rPr>
        <w:t>cortex and</w:t>
      </w:r>
      <w:r w:rsidRPr="007F3E94">
        <w:rPr>
          <w:rFonts w:ascii="Times New Roman" w:eastAsia="Times New Roman" w:hAnsi="Times New Roman" w:cs="Times New Roman"/>
          <w:kern w:val="0"/>
          <w:sz w:val="22"/>
          <w:szCs w:val="22"/>
          <w:lang w:eastAsia="en-GB"/>
          <w14:ligatures w14:val="none"/>
        </w:rPr>
        <w:t xml:space="preserve"> anterior cingulate cortex , in regulating emotional responses and cognitive control. These structures are central to the brain's ability to modulate emotional reactions, particularly in response to stressors</w:t>
      </w:r>
      <w:r w:rsidR="00003AAA" w:rsidRPr="007F3E94">
        <w:rPr>
          <w:rFonts w:ascii="Times New Roman" w:eastAsia="Times New Roman" w:hAnsi="Times New Roman" w:cs="Times New Roman"/>
          <w:kern w:val="0"/>
          <w:sz w:val="22"/>
          <w:szCs w:val="22"/>
          <w:lang w:eastAsia="en-GB"/>
          <w14:ligatures w14:val="none"/>
        </w:rPr>
        <w:t xml:space="preserve"> (Murrisan, 2016). </w:t>
      </w:r>
      <w:r w:rsidRPr="007F3E94">
        <w:rPr>
          <w:rFonts w:ascii="Times New Roman" w:eastAsia="Times New Roman" w:hAnsi="Times New Roman" w:cs="Times New Roman"/>
          <w:kern w:val="0"/>
          <w:sz w:val="22"/>
          <w:szCs w:val="22"/>
          <w:lang w:eastAsia="en-GB"/>
          <w14:ligatures w14:val="none"/>
        </w:rPr>
        <w:t xml:space="preserve">The study suggests that children who experience delays or impairments in the development of these brain regions may exhibit increased vulnerability to emotional dysregulation, leading to impulsive </w:t>
      </w:r>
      <w:r w:rsidR="00003AAA" w:rsidRPr="007F3E94">
        <w:rPr>
          <w:rFonts w:ascii="Times New Roman" w:eastAsia="Times New Roman" w:hAnsi="Times New Roman" w:cs="Times New Roman"/>
          <w:kern w:val="0"/>
          <w:sz w:val="22"/>
          <w:szCs w:val="22"/>
          <w:lang w:eastAsia="en-GB"/>
          <w14:ligatures w14:val="none"/>
        </w:rPr>
        <w:lastRenderedPageBreak/>
        <w:t>behaviours</w:t>
      </w:r>
      <w:r w:rsidRPr="007F3E94">
        <w:rPr>
          <w:rFonts w:ascii="Times New Roman" w:eastAsia="Times New Roman" w:hAnsi="Times New Roman" w:cs="Times New Roman"/>
          <w:kern w:val="0"/>
          <w:sz w:val="22"/>
          <w:szCs w:val="22"/>
          <w:lang w:eastAsia="en-GB"/>
          <w14:ligatures w14:val="none"/>
        </w:rPr>
        <w:t>, aggression, or withdrawal in the classroom. From a developmental perspective, these findings are significant because they align with Bronfenbrenner’s ecological systems theory</w:t>
      </w:r>
      <w:r w:rsidR="00003AAA" w:rsidRPr="007F3E94">
        <w:rPr>
          <w:rFonts w:ascii="Times New Roman" w:eastAsia="Times New Roman" w:hAnsi="Times New Roman" w:cs="Times New Roman"/>
          <w:kern w:val="0"/>
          <w:sz w:val="22"/>
          <w:szCs w:val="22"/>
          <w:lang w:eastAsia="en-GB"/>
          <w14:ligatures w14:val="none"/>
        </w:rPr>
        <w:t xml:space="preserve"> as discussed earlier</w:t>
      </w:r>
      <w:r w:rsidRPr="007F3E94">
        <w:rPr>
          <w:rFonts w:ascii="Times New Roman" w:eastAsia="Times New Roman" w:hAnsi="Times New Roman" w:cs="Times New Roman"/>
          <w:kern w:val="0"/>
          <w:sz w:val="22"/>
          <w:szCs w:val="22"/>
          <w:lang w:eastAsia="en-GB"/>
          <w14:ligatures w14:val="none"/>
        </w:rPr>
        <w:t xml:space="preserve">, which posits that a child's development is influenced by both biological factors and environmental inputs. Children with neurological deficits in emotion regulation may struggle to navigate the complex social and academic demands of school life, which can manifest as disruptive </w:t>
      </w:r>
      <w:r w:rsidR="0039514D" w:rsidRPr="007F3E94">
        <w:rPr>
          <w:rFonts w:ascii="Times New Roman" w:eastAsia="Times New Roman" w:hAnsi="Times New Roman" w:cs="Times New Roman"/>
          <w:kern w:val="0"/>
          <w:sz w:val="22"/>
          <w:szCs w:val="22"/>
          <w:lang w:eastAsia="en-GB"/>
          <w14:ligatures w14:val="none"/>
        </w:rPr>
        <w:t>behaviours</w:t>
      </w:r>
      <w:r w:rsidRPr="007F3E94">
        <w:rPr>
          <w:rFonts w:ascii="Times New Roman" w:eastAsia="Times New Roman" w:hAnsi="Times New Roman" w:cs="Times New Roman"/>
          <w:kern w:val="0"/>
          <w:sz w:val="22"/>
          <w:szCs w:val="22"/>
          <w:lang w:eastAsia="en-GB"/>
          <w14:ligatures w14:val="none"/>
        </w:rPr>
        <w:t xml:space="preserve"> or disengagement (Anthony, 2022).</w:t>
      </w:r>
    </w:p>
    <w:p w14:paraId="21586BC6" w14:textId="498D3837"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However, while this study provides a foundational understanding of the brain's role in emotion regulation, it leaves important questions about how these neural mechanisms are shaped by external influences, such as educational practices and environmental stressors. For instance, the study does not fully explore how factors </w:t>
      </w:r>
      <w:r w:rsidR="006C7498" w:rsidRPr="007F3E94">
        <w:rPr>
          <w:rFonts w:ascii="Times New Roman" w:eastAsia="Times New Roman" w:hAnsi="Times New Roman" w:cs="Times New Roman"/>
          <w:kern w:val="0"/>
          <w:sz w:val="22"/>
          <w:szCs w:val="22"/>
          <w:lang w:eastAsia="en-GB"/>
          <w14:ligatures w14:val="none"/>
        </w:rPr>
        <w:t>such as</w:t>
      </w:r>
      <w:r w:rsidRPr="007F3E94">
        <w:rPr>
          <w:rFonts w:ascii="Times New Roman" w:eastAsia="Times New Roman" w:hAnsi="Times New Roman" w:cs="Times New Roman"/>
          <w:kern w:val="0"/>
          <w:sz w:val="22"/>
          <w:szCs w:val="22"/>
          <w:lang w:eastAsia="en-GB"/>
          <w14:ligatures w14:val="none"/>
        </w:rPr>
        <w:t xml:space="preserve"> early childhood trauma or chronic stress can alter the development of the </w:t>
      </w:r>
      <w:r w:rsidR="0039514D" w:rsidRPr="007F3E94">
        <w:rPr>
          <w:rFonts w:ascii="Times New Roman" w:eastAsia="Times New Roman" w:hAnsi="Times New Roman" w:cs="Times New Roman"/>
          <w:kern w:val="0"/>
          <w:sz w:val="22"/>
          <w:szCs w:val="22"/>
          <w:lang w:eastAsia="en-GB"/>
          <w14:ligatures w14:val="none"/>
        </w:rPr>
        <w:t xml:space="preserve">prefrontal cortex </w:t>
      </w:r>
      <w:r w:rsidRPr="007F3E94">
        <w:rPr>
          <w:rFonts w:ascii="Times New Roman" w:eastAsia="Times New Roman" w:hAnsi="Times New Roman" w:cs="Times New Roman"/>
          <w:kern w:val="0"/>
          <w:sz w:val="22"/>
          <w:szCs w:val="22"/>
          <w:lang w:eastAsia="en-GB"/>
          <w14:ligatures w14:val="none"/>
        </w:rPr>
        <w:t xml:space="preserve"> and</w:t>
      </w:r>
      <w:r w:rsidR="00CD6295" w:rsidRPr="007F3E94">
        <w:rPr>
          <w:rFonts w:ascii="Times New Roman" w:eastAsia="Times New Roman" w:hAnsi="Times New Roman" w:cs="Times New Roman"/>
          <w:kern w:val="0"/>
          <w:sz w:val="22"/>
          <w:szCs w:val="22"/>
          <w:lang w:eastAsia="en-GB"/>
          <w14:ligatures w14:val="none"/>
        </w:rPr>
        <w:t xml:space="preserve"> the anterior cingulate cortex</w:t>
      </w:r>
      <w:r w:rsidRPr="007F3E94">
        <w:rPr>
          <w:rFonts w:ascii="Times New Roman" w:eastAsia="Times New Roman" w:hAnsi="Times New Roman" w:cs="Times New Roman"/>
          <w:kern w:val="0"/>
          <w:sz w:val="22"/>
          <w:szCs w:val="22"/>
          <w:lang w:eastAsia="en-GB"/>
          <w14:ligatures w14:val="none"/>
        </w:rPr>
        <w:t xml:space="preserve"> , nor does it address how school-based interventions could mitigate these neurological vulnerabilities. As Liu et al. (2018) highlight, environmental factors significantly impact brain development, and it is crucial to consider how educational systems either support or hinder emotional regulation processes. In contrast, the article </w:t>
      </w:r>
      <w:r w:rsidRPr="007F3E94">
        <w:rPr>
          <w:rFonts w:ascii="Times New Roman" w:eastAsia="Times New Roman" w:hAnsi="Times New Roman" w:cs="Times New Roman"/>
          <w:i/>
          <w:iCs/>
          <w:kern w:val="0"/>
          <w:sz w:val="22"/>
          <w:szCs w:val="22"/>
          <w:lang w:eastAsia="en-GB"/>
          <w14:ligatures w14:val="none"/>
        </w:rPr>
        <w:t>“The Neuroscience of Emotion Regulation Development: Implications for Education”</w:t>
      </w:r>
      <w:r w:rsidRPr="007F3E94">
        <w:rPr>
          <w:rFonts w:ascii="Times New Roman" w:eastAsia="Times New Roman" w:hAnsi="Times New Roman" w:cs="Times New Roman"/>
          <w:kern w:val="0"/>
          <w:sz w:val="22"/>
          <w:szCs w:val="22"/>
          <w:lang w:eastAsia="en-GB"/>
          <w14:ligatures w14:val="none"/>
        </w:rPr>
        <w:t xml:space="preserve"> takes a more applied approach, directly linking emotion regulation to </w:t>
      </w:r>
      <w:r w:rsidR="0039514D"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in school settings. It underscores that children who exhibit strong emotion regulation skills tend to demonstrate more cooperative </w:t>
      </w:r>
      <w:r w:rsidR="0039514D" w:rsidRPr="007F3E94">
        <w:rPr>
          <w:rFonts w:ascii="Times New Roman" w:eastAsia="Times New Roman" w:hAnsi="Times New Roman" w:cs="Times New Roman"/>
          <w:kern w:val="0"/>
          <w:sz w:val="22"/>
          <w:szCs w:val="22"/>
          <w:lang w:eastAsia="en-GB"/>
          <w14:ligatures w14:val="none"/>
        </w:rPr>
        <w:t>behaviours</w:t>
      </w:r>
      <w:r w:rsidRPr="007F3E94">
        <w:rPr>
          <w:rFonts w:ascii="Times New Roman" w:eastAsia="Times New Roman" w:hAnsi="Times New Roman" w:cs="Times New Roman"/>
          <w:kern w:val="0"/>
          <w:sz w:val="22"/>
          <w:szCs w:val="22"/>
          <w:lang w:eastAsia="en-GB"/>
          <w14:ligatures w14:val="none"/>
        </w:rPr>
        <w:t xml:space="preserve">, higher levels of academic engagement, and better social interactions, whereas those with difficulties in regulating emotions are prone to </w:t>
      </w:r>
      <w:r w:rsidR="00F53BB0"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disruptions (</w:t>
      </w:r>
      <w:r w:rsidR="00100803" w:rsidRPr="007F3E94">
        <w:rPr>
          <w:rFonts w:ascii="Times New Roman" w:eastAsia="Times New Roman" w:hAnsi="Times New Roman" w:cs="Times New Roman"/>
          <w:kern w:val="0"/>
          <w:sz w:val="22"/>
          <w:szCs w:val="22"/>
          <w:lang w:eastAsia="en-GB"/>
          <w14:ligatures w14:val="none"/>
        </w:rPr>
        <w:t>Liew, 2019</w:t>
      </w:r>
      <w:r w:rsidRPr="007F3E94">
        <w:rPr>
          <w:rFonts w:ascii="Times New Roman" w:eastAsia="Times New Roman" w:hAnsi="Times New Roman" w:cs="Times New Roman"/>
          <w:kern w:val="0"/>
          <w:sz w:val="22"/>
          <w:szCs w:val="22"/>
          <w:lang w:eastAsia="en-GB"/>
          <w14:ligatures w14:val="none"/>
        </w:rPr>
        <w:t>). This study emphasi</w:t>
      </w:r>
      <w:r w:rsidR="00100803"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es the need for social-emotional learning (SEL) programs as a proactive means of teaching emotion regulation skills, which research has shown can significantly reduce disciplinary issues and improve academic achievement (</w:t>
      </w:r>
      <w:r w:rsidR="004E3860" w:rsidRPr="007F3E94">
        <w:rPr>
          <w:rFonts w:ascii="Times New Roman" w:eastAsia="Times New Roman" w:hAnsi="Times New Roman" w:cs="Times New Roman"/>
          <w:kern w:val="0"/>
          <w:sz w:val="22"/>
          <w:szCs w:val="22"/>
          <w:lang w:eastAsia="en-GB"/>
          <w14:ligatures w14:val="none"/>
        </w:rPr>
        <w:t>Pedrini, 202</w:t>
      </w:r>
      <w:r w:rsidR="002B2700" w:rsidRPr="007F3E94">
        <w:rPr>
          <w:rFonts w:ascii="Times New Roman" w:eastAsia="Times New Roman" w:hAnsi="Times New Roman" w:cs="Times New Roman"/>
          <w:kern w:val="0"/>
          <w:sz w:val="22"/>
          <w:szCs w:val="22"/>
          <w:lang w:eastAsia="en-GB"/>
          <w14:ligatures w14:val="none"/>
        </w:rPr>
        <w:t>2</w:t>
      </w:r>
      <w:r w:rsidRPr="007F3E94">
        <w:rPr>
          <w:rFonts w:ascii="Times New Roman" w:eastAsia="Times New Roman" w:hAnsi="Times New Roman" w:cs="Times New Roman"/>
          <w:kern w:val="0"/>
          <w:sz w:val="22"/>
          <w:szCs w:val="22"/>
          <w:lang w:eastAsia="en-GB"/>
          <w14:ligatures w14:val="none"/>
        </w:rPr>
        <w:t xml:space="preserve">). The evidence suggests that by addressing emotional needs directly, educators can create environments that promote positive </w:t>
      </w:r>
      <w:r w:rsidR="002B2700"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and academic success.</w:t>
      </w:r>
    </w:p>
    <w:p w14:paraId="26C0590F" w14:textId="708A5E52" w:rsidR="000756CC"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While this applied perspective is valuable, it raises several questions about the effectiveness of SEL programs in addressing deep</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rooted emotional dysregulation. For instance, while SEL programs have </w:t>
      </w:r>
      <w:r w:rsidRPr="007F3E94">
        <w:rPr>
          <w:rFonts w:ascii="Times New Roman" w:eastAsia="Times New Roman" w:hAnsi="Times New Roman" w:cs="Times New Roman"/>
          <w:kern w:val="0"/>
          <w:sz w:val="22"/>
          <w:szCs w:val="22"/>
          <w:lang w:eastAsia="en-GB"/>
          <w14:ligatures w14:val="none"/>
        </w:rPr>
        <w:lastRenderedPageBreak/>
        <w:t>shown promise, they often operate on a one</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size</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fits</w:t>
      </w:r>
      <w:r w:rsidR="00B00508"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all model that may not account for the neurological diversity present in classrooms</w:t>
      </w:r>
      <w:r w:rsidR="00673A77" w:rsidRPr="007F3E94">
        <w:rPr>
          <w:rFonts w:ascii="Times New Roman" w:eastAsia="Times New Roman" w:hAnsi="Times New Roman" w:cs="Times New Roman"/>
          <w:kern w:val="0"/>
          <w:sz w:val="22"/>
          <w:szCs w:val="22"/>
          <w:lang w:eastAsia="en-GB"/>
          <w14:ligatures w14:val="none"/>
        </w:rPr>
        <w:t xml:space="preserve"> (Woodall, 2024). </w:t>
      </w:r>
      <w:r w:rsidRPr="007F3E94">
        <w:rPr>
          <w:rFonts w:ascii="Times New Roman" w:eastAsia="Times New Roman" w:hAnsi="Times New Roman" w:cs="Times New Roman"/>
          <w:kern w:val="0"/>
          <w:sz w:val="22"/>
          <w:szCs w:val="22"/>
          <w:lang w:eastAsia="en-GB"/>
          <w14:ligatures w14:val="none"/>
        </w:rPr>
        <w:t xml:space="preserve"> The study does not address how students with severe emotional dysregulation, particularly those with developmental or neurobiological conditions such as ADHD or autism spectrum disorder (ASD), might respond to general SEL interventions. As Schonert-Reichl (2017) notes, effective interventions must be individuali</w:t>
      </w:r>
      <w:r w:rsidR="00834714"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ed, as children with different neurological profiles may require tailored approaches to emotion regulation.</w:t>
      </w:r>
      <w:r w:rsidRPr="007F3E94">
        <w:rPr>
          <w:rFonts w:ascii="Times New Roman" w:eastAsia="Times New Roman" w:hAnsi="Times New Roman" w:cs="Times New Roman"/>
          <w:kern w:val="0"/>
          <w:sz w:val="22"/>
          <w:szCs w:val="22"/>
          <w:lang w:eastAsia="en-GB"/>
          <w14:ligatures w14:val="none"/>
        </w:rPr>
        <w:br/>
      </w:r>
    </w:p>
    <w:p w14:paraId="130DB385" w14:textId="12237109" w:rsidR="00A54617" w:rsidRPr="007F3E94" w:rsidRDefault="00AF4E7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Nevertheless, b</w:t>
      </w:r>
      <w:r w:rsidR="00A54617" w:rsidRPr="007F3E94">
        <w:rPr>
          <w:rFonts w:ascii="Times New Roman" w:eastAsia="Times New Roman" w:hAnsi="Times New Roman" w:cs="Times New Roman"/>
          <w:kern w:val="0"/>
          <w:sz w:val="22"/>
          <w:szCs w:val="22"/>
          <w:lang w:eastAsia="en-GB"/>
          <w14:ligatures w14:val="none"/>
        </w:rPr>
        <w:t xml:space="preserve">oth studies collectively argue that emotion regulation is integral to positive </w:t>
      </w:r>
      <w:r w:rsidR="00775981" w:rsidRPr="007F3E94">
        <w:rPr>
          <w:rFonts w:ascii="Times New Roman" w:eastAsia="Times New Roman" w:hAnsi="Times New Roman" w:cs="Times New Roman"/>
          <w:kern w:val="0"/>
          <w:sz w:val="22"/>
          <w:szCs w:val="22"/>
          <w:lang w:eastAsia="en-GB"/>
          <w14:ligatures w14:val="none"/>
        </w:rPr>
        <w:t>behavioural</w:t>
      </w:r>
      <w:r w:rsidR="00A54617" w:rsidRPr="007F3E94">
        <w:rPr>
          <w:rFonts w:ascii="Times New Roman" w:eastAsia="Times New Roman" w:hAnsi="Times New Roman" w:cs="Times New Roman"/>
          <w:kern w:val="0"/>
          <w:sz w:val="22"/>
          <w:szCs w:val="22"/>
          <w:lang w:eastAsia="en-GB"/>
          <w14:ligatures w14:val="none"/>
        </w:rPr>
        <w:t xml:space="preserve"> outcomes in educational settings. However, the</w:t>
      </w:r>
      <w:r w:rsidRPr="007F3E94">
        <w:rPr>
          <w:rFonts w:ascii="Times New Roman" w:eastAsia="Times New Roman" w:hAnsi="Times New Roman" w:cs="Times New Roman"/>
          <w:kern w:val="0"/>
          <w:sz w:val="22"/>
          <w:szCs w:val="22"/>
          <w:lang w:eastAsia="en-GB"/>
          <w14:ligatures w14:val="none"/>
        </w:rPr>
        <w:t xml:space="preserve"> studies</w:t>
      </w:r>
      <w:r w:rsidR="00A54617" w:rsidRPr="007F3E94">
        <w:rPr>
          <w:rFonts w:ascii="Times New Roman" w:eastAsia="Times New Roman" w:hAnsi="Times New Roman" w:cs="Times New Roman"/>
          <w:kern w:val="0"/>
          <w:sz w:val="22"/>
          <w:szCs w:val="22"/>
          <w:lang w:eastAsia="en-GB"/>
          <w14:ligatures w14:val="none"/>
        </w:rPr>
        <w:t xml:space="preserve"> do not sufficiently address the systemic challenges that educators face when attempting to implement emotion regulation strategies at the school level. While the studies advocate for emotional regulation as a means of promoting pro-social </w:t>
      </w:r>
      <w:r w:rsidR="00D031D7" w:rsidRPr="007F3E94">
        <w:rPr>
          <w:rFonts w:ascii="Times New Roman" w:eastAsia="Times New Roman" w:hAnsi="Times New Roman" w:cs="Times New Roman"/>
          <w:kern w:val="0"/>
          <w:sz w:val="22"/>
          <w:szCs w:val="22"/>
          <w:lang w:eastAsia="en-GB"/>
          <w14:ligatures w14:val="none"/>
        </w:rPr>
        <w:t>behaviours</w:t>
      </w:r>
      <w:r w:rsidR="00A54617" w:rsidRPr="007F3E94">
        <w:rPr>
          <w:rFonts w:ascii="Times New Roman" w:eastAsia="Times New Roman" w:hAnsi="Times New Roman" w:cs="Times New Roman"/>
          <w:kern w:val="0"/>
          <w:sz w:val="22"/>
          <w:szCs w:val="22"/>
          <w:lang w:eastAsia="en-GB"/>
          <w14:ligatures w14:val="none"/>
        </w:rPr>
        <w:t xml:space="preserve"> and academic success, they underestimate the impact of institutional constraints, such as teacher training, time limitations, and resource allocation, on the effectiveness of these strategies (Darling-Hammond &amp; Cook-Harvey, 2018). For example, the </w:t>
      </w:r>
      <w:r w:rsidR="00A54617" w:rsidRPr="007F3E94">
        <w:rPr>
          <w:rFonts w:ascii="Times New Roman" w:eastAsia="Times New Roman" w:hAnsi="Times New Roman" w:cs="Times New Roman"/>
          <w:i/>
          <w:iCs/>
          <w:kern w:val="0"/>
          <w:sz w:val="22"/>
          <w:szCs w:val="22"/>
          <w:lang w:eastAsia="en-GB"/>
          <w14:ligatures w14:val="none"/>
        </w:rPr>
        <w:t>“Regulatory Brain Development”</w:t>
      </w:r>
      <w:r w:rsidR="00A54617" w:rsidRPr="007F3E94">
        <w:rPr>
          <w:rFonts w:ascii="Times New Roman" w:eastAsia="Times New Roman" w:hAnsi="Times New Roman" w:cs="Times New Roman"/>
          <w:kern w:val="0"/>
          <w:sz w:val="22"/>
          <w:szCs w:val="22"/>
          <w:lang w:eastAsia="en-GB"/>
          <w14:ligatures w14:val="none"/>
        </w:rPr>
        <w:t xml:space="preserve"> article does not delve into the logistical barriers to providing individuali</w:t>
      </w:r>
      <w:r w:rsidR="00D031D7" w:rsidRPr="007F3E94">
        <w:rPr>
          <w:rFonts w:ascii="Times New Roman" w:eastAsia="Times New Roman" w:hAnsi="Times New Roman" w:cs="Times New Roman"/>
          <w:kern w:val="0"/>
          <w:sz w:val="22"/>
          <w:szCs w:val="22"/>
          <w:lang w:eastAsia="en-GB"/>
          <w14:ligatures w14:val="none"/>
        </w:rPr>
        <w:t>s</w:t>
      </w:r>
      <w:r w:rsidR="00A54617" w:rsidRPr="007F3E94">
        <w:rPr>
          <w:rFonts w:ascii="Times New Roman" w:eastAsia="Times New Roman" w:hAnsi="Times New Roman" w:cs="Times New Roman"/>
          <w:kern w:val="0"/>
          <w:sz w:val="22"/>
          <w:szCs w:val="22"/>
          <w:lang w:eastAsia="en-GB"/>
          <w14:ligatures w14:val="none"/>
        </w:rPr>
        <w:t>ed emotional support, which may be particularly challenging in under-resourced schools or large classroom settings.</w:t>
      </w:r>
    </w:p>
    <w:p w14:paraId="0FACA38D" w14:textId="65942884" w:rsidR="00A54617" w:rsidRPr="007F3E94" w:rsidRDefault="00A54617"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Moreover, the issue of policy inconsistencies within educational systems further complicates the application of emotion regulation strategies.</w:t>
      </w:r>
      <w:r w:rsidR="0078625B" w:rsidRPr="007F3E94">
        <w:rPr>
          <w:rFonts w:ascii="Times New Roman" w:eastAsia="Times New Roman" w:hAnsi="Times New Roman" w:cs="Times New Roman"/>
          <w:kern w:val="0"/>
          <w:sz w:val="22"/>
          <w:szCs w:val="22"/>
          <w:lang w:eastAsia="en-GB"/>
          <w14:ligatures w14:val="none"/>
        </w:rPr>
        <w:t xml:space="preserve"> As highlighted earlier,</w:t>
      </w:r>
      <w:r w:rsidRPr="007F3E94">
        <w:rPr>
          <w:rFonts w:ascii="Times New Roman" w:eastAsia="Times New Roman" w:hAnsi="Times New Roman" w:cs="Times New Roman"/>
          <w:kern w:val="0"/>
          <w:sz w:val="22"/>
          <w:szCs w:val="22"/>
          <w:lang w:eastAsia="en-GB"/>
          <w14:ligatures w14:val="none"/>
        </w:rPr>
        <w:t xml:space="preserve"> In Wales, for example, the Welsh Government’s Framework on Embedding a Whole-School Approach to Mental Health and Well-being (2024) recommends the implementation of trauma-informed practices, yet data indicate</w:t>
      </w:r>
      <w:r w:rsidR="008750E7"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 xml:space="preserve"> that exclusionary disciplinary measures, such as isolation pods and detention, remain widespread in schools (Welsh Government, 2024). These punitive strategies directly conflict with the principles of emotional regulation by exacerbating emotional dysregulation, highlighting a gap between policy recommendations and school-level practices (Kupchik, 2016). As the studies suggest, integrating </w:t>
      </w:r>
      <w:r w:rsidRPr="007F3E94">
        <w:rPr>
          <w:rFonts w:ascii="Times New Roman" w:eastAsia="Times New Roman" w:hAnsi="Times New Roman" w:cs="Times New Roman"/>
          <w:kern w:val="0"/>
          <w:sz w:val="22"/>
          <w:szCs w:val="22"/>
          <w:lang w:eastAsia="en-GB"/>
          <w14:ligatures w14:val="none"/>
        </w:rPr>
        <w:lastRenderedPageBreak/>
        <w:t>emotion regulation into educational practice is not only a biological imperative but also a structural challenge that requires systemic support, including teacher professional development and revised disciplinary policies.</w:t>
      </w:r>
    </w:p>
    <w:p w14:paraId="6D1026EC" w14:textId="485975DC" w:rsidR="00EB4783" w:rsidRPr="007F3E94" w:rsidRDefault="00EB4783"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Furthermore, neuroplasticity</w:t>
      </w:r>
      <w:r w:rsidR="004140DA" w:rsidRPr="007F3E94">
        <w:rPr>
          <w:rFonts w:ascii="Times New Roman" w:eastAsia="Times New Roman" w:hAnsi="Times New Roman" w:cs="Times New Roman"/>
          <w:kern w:val="0"/>
          <w:sz w:val="22"/>
          <w:szCs w:val="22"/>
          <w:lang w:eastAsia="en-GB"/>
          <w14:ligatures w14:val="none"/>
        </w:rPr>
        <w:t>,</w:t>
      </w:r>
      <w:r w:rsidR="00A6089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the brain’s capacity to reorgani</w:t>
      </w:r>
      <w:r w:rsidR="00D84BC5" w:rsidRPr="007F3E94">
        <w:rPr>
          <w:rFonts w:ascii="Times New Roman" w:eastAsia="Times New Roman" w:hAnsi="Times New Roman" w:cs="Times New Roman"/>
          <w:kern w:val="0"/>
          <w:sz w:val="22"/>
          <w:szCs w:val="22"/>
          <w:lang w:eastAsia="en-GB"/>
          <w14:ligatures w14:val="none"/>
        </w:rPr>
        <w:t>s</w:t>
      </w:r>
      <w:r w:rsidRPr="007F3E94">
        <w:rPr>
          <w:rFonts w:ascii="Times New Roman" w:eastAsia="Times New Roman" w:hAnsi="Times New Roman" w:cs="Times New Roman"/>
          <w:kern w:val="0"/>
          <w:sz w:val="22"/>
          <w:szCs w:val="22"/>
          <w:lang w:eastAsia="en-GB"/>
          <w14:ligatures w14:val="none"/>
        </w:rPr>
        <w:t>e and form new neural connections</w:t>
      </w:r>
      <w:r w:rsidR="00A6089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plays a crucial role in adolescent brain development, particularly in shaping emotional and </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regulation (Marzolo et al., 2023). During adolescence, the brain remains highly adaptable, with critical areas such as the prefrontal cortex and limbic system continuing to mature (Kumar </w:t>
      </w:r>
      <w:r w:rsidR="00D00F73" w:rsidRPr="007F3E94">
        <w:rPr>
          <w:rFonts w:ascii="Times New Roman" w:eastAsia="Times New Roman" w:hAnsi="Times New Roman" w:cs="Times New Roman"/>
          <w:kern w:val="0"/>
          <w:sz w:val="22"/>
          <w:szCs w:val="22"/>
          <w:lang w:eastAsia="en-GB"/>
          <w14:ligatures w14:val="none"/>
        </w:rPr>
        <w:t>and</w:t>
      </w:r>
      <w:r w:rsidRPr="007F3E94">
        <w:rPr>
          <w:rFonts w:ascii="Times New Roman" w:eastAsia="Times New Roman" w:hAnsi="Times New Roman" w:cs="Times New Roman"/>
          <w:kern w:val="0"/>
          <w:sz w:val="22"/>
          <w:szCs w:val="22"/>
          <w:lang w:eastAsia="en-GB"/>
          <w14:ligatures w14:val="none"/>
        </w:rPr>
        <w:t xml:space="preserve"> Jha, 2024). This plasticity offers significant opportunities for interventions that can influence </w:t>
      </w:r>
      <w:r w:rsidR="00D84BC5" w:rsidRPr="007F3E94">
        <w:rPr>
          <w:rFonts w:ascii="Times New Roman" w:eastAsia="Times New Roman" w:hAnsi="Times New Roman" w:cs="Times New Roman"/>
          <w:kern w:val="0"/>
          <w:sz w:val="22"/>
          <w:szCs w:val="22"/>
          <w:lang w:eastAsia="en-GB"/>
          <w14:ligatures w14:val="none"/>
        </w:rPr>
        <w:t>behaviour</w:t>
      </w:r>
      <w:r w:rsidRPr="007F3E94">
        <w:rPr>
          <w:rFonts w:ascii="Times New Roman" w:eastAsia="Times New Roman" w:hAnsi="Times New Roman" w:cs="Times New Roman"/>
          <w:kern w:val="0"/>
          <w:sz w:val="22"/>
          <w:szCs w:val="22"/>
          <w:lang w:eastAsia="en-GB"/>
          <w14:ligatures w14:val="none"/>
        </w:rPr>
        <w:t xml:space="preserve"> and emotional development (Cantor et al., 2021).</w:t>
      </w:r>
      <w:r w:rsidR="00045FC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Research highlights adolescence as a critical period for neuroplasticity, during which interventions can yield lasting effects on emotional and </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outcomes. Strategies like cognitive-</w:t>
      </w:r>
      <w:r w:rsidR="00D84BC5" w:rsidRPr="007F3E94">
        <w:rPr>
          <w:rFonts w:ascii="Times New Roman" w:eastAsia="Times New Roman" w:hAnsi="Times New Roman" w:cs="Times New Roman"/>
          <w:kern w:val="0"/>
          <w:sz w:val="22"/>
          <w:szCs w:val="22"/>
          <w:lang w:eastAsia="en-GB"/>
          <w14:ligatures w14:val="none"/>
        </w:rPr>
        <w:t>behavioural</w:t>
      </w:r>
      <w:r w:rsidRPr="007F3E94">
        <w:rPr>
          <w:rFonts w:ascii="Times New Roman" w:eastAsia="Times New Roman" w:hAnsi="Times New Roman" w:cs="Times New Roman"/>
          <w:kern w:val="0"/>
          <w:sz w:val="22"/>
          <w:szCs w:val="22"/>
          <w:lang w:eastAsia="en-GB"/>
          <w14:ligatures w14:val="none"/>
        </w:rPr>
        <w:t xml:space="preserve"> therapy, mindfulness practices, and social-emotional learning (SEL) programs leverage neuroplasticity to improve self-regulation, impulse control, and emotional awareness (Sing, 2024). These programs promote adaptive neural changes, particularly in the prefrontal cortex, which is involved in managing emotional responses (Beyer et al., 2021).</w:t>
      </w:r>
    </w:p>
    <w:p w14:paraId="3A276F85" w14:textId="5B73BAA1" w:rsidR="005A4531" w:rsidRPr="007F3E94" w:rsidRDefault="002B35E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Moreover, </w:t>
      </w:r>
      <w:r w:rsidR="001C7C5F" w:rsidRPr="007F3E94">
        <w:rPr>
          <w:rFonts w:ascii="Times New Roman" w:eastAsia="Times New Roman" w:hAnsi="Times New Roman" w:cs="Times New Roman"/>
          <w:kern w:val="0"/>
          <w:sz w:val="22"/>
          <w:szCs w:val="22"/>
          <w:lang w:eastAsia="en-GB"/>
          <w14:ligatures w14:val="none"/>
        </w:rPr>
        <w:t>a</w:t>
      </w:r>
      <w:r w:rsidR="005A4531" w:rsidRPr="007F3E94">
        <w:rPr>
          <w:rFonts w:ascii="Times New Roman" w:eastAsia="Times New Roman" w:hAnsi="Times New Roman" w:cs="Times New Roman"/>
          <w:kern w:val="0"/>
          <w:sz w:val="22"/>
          <w:szCs w:val="22"/>
          <w:lang w:eastAsia="en-GB"/>
          <w14:ligatures w14:val="none"/>
        </w:rPr>
        <w:t>dverse experiences such as trauma can significantly impair neuroplasticity, affecting emotional and behavioural development in children (Peckham, 2023). Rousseau (2023) highlights that early trauma often results in structural and functional changes in key brain regions like the amygdala and hippocampus, which are central to emotional regulation. These neurological alterations can manifest as difficulties with impulse control and emotional reactivity, frequently leading to challenging behaviours in classroom settings (Andrewes &amp; Jenkins, 2019). Trauma</w:t>
      </w:r>
      <w:r w:rsidR="00D1214A" w:rsidRPr="007F3E94">
        <w:rPr>
          <w:rFonts w:ascii="Times New Roman" w:eastAsia="Times New Roman" w:hAnsi="Times New Roman" w:cs="Times New Roman"/>
          <w:kern w:val="0"/>
          <w:sz w:val="22"/>
          <w:szCs w:val="22"/>
          <w:lang w:eastAsia="en-GB"/>
          <w14:ligatures w14:val="none"/>
        </w:rPr>
        <w:t xml:space="preserve"> </w:t>
      </w:r>
      <w:r w:rsidR="005A4531" w:rsidRPr="007F3E94">
        <w:rPr>
          <w:rFonts w:ascii="Times New Roman" w:eastAsia="Times New Roman" w:hAnsi="Times New Roman" w:cs="Times New Roman"/>
          <w:kern w:val="0"/>
          <w:sz w:val="22"/>
          <w:szCs w:val="22"/>
          <w:lang w:eastAsia="en-GB"/>
          <w14:ligatures w14:val="none"/>
        </w:rPr>
        <w:t>affected students may therefore struggle with social engagement and the ability to meet behavioural expectations (Rousseau, 2023).</w:t>
      </w:r>
    </w:p>
    <w:p w14:paraId="15EE043B" w14:textId="479EE33A" w:rsidR="005A4531" w:rsidRPr="007F3E94" w:rsidRDefault="005A453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 deeper understanding of the brain’s mirror neuron system further explains how trauma impacts behaviour. Mirror neurons, which are involved in empathy, imitation, and emotional attunement, allow individuals to interpret and reflect the emotions and actions of others (Rizzolatti </w:t>
      </w:r>
      <w:r w:rsidR="00D00F73" w:rsidRPr="007F3E94">
        <w:rPr>
          <w:rFonts w:ascii="Times New Roman" w:eastAsia="Times New Roman" w:hAnsi="Times New Roman" w:cs="Times New Roman"/>
          <w:kern w:val="0"/>
          <w:sz w:val="22"/>
          <w:szCs w:val="22"/>
          <w:lang w:eastAsia="en-GB"/>
          <w14:ligatures w14:val="none"/>
        </w:rPr>
        <w:t xml:space="preserve">and </w:t>
      </w:r>
      <w:r w:rsidRPr="007F3E94">
        <w:rPr>
          <w:rFonts w:ascii="Times New Roman" w:eastAsia="Times New Roman" w:hAnsi="Times New Roman" w:cs="Times New Roman"/>
          <w:kern w:val="0"/>
          <w:sz w:val="22"/>
          <w:szCs w:val="22"/>
          <w:lang w:eastAsia="en-GB"/>
          <w14:ligatures w14:val="none"/>
        </w:rPr>
        <w:t xml:space="preserve"> Sinigaglia, </w:t>
      </w:r>
      <w:r w:rsidRPr="007F3E94">
        <w:rPr>
          <w:rFonts w:ascii="Times New Roman" w:eastAsia="Times New Roman" w:hAnsi="Times New Roman" w:cs="Times New Roman"/>
          <w:kern w:val="0"/>
          <w:sz w:val="22"/>
          <w:szCs w:val="22"/>
          <w:lang w:eastAsia="en-GB"/>
          <w14:ligatures w14:val="none"/>
        </w:rPr>
        <w:lastRenderedPageBreak/>
        <w:t>2016). In supportive classroom environments, these neurons help students internalise positive behavioural models and develop prosocial skills. However, trauma can disrupt these systems, impairing students’ ability to read social cues or respond empathetically, thereby contributing to reactive or disengaged behaviour (</w:t>
      </w:r>
      <w:r w:rsidR="00BC2333" w:rsidRPr="007F3E94">
        <w:rPr>
          <w:sz w:val="22"/>
          <w:szCs w:val="22"/>
        </w:rPr>
        <w:t>Souers and Hall,  2019)</w:t>
      </w:r>
      <w:r w:rsidRPr="007F3E94">
        <w:rPr>
          <w:rFonts w:ascii="Times New Roman" w:eastAsia="Times New Roman" w:hAnsi="Times New Roman" w:cs="Times New Roman"/>
          <w:kern w:val="0"/>
          <w:sz w:val="22"/>
          <w:szCs w:val="22"/>
          <w:lang w:eastAsia="en-GB"/>
          <w14:ligatures w14:val="none"/>
        </w:rPr>
        <w:t>).</w:t>
      </w:r>
    </w:p>
    <w:p w14:paraId="672506C6" w14:textId="051E936F" w:rsidR="005A4531" w:rsidRPr="007F3E94" w:rsidRDefault="005A453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Despite these challenges, the brain’s capacity for change offers hope. Mullen (2021) argues that targeted, relational interventions can facilitate recovery and support healthy behavioural development. Restorative practices, in particular, align with both neuroplasticity and the function of mirror neurons by modelling empathy, reinforcing relational safety, and promoting co-regulation</w:t>
      </w:r>
      <w:r w:rsidR="00DE2B5C" w:rsidRPr="007F3E94">
        <w:rPr>
          <w:rFonts w:ascii="Times New Roman" w:eastAsia="Times New Roman" w:hAnsi="Times New Roman" w:cs="Times New Roman"/>
          <w:kern w:val="0"/>
          <w:sz w:val="22"/>
          <w:szCs w:val="22"/>
          <w:lang w:eastAsia="en-GB"/>
          <w14:ligatures w14:val="none"/>
        </w:rPr>
        <w:t xml:space="preserve"> </w:t>
      </w:r>
      <w:r w:rsidR="00725A23" w:rsidRPr="007F3E94">
        <w:rPr>
          <w:rFonts w:ascii="Times New Roman" w:eastAsia="Times New Roman" w:hAnsi="Times New Roman" w:cs="Times New Roman"/>
          <w:kern w:val="0"/>
          <w:sz w:val="22"/>
          <w:szCs w:val="22"/>
          <w:lang w:eastAsia="en-GB"/>
          <w14:ligatures w14:val="none"/>
        </w:rPr>
        <w:t>(</w:t>
      </w:r>
      <w:r w:rsidR="00DE2B5C" w:rsidRPr="007F3E94">
        <w:rPr>
          <w:sz w:val="22"/>
          <w:szCs w:val="22"/>
        </w:rPr>
        <w:t>Shamay-Tsoory</w:t>
      </w:r>
      <w:r w:rsidR="00725A23" w:rsidRPr="007F3E94">
        <w:rPr>
          <w:sz w:val="22"/>
          <w:szCs w:val="22"/>
        </w:rPr>
        <w:t xml:space="preserve">, </w:t>
      </w:r>
      <w:r w:rsidR="00DE2B5C" w:rsidRPr="007F3E94">
        <w:rPr>
          <w:sz w:val="22"/>
          <w:szCs w:val="22"/>
        </w:rPr>
        <w:t xml:space="preserve"> 2022</w:t>
      </w:r>
      <w:r w:rsidR="00725A23" w:rsidRPr="007F3E94">
        <w:rPr>
          <w:sz w:val="22"/>
          <w:szCs w:val="22"/>
        </w:rPr>
        <w:t>).</w:t>
      </w:r>
      <w:r w:rsidR="00DE2B5C"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As Gregory and Evans (2020)</w:t>
      </w:r>
      <w:r w:rsidR="0012373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Immordino-Yang and Damasio (2007) suggest, when students feel emotionally supported and connected, they are more likely to develop adaptive behavioural responses and engage constructively with peers and teachers.</w:t>
      </w:r>
    </w:p>
    <w:p w14:paraId="45969E7F" w14:textId="77376946" w:rsidR="0014503A" w:rsidRPr="007F3E94" w:rsidRDefault="0029698D"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this section, I explored how brain development affects emotion regulation and behaviour in schools. Research into areas like the prefrontal cortex offers insight,</w:t>
      </w:r>
      <w:r w:rsidR="00CB4B2C" w:rsidRPr="007F3E94">
        <w:rPr>
          <w:rFonts w:ascii="Times New Roman" w:eastAsia="Times New Roman" w:hAnsi="Times New Roman" w:cs="Times New Roman"/>
          <w:kern w:val="0"/>
          <w:sz w:val="22"/>
          <w:szCs w:val="22"/>
          <w:lang w:eastAsia="en-GB"/>
          <w14:ligatures w14:val="none"/>
        </w:rPr>
        <w:t xml:space="preserve"> however,</w:t>
      </w:r>
      <w:r w:rsidRPr="007F3E94">
        <w:rPr>
          <w:rFonts w:ascii="Times New Roman" w:eastAsia="Times New Roman" w:hAnsi="Times New Roman" w:cs="Times New Roman"/>
          <w:kern w:val="0"/>
          <w:sz w:val="22"/>
          <w:szCs w:val="22"/>
          <w:lang w:eastAsia="en-GB"/>
          <w14:ligatures w14:val="none"/>
        </w:rPr>
        <w:t xml:space="preserve"> I noticed much of it overlooks how stress and the school environment also shape these processes.</w:t>
      </w:r>
      <w:r w:rsidR="0096072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I found that while social-emotional learning (SEL) is often promoted, many studies rely on generalised outcomes that don’t reflect the needs of neurodiverse or trauma-affected students. There</w:t>
      </w:r>
      <w:r w:rsidR="00CB4B2C" w:rsidRPr="007F3E94">
        <w:rPr>
          <w:rFonts w:ascii="Times New Roman" w:eastAsia="Times New Roman" w:hAnsi="Times New Roman" w:cs="Times New Roman"/>
          <w:kern w:val="0"/>
          <w:sz w:val="22"/>
          <w:szCs w:val="22"/>
          <w:lang w:eastAsia="en-GB"/>
          <w14:ligatures w14:val="none"/>
        </w:rPr>
        <w:t xml:space="preserve"> appears to</w:t>
      </w:r>
      <w:r w:rsidRPr="007F3E94">
        <w:rPr>
          <w:rFonts w:ascii="Times New Roman" w:eastAsia="Times New Roman" w:hAnsi="Times New Roman" w:cs="Times New Roman"/>
          <w:kern w:val="0"/>
          <w:sz w:val="22"/>
          <w:szCs w:val="22"/>
          <w:lang w:eastAsia="en-GB"/>
          <w14:ligatures w14:val="none"/>
        </w:rPr>
        <w:t xml:space="preserve"> also</w:t>
      </w:r>
      <w:r w:rsidR="00CB4B2C" w:rsidRPr="007F3E94">
        <w:rPr>
          <w:rFonts w:ascii="Times New Roman" w:eastAsia="Times New Roman" w:hAnsi="Times New Roman" w:cs="Times New Roman"/>
          <w:kern w:val="0"/>
          <w:sz w:val="22"/>
          <w:szCs w:val="22"/>
          <w:lang w:eastAsia="en-GB"/>
          <w14:ligatures w14:val="none"/>
        </w:rPr>
        <w:t xml:space="preserve"> be</w:t>
      </w:r>
      <w:r w:rsidRPr="007F3E94">
        <w:rPr>
          <w:rFonts w:ascii="Times New Roman" w:eastAsia="Times New Roman" w:hAnsi="Times New Roman" w:cs="Times New Roman"/>
          <w:kern w:val="0"/>
          <w:sz w:val="22"/>
          <w:szCs w:val="22"/>
          <w:lang w:eastAsia="en-GB"/>
          <w14:ligatures w14:val="none"/>
        </w:rPr>
        <w:t xml:space="preserve"> a lack of long-term, mixed-methods research that looks at how these interventions work in varied school contexts.</w:t>
      </w:r>
      <w:r w:rsidR="0096072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Going forward, I believe research should combine neuroscience with sociocultural perspectives and include the voices of teachers and students. This would help create more realistic, inclusive approaches to behaviour support.</w:t>
      </w:r>
      <w:r w:rsidR="0014503A" w:rsidRPr="007F3E94">
        <w:rPr>
          <w:rFonts w:ascii="Times New Roman" w:eastAsia="Times New Roman" w:hAnsi="Times New Roman" w:cs="Times New Roman"/>
          <w:kern w:val="0"/>
          <w:sz w:val="22"/>
          <w:szCs w:val="22"/>
          <w:lang w:eastAsia="en-GB"/>
          <w14:ligatures w14:val="none"/>
        </w:rPr>
        <w:t xml:space="preserve"> </w:t>
      </w:r>
    </w:p>
    <w:p w14:paraId="28DA9D23" w14:textId="243583CC" w:rsidR="00101029" w:rsidRPr="007F3E94" w:rsidRDefault="0010102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Teacher training, knowledge and understanding</w:t>
      </w:r>
      <w:r w:rsidRPr="007F3E94">
        <w:rPr>
          <w:rFonts w:ascii="Times New Roman" w:eastAsia="Times New Roman" w:hAnsi="Times New Roman" w:cs="Times New Roman"/>
          <w:kern w:val="0"/>
          <w:sz w:val="22"/>
          <w:szCs w:val="22"/>
          <w:lang w:eastAsia="en-GB"/>
          <w14:ligatures w14:val="none"/>
        </w:rPr>
        <w:t xml:space="preserve">. </w:t>
      </w:r>
    </w:p>
    <w:p w14:paraId="73117D4B" w14:textId="162ACE05" w:rsidR="00FC5C01" w:rsidRPr="007F3E94" w:rsidRDefault="00FC5C01"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sz w:val="22"/>
          <w:szCs w:val="22"/>
        </w:rPr>
        <w:t xml:space="preserve">Behaviour expectations are central to shaping a school's ethos, impacting student-teacher interactions, conflict management, and the overall school environment (Beauchamp et al., 2021). Clearly defined, positively framed expectations contribute to a respectful, inclusive culture that promotes psychological safety and student engagement (Shahid </w:t>
      </w:r>
      <w:r w:rsidR="00A1355F" w:rsidRPr="007F3E94">
        <w:rPr>
          <w:sz w:val="22"/>
          <w:szCs w:val="22"/>
        </w:rPr>
        <w:t xml:space="preserve">and </w:t>
      </w:r>
      <w:r w:rsidRPr="007F3E94">
        <w:rPr>
          <w:sz w:val="22"/>
          <w:szCs w:val="22"/>
        </w:rPr>
        <w:t xml:space="preserve"> Din, 2021</w:t>
      </w:r>
      <w:r w:rsidR="008F209A" w:rsidRPr="007F3E94">
        <w:rPr>
          <w:sz w:val="22"/>
          <w:szCs w:val="22"/>
        </w:rPr>
        <w:t>;</w:t>
      </w:r>
      <w:r w:rsidRPr="007F3E94">
        <w:rPr>
          <w:sz w:val="22"/>
          <w:szCs w:val="22"/>
        </w:rPr>
        <w:t xml:space="preserve"> </w:t>
      </w:r>
      <w:r w:rsidRPr="007F3E94">
        <w:rPr>
          <w:sz w:val="22"/>
          <w:szCs w:val="22"/>
        </w:rPr>
        <w:lastRenderedPageBreak/>
        <w:t xml:space="preserve">McCluskey </w:t>
      </w:r>
      <w:r w:rsidR="008F209A" w:rsidRPr="007F3E94">
        <w:rPr>
          <w:sz w:val="22"/>
          <w:szCs w:val="22"/>
        </w:rPr>
        <w:t>and</w:t>
      </w:r>
      <w:r w:rsidRPr="007F3E94">
        <w:rPr>
          <w:sz w:val="22"/>
          <w:szCs w:val="22"/>
        </w:rPr>
        <w:t xml:space="preserve"> Riddell, 2021). Restorative practices, which view misbehaviour as an opportunity for dialogue and repair, foster stronger relationships and reduce behavioural incidents (Gregory, Clawson &amp; Davis, 2022). However, unrealistic or developmentally inappropriate expectations can alienate students, particularly those from marginali</w:t>
      </w:r>
      <w:r w:rsidR="00E2288D" w:rsidRPr="007F3E94">
        <w:rPr>
          <w:sz w:val="22"/>
          <w:szCs w:val="22"/>
        </w:rPr>
        <w:t>s</w:t>
      </w:r>
      <w:r w:rsidRPr="007F3E94">
        <w:rPr>
          <w:sz w:val="22"/>
          <w:szCs w:val="22"/>
        </w:rPr>
        <w:t xml:space="preserve">ed backgrounds, exacerbating disengagement and reinforcing inequities (DeMatthews </w:t>
      </w:r>
      <w:r w:rsidR="00E2288D" w:rsidRPr="007F3E94">
        <w:rPr>
          <w:sz w:val="22"/>
          <w:szCs w:val="22"/>
        </w:rPr>
        <w:t>and</w:t>
      </w:r>
      <w:r w:rsidRPr="007F3E94">
        <w:rPr>
          <w:sz w:val="22"/>
          <w:szCs w:val="22"/>
        </w:rPr>
        <w:t xml:space="preserve"> Izquierdo</w:t>
      </w:r>
      <w:r w:rsidR="00E2288D" w:rsidRPr="007F3E94">
        <w:rPr>
          <w:sz w:val="22"/>
          <w:szCs w:val="22"/>
        </w:rPr>
        <w:t xml:space="preserve"> 2020</w:t>
      </w:r>
      <w:r w:rsidR="00123735" w:rsidRPr="007F3E94">
        <w:rPr>
          <w:sz w:val="22"/>
          <w:szCs w:val="22"/>
        </w:rPr>
        <w:t xml:space="preserve">; </w:t>
      </w:r>
      <w:r w:rsidRPr="007F3E94">
        <w:rPr>
          <w:sz w:val="22"/>
          <w:szCs w:val="22"/>
        </w:rPr>
        <w:t xml:space="preserve"> Smith </w:t>
      </w:r>
      <w:r w:rsidR="00E2288D" w:rsidRPr="007F3E94">
        <w:rPr>
          <w:sz w:val="22"/>
          <w:szCs w:val="22"/>
        </w:rPr>
        <w:t xml:space="preserve">and </w:t>
      </w:r>
      <w:r w:rsidRPr="007F3E94">
        <w:rPr>
          <w:sz w:val="22"/>
          <w:szCs w:val="22"/>
        </w:rPr>
        <w:t xml:space="preserve"> Stosich 2020). </w:t>
      </w:r>
      <w:r w:rsidR="00DC52C6" w:rsidRPr="007F3E94">
        <w:rPr>
          <w:sz w:val="22"/>
          <w:szCs w:val="22"/>
        </w:rPr>
        <w:t>Additionally according to (Estyn, 2023 and NASUWT, 2023)   e</w:t>
      </w:r>
      <w:r w:rsidRPr="007F3E94">
        <w:rPr>
          <w:sz w:val="22"/>
          <w:szCs w:val="22"/>
        </w:rPr>
        <w:t>ffective behaviour expectations must be grounded in inclusivity and emotional sensitivity, but structural barriers such as inadequate resourcing and teacher training hinder their successful implementation .</w:t>
      </w:r>
      <w:r w:rsidR="00143F38" w:rsidRPr="007F3E94">
        <w:rPr>
          <w:sz w:val="22"/>
          <w:szCs w:val="22"/>
        </w:rPr>
        <w:t xml:space="preserve">Moreover, </w:t>
      </w:r>
      <w:r w:rsidRPr="007F3E94">
        <w:rPr>
          <w:sz w:val="22"/>
          <w:szCs w:val="22"/>
        </w:rPr>
        <w:t xml:space="preserve"> For restorative practices to thrive, schools require ongoing professional development, targeted funding, and a whole-school approach, ensuring behaviour management is consistent, relational, and equitable (Sage Journals, 2023; Government of Wales, 2023). </w:t>
      </w:r>
      <w:r w:rsidR="00FE3962" w:rsidRPr="007F3E94">
        <w:rPr>
          <w:sz w:val="22"/>
          <w:szCs w:val="22"/>
        </w:rPr>
        <w:t>Furthermore, a</w:t>
      </w:r>
      <w:r w:rsidRPr="007F3E94">
        <w:rPr>
          <w:sz w:val="22"/>
          <w:szCs w:val="22"/>
        </w:rPr>
        <w:t>ddressing these needs is essential for creating a supportive learning environment that prioriti</w:t>
      </w:r>
      <w:r w:rsidR="00FE3962" w:rsidRPr="007F3E94">
        <w:rPr>
          <w:sz w:val="22"/>
          <w:szCs w:val="22"/>
        </w:rPr>
        <w:t>s</w:t>
      </w:r>
      <w:r w:rsidRPr="007F3E94">
        <w:rPr>
          <w:sz w:val="22"/>
          <w:szCs w:val="22"/>
        </w:rPr>
        <w:t>es students' emotional and social development alongside academic success.</w:t>
      </w:r>
    </w:p>
    <w:p w14:paraId="24CCF0B3" w14:textId="508A0372"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Despite progressive policy ambitions, Initial Teacher Education (ITE) in Wales </w:t>
      </w:r>
      <w:r w:rsidR="00FE3962" w:rsidRPr="007F3E94">
        <w:rPr>
          <w:rFonts w:ascii="Times New Roman" w:eastAsia="Times New Roman" w:hAnsi="Times New Roman" w:cs="Times New Roman"/>
          <w:kern w:val="0"/>
          <w:sz w:val="22"/>
          <w:szCs w:val="22"/>
          <w:lang w:eastAsia="en-GB"/>
          <w14:ligatures w14:val="none"/>
        </w:rPr>
        <w:t xml:space="preserve">appears to </w:t>
      </w:r>
      <w:r w:rsidRPr="007F3E94">
        <w:rPr>
          <w:rFonts w:ascii="Times New Roman" w:eastAsia="Times New Roman" w:hAnsi="Times New Roman" w:cs="Times New Roman"/>
          <w:kern w:val="0"/>
          <w:sz w:val="22"/>
          <w:szCs w:val="22"/>
          <w:lang w:eastAsia="en-GB"/>
          <w14:ligatures w14:val="none"/>
        </w:rPr>
        <w:t>remain inadequately equipped to prepare educators for the behavioural realities of contemporary classrooms. While the Curriculum for Wales promotes a holistic and inclusive vision (Welsh Government, 2022), ITE programmes have been critiqued for overemphasising theoretical knowledge at the expense of practical training in behaviour management. Although an understanding of the psychological, social, and developmental underpinnings of behaviour is foundational, limited opportunities to apply this knowledge through restorative and trauma-informed strategies often leave new teachers underprepared for complex classroom dynamics (Estyn, 2023; Jones et al., 2022). Compounding this, behaviour management is embedded within broader competencies in the Professional Standards for Teaching and Leadership, diminishing its visibility and prioritisation in training (Welsh Government, 2017).</w:t>
      </w:r>
      <w:r w:rsidR="00D8165D" w:rsidRPr="007F3E94">
        <w:rPr>
          <w:rFonts w:ascii="Times New Roman" w:eastAsia="Times New Roman" w:hAnsi="Times New Roman" w:cs="Times New Roman"/>
          <w:kern w:val="0"/>
          <w:sz w:val="22"/>
          <w:szCs w:val="22"/>
          <w:lang w:eastAsia="en-GB"/>
          <w14:ligatures w14:val="none"/>
        </w:rPr>
        <w:t xml:space="preserve">Thus, </w:t>
      </w:r>
      <w:r w:rsidRPr="007F3E94">
        <w:rPr>
          <w:rFonts w:ascii="Times New Roman" w:eastAsia="Times New Roman" w:hAnsi="Times New Roman" w:cs="Times New Roman"/>
          <w:kern w:val="0"/>
          <w:sz w:val="22"/>
          <w:szCs w:val="22"/>
          <w:lang w:eastAsia="en-GB"/>
          <w14:ligatures w14:val="none"/>
        </w:rPr>
        <w:t xml:space="preserve"> Estyn (2023) has highlighted significant inconsistencies in how behaviour training is </w:t>
      </w:r>
      <w:r w:rsidRPr="007F3E94">
        <w:rPr>
          <w:rFonts w:ascii="Times New Roman" w:eastAsia="Times New Roman" w:hAnsi="Times New Roman" w:cs="Times New Roman"/>
          <w:kern w:val="0"/>
          <w:sz w:val="22"/>
          <w:szCs w:val="22"/>
          <w:lang w:eastAsia="en-GB"/>
          <w14:ligatures w14:val="none"/>
        </w:rPr>
        <w:lastRenderedPageBreak/>
        <w:t>delivered across ITE providers, leading to uneven classroom readiness and a continued reliance on reactive or punitive practices (Oxley, 2023).</w:t>
      </w:r>
    </w:p>
    <w:p w14:paraId="653AC7BC" w14:textId="7D756F93"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Although frameworks like the </w:t>
      </w:r>
      <w:r w:rsidRPr="007F3E94">
        <w:rPr>
          <w:rFonts w:ascii="Times New Roman" w:eastAsia="Times New Roman" w:hAnsi="Times New Roman" w:cs="Times New Roman"/>
          <w:i/>
          <w:iCs/>
          <w:kern w:val="0"/>
          <w:sz w:val="22"/>
          <w:szCs w:val="22"/>
          <w:lang w:eastAsia="en-GB"/>
          <w14:ligatures w14:val="none"/>
        </w:rPr>
        <w:t>Whole-School Approach to Mental Health and Well-being</w:t>
      </w:r>
      <w:r w:rsidRPr="007F3E94">
        <w:rPr>
          <w:rFonts w:ascii="Times New Roman" w:eastAsia="Times New Roman" w:hAnsi="Times New Roman" w:cs="Times New Roman"/>
          <w:kern w:val="0"/>
          <w:sz w:val="22"/>
          <w:szCs w:val="22"/>
          <w:lang w:eastAsia="en-GB"/>
          <w14:ligatures w14:val="none"/>
        </w:rPr>
        <w:t xml:space="preserve"> (Welsh Government, 2021) offer valuable tools, their exclusion from mandatory ITE curricula limits their practical impact. This is particularly problematic given the post-pandemic rise in pupil mental health needs and increasing neurodiversity (The Guardian, 2024). The pressures on the profession are also intensifying: in 2023, </w:t>
      </w:r>
      <w:r w:rsidR="006446E6" w:rsidRPr="007F3E94">
        <w:rPr>
          <w:rFonts w:ascii="Times New Roman" w:eastAsia="Times New Roman" w:hAnsi="Times New Roman" w:cs="Times New Roman"/>
          <w:kern w:val="0"/>
          <w:sz w:val="22"/>
          <w:szCs w:val="22"/>
          <w:lang w:eastAsia="en-GB"/>
          <w14:ligatures w14:val="none"/>
        </w:rPr>
        <w:t xml:space="preserve"> seventy eight percent </w:t>
      </w:r>
      <w:r w:rsidRPr="007F3E94">
        <w:rPr>
          <w:rFonts w:ascii="Times New Roman" w:eastAsia="Times New Roman" w:hAnsi="Times New Roman" w:cs="Times New Roman"/>
          <w:kern w:val="0"/>
          <w:sz w:val="22"/>
          <w:szCs w:val="22"/>
          <w:lang w:eastAsia="en-GB"/>
          <w14:ligatures w14:val="none"/>
        </w:rPr>
        <w:t xml:space="preserve"> of Welsh education staff reported work-related stress, rising to </w:t>
      </w:r>
      <w:r w:rsidR="006446E6" w:rsidRPr="007F3E94">
        <w:rPr>
          <w:rFonts w:ascii="Times New Roman" w:eastAsia="Times New Roman" w:hAnsi="Times New Roman" w:cs="Times New Roman"/>
          <w:kern w:val="0"/>
          <w:sz w:val="22"/>
          <w:szCs w:val="22"/>
          <w:lang w:eastAsia="en-GB"/>
          <w14:ligatures w14:val="none"/>
        </w:rPr>
        <w:t>ninety five percent</w:t>
      </w:r>
      <w:r w:rsidRPr="007F3E94">
        <w:rPr>
          <w:rFonts w:ascii="Times New Roman" w:eastAsia="Times New Roman" w:hAnsi="Times New Roman" w:cs="Times New Roman"/>
          <w:kern w:val="0"/>
          <w:sz w:val="22"/>
          <w:szCs w:val="22"/>
          <w:lang w:eastAsia="en-GB"/>
          <w14:ligatures w14:val="none"/>
        </w:rPr>
        <w:t xml:space="preserve"> among headteachers, with </w:t>
      </w:r>
      <w:r w:rsidR="006446E6" w:rsidRPr="007F3E94">
        <w:rPr>
          <w:rFonts w:ascii="Times New Roman" w:eastAsia="Times New Roman" w:hAnsi="Times New Roman" w:cs="Times New Roman"/>
          <w:kern w:val="0"/>
          <w:sz w:val="22"/>
          <w:szCs w:val="22"/>
          <w:lang w:eastAsia="en-GB"/>
          <w14:ligatures w14:val="none"/>
        </w:rPr>
        <w:t>eighty two percent</w:t>
      </w:r>
      <w:r w:rsidRPr="007F3E94">
        <w:rPr>
          <w:rFonts w:ascii="Times New Roman" w:eastAsia="Times New Roman" w:hAnsi="Times New Roman" w:cs="Times New Roman"/>
          <w:kern w:val="0"/>
          <w:sz w:val="22"/>
          <w:szCs w:val="22"/>
          <w:lang w:eastAsia="en-GB"/>
          <w14:ligatures w14:val="none"/>
        </w:rPr>
        <w:t xml:space="preserve"> attributing this to increased behavioural challenges (Education Support, 2023). These figures point to a sector under significant strain and highlight the urgent need for evidence</w:t>
      </w:r>
      <w:r w:rsidR="00033C09"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informed, emotionally literate training that supports both pupil and teacher well-being.</w:t>
      </w:r>
    </w:p>
    <w:p w14:paraId="1B0D66CB" w14:textId="44A90710"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Estyn’s report, </w:t>
      </w:r>
      <w:r w:rsidRPr="007F3E94">
        <w:rPr>
          <w:rFonts w:ascii="Times New Roman" w:eastAsia="Times New Roman" w:hAnsi="Times New Roman" w:cs="Times New Roman"/>
          <w:i/>
          <w:iCs/>
          <w:kern w:val="0"/>
          <w:sz w:val="22"/>
          <w:szCs w:val="22"/>
          <w:lang w:eastAsia="en-GB"/>
          <w14:ligatures w14:val="none"/>
        </w:rPr>
        <w:t>Fostering Mutual Respect – Promoting Positive Behaviours in Secondary Schools</w:t>
      </w:r>
      <w:r w:rsidRPr="007F3E94">
        <w:rPr>
          <w:rFonts w:ascii="Times New Roman" w:eastAsia="Times New Roman" w:hAnsi="Times New Roman" w:cs="Times New Roman"/>
          <w:kern w:val="0"/>
          <w:sz w:val="22"/>
          <w:szCs w:val="22"/>
          <w:lang w:eastAsia="en-GB"/>
          <w14:ligatures w14:val="none"/>
        </w:rPr>
        <w:t xml:space="preserve"> (2025), identifies promising practices that reflect these needs. It highlights the impact of consistent routines, relational pedagogy, and restorative approaches in fostering trust, improving behaviour, and reducing exclusions. Schools that co-construct behavioural expectations with pupils, prioritise student voice, and celebrate diversity are more likely to sustain respectful, inclusive environments</w:t>
      </w:r>
      <w:r w:rsidR="004C7ADE" w:rsidRPr="007F3E94">
        <w:rPr>
          <w:rFonts w:ascii="Times New Roman" w:eastAsia="Times New Roman" w:hAnsi="Times New Roman" w:cs="Times New Roman"/>
          <w:kern w:val="0"/>
          <w:sz w:val="22"/>
          <w:szCs w:val="22"/>
          <w:lang w:eastAsia="en-GB"/>
          <w14:ligatures w14:val="none"/>
        </w:rPr>
        <w:t xml:space="preserve"> (</w:t>
      </w:r>
      <w:r w:rsidR="004C7ADE" w:rsidRPr="007F3E94">
        <w:rPr>
          <w:sz w:val="22"/>
          <w:szCs w:val="22"/>
        </w:rPr>
        <w:t xml:space="preserve">Messiou et al., 2023). </w:t>
      </w:r>
      <w:r w:rsidRPr="007F3E94">
        <w:rPr>
          <w:rFonts w:ascii="Times New Roman" w:eastAsia="Times New Roman" w:hAnsi="Times New Roman" w:cs="Times New Roman"/>
          <w:kern w:val="0"/>
          <w:sz w:val="22"/>
          <w:szCs w:val="22"/>
          <w:lang w:eastAsia="en-GB"/>
          <w14:ligatures w14:val="none"/>
        </w:rPr>
        <w:t xml:space="preserve"> Yet, the report also outlines persistent challenges</w:t>
      </w:r>
      <w:r w:rsidR="00962070" w:rsidRPr="007F3E94">
        <w:rPr>
          <w:rFonts w:ascii="Times New Roman" w:eastAsia="Times New Roman" w:hAnsi="Times New Roman" w:cs="Times New Roman"/>
          <w:kern w:val="0"/>
          <w:sz w:val="22"/>
          <w:szCs w:val="22"/>
          <w:lang w:eastAsia="en-GB"/>
          <w14:ligatures w14:val="none"/>
        </w:rPr>
        <w:t xml:space="preserve"> such as</w:t>
      </w:r>
      <w:r w:rsidRPr="007F3E94">
        <w:rPr>
          <w:rFonts w:ascii="Times New Roman" w:eastAsia="Times New Roman" w:hAnsi="Times New Roman" w:cs="Times New Roman"/>
          <w:kern w:val="0"/>
          <w:sz w:val="22"/>
          <w:szCs w:val="22"/>
          <w:lang w:eastAsia="en-GB"/>
          <w14:ligatures w14:val="none"/>
        </w:rPr>
        <w:t xml:space="preserve"> inconsistent staff implementation, insufficient professional development, and entrenched punitive cultures. These findings underscore the importance of whole-school ethos, but also signal that meaningful change requires systemic investment in teacher education, coherent policy application, and sustained leadership commitment.</w:t>
      </w:r>
    </w:p>
    <w:p w14:paraId="6C2D3802" w14:textId="19FFFFDA" w:rsidR="00715E58" w:rsidRPr="007F3E94" w:rsidRDefault="00715E58"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 xml:space="preserve">While the refreshed </w:t>
      </w:r>
      <w:r w:rsidRPr="007F3E94">
        <w:rPr>
          <w:rFonts w:ascii="Times New Roman" w:eastAsia="Times New Roman" w:hAnsi="Times New Roman" w:cs="Times New Roman"/>
          <w:i/>
          <w:iCs/>
          <w:kern w:val="0"/>
          <w:sz w:val="22"/>
          <w:szCs w:val="22"/>
          <w:lang w:eastAsia="en-GB"/>
          <w14:ligatures w14:val="none"/>
        </w:rPr>
        <w:t>Criteria for Accreditation of ITE Programmes in Wales</w:t>
      </w:r>
      <w:r w:rsidRPr="007F3E94">
        <w:rPr>
          <w:rFonts w:ascii="Times New Roman" w:eastAsia="Times New Roman" w:hAnsi="Times New Roman" w:cs="Times New Roman"/>
          <w:kern w:val="0"/>
          <w:sz w:val="22"/>
          <w:szCs w:val="22"/>
          <w:lang w:eastAsia="en-GB"/>
          <w14:ligatures w14:val="none"/>
        </w:rPr>
        <w:t xml:space="preserve"> mandate that programmes address professional and pedagogical studies, including child development and children’s rights in line with the United Nations Convention on the Rights of the Child (Welsh Government, 2022), notable gaps remain. Evaluations show that although many student teachers develop general classroom management skills, they often lack clarity in planning for pupil learning and struggle to </w:t>
      </w:r>
      <w:r w:rsidRPr="007F3E94">
        <w:rPr>
          <w:rFonts w:ascii="Times New Roman" w:eastAsia="Times New Roman" w:hAnsi="Times New Roman" w:cs="Times New Roman"/>
          <w:kern w:val="0"/>
          <w:sz w:val="22"/>
          <w:szCs w:val="22"/>
          <w:lang w:eastAsia="en-GB"/>
          <w14:ligatures w14:val="none"/>
        </w:rPr>
        <w:lastRenderedPageBreak/>
        <w:t xml:space="preserve">choose and assess effective teaching strategies (Estyn, 2023). Furthermore, some trainees find it difficult to balance academic, evaluative, and planning demands, limiting their practical readiness. Concerns raised in the Welsh Parliament’s Children, Young People and Education Committee </w:t>
      </w:r>
      <w:r w:rsidR="00CF2C35" w:rsidRPr="007F3E94">
        <w:rPr>
          <w:rFonts w:ascii="Times New Roman" w:eastAsia="Times New Roman" w:hAnsi="Times New Roman" w:cs="Times New Roman"/>
          <w:kern w:val="0"/>
          <w:sz w:val="22"/>
          <w:szCs w:val="22"/>
          <w:lang w:eastAsia="en-GB"/>
          <w14:ligatures w14:val="none"/>
        </w:rPr>
        <w:t xml:space="preserve">(2025) </w:t>
      </w:r>
      <w:r w:rsidRPr="007F3E94">
        <w:rPr>
          <w:rFonts w:ascii="Times New Roman" w:eastAsia="Times New Roman" w:hAnsi="Times New Roman" w:cs="Times New Roman"/>
          <w:kern w:val="0"/>
          <w:sz w:val="22"/>
          <w:szCs w:val="22"/>
          <w:lang w:eastAsia="en-GB"/>
          <w14:ligatures w14:val="none"/>
        </w:rPr>
        <w:t>also indicate that many teachers are not sufficiently versed in child development or the neurological dimensions of adolescence. Although efforts are underway to address these gaps through enhanced training models, a coherent, research-informed approach remains essential to ensure ITE programmes can meet the evolving demands of Welsh classrooms.</w:t>
      </w:r>
    </w:p>
    <w:p w14:paraId="301020FF" w14:textId="206E5CF8" w:rsidR="004B7C79" w:rsidRPr="007F3E94" w:rsidRDefault="004B7C79" w:rsidP="007F3E94">
      <w:pPr>
        <w:spacing w:before="100" w:beforeAutospacing="1" w:after="100" w:afterAutospacing="1" w:line="480" w:lineRule="auto"/>
        <w:rPr>
          <w:sz w:val="22"/>
          <w:szCs w:val="22"/>
        </w:rPr>
      </w:pPr>
      <w:r w:rsidRPr="007F3E94">
        <w:rPr>
          <w:rFonts w:ascii="Times New Roman" w:eastAsia="Times New Roman" w:hAnsi="Times New Roman" w:cs="Times New Roman"/>
          <w:kern w:val="0"/>
          <w:sz w:val="22"/>
          <w:szCs w:val="22"/>
          <w:lang w:eastAsia="en-GB"/>
          <w14:ligatures w14:val="none"/>
        </w:rPr>
        <w:t xml:space="preserve">Furthermore, </w:t>
      </w:r>
      <w:r w:rsidR="00173431" w:rsidRPr="007F3E94">
        <w:rPr>
          <w:rFonts w:ascii="Times New Roman" w:eastAsia="Times New Roman" w:hAnsi="Times New Roman" w:cs="Times New Roman"/>
          <w:kern w:val="0"/>
          <w:sz w:val="22"/>
          <w:szCs w:val="22"/>
          <w:lang w:eastAsia="en-GB"/>
          <w14:ligatures w14:val="none"/>
        </w:rPr>
        <w:t xml:space="preserve">it seems that </w:t>
      </w:r>
      <w:r w:rsidRPr="007F3E94">
        <w:rPr>
          <w:sz w:val="22"/>
          <w:szCs w:val="22"/>
        </w:rPr>
        <w:t>professional development for teachers in Wales faces significant barriers, including time constraints, workload pressures, and inadequate funding, which hinder ongoing education and the integration of new educational frameworks</w:t>
      </w:r>
      <w:r w:rsidR="00691C3E" w:rsidRPr="007F3E94">
        <w:rPr>
          <w:sz w:val="22"/>
          <w:szCs w:val="22"/>
        </w:rPr>
        <w:t xml:space="preserve"> (Welsh Government, 2022). </w:t>
      </w:r>
      <w:r w:rsidRPr="007F3E94">
        <w:rPr>
          <w:sz w:val="22"/>
          <w:szCs w:val="22"/>
        </w:rPr>
        <w:t xml:space="preserve"> Teachers' demanding schedules leave little room for professional development, with many struggling to balance lesson planning, grading, and administrative tasks (Education Support, 2023). As a result, teachers often find it difficult to engage in meaningful CPD, especially when time is needed to absorb new strategies related to initiatives like the Curriculum for Wales (2022). Furthermore, increasing workload demands, particularly around assessment and pupil well-being, further limit teachers' ability to participate in training, contributing to stress and burnout (Education Workforce Council, 2022). </w:t>
      </w:r>
      <w:r w:rsidR="003F5D4E" w:rsidRPr="007F3E94">
        <w:rPr>
          <w:sz w:val="22"/>
          <w:szCs w:val="22"/>
        </w:rPr>
        <w:t>Additionally, f</w:t>
      </w:r>
      <w:r w:rsidRPr="007F3E94">
        <w:rPr>
          <w:sz w:val="22"/>
          <w:szCs w:val="22"/>
        </w:rPr>
        <w:t>unding limitations exacerbate this issue, as schools, especially smaller and disadvantaged ones, face budget constraints that reduce the availability of consistent and high-quality development opportunities, often relying on external programmes that may not align with local needs (Oxley, 2023). These barriers highlight the need for a more sustainable and systemic approach to teacher development in Wales to ensure that educators have the resources and support necessary to integrate evidence-based strategies into their practice effectively.</w:t>
      </w:r>
    </w:p>
    <w:p w14:paraId="1823BAB8" w14:textId="6F3FA318" w:rsidR="00F763B8" w:rsidRPr="007F3E94" w:rsidRDefault="00090E04"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Moreover</w:t>
      </w:r>
      <w:r w:rsidR="00F763B8" w:rsidRPr="007F3E94">
        <w:rPr>
          <w:rFonts w:ascii="Times New Roman" w:eastAsia="Times New Roman" w:hAnsi="Times New Roman" w:cs="Times New Roman"/>
          <w:kern w:val="0"/>
          <w:sz w:val="22"/>
          <w:szCs w:val="22"/>
          <w:lang w:eastAsia="en-GB"/>
          <w14:ligatures w14:val="none"/>
        </w:rPr>
        <w:t xml:space="preserve">, In Wales, the amount of a school’s budget allocated for professional development, including training in behaviour management and child development, is not fixed, but instead depends </w:t>
      </w:r>
      <w:r w:rsidR="00F763B8" w:rsidRPr="007F3E94">
        <w:rPr>
          <w:rFonts w:ascii="Times New Roman" w:eastAsia="Times New Roman" w:hAnsi="Times New Roman" w:cs="Times New Roman"/>
          <w:kern w:val="0"/>
          <w:sz w:val="22"/>
          <w:szCs w:val="22"/>
          <w:lang w:eastAsia="en-GB"/>
          <w14:ligatures w14:val="none"/>
        </w:rPr>
        <w:lastRenderedPageBreak/>
        <w:t>on local authority priorities and the specific needs of individual schools</w:t>
      </w:r>
      <w:r w:rsidR="004B4F8D" w:rsidRPr="007F3E94">
        <w:rPr>
          <w:rFonts w:ascii="Times New Roman" w:eastAsia="Times New Roman" w:hAnsi="Times New Roman" w:cs="Times New Roman"/>
          <w:kern w:val="0"/>
          <w:sz w:val="22"/>
          <w:szCs w:val="22"/>
          <w:lang w:eastAsia="en-GB"/>
          <w14:ligatures w14:val="none"/>
        </w:rPr>
        <w:t xml:space="preserve"> </w:t>
      </w:r>
      <w:r w:rsidR="00F763B8" w:rsidRPr="007F3E94">
        <w:rPr>
          <w:rFonts w:ascii="Times New Roman" w:eastAsia="Times New Roman" w:hAnsi="Times New Roman" w:cs="Times New Roman"/>
          <w:kern w:val="0"/>
          <w:sz w:val="22"/>
          <w:szCs w:val="22"/>
          <w:lang w:eastAsia="en-GB"/>
          <w14:ligatures w14:val="none"/>
        </w:rPr>
        <w:t>(Welsh Government, 2024).</w:t>
      </w:r>
      <w:r w:rsidR="00B93778" w:rsidRPr="007F3E94">
        <w:rPr>
          <w:rFonts w:ascii="Times New Roman" w:eastAsia="Times New Roman" w:hAnsi="Times New Roman" w:cs="Times New Roman"/>
          <w:kern w:val="0"/>
          <w:sz w:val="22"/>
          <w:szCs w:val="22"/>
          <w:lang w:eastAsia="en-GB"/>
          <w14:ligatures w14:val="none"/>
        </w:rPr>
        <w:t xml:space="preserve"> </w:t>
      </w:r>
      <w:r w:rsidR="00F763B8" w:rsidRPr="007F3E94">
        <w:rPr>
          <w:rFonts w:ascii="Times New Roman" w:eastAsia="Times New Roman" w:hAnsi="Times New Roman" w:cs="Times New Roman"/>
          <w:kern w:val="0"/>
          <w:sz w:val="22"/>
          <w:szCs w:val="22"/>
          <w:lang w:eastAsia="en-GB"/>
          <w14:ligatures w14:val="none"/>
        </w:rPr>
        <w:t>Although the Welsh Government prioritises professional development through initiatives like the National Professional Learning Entitlement, which provides six INSET days annually, the funding for behaviour management and child development training is often spread across broader categories such as literacy, numeracy, and overall well-being (Welsh Government 2024). For instance, £10 million was earmarked for literacy and numeracy training in 2024–2025, with less specific funding allocated for training in child development and behaviour management (Senedd, 2024). This can limit the ability of individual schools to focus on targeted professional development for teachers in these critical areas, especially when resources are constrained. Therefore, while professional development is a recogni</w:t>
      </w:r>
      <w:r w:rsidR="00D576E3" w:rsidRPr="007F3E94">
        <w:rPr>
          <w:rFonts w:ascii="Times New Roman" w:eastAsia="Times New Roman" w:hAnsi="Times New Roman" w:cs="Times New Roman"/>
          <w:kern w:val="0"/>
          <w:sz w:val="22"/>
          <w:szCs w:val="22"/>
          <w:lang w:eastAsia="en-GB"/>
          <w14:ligatures w14:val="none"/>
        </w:rPr>
        <w:t>s</w:t>
      </w:r>
      <w:r w:rsidR="00F763B8" w:rsidRPr="007F3E94">
        <w:rPr>
          <w:rFonts w:ascii="Times New Roman" w:eastAsia="Times New Roman" w:hAnsi="Times New Roman" w:cs="Times New Roman"/>
          <w:kern w:val="0"/>
          <w:sz w:val="22"/>
          <w:szCs w:val="22"/>
          <w:lang w:eastAsia="en-GB"/>
          <w14:ligatures w14:val="none"/>
        </w:rPr>
        <w:t xml:space="preserve">ed priority within the Welsh education system, the allocation of funding to behaviour and child development training is shaped by local authority decisions and competing financial pressures. </w:t>
      </w:r>
    </w:p>
    <w:p w14:paraId="2F65DFD5" w14:textId="6F1E6C4D" w:rsidR="00782436" w:rsidRPr="007F3E94" w:rsidRDefault="0078243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Comparative analyses of teacher education systems reveal notable contrasts between Wales and Scandinavian countries</w:t>
      </w:r>
      <w:r w:rsidR="006375F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specifically Denmark, Norway, and Sweden</w:t>
      </w:r>
      <w:r w:rsidR="006375F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particularly in the areas of programme structure, developmental psychology, behaviour management, and inclusive education. In Wales, Initial Teacher Education (ITE) is commonly offered as either a three or four</w:t>
      </w:r>
      <w:r w:rsidR="00486B6B"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 undergraduate route or a one</w:t>
      </w:r>
      <w:r w:rsidR="00486B6B"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 postgraduate certificate in education (PGCE), which has drawn criticism for limiting the depth and integration of pedagogical theory and practicum experience (Estyn, 2023</w:t>
      </w:r>
      <w:r w:rsidR="00774053" w:rsidRPr="007F3E94">
        <w:rPr>
          <w:rFonts w:ascii="Times New Roman" w:eastAsia="Times New Roman" w:hAnsi="Times New Roman" w:cs="Times New Roman"/>
          <w:kern w:val="0"/>
          <w:sz w:val="22"/>
          <w:szCs w:val="22"/>
          <w:lang w:eastAsia="en-GB"/>
          <w14:ligatures w14:val="none"/>
        </w:rPr>
        <w:t xml:space="preserve"> and </w:t>
      </w:r>
      <w:r w:rsidRPr="007F3E94">
        <w:rPr>
          <w:rFonts w:ascii="Times New Roman" w:eastAsia="Times New Roman" w:hAnsi="Times New Roman" w:cs="Times New Roman"/>
          <w:kern w:val="0"/>
          <w:sz w:val="22"/>
          <w:szCs w:val="22"/>
          <w:lang w:eastAsia="en-GB"/>
          <w14:ligatures w14:val="none"/>
        </w:rPr>
        <w:t>Welsh Government, 2022). In contrast, teacher preparation in Norway and Sweden requires a five</w:t>
      </w:r>
      <w:r w:rsidR="00774053"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year master's level qualification, allowing for extended engagement with child development, subject didactics, and practical training (Norwegian Directorate for Education and Training</w:t>
      </w:r>
      <w:r w:rsidR="00844FE3" w:rsidRPr="007F3E94">
        <w:rPr>
          <w:rFonts w:ascii="Times New Roman" w:eastAsia="Times New Roman" w:hAnsi="Times New Roman" w:cs="Times New Roman"/>
          <w:kern w:val="0"/>
          <w:sz w:val="22"/>
          <w:szCs w:val="22"/>
          <w:lang w:eastAsia="en-GB"/>
          <w14:ligatures w14:val="none"/>
        </w:rPr>
        <w:t xml:space="preserve"> 2025</w:t>
      </w:r>
      <w:r w:rsidR="00BB537B"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Swedish National Agency for Education, n.d.).</w:t>
      </w:r>
    </w:p>
    <w:p w14:paraId="7248A84C" w14:textId="4EFD2966" w:rsidR="00782436" w:rsidRPr="007F3E94" w:rsidRDefault="00782436"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While Welsh ITE programmes include components on child development and children’s rights</w:t>
      </w:r>
      <w:r w:rsidR="00745CA0"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reflecting the nation’s commitment to the United Nations Convention on the Rights of the Child (Welsh Government, 2022)</w:t>
      </w:r>
      <w:r w:rsidR="00745CA0"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evidence suggests that there are substantial gaps in the coverage of neuroscience and adolescent brain development (Estyn, 2023; Senedd Cymru, 2023). Scandinavian programmes, by comparison, integrate developmental psychology and neuroscience more </w:t>
      </w:r>
      <w:r w:rsidRPr="007F3E94">
        <w:rPr>
          <w:rFonts w:ascii="Times New Roman" w:eastAsia="Times New Roman" w:hAnsi="Times New Roman" w:cs="Times New Roman"/>
          <w:kern w:val="0"/>
          <w:sz w:val="22"/>
          <w:szCs w:val="22"/>
          <w:lang w:eastAsia="en-GB"/>
          <w14:ligatures w14:val="none"/>
        </w:rPr>
        <w:lastRenderedPageBreak/>
        <w:t>systematically throughout teacher education, promoting a deeper understanding of learners' cognitive and emotional needs (Blossing et al., 2014</w:t>
      </w:r>
      <w:r w:rsidR="00BB537B"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Swedish National Agency for Education, n.d.). Furthermore, behaviour management training in Wales remains inconsistently embedded, often falling under broader professional standards such as “inclusive pedagogy” or “well-being” without focused, practical training in restorative or trauma-informed strategies (Welsh Government, 2017</w:t>
      </w:r>
      <w:r w:rsidR="00BB537B" w:rsidRPr="007F3E94">
        <w:rPr>
          <w:rFonts w:ascii="Times New Roman" w:eastAsia="Times New Roman" w:hAnsi="Times New Roman" w:cs="Times New Roman"/>
          <w:kern w:val="0"/>
          <w:sz w:val="22"/>
          <w:szCs w:val="22"/>
          <w:lang w:eastAsia="en-GB"/>
          <w14:ligatures w14:val="none"/>
        </w:rPr>
        <w:t>;</w:t>
      </w:r>
      <w:r w:rsidR="003229FE"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Estyn, 2023).</w:t>
      </w:r>
      <w:r w:rsidR="008A2E73" w:rsidRPr="007F3E94">
        <w:rPr>
          <w:rFonts w:ascii="Times New Roman" w:eastAsia="Times New Roman" w:hAnsi="Times New Roman" w:cs="Times New Roman"/>
          <w:kern w:val="0"/>
          <w:sz w:val="22"/>
          <w:szCs w:val="22"/>
          <w:lang w:eastAsia="en-GB"/>
          <w14:ligatures w14:val="none"/>
        </w:rPr>
        <w:t xml:space="preserve"> </w:t>
      </w:r>
      <w:r w:rsidR="00190D13" w:rsidRPr="007F3E94">
        <w:rPr>
          <w:rFonts w:ascii="Times New Roman" w:eastAsia="Times New Roman" w:hAnsi="Times New Roman" w:cs="Times New Roman"/>
          <w:kern w:val="0"/>
          <w:sz w:val="22"/>
          <w:szCs w:val="22"/>
          <w:lang w:eastAsia="en-GB"/>
          <w14:ligatures w14:val="none"/>
        </w:rPr>
        <w:t>Indeed</w:t>
      </w:r>
      <w:r w:rsidR="008A2E73" w:rsidRPr="007F3E94">
        <w:rPr>
          <w:rFonts w:ascii="Times New Roman" w:eastAsia="Times New Roman" w:hAnsi="Times New Roman" w:cs="Times New Roman"/>
          <w:kern w:val="0"/>
          <w:sz w:val="22"/>
          <w:szCs w:val="22"/>
          <w:lang w:eastAsia="en-GB"/>
          <w14:ligatures w14:val="none"/>
        </w:rPr>
        <w:t>,</w:t>
      </w:r>
      <w:r w:rsidRPr="007F3E94">
        <w:rPr>
          <w:rFonts w:ascii="Times New Roman" w:eastAsia="Times New Roman" w:hAnsi="Times New Roman" w:cs="Times New Roman"/>
          <w:kern w:val="0"/>
          <w:sz w:val="22"/>
          <w:szCs w:val="22"/>
          <w:lang w:eastAsia="en-GB"/>
          <w14:ligatures w14:val="none"/>
        </w:rPr>
        <w:t xml:space="preserve"> </w:t>
      </w:r>
      <w:r w:rsidR="00BB537B" w:rsidRPr="007F3E94">
        <w:rPr>
          <w:rFonts w:ascii="Times New Roman" w:eastAsia="Times New Roman" w:hAnsi="Times New Roman" w:cs="Times New Roman"/>
          <w:kern w:val="0"/>
          <w:sz w:val="22"/>
          <w:szCs w:val="22"/>
          <w:lang w:eastAsia="en-GB"/>
          <w14:ligatures w14:val="none"/>
        </w:rPr>
        <w:t>i</w:t>
      </w:r>
      <w:r w:rsidRPr="007F3E94">
        <w:rPr>
          <w:rFonts w:ascii="Times New Roman" w:eastAsia="Times New Roman" w:hAnsi="Times New Roman" w:cs="Times New Roman"/>
          <w:kern w:val="0"/>
          <w:sz w:val="22"/>
          <w:szCs w:val="22"/>
          <w:lang w:eastAsia="en-GB"/>
          <w14:ligatures w14:val="none"/>
        </w:rPr>
        <w:t>n Denmark, Norway, and Sweden, relational pedagogy and inclusive behaviour approaches are more explicitly embedded within initial training, often framed through social justice and student rights discourses (Blossing et al., 2014</w:t>
      </w:r>
      <w:r w:rsidR="008A2E73" w:rsidRPr="007F3E94">
        <w:rPr>
          <w:rFonts w:ascii="Times New Roman" w:eastAsia="Times New Roman" w:hAnsi="Times New Roman" w:cs="Times New Roman"/>
          <w:kern w:val="0"/>
          <w:sz w:val="22"/>
          <w:szCs w:val="22"/>
          <w:lang w:eastAsia="en-GB"/>
          <w14:ligatures w14:val="none"/>
        </w:rPr>
        <w:t xml:space="preserve"> and </w:t>
      </w:r>
      <w:r w:rsidRPr="007F3E94">
        <w:rPr>
          <w:rFonts w:ascii="Times New Roman" w:eastAsia="Times New Roman" w:hAnsi="Times New Roman" w:cs="Times New Roman"/>
          <w:kern w:val="0"/>
          <w:sz w:val="22"/>
          <w:szCs w:val="22"/>
          <w:lang w:eastAsia="en-GB"/>
          <w14:ligatures w14:val="none"/>
        </w:rPr>
        <w:t>Norwegian Ministry of Education and Research, 2020).</w:t>
      </w:r>
    </w:p>
    <w:p w14:paraId="463B5351" w14:textId="7B90A87D"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In conclusion, while Wales promotes inclusive, emotionally literate education, there is a clear gap between policy and the realities of Initial Teacher Education (ITE) and professional development. My review of the literature suggests that trainee teachers are often underprepared for the behavioural and developmental demands of today’s classrooms. This is worsened by inconsistent training, fragmented funding, and limited focus on restorative or trauma-informed approaches. In contrast, Scandinavian models offer more cohesive, research-based training that integrates neuroscience, relational pedagogy, and child development. As a future researcher, I believe Welsh ITE must place greater emphasis on practical, evidence-informed behaviour training to better support diverse learners. A systemic shift in implementation, funding, and professional learning is essential to bridge the gap between vision and practice.</w:t>
      </w:r>
    </w:p>
    <w:p w14:paraId="6CF82E74" w14:textId="32B03E42"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Several areas require further research. These include the impact of teacher dysregulation on behaviour management, and how understanding child development shapes teaching strategies across different training routes. It’s also important to explore how teachers’ views of adolescence influence their classroom interactions. Research into the use of isolation pods in Wales</w:t>
      </w:r>
      <w:r w:rsidR="0050754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when and why they’re used</w:t>
      </w:r>
      <w:r w:rsidR="00507545"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 xml:space="preserve">and how punitive practices align with inclusive policies would offer valuable insight. I see these as crucial issues, as they reflect recurring challenges around training quality, accountability, and the </w:t>
      </w:r>
      <w:r w:rsidRPr="007F3E94">
        <w:rPr>
          <w:rFonts w:ascii="Times New Roman" w:eastAsia="Times New Roman" w:hAnsi="Times New Roman" w:cs="Times New Roman"/>
          <w:kern w:val="0"/>
          <w:sz w:val="22"/>
          <w:szCs w:val="22"/>
          <w:lang w:eastAsia="en-GB"/>
          <w14:ligatures w14:val="none"/>
        </w:rPr>
        <w:lastRenderedPageBreak/>
        <w:t>inconsistent application of restorative approaches. Together, these areas could inform more equitable and effective behaviour strategies in schools.</w:t>
      </w:r>
    </w:p>
    <w:p w14:paraId="3256C39C" w14:textId="77777777" w:rsidR="00CE0A49" w:rsidRPr="007F3E94" w:rsidRDefault="00CE0A49"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p>
    <w:p w14:paraId="3A2A34C6" w14:textId="19AF012E" w:rsidR="008903F5" w:rsidRPr="007F3E94" w:rsidRDefault="008903F5" w:rsidP="007F3E94">
      <w:pPr>
        <w:spacing w:before="100" w:beforeAutospacing="1" w:after="100" w:afterAutospacing="1" w:line="480" w:lineRule="auto"/>
        <w:rPr>
          <w:rFonts w:ascii="Times New Roman" w:eastAsia="Times New Roman" w:hAnsi="Times New Roman" w:cs="Times New Roman"/>
          <w:b/>
          <w:bCs/>
          <w:kern w:val="0"/>
          <w:sz w:val="22"/>
          <w:szCs w:val="22"/>
          <w:lang w:eastAsia="en-GB"/>
          <w14:ligatures w14:val="none"/>
        </w:rPr>
      </w:pPr>
      <w:r w:rsidRPr="007F3E94">
        <w:rPr>
          <w:rFonts w:ascii="Times New Roman" w:eastAsia="Times New Roman" w:hAnsi="Times New Roman" w:cs="Times New Roman"/>
          <w:b/>
          <w:bCs/>
          <w:kern w:val="0"/>
          <w:sz w:val="22"/>
          <w:szCs w:val="22"/>
          <w:lang w:eastAsia="en-GB"/>
          <w14:ligatures w14:val="none"/>
        </w:rPr>
        <w:t>Conclusion</w:t>
      </w:r>
    </w:p>
    <w:p w14:paraId="75D38E90" w14:textId="020CA533"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This literature review has examined the critical intersection between teacher knowledge of child development and the implementation of supportive and restorative behaviour responses in the classroom. Drawing on a wide body of research, it is clear that developmental understanding is not an optional extra, but a foundational necessity for any teacher seeking to create a safe, inclusive, and equitable learning environment. From classic developmental theories to contemporary neuroscientific insights into trauma, the evidence is unequivocal: when educators understand how children grow, behave, and respond to stress, they are far better equipped to support them effectively.</w:t>
      </w:r>
    </w:p>
    <w:p w14:paraId="5011317C" w14:textId="0E4C62E6"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Restorative practices</w:t>
      </w:r>
      <w:r w:rsidR="009F46D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while often reduced to surface-level interventions such as restorative circles or peer mediation</w:t>
      </w:r>
      <w:r w:rsidR="00BA39C6"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require a deeper pedagogical shift. This shift is rooted in empathy, developmental insight, and the rejection of outdated punitive models that continue to dominate many schools. Behaviour is communication, and yet, in the absence of adequate training, many teachers continue to punish rather than understand. In doing so, the system risks retraumatising children who need support the most.</w:t>
      </w:r>
    </w:p>
    <w:p w14:paraId="3EA42F99" w14:textId="77777777"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Within the Welsh context, this issue takes on added urgency. The Welsh Government’s ongoing curriculum reform and its emphasis on restorative approaches present a rare opportunity for systemic change. However, the success of these reforms hinges not on policy alone, but on the depth of professional development provided to teachers. Without robust, consistent, and reflective training in child development and trauma-informed practice, even the most progressive policies may falter in practice.</w:t>
      </w:r>
    </w:p>
    <w:p w14:paraId="3BC2DA59" w14:textId="77777777"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lastRenderedPageBreak/>
        <w:t>This review also identified several limitations in the literature, including a lack of longitudinal research and insufficient exploration of how cultural factors intersect with restorative practices. Future research must address these gaps, not only to inform best practice but to ensure that vulnerable learners are not left behind.</w:t>
      </w:r>
    </w:p>
    <w:p w14:paraId="3D3F5309" w14:textId="1E4727AB" w:rsidR="002F52B5" w:rsidRPr="007F3E94" w:rsidRDefault="002F52B5" w:rsidP="007F3E94">
      <w:pPr>
        <w:spacing w:before="100" w:beforeAutospacing="1" w:after="100" w:afterAutospacing="1" w:line="480" w:lineRule="auto"/>
        <w:rPr>
          <w:rFonts w:ascii="Times New Roman" w:eastAsia="Times New Roman" w:hAnsi="Times New Roman" w:cs="Times New Roman"/>
          <w:kern w:val="0"/>
          <w:sz w:val="22"/>
          <w:szCs w:val="22"/>
          <w:lang w:eastAsia="en-GB"/>
          <w14:ligatures w14:val="none"/>
        </w:rPr>
      </w:pPr>
      <w:r w:rsidRPr="007F3E94">
        <w:rPr>
          <w:rFonts w:ascii="Times New Roman" w:eastAsia="Times New Roman" w:hAnsi="Times New Roman" w:cs="Times New Roman"/>
          <w:kern w:val="0"/>
          <w:sz w:val="22"/>
          <w:szCs w:val="22"/>
          <w:lang w:eastAsia="en-GB"/>
          <w14:ligatures w14:val="none"/>
        </w:rPr>
        <w:t>What is ultimately at stake is not just behaviour management, but children’s lives. Every punitive exclusion, every missed opportunity to understand a child’s behaviour as a developmental signal, chips away at that child’s trust in education. If teachers are not trained to see beyond the behaviour, we risk turning schools into places of control, not care</w:t>
      </w:r>
      <w:r w:rsidR="00AF0C07" w:rsidRPr="007F3E94">
        <w:rPr>
          <w:rFonts w:ascii="Times New Roman" w:eastAsia="Times New Roman" w:hAnsi="Times New Roman" w:cs="Times New Roman"/>
          <w:kern w:val="0"/>
          <w:sz w:val="22"/>
          <w:szCs w:val="22"/>
          <w:lang w:eastAsia="en-GB"/>
          <w14:ligatures w14:val="none"/>
        </w:rPr>
        <w:t xml:space="preserve">, </w:t>
      </w:r>
      <w:r w:rsidRPr="007F3E94">
        <w:rPr>
          <w:rFonts w:ascii="Times New Roman" w:eastAsia="Times New Roman" w:hAnsi="Times New Roman" w:cs="Times New Roman"/>
          <w:kern w:val="0"/>
          <w:sz w:val="22"/>
          <w:szCs w:val="22"/>
          <w:lang w:eastAsia="en-GB"/>
          <w14:ligatures w14:val="none"/>
        </w:rPr>
        <w:t>discipline, not development. The question is no longer whether developmental understanding matters, but how long we are willing to tolerate a system that functions without it.</w:t>
      </w:r>
    </w:p>
    <w:p w14:paraId="0975591B" w14:textId="77777777" w:rsidR="001D521A" w:rsidRDefault="001D521A" w:rsidP="007F3E94">
      <w:pPr>
        <w:spacing w:line="480" w:lineRule="auto"/>
        <w:rPr>
          <w:sz w:val="22"/>
          <w:szCs w:val="22"/>
        </w:rPr>
      </w:pPr>
    </w:p>
    <w:p w14:paraId="02FC7898" w14:textId="77777777" w:rsidR="003E5B81" w:rsidRPr="003E5B81" w:rsidRDefault="003E5B81" w:rsidP="003E5B81">
      <w:pPr>
        <w:jc w:val="center"/>
      </w:pPr>
      <w:r w:rsidRPr="003E5B81">
        <w:t>Bibliography</w:t>
      </w:r>
    </w:p>
    <w:p w14:paraId="2AAB00B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Ainscow, M. (2020) </w:t>
      </w:r>
      <w:r w:rsidRPr="003E5B81">
        <w:rPr>
          <w:rFonts w:ascii="Times New Roman" w:eastAsia="Times New Roman" w:hAnsi="Times New Roman" w:cs="Times New Roman"/>
          <w:i/>
          <w:iCs/>
          <w:kern w:val="0"/>
          <w:lang w:eastAsia="en-GB"/>
          <w14:ligatures w14:val="none"/>
        </w:rPr>
        <w:t>Promoting inclusion and equity in education: lessons from international experiences</w:t>
      </w:r>
      <w:r w:rsidRPr="003E5B81">
        <w:rPr>
          <w:rFonts w:ascii="Times New Roman" w:eastAsia="Times New Roman" w:hAnsi="Times New Roman" w:cs="Times New Roman"/>
          <w:kern w:val="0"/>
          <w:lang w:eastAsia="en-GB"/>
          <w14:ligatures w14:val="none"/>
        </w:rPr>
        <w:t>. NordForsk. Available at: https://nordicwelfare.org/inclusiveeducation2020/wp-content/uploads/sites/18/2020/11/Melin-Ainscow-report.pdf (Accessed: 15th May 2025).</w:t>
      </w:r>
    </w:p>
    <w:p w14:paraId="7D47275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Ainscow, M. and Messiou, K. (2018) ‘Engaging with the views of students to promote inclusion in education’, </w:t>
      </w:r>
      <w:r w:rsidRPr="003E5B81">
        <w:rPr>
          <w:rFonts w:ascii="Times New Roman" w:eastAsia="Times New Roman" w:hAnsi="Times New Roman" w:cs="Times New Roman"/>
          <w:i/>
          <w:iCs/>
          <w:kern w:val="0"/>
          <w:lang w:eastAsia="en-GB"/>
          <w14:ligatures w14:val="none"/>
        </w:rPr>
        <w:t>Journal of Educational Change</w:t>
      </w:r>
      <w:r w:rsidRPr="003E5B81">
        <w:rPr>
          <w:rFonts w:ascii="Times New Roman" w:eastAsia="Times New Roman" w:hAnsi="Times New Roman" w:cs="Times New Roman"/>
          <w:kern w:val="0"/>
          <w:lang w:eastAsia="en-GB"/>
          <w14:ligatures w14:val="none"/>
        </w:rPr>
        <w:t xml:space="preserve">, 19(1), pp.1–17. Available at: </w:t>
      </w:r>
      <w:hyperlink r:id="rId7" w:tgtFrame="_new" w:history="1">
        <w:r w:rsidRPr="003E5B81">
          <w:rPr>
            <w:rFonts w:ascii="Times New Roman" w:eastAsia="Times New Roman" w:hAnsi="Times New Roman" w:cs="Times New Roman"/>
            <w:kern w:val="0"/>
            <w:u w:val="single"/>
            <w:lang w:eastAsia="en-GB"/>
            <w14:ligatures w14:val="none"/>
          </w:rPr>
          <w:t>https://doi.org/10.1007/s10833-017-9312-1</w:t>
        </w:r>
      </w:hyperlink>
      <w:r w:rsidRPr="003E5B81">
        <w:rPr>
          <w:rFonts w:ascii="Times New Roman" w:eastAsia="Times New Roman" w:hAnsi="Times New Roman" w:cs="Times New Roman"/>
          <w:kern w:val="0"/>
          <w:lang w:eastAsia="en-GB"/>
          <w14:ligatures w14:val="none"/>
        </w:rPr>
        <w:t xml:space="preserve"> (Accessed: 4th May 2025).</w:t>
      </w:r>
    </w:p>
    <w:p w14:paraId="2DBE75E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Al-Ghabban, A. (2018) ‘A compassion framework: The role of compassion in schools in promoting well-being and supporting the social and emotional development of children and young people’, </w:t>
      </w:r>
      <w:r w:rsidRPr="003E5B81">
        <w:rPr>
          <w:rFonts w:ascii="Times New Roman" w:eastAsia="Times New Roman" w:hAnsi="Times New Roman" w:cs="Times New Roman"/>
          <w:i/>
          <w:iCs/>
          <w:kern w:val="0"/>
          <w:lang w:eastAsia="en-GB"/>
          <w14:ligatures w14:val="none"/>
        </w:rPr>
        <w:t>Pastoral Care in Education</w:t>
      </w:r>
      <w:r w:rsidRPr="003E5B81">
        <w:rPr>
          <w:rFonts w:ascii="Times New Roman" w:eastAsia="Times New Roman" w:hAnsi="Times New Roman" w:cs="Times New Roman"/>
          <w:kern w:val="0"/>
          <w:lang w:eastAsia="en-GB"/>
          <w14:ligatures w14:val="none"/>
        </w:rPr>
        <w:t>, 36(3), pp.176–188</w:t>
      </w:r>
    </w:p>
    <w:p w14:paraId="7EBCF0B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Ali, N. (2023) ‘Asset-based approaches in inclusive education: Valuing students’ strengths and cultural identities’, </w:t>
      </w:r>
      <w:r w:rsidRPr="003E5B81">
        <w:rPr>
          <w:rFonts w:ascii="Times New Roman" w:eastAsia="Times New Roman" w:hAnsi="Times New Roman" w:cs="Times New Roman"/>
          <w:i/>
          <w:iCs/>
          <w:kern w:val="0"/>
          <w:lang w:eastAsia="en-GB"/>
          <w14:ligatures w14:val="none"/>
        </w:rPr>
        <w:t>Inclusive Education Review</w:t>
      </w:r>
      <w:r w:rsidRPr="003E5B81">
        <w:rPr>
          <w:rFonts w:ascii="Times New Roman" w:eastAsia="Times New Roman" w:hAnsi="Times New Roman" w:cs="Times New Roman"/>
          <w:kern w:val="0"/>
          <w:lang w:eastAsia="en-GB"/>
          <w14:ligatures w14:val="none"/>
        </w:rPr>
        <w:t>, 12(2), pp.45–59. (Accessed: 4th May 2025).</w:t>
      </w:r>
    </w:p>
    <w:p w14:paraId="316B43E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t xml:space="preserve">Antony, E.M. (2022) Framing childhood resilience through Bronfenbrenner’s ecological systems theory: A discussion paper. </w:t>
      </w:r>
      <w:r w:rsidRPr="003E5B81">
        <w:rPr>
          <w:i/>
          <w:iCs/>
        </w:rPr>
        <w:t>Cambridge Educational Research e-Journal (CERJ)</w:t>
      </w:r>
      <w:r w:rsidRPr="003E5B81">
        <w:t xml:space="preserve">, (9) pp.244–257. Available at: </w:t>
      </w:r>
      <w:hyperlink r:id="rId8" w:tgtFrame="_new" w:history="1">
        <w:r w:rsidRPr="003E5B81">
          <w:rPr>
            <w:u w:val="single"/>
          </w:rPr>
          <w:t>https://doi.org/10.17863/CAM.90564</w:t>
        </w:r>
      </w:hyperlink>
      <w:r w:rsidRPr="003E5B81">
        <w:t xml:space="preserve"> 9Accessed on 10th March 2025). </w:t>
      </w:r>
    </w:p>
    <w:p w14:paraId="7B1870A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Anwar, M.N., Sultan, A., Ali, F. and Hayat, S. (2024) ‘Application of Behaviorist Theory in Classroom Instructional Reforms’, </w:t>
      </w:r>
      <w:r w:rsidRPr="003E5B81">
        <w:rPr>
          <w:rFonts w:ascii="Times New Roman" w:eastAsia="Times New Roman" w:hAnsi="Times New Roman" w:cs="Times New Roman"/>
          <w:i/>
          <w:iCs/>
          <w:kern w:val="0"/>
          <w:lang w:eastAsia="en-GB"/>
          <w14:ligatures w14:val="none"/>
        </w:rPr>
        <w:t>Qlantic Journal of Social Sciences and Humanities</w:t>
      </w:r>
      <w:r w:rsidRPr="003E5B81">
        <w:rPr>
          <w:rFonts w:ascii="Times New Roman" w:eastAsia="Times New Roman" w:hAnsi="Times New Roman" w:cs="Times New Roman"/>
          <w:kern w:val="0"/>
          <w:lang w:eastAsia="en-GB"/>
          <w14:ligatures w14:val="none"/>
        </w:rPr>
        <w:t xml:space="preserve">, 5(2), pp.341–350. Available at: </w:t>
      </w:r>
      <w:hyperlink r:id="rId9" w:tgtFrame="_new" w:history="1">
        <w:r w:rsidRPr="003E5B81">
          <w:rPr>
            <w:rFonts w:ascii="Times New Roman" w:eastAsia="Times New Roman" w:hAnsi="Times New Roman" w:cs="Times New Roman"/>
            <w:kern w:val="0"/>
            <w:u w:val="single"/>
            <w:lang w:eastAsia="en-GB"/>
            <w14:ligatures w14:val="none"/>
          </w:rPr>
          <w:t>https://qlantic.com/index.php/qjssh/article/view/230</w:t>
        </w:r>
      </w:hyperlink>
      <w:r w:rsidRPr="003E5B81">
        <w:rPr>
          <w:rFonts w:ascii="Times New Roman" w:eastAsia="Times New Roman" w:hAnsi="Times New Roman" w:cs="Times New Roman"/>
          <w:kern w:val="0"/>
          <w:lang w:eastAsia="en-GB"/>
          <w14:ligatures w14:val="none"/>
        </w:rPr>
        <w:t xml:space="preserve"> (Accessed 7th  May 2025).</w:t>
      </w:r>
    </w:p>
    <w:p w14:paraId="73A65C94"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Anyon, Y., Atteberry-Ash, B., Yang, J., Pauline, M., Wiley, K., Cash, D., Downing, B., Greer, E. and Pisciotta, L. (2018) ‘It’s all about the relationships: Educators’ rationales and strategies for building connections with students to prevent exclusionary school discipline outcomes’, </w:t>
      </w:r>
      <w:r w:rsidRPr="003E5B81">
        <w:rPr>
          <w:rFonts w:ascii="Times New Roman" w:eastAsia="Times New Roman" w:hAnsi="Times New Roman" w:cs="Times New Roman"/>
          <w:i/>
          <w:iCs/>
          <w:kern w:val="0"/>
          <w:lang w:eastAsia="en-GB"/>
          <w14:ligatures w14:val="none"/>
        </w:rPr>
        <w:t>Children &amp; Schools</w:t>
      </w:r>
      <w:r w:rsidRPr="003E5B81">
        <w:rPr>
          <w:rFonts w:ascii="Times New Roman" w:eastAsia="Times New Roman" w:hAnsi="Times New Roman" w:cs="Times New Roman"/>
          <w:kern w:val="0"/>
          <w:lang w:eastAsia="en-GB"/>
          <w14:ligatures w14:val="none"/>
        </w:rPr>
        <w:t>, 40(4), pp.221–230</w:t>
      </w:r>
    </w:p>
    <w:p w14:paraId="503A96A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Avramidis, E. and Norwich, B. (2022) ‘Teachers’ attitudes towards inclusion 20 years on: A systematic review of the literature’, </w:t>
      </w:r>
      <w:r w:rsidRPr="003E5B81">
        <w:rPr>
          <w:rFonts w:ascii="Times New Roman" w:eastAsia="Times New Roman" w:hAnsi="Times New Roman" w:cs="Times New Roman"/>
          <w:i/>
          <w:iCs/>
          <w:kern w:val="0"/>
          <w:lang w:eastAsia="en-GB"/>
          <w14:ligatures w14:val="none"/>
        </w:rPr>
        <w:t>European Journal of Special Needs Education</w:t>
      </w:r>
      <w:r w:rsidRPr="003E5B81">
        <w:rPr>
          <w:rFonts w:ascii="Times New Roman" w:eastAsia="Times New Roman" w:hAnsi="Times New Roman" w:cs="Times New Roman"/>
          <w:kern w:val="0"/>
          <w:lang w:eastAsia="en-GB"/>
          <w14:ligatures w14:val="none"/>
        </w:rPr>
        <w:t xml:space="preserve">, 37(4), pp.531–548. Available at: </w:t>
      </w:r>
      <w:hyperlink r:id="rId10" w:tgtFrame="_new" w:history="1">
        <w:r w:rsidRPr="003E5B81">
          <w:rPr>
            <w:rFonts w:ascii="Times New Roman" w:eastAsia="Times New Roman" w:hAnsi="Times New Roman" w:cs="Times New Roman"/>
            <w:kern w:val="0"/>
            <w:u w:val="single"/>
            <w:lang w:eastAsia="en-GB"/>
            <w14:ligatures w14:val="none"/>
          </w:rPr>
          <w:t>https://doi.org/10.1080/08856257.2021.1954286</w:t>
        </w:r>
      </w:hyperlink>
      <w:r w:rsidRPr="003E5B81">
        <w:rPr>
          <w:rFonts w:ascii="Times New Roman" w:eastAsia="Times New Roman" w:hAnsi="Times New Roman" w:cs="Times New Roman"/>
          <w:kern w:val="0"/>
          <w:lang w:eastAsia="en-GB"/>
          <w14:ligatures w14:val="none"/>
        </w:rPr>
        <w:t xml:space="preserve"> (Accessed: 4th May 2025).</w:t>
      </w:r>
    </w:p>
    <w:p w14:paraId="72B3168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Bandura, A. (1977) </w:t>
      </w:r>
      <w:r w:rsidRPr="003E5B81">
        <w:rPr>
          <w:rFonts w:ascii="Times New Roman" w:eastAsia="Times New Roman" w:hAnsi="Times New Roman" w:cs="Times New Roman"/>
          <w:i/>
          <w:iCs/>
          <w:kern w:val="0"/>
          <w:lang w:eastAsia="en-GB"/>
          <w14:ligatures w14:val="none"/>
        </w:rPr>
        <w:t>Social learning theory</w:t>
      </w:r>
      <w:r w:rsidRPr="003E5B81">
        <w:rPr>
          <w:rFonts w:ascii="Times New Roman" w:eastAsia="Times New Roman" w:hAnsi="Times New Roman" w:cs="Times New Roman"/>
          <w:kern w:val="0"/>
          <w:lang w:eastAsia="en-GB"/>
          <w14:ligatures w14:val="none"/>
        </w:rPr>
        <w:t>. Englewood Cliffs, NJ: Prentice-Hall.</w:t>
      </w:r>
    </w:p>
    <w:p w14:paraId="5B74354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Barrett, K.C. and Campos, J.J. (1987) ‘Perspectives on emotional development II: A functionalist approach to emotions’, in Osofsky, J.D. (ed.) </w:t>
      </w:r>
      <w:r w:rsidRPr="003E5B81">
        <w:rPr>
          <w:rFonts w:ascii="Times New Roman" w:eastAsia="Times New Roman" w:hAnsi="Times New Roman" w:cs="Times New Roman"/>
          <w:i/>
          <w:iCs/>
          <w:kern w:val="0"/>
          <w:lang w:eastAsia="en-GB"/>
          <w14:ligatures w14:val="none"/>
        </w:rPr>
        <w:t>Handbook of infant development</w:t>
      </w:r>
      <w:r w:rsidRPr="003E5B81">
        <w:rPr>
          <w:rFonts w:ascii="Times New Roman" w:eastAsia="Times New Roman" w:hAnsi="Times New Roman" w:cs="Times New Roman"/>
          <w:kern w:val="0"/>
          <w:lang w:eastAsia="en-GB"/>
          <w14:ligatures w14:val="none"/>
        </w:rPr>
        <w:t>. 2nd edn. New York: Wiley, pp. 555–578.</w:t>
      </w:r>
    </w:p>
    <w:p w14:paraId="142C9E9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Blair, C. and Raver, C.C. (2012) ‘Child development in the context of adversity: experiential canalization of brain and behavior’, </w:t>
      </w:r>
      <w:r w:rsidRPr="003E5B81">
        <w:rPr>
          <w:rFonts w:ascii="Times New Roman" w:eastAsia="Times New Roman" w:hAnsi="Times New Roman" w:cs="Times New Roman"/>
          <w:i/>
          <w:iCs/>
          <w:kern w:val="0"/>
          <w:lang w:eastAsia="en-GB"/>
          <w14:ligatures w14:val="none"/>
        </w:rPr>
        <w:t>American Psychologist</w:t>
      </w:r>
      <w:r w:rsidRPr="003E5B81">
        <w:rPr>
          <w:rFonts w:ascii="Times New Roman" w:eastAsia="Times New Roman" w:hAnsi="Times New Roman" w:cs="Times New Roman"/>
          <w:kern w:val="0"/>
          <w:lang w:eastAsia="en-GB"/>
          <w14:ligatures w14:val="none"/>
        </w:rPr>
        <w:t>, 67(4), pp. 309–318. doi:10.1037/a0027493.</w:t>
      </w:r>
    </w:p>
    <w:p w14:paraId="0ECBD5E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Blake, B. and Pope, T. (2008) ‘Developmental Psychology: Incorporating Piaget’s and Vygotsky’s Theories in Classrooms’, </w:t>
      </w:r>
      <w:r w:rsidRPr="003E5B81">
        <w:rPr>
          <w:rFonts w:ascii="Times New Roman" w:eastAsia="Times New Roman" w:hAnsi="Times New Roman" w:cs="Times New Roman"/>
          <w:i/>
          <w:iCs/>
          <w:kern w:val="0"/>
          <w:lang w:eastAsia="en-GB"/>
          <w14:ligatures w14:val="none"/>
        </w:rPr>
        <w:t>Journal of Cross-Disciplinary Perspectives in Education</w:t>
      </w:r>
      <w:r w:rsidRPr="003E5B81">
        <w:rPr>
          <w:rFonts w:ascii="Times New Roman" w:eastAsia="Times New Roman" w:hAnsi="Times New Roman" w:cs="Times New Roman"/>
          <w:kern w:val="0"/>
          <w:lang w:eastAsia="en-GB"/>
          <w14:ligatures w14:val="none"/>
        </w:rPr>
        <w:t>, 1(1), pp.59–67.</w:t>
      </w:r>
    </w:p>
    <w:p w14:paraId="3CD8CADE"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Blossing, U., Imsen, G. and Moos, L. (2014) </w:t>
      </w:r>
      <w:r w:rsidRPr="003E5B81">
        <w:rPr>
          <w:rFonts w:ascii="Times New Roman" w:eastAsia="Times New Roman" w:hAnsi="Times New Roman" w:cs="Times New Roman"/>
          <w:i/>
          <w:iCs/>
          <w:kern w:val="0"/>
          <w:lang w:eastAsia="en-GB"/>
          <w14:ligatures w14:val="none"/>
        </w:rPr>
        <w:t>The Nordic Education Model: 'A School for All' Encounters Neo-Liberal Policy</w:t>
      </w:r>
      <w:r w:rsidRPr="003E5B81">
        <w:rPr>
          <w:rFonts w:ascii="Times New Roman" w:eastAsia="Times New Roman" w:hAnsi="Times New Roman" w:cs="Times New Roman"/>
          <w:kern w:val="0"/>
          <w:lang w:eastAsia="en-GB"/>
          <w14:ligatures w14:val="none"/>
        </w:rPr>
        <w:t>. Dordrecht: Springer.</w:t>
      </w:r>
    </w:p>
    <w:p w14:paraId="63EB6DFA"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Bowlby, J. (1969) </w:t>
      </w:r>
      <w:r w:rsidRPr="003E5B81">
        <w:rPr>
          <w:rFonts w:ascii="Times New Roman" w:eastAsia="Times New Roman" w:hAnsi="Times New Roman" w:cs="Times New Roman"/>
          <w:i/>
          <w:iCs/>
          <w:kern w:val="0"/>
          <w:lang w:eastAsia="en-GB"/>
          <w14:ligatures w14:val="none"/>
        </w:rPr>
        <w:t>Attachment and loss. Vol. 1: Attachment</w:t>
      </w:r>
      <w:r w:rsidRPr="003E5B81">
        <w:rPr>
          <w:rFonts w:ascii="Times New Roman" w:eastAsia="Times New Roman" w:hAnsi="Times New Roman" w:cs="Times New Roman"/>
          <w:kern w:val="0"/>
          <w:lang w:eastAsia="en-GB"/>
          <w14:ligatures w14:val="none"/>
        </w:rPr>
        <w:t>. London: Hogarth Press.</w:t>
      </w:r>
    </w:p>
    <w:p w14:paraId="59E70D0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Brendtro, L.K., Brokenleg, M. and Van Bockern, S. (2005) </w:t>
      </w:r>
      <w:r w:rsidRPr="003E5B81">
        <w:rPr>
          <w:rFonts w:ascii="Times New Roman" w:eastAsia="Times New Roman" w:hAnsi="Times New Roman" w:cs="Times New Roman"/>
          <w:i/>
          <w:iCs/>
          <w:kern w:val="0"/>
          <w:lang w:eastAsia="en-GB"/>
          <w14:ligatures w14:val="none"/>
        </w:rPr>
        <w:t>Reclaiming youth at risk: our hope for the future</w:t>
      </w:r>
      <w:r w:rsidRPr="003E5B81">
        <w:rPr>
          <w:rFonts w:ascii="Times New Roman" w:eastAsia="Times New Roman" w:hAnsi="Times New Roman" w:cs="Times New Roman"/>
          <w:kern w:val="0"/>
          <w:lang w:eastAsia="en-GB"/>
          <w14:ligatures w14:val="none"/>
        </w:rPr>
        <w:t>. 2nd edn. Bloomington, IN: Solution Tree.</w:t>
      </w:r>
    </w:p>
    <w:p w14:paraId="0FEB8D0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Bronfenbrenner, U. (1979) </w:t>
      </w:r>
      <w:r w:rsidRPr="003E5B81">
        <w:rPr>
          <w:rFonts w:ascii="Times New Roman" w:eastAsia="Times New Roman" w:hAnsi="Times New Roman" w:cs="Times New Roman"/>
          <w:i/>
          <w:iCs/>
          <w:kern w:val="0"/>
          <w:lang w:eastAsia="en-GB"/>
          <w14:ligatures w14:val="none"/>
        </w:rPr>
        <w:t>The ecology of human development: experiments by nature and design</w:t>
      </w:r>
      <w:r w:rsidRPr="003E5B81">
        <w:rPr>
          <w:rFonts w:ascii="Times New Roman" w:eastAsia="Times New Roman" w:hAnsi="Times New Roman" w:cs="Times New Roman"/>
          <w:kern w:val="0"/>
          <w:lang w:eastAsia="en-GB"/>
          <w14:ligatures w14:val="none"/>
        </w:rPr>
        <w:t>. Cambridge, MA: Harvard University Press.</w:t>
      </w:r>
    </w:p>
    <w:p w14:paraId="5A8E03F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Brooks, J. (2022) ‘Restorative practice and relational approaches in schools: shifting the behaviour management paradigm’, </w:t>
      </w:r>
      <w:r w:rsidRPr="003E5B81">
        <w:rPr>
          <w:rFonts w:ascii="Times New Roman" w:eastAsia="Times New Roman" w:hAnsi="Times New Roman" w:cs="Times New Roman"/>
          <w:i/>
          <w:iCs/>
          <w:kern w:val="0"/>
          <w:lang w:eastAsia="en-GB"/>
          <w14:ligatures w14:val="none"/>
        </w:rPr>
        <w:t>Educational and Child Psychology</w:t>
      </w:r>
      <w:r w:rsidRPr="003E5B81">
        <w:rPr>
          <w:rFonts w:ascii="Times New Roman" w:eastAsia="Times New Roman" w:hAnsi="Times New Roman" w:cs="Times New Roman"/>
          <w:kern w:val="0"/>
          <w:lang w:eastAsia="en-GB"/>
          <w14:ligatures w14:val="none"/>
        </w:rPr>
        <w:t>, 39(4), pp. 23–36.</w:t>
      </w:r>
    </w:p>
    <w:p w14:paraId="153AB39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t xml:space="preserve">Bywaters, P., Bunting, L., Davidson, G., Hanratty, J., Mason, W., McCartan, C. and Steils, N. (2016) ‘The relationship between poverty, child abuse and neglect: an evidence review’, </w:t>
      </w:r>
      <w:r w:rsidRPr="003E5B81">
        <w:rPr>
          <w:i/>
          <w:iCs/>
        </w:rPr>
        <w:t>Joseph Rowntree Foundation</w:t>
      </w:r>
      <w:r w:rsidRPr="003E5B81">
        <w:t>. Available at: https://www.jrf.org.uk/report/relationship-between-poverty-child-abuse-and-neglect-evidence-review (Accessed: 10th May 2025).</w:t>
      </w:r>
    </w:p>
    <w:p w14:paraId="080926D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Cantor, P., Osher, D., Berg, J., Steyer, L. and Rose, T. (2021) ‘Malleability, plasticity, and individuality: How children learn and develop in context’, in Cantor, P., Osher, D., Berg, J., Steyer, L. and Rose, T. (eds.) </w:t>
      </w:r>
      <w:r w:rsidRPr="003E5B81">
        <w:rPr>
          <w:rFonts w:ascii="Times New Roman" w:eastAsia="Times New Roman" w:hAnsi="Times New Roman" w:cs="Times New Roman"/>
          <w:i/>
          <w:iCs/>
          <w:kern w:val="0"/>
          <w:lang w:eastAsia="en-GB"/>
          <w14:ligatures w14:val="none"/>
        </w:rPr>
        <w:t>The science of learning and development</w:t>
      </w:r>
      <w:r w:rsidRPr="003E5B81">
        <w:rPr>
          <w:rFonts w:ascii="Times New Roman" w:eastAsia="Times New Roman" w:hAnsi="Times New Roman" w:cs="Times New Roman"/>
          <w:kern w:val="0"/>
          <w:lang w:eastAsia="en-GB"/>
          <w14:ligatures w14:val="none"/>
        </w:rPr>
        <w:t>. Routledge, pp.3–54.</w:t>
      </w:r>
    </w:p>
    <w:p w14:paraId="6223BE4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Cefai, C. and Cavioni, V. (2014) </w:t>
      </w:r>
      <w:r w:rsidRPr="003E5B81">
        <w:rPr>
          <w:rFonts w:ascii="Times New Roman" w:eastAsia="Times New Roman" w:hAnsi="Times New Roman" w:cs="Times New Roman"/>
          <w:i/>
          <w:iCs/>
          <w:kern w:val="0"/>
          <w:lang w:eastAsia="en-GB"/>
          <w14:ligatures w14:val="none"/>
        </w:rPr>
        <w:t>Social and emotional education in primary school: integrating theory and research into practice</w:t>
      </w:r>
      <w:r w:rsidRPr="003E5B81">
        <w:rPr>
          <w:rFonts w:ascii="Times New Roman" w:eastAsia="Times New Roman" w:hAnsi="Times New Roman" w:cs="Times New Roman"/>
          <w:kern w:val="0"/>
          <w:lang w:eastAsia="en-GB"/>
          <w14:ligatures w14:val="none"/>
        </w:rPr>
        <w:t>. New York: Springer.</w:t>
      </w:r>
    </w:p>
    <w:p w14:paraId="104872A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Charrie, C. (2024) </w:t>
      </w:r>
      <w:r w:rsidRPr="003E5B81">
        <w:rPr>
          <w:rFonts w:ascii="Times New Roman" w:eastAsia="Times New Roman" w:hAnsi="Times New Roman" w:cs="Times New Roman"/>
          <w:i/>
          <w:iCs/>
          <w:kern w:val="0"/>
          <w:lang w:eastAsia="en-GB"/>
          <w14:ligatures w14:val="none"/>
        </w:rPr>
        <w:t>The evolution of trauma-informed training in teacher preparation programs: a case study</w:t>
      </w:r>
      <w:r w:rsidRPr="003E5B81">
        <w:rPr>
          <w:rFonts w:ascii="Times New Roman" w:eastAsia="Times New Roman" w:hAnsi="Times New Roman" w:cs="Times New Roman"/>
          <w:kern w:val="0"/>
          <w:lang w:eastAsia="en-GB"/>
          <w14:ligatures w14:val="none"/>
        </w:rPr>
        <w:t>. Robert Morris University.</w:t>
      </w:r>
    </w:p>
    <w:p w14:paraId="466352F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Cherry, K. (2022) ‘Industry vs. Inferiority in Psychosocial Development’, </w:t>
      </w:r>
      <w:r w:rsidRPr="003E5B81">
        <w:rPr>
          <w:rFonts w:ascii="Times New Roman" w:eastAsia="Times New Roman" w:hAnsi="Times New Roman" w:cs="Times New Roman"/>
          <w:i/>
          <w:iCs/>
          <w:kern w:val="0"/>
          <w:lang w:eastAsia="en-GB"/>
          <w14:ligatures w14:val="none"/>
        </w:rPr>
        <w:t>Verywell Mind</w:t>
      </w:r>
      <w:r w:rsidRPr="003E5B81">
        <w:rPr>
          <w:rFonts w:ascii="Times New Roman" w:eastAsia="Times New Roman" w:hAnsi="Times New Roman" w:cs="Times New Roman"/>
          <w:kern w:val="0"/>
          <w:lang w:eastAsia="en-GB"/>
          <w14:ligatures w14:val="none"/>
        </w:rPr>
        <w:t xml:space="preserve">. Available at: </w:t>
      </w:r>
      <w:hyperlink r:id="rId11" w:tgtFrame="_new" w:history="1">
        <w:r w:rsidRPr="003E5B81">
          <w:rPr>
            <w:rFonts w:ascii="Times New Roman" w:eastAsia="Times New Roman" w:hAnsi="Times New Roman" w:cs="Times New Roman"/>
            <w:kern w:val="0"/>
            <w:u w:val="single"/>
            <w:lang w:eastAsia="en-GB"/>
            <w14:ligatures w14:val="none"/>
          </w:rPr>
          <w:t>https://www.verywellmind.com/industry-versus-inferiority-2795736</w:t>
        </w:r>
      </w:hyperlink>
      <w:r w:rsidRPr="003E5B81">
        <w:rPr>
          <w:rFonts w:ascii="Times New Roman" w:eastAsia="Times New Roman" w:hAnsi="Times New Roman" w:cs="Times New Roman"/>
          <w:kern w:val="0"/>
          <w:lang w:eastAsia="en-GB"/>
          <w14:ligatures w14:val="none"/>
        </w:rPr>
        <w:t xml:space="preserve"> (Accessed: 11th May 2025).</w:t>
      </w:r>
    </w:p>
    <w:p w14:paraId="6B73004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Chung, J. (n.d) </w:t>
      </w:r>
      <w:r w:rsidRPr="003E5B81">
        <w:rPr>
          <w:rFonts w:ascii="Times New Roman" w:eastAsia="Times New Roman" w:hAnsi="Times New Roman" w:cs="Times New Roman"/>
          <w:i/>
          <w:iCs/>
          <w:kern w:val="0"/>
          <w:lang w:eastAsia="en-GB"/>
          <w14:ligatures w14:val="none"/>
        </w:rPr>
        <w:t>Research-informed teacher education, teacher autonomy and teacher agency: the example of Finland</w:t>
      </w:r>
      <w:r w:rsidRPr="003E5B81">
        <w:rPr>
          <w:rFonts w:ascii="Times New Roman" w:eastAsia="Times New Roman" w:hAnsi="Times New Roman" w:cs="Times New Roman"/>
          <w:kern w:val="0"/>
          <w:lang w:eastAsia="en-GB"/>
          <w14:ligatures w14:val="none"/>
        </w:rPr>
        <w:t xml:space="preserve">. </w:t>
      </w:r>
      <w:r w:rsidRPr="003E5B81">
        <w:rPr>
          <w:rFonts w:ascii="Times New Roman" w:eastAsia="Times New Roman" w:hAnsi="Times New Roman" w:cs="Times New Roman"/>
          <w:i/>
          <w:iCs/>
          <w:kern w:val="0"/>
          <w:lang w:eastAsia="en-GB"/>
          <w14:ligatures w14:val="none"/>
        </w:rPr>
        <w:t>London Review of Education</w:t>
      </w:r>
      <w:r w:rsidRPr="003E5B81">
        <w:rPr>
          <w:rFonts w:ascii="Times New Roman" w:eastAsia="Times New Roman" w:hAnsi="Times New Roman" w:cs="Times New Roman"/>
          <w:kern w:val="0"/>
          <w:lang w:eastAsia="en-GB"/>
          <w14:ligatures w14:val="none"/>
        </w:rPr>
        <w:t>. Available at: https://doi.org/10.14324/LRE.21.1.04 (Accessed 17th  May 2025)</w:t>
      </w:r>
    </w:p>
    <w:p w14:paraId="35DEC49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Darling-Hammond, S. (2023) ‘Fostering belonging, transforming schools: The impact of restorative practices’. Learning Policy Institute</w:t>
      </w:r>
    </w:p>
    <w:p w14:paraId="3E28A734"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Degges-White, S. (2017) ‘Erikson’s theory of psychosocial development’, in </w:t>
      </w:r>
      <w:r w:rsidRPr="003E5B81">
        <w:rPr>
          <w:rFonts w:ascii="Times New Roman" w:eastAsia="Times New Roman" w:hAnsi="Times New Roman" w:cs="Times New Roman"/>
          <w:i/>
          <w:iCs/>
          <w:kern w:val="0"/>
          <w:lang w:eastAsia="en-GB"/>
          <w14:ligatures w14:val="none"/>
        </w:rPr>
        <w:t>College Student Development: Applying Theory to Practice on the Diverse Campus</w:t>
      </w:r>
      <w:r w:rsidRPr="003E5B81">
        <w:rPr>
          <w:rFonts w:ascii="Times New Roman" w:eastAsia="Times New Roman" w:hAnsi="Times New Roman" w:cs="Times New Roman"/>
          <w:kern w:val="0"/>
          <w:lang w:eastAsia="en-GB"/>
          <w14:ligatures w14:val="none"/>
        </w:rPr>
        <w:t>, p.35</w:t>
      </w:r>
    </w:p>
    <w:p w14:paraId="38A3414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Demetriou, A., Mouyi, A. and Spanoudis, G. (2022) ‘Changing priorities in the development of cognitive competence and school learning: A general theory’, </w:t>
      </w:r>
      <w:r w:rsidRPr="003E5B81">
        <w:rPr>
          <w:rFonts w:ascii="Times New Roman" w:eastAsia="Times New Roman" w:hAnsi="Times New Roman" w:cs="Times New Roman"/>
          <w:i/>
          <w:iCs/>
          <w:kern w:val="0"/>
          <w:lang w:eastAsia="en-GB"/>
          <w14:ligatures w14:val="none"/>
        </w:rPr>
        <w:t>Frontiers in Psychology</w:t>
      </w:r>
      <w:r w:rsidRPr="003E5B81">
        <w:rPr>
          <w:rFonts w:ascii="Times New Roman" w:eastAsia="Times New Roman" w:hAnsi="Times New Roman" w:cs="Times New Roman"/>
          <w:kern w:val="0"/>
          <w:lang w:eastAsia="en-GB"/>
          <w14:ligatures w14:val="none"/>
        </w:rPr>
        <w:t>, 13, p.954971.</w:t>
      </w:r>
    </w:p>
    <w:p w14:paraId="6A0BC39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Department for Education (2024) </w:t>
      </w:r>
      <w:r w:rsidRPr="003E5B81">
        <w:rPr>
          <w:rFonts w:ascii="Times New Roman" w:eastAsia="Times New Roman" w:hAnsi="Times New Roman" w:cs="Times New Roman"/>
          <w:i/>
          <w:iCs/>
          <w:kern w:val="0"/>
          <w:lang w:eastAsia="en-GB"/>
          <w14:ligatures w14:val="none"/>
        </w:rPr>
        <w:t>Inclusive Britain: Second Update Report – May 2024</w:t>
      </w:r>
      <w:r w:rsidRPr="003E5B81">
        <w:rPr>
          <w:rFonts w:ascii="Times New Roman" w:eastAsia="Times New Roman" w:hAnsi="Times New Roman" w:cs="Times New Roman"/>
          <w:kern w:val="0"/>
          <w:lang w:eastAsia="en-GB"/>
          <w14:ligatures w14:val="none"/>
        </w:rPr>
        <w:t xml:space="preserve">. [online] Available at: </w:t>
      </w:r>
      <w:hyperlink r:id="rId12" w:history="1">
        <w:r w:rsidRPr="003E5B81">
          <w:rPr>
            <w:rFonts w:ascii="Times New Roman" w:eastAsia="Times New Roman" w:hAnsi="Times New Roman" w:cs="Times New Roman"/>
            <w:kern w:val="0"/>
            <w:u w:val="single"/>
            <w:lang w:eastAsia="en-GB"/>
            <w14:ligatures w14:val="none"/>
          </w:rPr>
          <w:t>https://www.gov.uk/government/publications/inclusive-britain-updatedreport/inclusive-britain-second-update-report-may-2024</w:t>
        </w:r>
      </w:hyperlink>
      <w:r w:rsidRPr="003E5B81">
        <w:rPr>
          <w:rFonts w:ascii="Times New Roman" w:eastAsia="Times New Roman" w:hAnsi="Times New Roman" w:cs="Times New Roman"/>
          <w:kern w:val="0"/>
          <w:lang w:eastAsia="en-GB"/>
          <w14:ligatures w14:val="none"/>
        </w:rPr>
        <w:t xml:space="preserve"> (Accessed: 11th  May 2025).</w:t>
      </w:r>
    </w:p>
    <w:p w14:paraId="605A60C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Devi-McGleish, Y. (2023) ‘Restorative cultures in context: A cross-national analysis of relational practices in education’, </w:t>
      </w:r>
      <w:r w:rsidRPr="003E5B81">
        <w:rPr>
          <w:rFonts w:ascii="Times New Roman" w:eastAsia="Times New Roman" w:hAnsi="Times New Roman" w:cs="Times New Roman"/>
          <w:i/>
          <w:iCs/>
          <w:kern w:val="0"/>
          <w:lang w:eastAsia="en-GB"/>
          <w14:ligatures w14:val="none"/>
        </w:rPr>
        <w:t>Educational Review</w:t>
      </w:r>
      <w:r w:rsidRPr="003E5B81">
        <w:rPr>
          <w:rFonts w:ascii="Times New Roman" w:eastAsia="Times New Roman" w:hAnsi="Times New Roman" w:cs="Times New Roman"/>
          <w:kern w:val="0"/>
          <w:lang w:eastAsia="en-GB"/>
          <w14:ligatures w14:val="none"/>
        </w:rPr>
        <w:t>, 75(2), pp.145–162.</w:t>
      </w:r>
    </w:p>
    <w:p w14:paraId="06406B1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t xml:space="preserve">Devi-McGleish, Y. (2023) ‘Trauma-informed care in schools: A critical review of policy and practice in England’, </w:t>
      </w:r>
      <w:r w:rsidRPr="003E5B81">
        <w:rPr>
          <w:i/>
          <w:iCs/>
        </w:rPr>
        <w:t>Pastoral Care in Education</w:t>
      </w:r>
      <w:r w:rsidRPr="003E5B81">
        <w:t>, 41(1), pp. 3–18. Available at: https://doi.org/10.1080/02643944.2022.2135584 (Accessed: 17th May 2025).</w:t>
      </w:r>
    </w:p>
    <w:p w14:paraId="705A452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Di Lisio, S., Ginevra, M.C., Nota, L. and Santilli, S. (2025) ‘The importance of teacher–student relationships for early school leaving and academic achievement: A systematic review’, </w:t>
      </w:r>
      <w:r w:rsidRPr="003E5B81">
        <w:rPr>
          <w:rFonts w:ascii="Times New Roman" w:eastAsia="Times New Roman" w:hAnsi="Times New Roman" w:cs="Times New Roman"/>
          <w:i/>
          <w:iCs/>
          <w:kern w:val="0"/>
          <w:lang w:eastAsia="en-GB"/>
          <w14:ligatures w14:val="none"/>
        </w:rPr>
        <w:t>Frontiers in Education</w:t>
      </w:r>
      <w:r w:rsidRPr="003E5B81">
        <w:rPr>
          <w:rFonts w:ascii="Times New Roman" w:eastAsia="Times New Roman" w:hAnsi="Times New Roman" w:cs="Times New Roman"/>
          <w:kern w:val="0"/>
          <w:lang w:eastAsia="en-GB"/>
          <w14:ligatures w14:val="none"/>
        </w:rPr>
        <w:t xml:space="preserve">, 10, p.1522997. Available at: </w:t>
      </w:r>
      <w:hyperlink r:id="rId13" w:tgtFrame="_new" w:history="1">
        <w:r w:rsidRPr="003E5B81">
          <w:rPr>
            <w:rFonts w:ascii="Times New Roman" w:eastAsia="Times New Roman" w:hAnsi="Times New Roman" w:cs="Times New Roman"/>
            <w:kern w:val="0"/>
            <w:u w:val="single"/>
            <w:lang w:eastAsia="en-GB"/>
            <w14:ligatures w14:val="none"/>
          </w:rPr>
          <w:t>https://www.frontiersin.org/articles/10.3389/feduc.2025.1522997/full</w:t>
        </w:r>
      </w:hyperlink>
      <w:r w:rsidRPr="003E5B81">
        <w:rPr>
          <w:rFonts w:ascii="Times New Roman" w:eastAsia="Times New Roman" w:hAnsi="Times New Roman" w:cs="Times New Roman"/>
          <w:kern w:val="0"/>
          <w:lang w:eastAsia="en-GB"/>
          <w14:ligatures w14:val="none"/>
        </w:rPr>
        <w:t xml:space="preserve"> (Accessed: 11th May 2025].</w:t>
      </w:r>
    </w:p>
    <w:p w14:paraId="521BA82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Durlak, J.A., Weissberg, R.P., Dymnicki, A.B., Taylor, R.D. and Schellinger, K.B. (2011) ‘The impact of enhancing students’ social and emotional learning: a meta-analysis of school-based universal interventions’, </w:t>
      </w:r>
      <w:r w:rsidRPr="003E5B81">
        <w:rPr>
          <w:rFonts w:ascii="Times New Roman" w:eastAsia="Times New Roman" w:hAnsi="Times New Roman" w:cs="Times New Roman"/>
          <w:i/>
          <w:iCs/>
          <w:kern w:val="0"/>
          <w:lang w:eastAsia="en-GB"/>
          <w14:ligatures w14:val="none"/>
        </w:rPr>
        <w:t>Child Development</w:t>
      </w:r>
      <w:r w:rsidRPr="003E5B81">
        <w:rPr>
          <w:rFonts w:ascii="Times New Roman" w:eastAsia="Times New Roman" w:hAnsi="Times New Roman" w:cs="Times New Roman"/>
          <w:kern w:val="0"/>
          <w:lang w:eastAsia="en-GB"/>
          <w14:ligatures w14:val="none"/>
        </w:rPr>
        <w:t xml:space="preserve">, 82(1), pp. 405–432. Available at: </w:t>
      </w:r>
      <w:hyperlink r:id="rId14" w:tgtFrame="_new" w:history="1">
        <w:r w:rsidRPr="003E5B81">
          <w:rPr>
            <w:rFonts w:ascii="Times New Roman" w:eastAsia="Times New Roman" w:hAnsi="Times New Roman" w:cs="Times New Roman"/>
            <w:kern w:val="0"/>
            <w:u w:val="single"/>
            <w:lang w:eastAsia="en-GB"/>
            <w14:ligatures w14:val="none"/>
          </w:rPr>
          <w:t>https://doi.org/10.1111/j.1467-8624.2010.01564.x</w:t>
        </w:r>
      </w:hyperlink>
      <w:r w:rsidRPr="003E5B81">
        <w:rPr>
          <w:rFonts w:ascii="Times New Roman" w:eastAsia="Times New Roman" w:hAnsi="Times New Roman" w:cs="Times New Roman"/>
          <w:kern w:val="0"/>
          <w:lang w:eastAsia="en-GB"/>
          <w14:ligatures w14:val="none"/>
        </w:rPr>
        <w:t xml:space="preserve"> (Accessed: 7th May 2025).</w:t>
      </w:r>
    </w:p>
    <w:p w14:paraId="0A0FE3C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Education Scotland (2021) </w:t>
      </w:r>
      <w:r w:rsidRPr="003E5B81">
        <w:rPr>
          <w:rFonts w:ascii="Times New Roman" w:eastAsia="Times New Roman" w:hAnsi="Times New Roman" w:cs="Times New Roman"/>
          <w:i/>
          <w:iCs/>
          <w:kern w:val="0"/>
          <w:lang w:eastAsia="en-GB"/>
          <w14:ligatures w14:val="none"/>
        </w:rPr>
        <w:t>Incorporating UNCRC in education: What schools and other education settings need to know</w:t>
      </w:r>
      <w:r w:rsidRPr="003E5B81">
        <w:rPr>
          <w:rFonts w:ascii="Times New Roman" w:eastAsia="Times New Roman" w:hAnsi="Times New Roman" w:cs="Times New Roman"/>
          <w:kern w:val="0"/>
          <w:lang w:eastAsia="en-GB"/>
          <w14:ligatures w14:val="none"/>
        </w:rPr>
        <w:t xml:space="preserve">. Available at: </w:t>
      </w:r>
      <w:hyperlink r:id="rId15" w:tgtFrame="_new" w:history="1">
        <w:r w:rsidRPr="003E5B81">
          <w:rPr>
            <w:rFonts w:ascii="Times New Roman" w:eastAsia="Times New Roman" w:hAnsi="Times New Roman" w:cs="Times New Roman"/>
            <w:kern w:val="0"/>
            <w:u w:val="single"/>
            <w:lang w:eastAsia="en-GB"/>
            <w14:ligatures w14:val="none"/>
          </w:rPr>
          <w:t>https://education.gov.scot/media/rbppz4ya/incorporating-the-uncrc-in-education.pdf</w:t>
        </w:r>
      </w:hyperlink>
      <w:r w:rsidRPr="003E5B81">
        <w:rPr>
          <w:rFonts w:ascii="Times New Roman" w:eastAsia="Times New Roman" w:hAnsi="Times New Roman" w:cs="Times New Roman"/>
          <w:kern w:val="0"/>
          <w:lang w:eastAsia="en-GB"/>
          <w14:ligatures w14:val="none"/>
        </w:rPr>
        <w:t xml:space="preserve"> (Accessed: 15th May 2025).</w:t>
      </w:r>
    </w:p>
    <w:p w14:paraId="1EA1EE7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Education Support (2023) </w:t>
      </w:r>
      <w:r w:rsidRPr="003E5B81">
        <w:rPr>
          <w:rFonts w:ascii="Times New Roman" w:eastAsia="Times New Roman" w:hAnsi="Times New Roman" w:cs="Times New Roman"/>
          <w:i/>
          <w:iCs/>
          <w:kern w:val="0"/>
          <w:lang w:eastAsia="en-GB"/>
          <w14:ligatures w14:val="none"/>
        </w:rPr>
        <w:t>Teacher Wellbeing Index 2023: Wales regional findings</w:t>
      </w:r>
      <w:r w:rsidRPr="003E5B81">
        <w:rPr>
          <w:rFonts w:ascii="Times New Roman" w:eastAsia="Times New Roman" w:hAnsi="Times New Roman" w:cs="Times New Roman"/>
          <w:kern w:val="0"/>
          <w:lang w:eastAsia="en-GB"/>
          <w14:ligatures w14:val="none"/>
        </w:rPr>
        <w:t xml:space="preserve">. Available at: </w:t>
      </w:r>
      <w:hyperlink r:id="rId16" w:tgtFrame="_new" w:history="1">
        <w:r w:rsidRPr="003E5B81">
          <w:rPr>
            <w:rFonts w:ascii="Times New Roman" w:eastAsia="Times New Roman" w:hAnsi="Times New Roman" w:cs="Times New Roman"/>
            <w:kern w:val="0"/>
            <w:u w:val="single"/>
            <w:lang w:eastAsia="en-GB"/>
            <w14:ligatures w14:val="none"/>
          </w:rPr>
          <w:t>https://www.educationsupport.org.uk/resources/research-reports/teacher-wellbeing-index-2023/</w:t>
        </w:r>
      </w:hyperlink>
      <w:r w:rsidRPr="003E5B81">
        <w:rPr>
          <w:rFonts w:ascii="Times New Roman" w:eastAsia="Times New Roman" w:hAnsi="Times New Roman" w:cs="Times New Roman"/>
          <w:kern w:val="0"/>
          <w:lang w:eastAsia="en-GB"/>
          <w14:ligatures w14:val="none"/>
        </w:rPr>
        <w:t xml:space="preserve"> (Accessed: 4th May 2025).</w:t>
      </w:r>
    </w:p>
    <w:p w14:paraId="4545DBF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Erikson, E.H. (1968) </w:t>
      </w:r>
      <w:r w:rsidRPr="003E5B81">
        <w:rPr>
          <w:rFonts w:ascii="Times New Roman" w:eastAsia="Times New Roman" w:hAnsi="Times New Roman" w:cs="Times New Roman"/>
          <w:i/>
          <w:iCs/>
          <w:kern w:val="0"/>
          <w:lang w:eastAsia="en-GB"/>
          <w14:ligatures w14:val="none"/>
        </w:rPr>
        <w:t>Identity: youth and crisis</w:t>
      </w:r>
      <w:r w:rsidRPr="003E5B81">
        <w:rPr>
          <w:rFonts w:ascii="Times New Roman" w:eastAsia="Times New Roman" w:hAnsi="Times New Roman" w:cs="Times New Roman"/>
          <w:kern w:val="0"/>
          <w:lang w:eastAsia="en-GB"/>
          <w14:ligatures w14:val="none"/>
        </w:rPr>
        <w:t>. New York: Norton.</w:t>
      </w:r>
    </w:p>
    <w:p w14:paraId="2413736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Estyn (2023) </w:t>
      </w:r>
      <w:r w:rsidRPr="003E5B81">
        <w:rPr>
          <w:rFonts w:ascii="Times New Roman" w:eastAsia="Times New Roman" w:hAnsi="Times New Roman" w:cs="Times New Roman"/>
          <w:i/>
          <w:iCs/>
          <w:kern w:val="0"/>
          <w:lang w:eastAsia="en-GB"/>
          <w14:ligatures w14:val="none"/>
        </w:rPr>
        <w:t>Annual Report 2022–2023</w:t>
      </w:r>
      <w:r w:rsidRPr="003E5B81">
        <w:rPr>
          <w:rFonts w:ascii="Times New Roman" w:eastAsia="Times New Roman" w:hAnsi="Times New Roman" w:cs="Times New Roman"/>
          <w:kern w:val="0"/>
          <w:lang w:eastAsia="en-GB"/>
          <w14:ligatures w14:val="none"/>
        </w:rPr>
        <w:t xml:space="preserve">. Cardiff: Estyn. Available at: </w:t>
      </w:r>
      <w:hyperlink r:id="rId17" w:tgtFrame="_new" w:history="1">
        <w:r w:rsidRPr="003E5B81">
          <w:rPr>
            <w:rFonts w:ascii="Times New Roman" w:eastAsia="Times New Roman" w:hAnsi="Times New Roman" w:cs="Times New Roman"/>
            <w:kern w:val="0"/>
            <w:u w:val="single"/>
            <w:lang w:eastAsia="en-GB"/>
            <w14:ligatures w14:val="none"/>
          </w:rPr>
          <w:t>https://www.estyn.gov.wales/document/annual-report-2022-2023</w:t>
        </w:r>
      </w:hyperlink>
      <w:r w:rsidRPr="003E5B81">
        <w:rPr>
          <w:rFonts w:ascii="Times New Roman" w:eastAsia="Times New Roman" w:hAnsi="Times New Roman" w:cs="Times New Roman"/>
          <w:kern w:val="0"/>
          <w:lang w:eastAsia="en-GB"/>
          <w14:ligatures w14:val="none"/>
        </w:rPr>
        <w:t xml:space="preserve"> (Accessed: 4th May 2025).</w:t>
      </w:r>
    </w:p>
    <w:p w14:paraId="19403CB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Estyn (2025) </w:t>
      </w:r>
      <w:r w:rsidRPr="003E5B81">
        <w:rPr>
          <w:rFonts w:ascii="Times New Roman" w:eastAsia="Times New Roman" w:hAnsi="Times New Roman" w:cs="Times New Roman"/>
          <w:i/>
          <w:iCs/>
          <w:kern w:val="0"/>
          <w:lang w:eastAsia="en-GB"/>
          <w14:ligatures w14:val="none"/>
        </w:rPr>
        <w:t>Fostering mutual respect – promoting positive behaviours in secondary school</w:t>
      </w:r>
      <w:r w:rsidRPr="003E5B81">
        <w:rPr>
          <w:rFonts w:ascii="Times New Roman" w:eastAsia="Times New Roman" w:hAnsi="Times New Roman" w:cs="Times New Roman"/>
          <w:kern w:val="0"/>
          <w:lang w:eastAsia="en-GB"/>
          <w14:ligatures w14:val="none"/>
        </w:rPr>
        <w:t xml:space="preserve">. Available at: </w:t>
      </w:r>
      <w:hyperlink r:id="rId18" w:tgtFrame="_new" w:history="1">
        <w:r w:rsidRPr="003E5B81">
          <w:rPr>
            <w:rFonts w:ascii="Times New Roman" w:eastAsia="Times New Roman" w:hAnsi="Times New Roman" w:cs="Times New Roman"/>
            <w:kern w:val="0"/>
            <w:u w:val="single"/>
            <w:lang w:eastAsia="en-GB"/>
            <w14:ligatures w14:val="none"/>
          </w:rPr>
          <w:t>https://www.estyn.gov.wales</w:t>
        </w:r>
      </w:hyperlink>
      <w:r w:rsidRPr="003E5B81">
        <w:rPr>
          <w:rFonts w:ascii="Times New Roman" w:eastAsia="Times New Roman" w:hAnsi="Times New Roman" w:cs="Times New Roman"/>
          <w:kern w:val="0"/>
          <w:lang w:eastAsia="en-GB"/>
          <w14:ligatures w14:val="none"/>
        </w:rPr>
        <w:t xml:space="preserve"> (Accessed: 11th May 2025).</w:t>
      </w:r>
    </w:p>
    <w:p w14:paraId="50663F0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Exclusion from schools and pupil referral units (2025) ‘Exclusion from schools and pupil referral units’, </w:t>
      </w:r>
      <w:r w:rsidRPr="003E5B81">
        <w:rPr>
          <w:rFonts w:ascii="Times New Roman" w:eastAsia="Times New Roman" w:hAnsi="Times New Roman" w:cs="Times New Roman"/>
          <w:i/>
          <w:iCs/>
          <w:kern w:val="0"/>
          <w:lang w:eastAsia="en-GB"/>
          <w14:ligatures w14:val="none"/>
        </w:rPr>
        <w:t>UK Parliament Reports</w:t>
      </w:r>
      <w:r w:rsidRPr="003E5B81">
        <w:rPr>
          <w:rFonts w:ascii="Times New Roman" w:eastAsia="Times New Roman" w:hAnsi="Times New Roman" w:cs="Times New Roman"/>
          <w:kern w:val="0"/>
          <w:lang w:eastAsia="en-GB"/>
          <w14:ligatures w14:val="none"/>
        </w:rPr>
        <w:t xml:space="preserve">. Available at: </w:t>
      </w:r>
      <w:hyperlink r:id="rId19" w:tgtFrame="_new" w:history="1">
        <w:r w:rsidRPr="003E5B81">
          <w:rPr>
            <w:rFonts w:ascii="Times New Roman" w:eastAsia="Times New Roman" w:hAnsi="Times New Roman" w:cs="Times New Roman"/>
            <w:kern w:val="0"/>
            <w:u w:val="single"/>
            <w:lang w:eastAsia="en-GB"/>
            <w14:ligatures w14:val="none"/>
          </w:rPr>
          <w:t>https://researchbriefings.files.parliament.uk/documents/CDP-2020-0081/CDP-2020-0081.pdf</w:t>
        </w:r>
      </w:hyperlink>
      <w:r w:rsidRPr="003E5B81">
        <w:rPr>
          <w:rFonts w:ascii="Times New Roman" w:eastAsia="Times New Roman" w:hAnsi="Times New Roman" w:cs="Times New Roman"/>
          <w:kern w:val="0"/>
          <w:lang w:eastAsia="en-GB"/>
          <w14:ligatures w14:val="none"/>
        </w:rPr>
        <w:t xml:space="preserve"> (Accessed: 17th May 2025).</w:t>
      </w:r>
    </w:p>
    <w:p w14:paraId="7D8DB84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Farrington, D.P. and Welsh, B.C. (2007) </w:t>
      </w:r>
      <w:r w:rsidRPr="003E5B81">
        <w:rPr>
          <w:rFonts w:ascii="Times New Roman" w:eastAsia="Times New Roman" w:hAnsi="Times New Roman" w:cs="Times New Roman"/>
          <w:i/>
          <w:iCs/>
          <w:kern w:val="0"/>
          <w:lang w:eastAsia="en-GB"/>
          <w14:ligatures w14:val="none"/>
        </w:rPr>
        <w:t>Saving children from a life of crime: early risk factors and effective interventions</w:t>
      </w:r>
      <w:r w:rsidRPr="003E5B81">
        <w:rPr>
          <w:rFonts w:ascii="Times New Roman" w:eastAsia="Times New Roman" w:hAnsi="Times New Roman" w:cs="Times New Roman"/>
          <w:kern w:val="0"/>
          <w:lang w:eastAsia="en-GB"/>
          <w14:ligatures w14:val="none"/>
        </w:rPr>
        <w:t>. Oxford: Oxford University Press.</w:t>
      </w:r>
    </w:p>
    <w:p w14:paraId="40E269F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Flores, B.B. (2021) ‘Culturally responsive pedagogy and inclusive classrooms: Lessons from the field’, </w:t>
      </w:r>
      <w:r w:rsidRPr="003E5B81">
        <w:rPr>
          <w:rFonts w:ascii="Times New Roman" w:eastAsia="Times New Roman" w:hAnsi="Times New Roman" w:cs="Times New Roman"/>
          <w:i/>
          <w:iCs/>
          <w:kern w:val="0"/>
          <w:lang w:eastAsia="en-GB"/>
          <w14:ligatures w14:val="none"/>
        </w:rPr>
        <w:t>Multicultural Education Review</w:t>
      </w:r>
      <w:r w:rsidRPr="003E5B81">
        <w:rPr>
          <w:rFonts w:ascii="Times New Roman" w:eastAsia="Times New Roman" w:hAnsi="Times New Roman" w:cs="Times New Roman"/>
          <w:kern w:val="0"/>
          <w:lang w:eastAsia="en-GB"/>
          <w14:ligatures w14:val="none"/>
        </w:rPr>
        <w:t xml:space="preserve">, 13(3), pp.175–189. Available at: </w:t>
      </w:r>
      <w:hyperlink r:id="rId20" w:tgtFrame="_new" w:history="1">
        <w:r w:rsidRPr="003E5B81">
          <w:rPr>
            <w:rFonts w:ascii="Times New Roman" w:eastAsia="Times New Roman" w:hAnsi="Times New Roman" w:cs="Times New Roman"/>
            <w:kern w:val="0"/>
            <w:u w:val="single"/>
            <w:lang w:eastAsia="en-GB"/>
            <w14:ligatures w14:val="none"/>
          </w:rPr>
          <w:t>https://doi.org/10.1080/2005615X.2021.1932255</w:t>
        </w:r>
      </w:hyperlink>
      <w:r w:rsidRPr="003E5B81">
        <w:rPr>
          <w:rFonts w:ascii="Times New Roman" w:eastAsia="Times New Roman" w:hAnsi="Times New Roman" w:cs="Times New Roman"/>
          <w:kern w:val="0"/>
          <w:lang w:eastAsia="en-GB"/>
          <w14:ligatures w14:val="none"/>
        </w:rPr>
        <w:t xml:space="preserve"> (Accessed: 4th May 2025).</w:t>
      </w:r>
    </w:p>
    <w:p w14:paraId="4908B06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Fontanini-Axelrod, A. (2024) ‘Zero Tolerance Policies In School ‘Promote Further Misbehavior,’ Study Finds’, </w:t>
      </w:r>
      <w:r w:rsidRPr="003E5B81">
        <w:rPr>
          <w:rFonts w:ascii="Times New Roman" w:eastAsia="Times New Roman" w:hAnsi="Times New Roman" w:cs="Times New Roman"/>
          <w:i/>
          <w:iCs/>
          <w:kern w:val="0"/>
          <w:lang w:eastAsia="en-GB"/>
          <w14:ligatures w14:val="none"/>
        </w:rPr>
        <w:t>Forbes</w:t>
      </w:r>
      <w:r w:rsidRPr="003E5B81">
        <w:rPr>
          <w:rFonts w:ascii="Times New Roman" w:eastAsia="Times New Roman" w:hAnsi="Times New Roman" w:cs="Times New Roman"/>
          <w:kern w:val="0"/>
          <w:lang w:eastAsia="en-GB"/>
          <w14:ligatures w14:val="none"/>
        </w:rPr>
        <w:t xml:space="preserve">. Available at: </w:t>
      </w:r>
      <w:hyperlink r:id="rId21" w:tgtFrame="_new" w:history="1">
        <w:r w:rsidRPr="003E5B81">
          <w:rPr>
            <w:rFonts w:ascii="Times New Roman" w:eastAsia="Times New Roman" w:hAnsi="Times New Roman" w:cs="Times New Roman"/>
            <w:kern w:val="0"/>
            <w:u w:val="single"/>
            <w:lang w:eastAsia="en-GB"/>
            <w14:ligatures w14:val="none"/>
          </w:rPr>
          <w:t>https://www.forbes.com/sites/nickmorrison/2024/05/15/zero-tolerance-policies-in-school-promote-further-misbehavior-study-finds/</w:t>
        </w:r>
      </w:hyperlink>
      <w:r w:rsidRPr="003E5B81">
        <w:rPr>
          <w:rFonts w:ascii="Times New Roman" w:eastAsia="Times New Roman" w:hAnsi="Times New Roman" w:cs="Times New Roman"/>
          <w:kern w:val="0"/>
          <w:lang w:eastAsia="en-GB"/>
          <w14:ligatures w14:val="none"/>
        </w:rPr>
        <w:t xml:space="preserve"> (Accessed: 11th May 2025).</w:t>
      </w:r>
    </w:p>
    <w:p w14:paraId="6D6440A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Ford, T., Parker, C., Salim, J., Goodman, R., Logan, S. and Henley, W. (2018) ‘The relationship between exclusion from school and mental health: A secondary analysis of the British Child and Adolescent Mental Health Surveys 2004 and 2007’, </w:t>
      </w:r>
      <w:r w:rsidRPr="003E5B81">
        <w:rPr>
          <w:rFonts w:ascii="Times New Roman" w:eastAsia="Times New Roman" w:hAnsi="Times New Roman" w:cs="Times New Roman"/>
          <w:i/>
          <w:iCs/>
          <w:kern w:val="0"/>
          <w:lang w:eastAsia="en-GB"/>
          <w14:ligatures w14:val="none"/>
        </w:rPr>
        <w:t>Psychological Medicine</w:t>
      </w:r>
      <w:r w:rsidRPr="003E5B81">
        <w:rPr>
          <w:rFonts w:ascii="Times New Roman" w:eastAsia="Times New Roman" w:hAnsi="Times New Roman" w:cs="Times New Roman"/>
          <w:kern w:val="0"/>
          <w:lang w:eastAsia="en-GB"/>
          <w14:ligatures w14:val="none"/>
        </w:rPr>
        <w:t xml:space="preserve">, 48(4), pp.629–641. Available at: </w:t>
      </w:r>
      <w:hyperlink r:id="rId22" w:tgtFrame="_new" w:history="1">
        <w:r w:rsidRPr="003E5B81">
          <w:rPr>
            <w:rFonts w:ascii="Times New Roman" w:eastAsia="Times New Roman" w:hAnsi="Times New Roman" w:cs="Times New Roman"/>
            <w:kern w:val="0"/>
            <w:u w:val="single"/>
            <w:lang w:eastAsia="en-GB"/>
            <w14:ligatures w14:val="none"/>
          </w:rPr>
          <w:t>https://doi.org/10.1017/S003329171700215X</w:t>
        </w:r>
      </w:hyperlink>
      <w:r w:rsidRPr="003E5B81">
        <w:rPr>
          <w:rFonts w:ascii="Times New Roman" w:eastAsia="Times New Roman" w:hAnsi="Times New Roman" w:cs="Times New Roman"/>
          <w:kern w:val="0"/>
          <w:lang w:eastAsia="en-GB"/>
          <w14:ligatures w14:val="none"/>
        </w:rPr>
        <w:t xml:space="preserve"> (Accessed: 17th May 2025).</w:t>
      </w:r>
    </w:p>
    <w:p w14:paraId="3A11FDD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Franzen, S.M. (2019) </w:t>
      </w:r>
      <w:r w:rsidRPr="003E5B81">
        <w:rPr>
          <w:rFonts w:ascii="Times New Roman" w:eastAsia="Times New Roman" w:hAnsi="Times New Roman" w:cs="Times New Roman"/>
          <w:i/>
          <w:iCs/>
          <w:kern w:val="0"/>
          <w:lang w:eastAsia="en-GB"/>
          <w14:ligatures w14:val="none"/>
        </w:rPr>
        <w:t>The impact of trauma-informed strategies on self-regulation and sense of belonging in elementary students</w:t>
      </w:r>
      <w:r w:rsidRPr="003E5B81">
        <w:rPr>
          <w:rFonts w:ascii="Times New Roman" w:eastAsia="Times New Roman" w:hAnsi="Times New Roman" w:cs="Times New Roman"/>
          <w:kern w:val="0"/>
          <w:lang w:eastAsia="en-GB"/>
          <w14:ligatures w14:val="none"/>
        </w:rPr>
        <w:t>.</w:t>
      </w:r>
    </w:p>
    <w:p w14:paraId="5F442EF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Frazier, L.D., Schwartz, B.L. and Metcalfe, J. (2021) ‘The MAPS model of self-regulation: Integrating metacognition, agency, and possible selves’, </w:t>
      </w:r>
      <w:r w:rsidRPr="003E5B81">
        <w:rPr>
          <w:rFonts w:ascii="Times New Roman" w:eastAsia="Times New Roman" w:hAnsi="Times New Roman" w:cs="Times New Roman"/>
          <w:i/>
          <w:iCs/>
          <w:kern w:val="0"/>
          <w:lang w:eastAsia="en-GB"/>
          <w14:ligatures w14:val="none"/>
        </w:rPr>
        <w:t>Metacognition and Learning</w:t>
      </w:r>
      <w:r w:rsidRPr="003E5B81">
        <w:rPr>
          <w:rFonts w:ascii="Times New Roman" w:eastAsia="Times New Roman" w:hAnsi="Times New Roman" w:cs="Times New Roman"/>
          <w:kern w:val="0"/>
          <w:lang w:eastAsia="en-GB"/>
          <w14:ligatures w14:val="none"/>
        </w:rPr>
        <w:t>, 16, pp.297–318.</w:t>
      </w:r>
    </w:p>
    <w:p w14:paraId="55C9CDD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Furedi, F. (2017) </w:t>
      </w:r>
      <w:r w:rsidRPr="003E5B81">
        <w:rPr>
          <w:rFonts w:ascii="Times New Roman" w:eastAsia="Times New Roman" w:hAnsi="Times New Roman" w:cs="Times New Roman"/>
          <w:i/>
          <w:iCs/>
          <w:kern w:val="0"/>
          <w:lang w:eastAsia="en-GB"/>
          <w14:ligatures w14:val="none"/>
        </w:rPr>
        <w:t>What’s happened to the university? A sociological exploration of its infantilisation</w:t>
      </w:r>
      <w:r w:rsidRPr="003E5B81">
        <w:rPr>
          <w:rFonts w:ascii="Times New Roman" w:eastAsia="Times New Roman" w:hAnsi="Times New Roman" w:cs="Times New Roman"/>
          <w:kern w:val="0"/>
          <w:lang w:eastAsia="en-GB"/>
          <w14:ligatures w14:val="none"/>
        </w:rPr>
        <w:t>. London: Routledge.</w:t>
      </w:r>
    </w:p>
    <w:p w14:paraId="39EA4F0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Furlong, J., Davies, C., Hallet, F. and Spillane, A. (2021) ‘Reforming teacher education in Wales: A new curriculum for a new era’, </w:t>
      </w:r>
      <w:r w:rsidRPr="003E5B81">
        <w:rPr>
          <w:rFonts w:ascii="Times New Roman" w:eastAsia="Times New Roman" w:hAnsi="Times New Roman" w:cs="Times New Roman"/>
          <w:i/>
          <w:iCs/>
          <w:kern w:val="0"/>
          <w:lang w:eastAsia="en-GB"/>
          <w14:ligatures w14:val="none"/>
        </w:rPr>
        <w:t>Oxford Review of Education</w:t>
      </w:r>
      <w:r w:rsidRPr="003E5B81">
        <w:rPr>
          <w:rFonts w:ascii="Times New Roman" w:eastAsia="Times New Roman" w:hAnsi="Times New Roman" w:cs="Times New Roman"/>
          <w:kern w:val="0"/>
          <w:lang w:eastAsia="en-GB"/>
          <w14:ligatures w14:val="none"/>
        </w:rPr>
        <w:t xml:space="preserve">, 47(6), pp.688–706. Available at: </w:t>
      </w:r>
      <w:hyperlink r:id="rId23" w:tgtFrame="_new" w:history="1">
        <w:r w:rsidRPr="003E5B81">
          <w:rPr>
            <w:rFonts w:ascii="Times New Roman" w:eastAsia="Times New Roman" w:hAnsi="Times New Roman" w:cs="Times New Roman"/>
            <w:kern w:val="0"/>
            <w:u w:val="single"/>
            <w:lang w:eastAsia="en-GB"/>
            <w14:ligatures w14:val="none"/>
          </w:rPr>
          <w:t>https://doi.org/10.1080/03054985.2021.1930725</w:t>
        </w:r>
      </w:hyperlink>
      <w:r w:rsidRPr="003E5B81">
        <w:rPr>
          <w:rFonts w:ascii="Times New Roman" w:eastAsia="Times New Roman" w:hAnsi="Times New Roman" w:cs="Times New Roman"/>
          <w:kern w:val="0"/>
          <w:lang w:eastAsia="en-GB"/>
          <w14:ligatures w14:val="none"/>
        </w:rPr>
        <w:t xml:space="preserve"> (Accessed: 4th May 2025).</w:t>
      </w:r>
    </w:p>
    <w:p w14:paraId="6CE59F0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Garmezy, N. (1991) ‘Resilience in children’s adaptation to negative life events and stressed environments’, </w:t>
      </w:r>
      <w:r w:rsidRPr="003E5B81">
        <w:rPr>
          <w:rFonts w:ascii="Times New Roman" w:eastAsia="Times New Roman" w:hAnsi="Times New Roman" w:cs="Times New Roman"/>
          <w:i/>
          <w:iCs/>
          <w:kern w:val="0"/>
          <w:lang w:eastAsia="en-GB"/>
          <w14:ligatures w14:val="none"/>
        </w:rPr>
        <w:t>Pediatric Annals</w:t>
      </w:r>
      <w:r w:rsidRPr="003E5B81">
        <w:rPr>
          <w:rFonts w:ascii="Times New Roman" w:eastAsia="Times New Roman" w:hAnsi="Times New Roman" w:cs="Times New Roman"/>
          <w:kern w:val="0"/>
          <w:lang w:eastAsia="en-GB"/>
          <w14:ligatures w14:val="none"/>
        </w:rPr>
        <w:t>, 20(9), pp. 459–466. doi:10.3928/0090-4481-19910901-05.</w:t>
      </w:r>
    </w:p>
    <w:p w14:paraId="4013665A"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t xml:space="preserve">Gaw, A. (2020). </w:t>
      </w:r>
      <w:r w:rsidRPr="003E5B81">
        <w:rPr>
          <w:i/>
          <w:iCs/>
        </w:rPr>
        <w:t>Lessons from a Pandemic</w:t>
      </w:r>
      <w:r w:rsidRPr="003E5B81">
        <w:t xml:space="preserve">. ResearchEt. Available at: </w:t>
      </w:r>
      <w:hyperlink r:id="rId24" w:history="1">
        <w:r w:rsidRPr="003E5B81">
          <w:rPr>
            <w:color w:val="467886" w:themeColor="hyperlink"/>
            <w:u w:val="single"/>
          </w:rPr>
          <w:t>https://researchet.wordpress.com/2020/06/25/lessons-from-a-pandemic</w:t>
        </w:r>
      </w:hyperlink>
      <w:r w:rsidRPr="003E5B81">
        <w:t xml:space="preserve"> ([Accessed 17 May 2025).</w:t>
      </w:r>
    </w:p>
    <w:p w14:paraId="434A603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Gay, G. (2015) ‘The what, why, and how of culturally responsive teaching: International mandates, challenges, and opportunities’, </w:t>
      </w:r>
      <w:r w:rsidRPr="003E5B81">
        <w:rPr>
          <w:rFonts w:ascii="Times New Roman" w:eastAsia="Times New Roman" w:hAnsi="Times New Roman" w:cs="Times New Roman"/>
          <w:i/>
          <w:iCs/>
          <w:kern w:val="0"/>
          <w:lang w:eastAsia="en-GB"/>
          <w14:ligatures w14:val="none"/>
        </w:rPr>
        <w:t>Multicultural Education Review</w:t>
      </w:r>
      <w:r w:rsidRPr="003E5B81">
        <w:rPr>
          <w:rFonts w:ascii="Times New Roman" w:eastAsia="Times New Roman" w:hAnsi="Times New Roman" w:cs="Times New Roman"/>
          <w:kern w:val="0"/>
          <w:lang w:eastAsia="en-GB"/>
          <w14:ligatures w14:val="none"/>
        </w:rPr>
        <w:t>, 7(3), pp.123–139.</w:t>
      </w:r>
    </w:p>
    <w:p w14:paraId="1758F4F2"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Gergen, K.J. (2009) </w:t>
      </w:r>
      <w:r w:rsidRPr="003E5B81">
        <w:rPr>
          <w:rFonts w:ascii="Times New Roman" w:eastAsia="Times New Roman" w:hAnsi="Times New Roman" w:cs="Times New Roman"/>
          <w:i/>
          <w:iCs/>
          <w:kern w:val="0"/>
          <w:lang w:eastAsia="en-GB"/>
          <w14:ligatures w14:val="none"/>
        </w:rPr>
        <w:t>Relational being: beyond self and community</w:t>
      </w:r>
      <w:r w:rsidRPr="003E5B81">
        <w:rPr>
          <w:rFonts w:ascii="Times New Roman" w:eastAsia="Times New Roman" w:hAnsi="Times New Roman" w:cs="Times New Roman"/>
          <w:kern w:val="0"/>
          <w:lang w:eastAsia="en-GB"/>
          <w14:ligatures w14:val="none"/>
        </w:rPr>
        <w:t>. Oxford: Oxford University Press.</w:t>
      </w:r>
    </w:p>
    <w:p w14:paraId="4AB9A3C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Goleman, D. (1996) </w:t>
      </w:r>
      <w:r w:rsidRPr="003E5B81">
        <w:rPr>
          <w:rFonts w:ascii="Times New Roman" w:eastAsia="Times New Roman" w:hAnsi="Times New Roman" w:cs="Times New Roman"/>
          <w:i/>
          <w:iCs/>
          <w:kern w:val="0"/>
          <w:lang w:eastAsia="en-GB"/>
          <w14:ligatures w14:val="none"/>
        </w:rPr>
        <w:t>Emotional intelligence: why it can matter more than IQ</w:t>
      </w:r>
      <w:r w:rsidRPr="003E5B81">
        <w:rPr>
          <w:rFonts w:ascii="Times New Roman" w:eastAsia="Times New Roman" w:hAnsi="Times New Roman" w:cs="Times New Roman"/>
          <w:kern w:val="0"/>
          <w:lang w:eastAsia="en-GB"/>
          <w14:ligatures w14:val="none"/>
        </w:rPr>
        <w:t>. London: Bloomsbury.</w:t>
      </w:r>
    </w:p>
    <w:p w14:paraId="4ECD0E84"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Hattie, J. (2009) </w:t>
      </w:r>
      <w:r w:rsidRPr="003E5B81">
        <w:rPr>
          <w:rFonts w:ascii="Times New Roman" w:eastAsia="Times New Roman" w:hAnsi="Times New Roman" w:cs="Times New Roman"/>
          <w:i/>
          <w:iCs/>
          <w:kern w:val="0"/>
          <w:lang w:eastAsia="en-GB"/>
          <w14:ligatures w14:val="none"/>
        </w:rPr>
        <w:t>Visible learning: a synthesis of over 800 meta-analyses relating to achievement</w:t>
      </w:r>
      <w:r w:rsidRPr="003E5B81">
        <w:rPr>
          <w:rFonts w:ascii="Times New Roman" w:eastAsia="Times New Roman" w:hAnsi="Times New Roman" w:cs="Times New Roman"/>
          <w:kern w:val="0"/>
          <w:lang w:eastAsia="en-GB"/>
          <w14:ligatures w14:val="none"/>
        </w:rPr>
        <w:t>. London: Routledge.</w:t>
      </w:r>
    </w:p>
    <w:p w14:paraId="2BB2B62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Hwa, M. (2024) ‘Cultural values and school discipline: a comparative analysis of collectivist and individualist societies’, </w:t>
      </w:r>
      <w:r w:rsidRPr="003E5B81">
        <w:rPr>
          <w:rFonts w:ascii="Times New Roman" w:eastAsia="Times New Roman" w:hAnsi="Times New Roman" w:cs="Times New Roman"/>
          <w:i/>
          <w:iCs/>
          <w:kern w:val="0"/>
          <w:lang w:eastAsia="en-GB"/>
          <w14:ligatures w14:val="none"/>
        </w:rPr>
        <w:t>International Journal of Educational Research</w:t>
      </w:r>
      <w:r w:rsidRPr="003E5B81">
        <w:rPr>
          <w:rFonts w:ascii="Times New Roman" w:eastAsia="Times New Roman" w:hAnsi="Times New Roman" w:cs="Times New Roman"/>
          <w:kern w:val="0"/>
          <w:lang w:eastAsia="en-GB"/>
          <w14:ligatures w14:val="none"/>
        </w:rPr>
        <w:t>, 120, 102167. Available at: https://doi.org/10.1016/j.ijer.2024.102167 (Accessed: 11th May 2025).</w:t>
      </w:r>
    </w:p>
    <w:p w14:paraId="02027B44"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Hwang, Y. and Lee, J. (2024) ‘Cultural perceptions of authority and their impact on teacher-student relationships in East Asia and Scandinavia’, </w:t>
      </w:r>
      <w:r w:rsidRPr="003E5B81">
        <w:rPr>
          <w:rFonts w:ascii="Times New Roman" w:eastAsia="Times New Roman" w:hAnsi="Times New Roman" w:cs="Times New Roman"/>
          <w:i/>
          <w:iCs/>
          <w:kern w:val="0"/>
          <w:lang w:eastAsia="en-GB"/>
          <w14:ligatures w14:val="none"/>
        </w:rPr>
        <w:t>Journal of Comparative Education</w:t>
      </w:r>
      <w:r w:rsidRPr="003E5B81">
        <w:rPr>
          <w:rFonts w:ascii="Times New Roman" w:eastAsia="Times New Roman" w:hAnsi="Times New Roman" w:cs="Times New Roman"/>
          <w:kern w:val="0"/>
          <w:lang w:eastAsia="en-GB"/>
          <w14:ligatures w14:val="none"/>
        </w:rPr>
        <w:t>, 60(1), pp.28–47.</w:t>
      </w:r>
    </w:p>
    <w:p w14:paraId="343FA0A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803861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Jaffer, U., Nassir, C.M.N.C.M. and Ahmed, M.A. (n.d.) </w:t>
      </w:r>
      <w:r w:rsidRPr="003E5B81">
        <w:rPr>
          <w:rFonts w:ascii="Times New Roman" w:eastAsia="Times New Roman" w:hAnsi="Times New Roman" w:cs="Times New Roman"/>
          <w:i/>
          <w:iCs/>
          <w:kern w:val="0"/>
          <w:lang w:eastAsia="en-GB"/>
          <w14:ligatures w14:val="none"/>
        </w:rPr>
        <w:t>Exploring moral development and ethical understanding in children with learning disabilities: A study of teaching ethics and akhlaq in special needs education</w:t>
      </w:r>
      <w:r w:rsidRPr="003E5B81">
        <w:rPr>
          <w:rFonts w:ascii="Times New Roman" w:eastAsia="Times New Roman" w:hAnsi="Times New Roman" w:cs="Times New Roman"/>
          <w:kern w:val="0"/>
          <w:lang w:eastAsia="en-GB"/>
          <w14:ligatures w14:val="none"/>
        </w:rPr>
        <w:t>.</w:t>
      </w:r>
    </w:p>
    <w:p w14:paraId="0A3C9D5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Jones, M., Edwards, E. and Jones, S. (2021) ‘Understanding the preparedness of newly qualified teachers to manage behaviour in Welsh schools’, </w:t>
      </w:r>
      <w:r w:rsidRPr="003E5B81">
        <w:rPr>
          <w:rFonts w:ascii="Times New Roman" w:eastAsia="Times New Roman" w:hAnsi="Times New Roman" w:cs="Times New Roman"/>
          <w:i/>
          <w:iCs/>
          <w:kern w:val="0"/>
          <w:lang w:eastAsia="en-GB"/>
          <w14:ligatures w14:val="none"/>
        </w:rPr>
        <w:t>Journal of Teacher Education for Sustainability</w:t>
      </w:r>
      <w:r w:rsidRPr="003E5B81">
        <w:rPr>
          <w:rFonts w:ascii="Times New Roman" w:eastAsia="Times New Roman" w:hAnsi="Times New Roman" w:cs="Times New Roman"/>
          <w:kern w:val="0"/>
          <w:lang w:eastAsia="en-GB"/>
          <w14:ligatures w14:val="none"/>
        </w:rPr>
        <w:t xml:space="preserve">, 23(1), pp.23–35. </w:t>
      </w:r>
    </w:p>
    <w:p w14:paraId="526BE84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Jones, M., Jones, S. and Vaughan, D. (2022) ‘Dialogic mentoring in Welsh ITE: Challenges and opportunities for behaviour management training’, </w:t>
      </w:r>
      <w:r w:rsidRPr="003E5B81">
        <w:rPr>
          <w:rFonts w:ascii="Times New Roman" w:eastAsia="Times New Roman" w:hAnsi="Times New Roman" w:cs="Times New Roman"/>
          <w:i/>
          <w:iCs/>
          <w:kern w:val="0"/>
          <w:lang w:eastAsia="en-GB"/>
          <w14:ligatures w14:val="none"/>
        </w:rPr>
        <w:t>University of Wales Journal of Education</w:t>
      </w:r>
      <w:r w:rsidRPr="003E5B81">
        <w:rPr>
          <w:rFonts w:ascii="Times New Roman" w:eastAsia="Times New Roman" w:hAnsi="Times New Roman" w:cs="Times New Roman"/>
          <w:kern w:val="0"/>
          <w:lang w:eastAsia="en-GB"/>
          <w14:ligatures w14:val="none"/>
        </w:rPr>
        <w:t xml:space="preserve">, 25(2), pp.57–72. Available at: </w:t>
      </w:r>
      <w:hyperlink r:id="rId25" w:tgtFrame="_new" w:history="1">
        <w:r w:rsidRPr="003E5B81">
          <w:rPr>
            <w:rFonts w:ascii="Times New Roman" w:eastAsia="Times New Roman" w:hAnsi="Times New Roman" w:cs="Times New Roman"/>
            <w:kern w:val="0"/>
            <w:u w:val="single"/>
            <w:lang w:eastAsia="en-GB"/>
            <w14:ligatures w14:val="none"/>
          </w:rPr>
          <w:t>https://journal.uwp.co.uk</w:t>
        </w:r>
      </w:hyperlink>
      <w:r w:rsidRPr="003E5B81">
        <w:rPr>
          <w:rFonts w:ascii="Times New Roman" w:eastAsia="Times New Roman" w:hAnsi="Times New Roman" w:cs="Times New Roman"/>
          <w:kern w:val="0"/>
          <w:lang w:eastAsia="en-GB"/>
          <w14:ligatures w14:val="none"/>
        </w:rPr>
        <w:t xml:space="preserve"> (Accessed: 4th May 2025).</w:t>
      </w:r>
    </w:p>
    <w:p w14:paraId="10BB641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Jones, R., Kreppner, J., Marsh, F. and Hartwell, B. (2024) ‘Supporting behaviour and emotions in school: An exploration into school staff perspectives on the journey from punitive approaches to relational-based approaches’, </w:t>
      </w:r>
      <w:r w:rsidRPr="003E5B81">
        <w:rPr>
          <w:rFonts w:ascii="Times New Roman" w:eastAsia="Times New Roman" w:hAnsi="Times New Roman" w:cs="Times New Roman"/>
          <w:i/>
          <w:iCs/>
          <w:kern w:val="0"/>
          <w:lang w:eastAsia="en-GB"/>
          <w14:ligatures w14:val="none"/>
        </w:rPr>
        <w:t>Emotional and Behavioural Difficulties</w:t>
      </w:r>
      <w:r w:rsidRPr="003E5B81">
        <w:rPr>
          <w:rFonts w:ascii="Times New Roman" w:eastAsia="Times New Roman" w:hAnsi="Times New Roman" w:cs="Times New Roman"/>
          <w:kern w:val="0"/>
          <w:lang w:eastAsia="en-GB"/>
          <w14:ligatures w14:val="none"/>
        </w:rPr>
        <w:t>, 29(1–2), pp.82–98.</w:t>
      </w:r>
    </w:p>
    <w:p w14:paraId="7FFC37F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Kamenetz, A. (2021) </w:t>
      </w:r>
      <w:r w:rsidRPr="003E5B81">
        <w:rPr>
          <w:rFonts w:ascii="Times New Roman" w:eastAsia="Times New Roman" w:hAnsi="Times New Roman" w:cs="Times New Roman"/>
          <w:i/>
          <w:iCs/>
          <w:kern w:val="0"/>
          <w:lang w:eastAsia="en-GB"/>
          <w14:ligatures w14:val="none"/>
        </w:rPr>
        <w:t>The stolen year: how COVID changed children’s lives, and where we go now</w:t>
      </w:r>
      <w:r w:rsidRPr="003E5B81">
        <w:rPr>
          <w:rFonts w:ascii="Times New Roman" w:eastAsia="Times New Roman" w:hAnsi="Times New Roman" w:cs="Times New Roman"/>
          <w:kern w:val="0"/>
          <w:lang w:eastAsia="en-GB"/>
          <w14:ligatures w14:val="none"/>
        </w:rPr>
        <w:t>. New York: PublicAffairs.</w:t>
      </w:r>
    </w:p>
    <w:p w14:paraId="09FD29D3"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Kaur, A. and Mohammad, N. (2020) </w:t>
      </w:r>
      <w:r w:rsidRPr="003E5B81">
        <w:rPr>
          <w:rFonts w:ascii="Times New Roman" w:eastAsia="Times New Roman" w:hAnsi="Times New Roman" w:cs="Times New Roman"/>
          <w:i/>
          <w:iCs/>
          <w:kern w:val="0"/>
          <w:lang w:eastAsia="en-GB"/>
          <w14:ligatures w14:val="none"/>
        </w:rPr>
        <w:t>Educational leadership and self-determination theory in collectivist cultures</w:t>
      </w:r>
      <w:r w:rsidRPr="003E5B81">
        <w:rPr>
          <w:rFonts w:ascii="Times New Roman" w:eastAsia="Times New Roman" w:hAnsi="Times New Roman" w:cs="Times New Roman"/>
          <w:kern w:val="0"/>
          <w:lang w:eastAsia="en-GB"/>
          <w14:ligatures w14:val="none"/>
        </w:rPr>
        <w:t>.</w:t>
      </w:r>
    </w:p>
    <w:p w14:paraId="503A449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Khalifa, M.A., Gooden, M.A. and Davis, J.E. (2016) ‘Culturally responsive school leadership: A synthesis of the literature’, </w:t>
      </w:r>
      <w:r w:rsidRPr="003E5B81">
        <w:rPr>
          <w:rFonts w:ascii="Times New Roman" w:eastAsia="Times New Roman" w:hAnsi="Times New Roman" w:cs="Times New Roman"/>
          <w:i/>
          <w:iCs/>
          <w:kern w:val="0"/>
          <w:lang w:eastAsia="en-GB"/>
          <w14:ligatures w14:val="none"/>
        </w:rPr>
        <w:t>Review of Educational Research</w:t>
      </w:r>
      <w:r w:rsidRPr="003E5B81">
        <w:rPr>
          <w:rFonts w:ascii="Times New Roman" w:eastAsia="Times New Roman" w:hAnsi="Times New Roman" w:cs="Times New Roman"/>
          <w:kern w:val="0"/>
          <w:lang w:eastAsia="en-GB"/>
          <w14:ligatures w14:val="none"/>
        </w:rPr>
        <w:t>, 86(4), pp.1272–1311.</w:t>
      </w:r>
    </w:p>
    <w:p w14:paraId="6667276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Khan, M. and Larik, A. (2023) ‘Harnessing the power of love and care to transform behavior across all ages’, </w:t>
      </w:r>
      <w:r w:rsidRPr="003E5B81">
        <w:rPr>
          <w:rFonts w:ascii="Times New Roman" w:eastAsia="Times New Roman" w:hAnsi="Times New Roman" w:cs="Times New Roman"/>
          <w:i/>
          <w:iCs/>
          <w:kern w:val="0"/>
          <w:lang w:eastAsia="en-GB"/>
          <w14:ligatures w14:val="none"/>
        </w:rPr>
        <w:t>Pakistan Journal of Educational Research</w:t>
      </w:r>
      <w:r w:rsidRPr="003E5B81">
        <w:rPr>
          <w:rFonts w:ascii="Times New Roman" w:eastAsia="Times New Roman" w:hAnsi="Times New Roman" w:cs="Times New Roman"/>
          <w:kern w:val="0"/>
          <w:lang w:eastAsia="en-GB"/>
          <w14:ligatures w14:val="none"/>
        </w:rPr>
        <w:t xml:space="preserve">, 6(2). Available at: </w:t>
      </w:r>
      <w:hyperlink r:id="rId26" w:tgtFrame="_new" w:history="1">
        <w:r w:rsidRPr="003E5B81">
          <w:rPr>
            <w:rFonts w:ascii="Times New Roman" w:eastAsia="Times New Roman" w:hAnsi="Times New Roman" w:cs="Times New Roman"/>
            <w:kern w:val="0"/>
            <w:u w:val="single"/>
            <w:lang w:eastAsia="en-GB"/>
            <w14:ligatures w14:val="none"/>
          </w:rPr>
          <w:t>https://doi.org/10.52337/pjer.v6i2.784</w:t>
        </w:r>
      </w:hyperlink>
      <w:r w:rsidRPr="003E5B81">
        <w:rPr>
          <w:rFonts w:ascii="Times New Roman" w:eastAsia="Times New Roman" w:hAnsi="Times New Roman" w:cs="Times New Roman"/>
          <w:kern w:val="0"/>
          <w:lang w:eastAsia="en-GB"/>
          <w14:ligatures w14:val="none"/>
        </w:rPr>
        <w:t xml:space="preserve"> (Accessed: 7th May 2025).</w:t>
      </w:r>
    </w:p>
    <w:p w14:paraId="1E5EA71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Khan, S. (2024) ‘Cultural diversity and social cohesion: Perspectives from social science’, </w:t>
      </w:r>
      <w:r w:rsidRPr="003E5B81">
        <w:rPr>
          <w:rFonts w:ascii="Times New Roman" w:eastAsia="Times New Roman" w:hAnsi="Times New Roman" w:cs="Times New Roman"/>
          <w:i/>
          <w:iCs/>
          <w:kern w:val="0"/>
          <w:lang w:eastAsia="en-GB"/>
          <w14:ligatures w14:val="none"/>
        </w:rPr>
        <w:t>Physical Education, Health and Social Sciences</w:t>
      </w:r>
      <w:r w:rsidRPr="003E5B81">
        <w:rPr>
          <w:rFonts w:ascii="Times New Roman" w:eastAsia="Times New Roman" w:hAnsi="Times New Roman" w:cs="Times New Roman"/>
          <w:kern w:val="0"/>
          <w:lang w:eastAsia="en-GB"/>
          <w14:ligatures w14:val="none"/>
        </w:rPr>
        <w:t xml:space="preserve">, 3(1), pp.40–48. Available at: </w:t>
      </w:r>
      <w:hyperlink r:id="rId27" w:tgtFrame="_new" w:history="1">
        <w:r w:rsidRPr="003E5B81">
          <w:rPr>
            <w:rFonts w:ascii="Times New Roman" w:eastAsia="Times New Roman" w:hAnsi="Times New Roman" w:cs="Times New Roman"/>
            <w:kern w:val="0"/>
            <w:u w:val="single"/>
            <w:lang w:eastAsia="en-GB"/>
            <w14:ligatures w14:val="none"/>
          </w:rPr>
          <w:t>https://journals.e-palli.com/home/index.php/pehss/article/view/1556</w:t>
        </w:r>
      </w:hyperlink>
      <w:r w:rsidRPr="003E5B81">
        <w:rPr>
          <w:rFonts w:ascii="Times New Roman" w:eastAsia="Times New Roman" w:hAnsi="Times New Roman" w:cs="Times New Roman"/>
          <w:kern w:val="0"/>
          <w:lang w:eastAsia="en-GB"/>
          <w14:ligatures w14:val="none"/>
        </w:rPr>
        <w:t xml:space="preserve"> (Accessed: 17th May 2025).</w:t>
      </w:r>
    </w:p>
    <w:p w14:paraId="303D7BBE"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Kobuljonova, S.M. (2024) ‘The role of education in shaping cultural understanding’, </w:t>
      </w:r>
      <w:r w:rsidRPr="003E5B81">
        <w:rPr>
          <w:rFonts w:ascii="Times New Roman" w:eastAsia="Times New Roman" w:hAnsi="Times New Roman" w:cs="Times New Roman"/>
          <w:i/>
          <w:iCs/>
          <w:kern w:val="0"/>
          <w:lang w:eastAsia="en-GB"/>
          <w14:ligatures w14:val="none"/>
        </w:rPr>
        <w:t>Ethiopian International Journal of Multidisciplinary Research</w:t>
      </w:r>
      <w:r w:rsidRPr="003E5B81">
        <w:rPr>
          <w:rFonts w:ascii="Times New Roman" w:eastAsia="Times New Roman" w:hAnsi="Times New Roman" w:cs="Times New Roman"/>
          <w:kern w:val="0"/>
          <w:lang w:eastAsia="en-GB"/>
          <w14:ligatures w14:val="none"/>
        </w:rPr>
        <w:t xml:space="preserve">, 11(12), pp.129–131. Available at: </w:t>
      </w:r>
      <w:hyperlink r:id="rId28" w:tgtFrame="_new" w:history="1">
        <w:r w:rsidRPr="003E5B81">
          <w:rPr>
            <w:rFonts w:ascii="Times New Roman" w:eastAsia="Times New Roman" w:hAnsi="Times New Roman" w:cs="Times New Roman"/>
            <w:kern w:val="0"/>
            <w:u w:val="single"/>
            <w:lang w:eastAsia="en-GB"/>
            <w14:ligatures w14:val="none"/>
          </w:rPr>
          <w:t>https://journals.researchparks.org/index.php/EIJMR/article/view/5216</w:t>
        </w:r>
      </w:hyperlink>
      <w:r w:rsidRPr="003E5B81">
        <w:rPr>
          <w:rFonts w:ascii="Times New Roman" w:eastAsia="Times New Roman" w:hAnsi="Times New Roman" w:cs="Times New Roman"/>
          <w:kern w:val="0"/>
          <w:lang w:eastAsia="en-GB"/>
          <w14:ligatures w14:val="none"/>
        </w:rPr>
        <w:t xml:space="preserve"> (Accessed: 17th May 2025).</w:t>
      </w:r>
    </w:p>
    <w:p w14:paraId="41C1060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Kochhar-Bryant, C.A. and Heishman, A. (eds.) (2010) </w:t>
      </w:r>
      <w:r w:rsidRPr="003E5B81">
        <w:rPr>
          <w:rFonts w:ascii="Times New Roman" w:eastAsia="Times New Roman" w:hAnsi="Times New Roman" w:cs="Times New Roman"/>
          <w:i/>
          <w:iCs/>
          <w:kern w:val="0"/>
          <w:lang w:eastAsia="en-GB"/>
          <w14:ligatures w14:val="none"/>
        </w:rPr>
        <w:t>Effective collaboration for educating the whole child</w:t>
      </w:r>
      <w:r w:rsidRPr="003E5B81">
        <w:rPr>
          <w:rFonts w:ascii="Times New Roman" w:eastAsia="Times New Roman" w:hAnsi="Times New Roman" w:cs="Times New Roman"/>
          <w:kern w:val="0"/>
          <w:lang w:eastAsia="en-GB"/>
          <w14:ligatures w14:val="none"/>
        </w:rPr>
        <w:t>. Corwin Press.</w:t>
      </w:r>
    </w:p>
    <w:p w14:paraId="251245B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Leung-Gagné, M., McCombs, J., Scott, C. and Losen, D.J. (2022) ‘Pushed out: Trends and disparities in out-of-school suspension’, </w:t>
      </w:r>
      <w:r w:rsidRPr="003E5B81">
        <w:rPr>
          <w:rFonts w:ascii="Times New Roman" w:eastAsia="Times New Roman" w:hAnsi="Times New Roman" w:cs="Times New Roman"/>
          <w:i/>
          <w:iCs/>
          <w:kern w:val="0"/>
          <w:lang w:eastAsia="en-GB"/>
          <w14:ligatures w14:val="none"/>
        </w:rPr>
        <w:t>Learning Policy Institute</w:t>
      </w:r>
      <w:r w:rsidRPr="003E5B81">
        <w:rPr>
          <w:rFonts w:ascii="Times New Roman" w:eastAsia="Times New Roman" w:hAnsi="Times New Roman" w:cs="Times New Roman"/>
          <w:kern w:val="0"/>
          <w:lang w:eastAsia="en-GB"/>
          <w14:ligatures w14:val="none"/>
        </w:rPr>
        <w:t xml:space="preserve">. Available at: </w:t>
      </w:r>
      <w:hyperlink r:id="rId29" w:tgtFrame="_new" w:history="1">
        <w:r w:rsidRPr="003E5B81">
          <w:rPr>
            <w:rFonts w:ascii="Times New Roman" w:eastAsia="Times New Roman" w:hAnsi="Times New Roman" w:cs="Times New Roman"/>
            <w:kern w:val="0"/>
            <w:u w:val="single"/>
            <w:lang w:eastAsia="en-GB"/>
            <w14:ligatures w14:val="none"/>
          </w:rPr>
          <w:t>https://learningpolicyinstitute.org/product/crdc-school-suspension-report</w:t>
        </w:r>
      </w:hyperlink>
      <w:r w:rsidRPr="003E5B81">
        <w:rPr>
          <w:rFonts w:ascii="Times New Roman" w:eastAsia="Times New Roman" w:hAnsi="Times New Roman" w:cs="Times New Roman"/>
          <w:kern w:val="0"/>
          <w:lang w:eastAsia="en-GB"/>
          <w14:ligatures w14:val="none"/>
        </w:rPr>
        <w:t xml:space="preserve"> (Accessed: 23rd April 2025).</w:t>
      </w:r>
    </w:p>
    <w:p w14:paraId="4909564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63F784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Lovett, N.E. (1986) </w:t>
      </w:r>
      <w:r w:rsidRPr="003E5B81">
        <w:rPr>
          <w:rFonts w:ascii="Times New Roman" w:eastAsia="Times New Roman" w:hAnsi="Times New Roman" w:cs="Times New Roman"/>
          <w:i/>
          <w:iCs/>
          <w:kern w:val="0"/>
          <w:lang w:eastAsia="en-GB"/>
          <w14:ligatures w14:val="none"/>
        </w:rPr>
        <w:t>The impact of Erikson's industry vs. inferiority stage development upon preadolescents</w:t>
      </w:r>
      <w:r w:rsidRPr="003E5B81">
        <w:rPr>
          <w:rFonts w:ascii="Times New Roman" w:eastAsia="Times New Roman" w:hAnsi="Times New Roman" w:cs="Times New Roman"/>
          <w:kern w:val="0"/>
          <w:lang w:eastAsia="en-GB"/>
          <w14:ligatures w14:val="none"/>
        </w:rPr>
        <w:t>. Texas Tech University.</w:t>
      </w:r>
    </w:p>
    <w:p w14:paraId="4BF5DBC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Lundy, L. (2007) ‘“Voice” is not enough: conceptualising Article 12 of the United Nations Convention on the Rights of the Child’, </w:t>
      </w:r>
      <w:r w:rsidRPr="003E5B81">
        <w:rPr>
          <w:rFonts w:ascii="Times New Roman" w:eastAsia="Times New Roman" w:hAnsi="Times New Roman" w:cs="Times New Roman"/>
          <w:i/>
          <w:iCs/>
          <w:kern w:val="0"/>
          <w:lang w:eastAsia="en-GB"/>
          <w14:ligatures w14:val="none"/>
        </w:rPr>
        <w:t>British Educational Research Journal</w:t>
      </w:r>
      <w:r w:rsidRPr="003E5B81">
        <w:rPr>
          <w:rFonts w:ascii="Times New Roman" w:eastAsia="Times New Roman" w:hAnsi="Times New Roman" w:cs="Times New Roman"/>
          <w:kern w:val="0"/>
          <w:lang w:eastAsia="en-GB"/>
          <w14:ligatures w14:val="none"/>
        </w:rPr>
        <w:t xml:space="preserve">, 33(6), pp. 927–942. </w:t>
      </w:r>
      <w:r w:rsidRPr="003E5B81">
        <w:t xml:space="preserve">Available at: </w:t>
      </w:r>
      <w:hyperlink r:id="rId30" w:tgtFrame="_new" w:history="1">
        <w:r w:rsidRPr="003E5B81">
          <w:rPr>
            <w:u w:val="single"/>
          </w:rPr>
          <w:t>https://doi.org/10.1080/01411920701657033</w:t>
        </w:r>
      </w:hyperlink>
      <w:r w:rsidRPr="003E5B81">
        <w:t>. (Accessed on 3</w:t>
      </w:r>
      <w:r w:rsidRPr="003E5B81">
        <w:rPr>
          <w:vertAlign w:val="superscript"/>
        </w:rPr>
        <w:t>rd</w:t>
      </w:r>
      <w:r w:rsidRPr="003E5B81">
        <w:t xml:space="preserve"> May 2025).</w:t>
      </w:r>
    </w:p>
    <w:p w14:paraId="31FD9D5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3E5B81">
        <w:t xml:space="preserve">Lunsky, Y., Balogh, R., &amp; Cairney, J. (2017) ‘Describing heterogeneity of unmet needs among adults with a developmental disability: An examination of the 2012 Canadian Survey on Disability’. </w:t>
      </w:r>
      <w:r w:rsidRPr="003E5B81">
        <w:rPr>
          <w:i/>
          <w:iCs/>
        </w:rPr>
        <w:t>Research in Developmental Disabilities</w:t>
      </w:r>
      <w:r w:rsidRPr="003E5B81">
        <w:t>, 65, 1–10.</w:t>
      </w:r>
    </w:p>
    <w:p w14:paraId="698ACF7A"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D465B3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Maslow, A.H. (1943) ‘A theory of human motivation’, </w:t>
      </w:r>
      <w:r w:rsidRPr="003E5B81">
        <w:rPr>
          <w:rFonts w:ascii="Times New Roman" w:eastAsia="Times New Roman" w:hAnsi="Times New Roman" w:cs="Times New Roman"/>
          <w:i/>
          <w:iCs/>
          <w:kern w:val="0"/>
          <w:lang w:eastAsia="en-GB"/>
          <w14:ligatures w14:val="none"/>
        </w:rPr>
        <w:t>Psychological Review</w:t>
      </w:r>
      <w:r w:rsidRPr="003E5B81">
        <w:rPr>
          <w:rFonts w:ascii="Times New Roman" w:eastAsia="Times New Roman" w:hAnsi="Times New Roman" w:cs="Times New Roman"/>
          <w:kern w:val="0"/>
          <w:lang w:eastAsia="en-GB"/>
          <w14:ligatures w14:val="none"/>
        </w:rPr>
        <w:t xml:space="preserve">, 50(4), pp. 370–396. </w:t>
      </w:r>
      <w:r w:rsidRPr="003E5B81">
        <w:t xml:space="preserve">Available at: </w:t>
      </w:r>
      <w:hyperlink r:id="rId31" w:tgtFrame="_new" w:history="1">
        <w:r w:rsidRPr="003E5B81">
          <w:rPr>
            <w:u w:val="single"/>
          </w:rPr>
          <w:t>https://psychclassics.yorku.ca/Maslow/motivation.htm</w:t>
        </w:r>
      </w:hyperlink>
      <w:r w:rsidRPr="003E5B81">
        <w:t xml:space="preserve"> (Accessed on 3rd May). </w:t>
      </w:r>
    </w:p>
    <w:p w14:paraId="5F26AD1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Matsepe, R.D. (2022) </w:t>
      </w:r>
      <w:r w:rsidRPr="003E5B81">
        <w:rPr>
          <w:rFonts w:ascii="Times New Roman" w:eastAsia="Times New Roman" w:hAnsi="Times New Roman" w:cs="Times New Roman"/>
          <w:i/>
          <w:iCs/>
          <w:kern w:val="0"/>
          <w:lang w:eastAsia="en-GB"/>
          <w14:ligatures w14:val="none"/>
        </w:rPr>
        <w:t>The relationship between classroom management approaches and learner achievement at primary schools</w:t>
      </w:r>
      <w:r w:rsidRPr="003E5B81">
        <w:rPr>
          <w:rFonts w:ascii="Times New Roman" w:eastAsia="Times New Roman" w:hAnsi="Times New Roman" w:cs="Times New Roman"/>
          <w:kern w:val="0"/>
          <w:lang w:eastAsia="en-GB"/>
          <w14:ligatures w14:val="none"/>
        </w:rPr>
        <w:t>. Central University of Technology.</w:t>
      </w:r>
    </w:p>
    <w:p w14:paraId="69CB303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Mills-Webb, J. and Hennessey, E. (2025) ‘Trait mindfulness mediates the association between perceptions of teacher-student relationships and adolescent distress’, </w:t>
      </w:r>
      <w:r w:rsidRPr="003E5B81">
        <w:rPr>
          <w:rFonts w:ascii="Times New Roman" w:eastAsia="Times New Roman" w:hAnsi="Times New Roman" w:cs="Times New Roman"/>
          <w:i/>
          <w:iCs/>
          <w:kern w:val="0"/>
          <w:lang w:eastAsia="en-GB"/>
          <w14:ligatures w14:val="none"/>
        </w:rPr>
        <w:t>Frontiers in Education</w:t>
      </w:r>
      <w:r w:rsidRPr="003E5B81">
        <w:rPr>
          <w:rFonts w:ascii="Times New Roman" w:eastAsia="Times New Roman" w:hAnsi="Times New Roman" w:cs="Times New Roman"/>
          <w:kern w:val="0"/>
          <w:lang w:eastAsia="en-GB"/>
          <w14:ligatures w14:val="none"/>
        </w:rPr>
        <w:t xml:space="preserve">, 10, p.1430197. Available at: </w:t>
      </w:r>
      <w:hyperlink r:id="rId32" w:tgtFrame="_new" w:history="1">
        <w:r w:rsidRPr="003E5B81">
          <w:rPr>
            <w:rFonts w:ascii="Times New Roman" w:eastAsia="Times New Roman" w:hAnsi="Times New Roman" w:cs="Times New Roman"/>
            <w:kern w:val="0"/>
            <w:u w:val="single"/>
            <w:lang w:eastAsia="en-GB"/>
            <w14:ligatures w14:val="none"/>
          </w:rPr>
          <w:t>https://www.frontiersin.org/articles/10.3389/feduc.2025.1430197/full</w:t>
        </w:r>
      </w:hyperlink>
      <w:r w:rsidRPr="003E5B81">
        <w:rPr>
          <w:rFonts w:ascii="Times New Roman" w:eastAsia="Times New Roman" w:hAnsi="Times New Roman" w:cs="Times New Roman"/>
          <w:kern w:val="0"/>
          <w:lang w:eastAsia="en-GB"/>
          <w14:ligatures w14:val="none"/>
        </w:rPr>
        <w:t xml:space="preserve"> (Accessed: 11th May 2025).</w:t>
      </w:r>
    </w:p>
    <w:p w14:paraId="33054DD3"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Moller, K. (2023) </w:t>
      </w:r>
      <w:r w:rsidRPr="003E5B81">
        <w:rPr>
          <w:rFonts w:ascii="Times New Roman" w:eastAsia="Times New Roman" w:hAnsi="Times New Roman" w:cs="Times New Roman"/>
          <w:i/>
          <w:iCs/>
          <w:kern w:val="0"/>
          <w:lang w:eastAsia="en-GB"/>
          <w14:ligatures w14:val="none"/>
        </w:rPr>
        <w:t>An elementary school’s engagement with restitution, restorative practices, and circles</w:t>
      </w:r>
      <w:r w:rsidRPr="003E5B81">
        <w:rPr>
          <w:rFonts w:ascii="Times New Roman" w:eastAsia="Times New Roman" w:hAnsi="Times New Roman" w:cs="Times New Roman"/>
          <w:kern w:val="0"/>
          <w:lang w:eastAsia="en-GB"/>
          <w14:ligatures w14:val="none"/>
        </w:rPr>
        <w:t>. University of Northern British Columbia.</w:t>
      </w:r>
    </w:p>
    <w:p w14:paraId="6D87790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Narvaez, D. (2014) </w:t>
      </w:r>
      <w:r w:rsidRPr="003E5B81">
        <w:rPr>
          <w:rFonts w:ascii="Times New Roman" w:eastAsia="Times New Roman" w:hAnsi="Times New Roman" w:cs="Times New Roman"/>
          <w:i/>
          <w:iCs/>
          <w:kern w:val="0"/>
          <w:lang w:eastAsia="en-GB"/>
          <w14:ligatures w14:val="none"/>
        </w:rPr>
        <w:t>Neurobiology and the development of human morality: evolution, culture, and wisdom</w:t>
      </w:r>
      <w:r w:rsidRPr="003E5B81">
        <w:rPr>
          <w:rFonts w:ascii="Times New Roman" w:eastAsia="Times New Roman" w:hAnsi="Times New Roman" w:cs="Times New Roman"/>
          <w:kern w:val="0"/>
          <w:lang w:eastAsia="en-GB"/>
          <w14:ligatures w14:val="none"/>
        </w:rPr>
        <w:t>. New York: W.W. Norton &amp; Company.</w:t>
      </w:r>
    </w:p>
    <w:p w14:paraId="013C1363"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Noddings, N. (2005) </w:t>
      </w:r>
      <w:r w:rsidRPr="003E5B81">
        <w:rPr>
          <w:rFonts w:ascii="Times New Roman" w:eastAsia="Times New Roman" w:hAnsi="Times New Roman" w:cs="Times New Roman"/>
          <w:i/>
          <w:iCs/>
          <w:kern w:val="0"/>
          <w:lang w:eastAsia="en-GB"/>
          <w14:ligatures w14:val="none"/>
        </w:rPr>
        <w:t>The challenge to care in schools: an alternative approach to education</w:t>
      </w:r>
      <w:r w:rsidRPr="003E5B81">
        <w:rPr>
          <w:rFonts w:ascii="Times New Roman" w:eastAsia="Times New Roman" w:hAnsi="Times New Roman" w:cs="Times New Roman"/>
          <w:kern w:val="0"/>
          <w:lang w:eastAsia="en-GB"/>
          <w14:ligatures w14:val="none"/>
        </w:rPr>
        <w:t>. 2nd edn. New York: Teachers College Press.</w:t>
      </w:r>
    </w:p>
    <w:p w14:paraId="78C075D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Norwegian Directorate for Education and Training (n.d.) Teacher Education Programmes in Norway. [online] Available at: </w:t>
      </w:r>
      <w:hyperlink r:id="rId33" w:tgtFrame="_new" w:history="1">
        <w:r w:rsidRPr="003E5B81">
          <w:rPr>
            <w:rFonts w:ascii="Times New Roman" w:eastAsia="Times New Roman" w:hAnsi="Times New Roman" w:cs="Times New Roman"/>
            <w:kern w:val="0"/>
            <w:u w:val="single"/>
            <w:lang w:eastAsia="en-GB"/>
            <w14:ligatures w14:val="none"/>
          </w:rPr>
          <w:t>https://www.udir.no</w:t>
        </w:r>
      </w:hyperlink>
      <w:r w:rsidRPr="003E5B81">
        <w:rPr>
          <w:rFonts w:ascii="Times New Roman" w:eastAsia="Times New Roman" w:hAnsi="Times New Roman" w:cs="Times New Roman"/>
          <w:kern w:val="0"/>
          <w:lang w:eastAsia="en-GB"/>
          <w14:ligatures w14:val="none"/>
        </w:rPr>
        <w:t xml:space="preserve"> (Accessed: 11th May 2025).</w:t>
      </w:r>
    </w:p>
    <w:p w14:paraId="0A75676A"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Norwegian Ministry of Education and Research (2020) </w:t>
      </w:r>
      <w:r w:rsidRPr="003E5B81">
        <w:rPr>
          <w:rFonts w:ascii="Times New Roman" w:eastAsia="Times New Roman" w:hAnsi="Times New Roman" w:cs="Times New Roman"/>
          <w:i/>
          <w:iCs/>
          <w:kern w:val="0"/>
          <w:lang w:eastAsia="en-GB"/>
          <w14:ligatures w14:val="none"/>
        </w:rPr>
        <w:t>Education in Norway</w:t>
      </w:r>
      <w:r w:rsidRPr="003E5B81">
        <w:rPr>
          <w:rFonts w:ascii="Times New Roman" w:eastAsia="Times New Roman" w:hAnsi="Times New Roman" w:cs="Times New Roman"/>
          <w:kern w:val="0"/>
          <w:lang w:eastAsia="en-GB"/>
          <w14:ligatures w14:val="none"/>
        </w:rPr>
        <w:t xml:space="preserve">. [online] Available at: </w:t>
      </w:r>
      <w:hyperlink r:id="rId34" w:tgtFrame="_new" w:history="1">
        <w:r w:rsidRPr="003E5B81">
          <w:rPr>
            <w:rFonts w:ascii="Times New Roman" w:eastAsia="Times New Roman" w:hAnsi="Times New Roman" w:cs="Times New Roman"/>
            <w:kern w:val="0"/>
            <w:u w:val="single"/>
            <w:lang w:eastAsia="en-GB"/>
            <w14:ligatures w14:val="none"/>
          </w:rPr>
          <w:t>https://www.regjeringen.no</w:t>
        </w:r>
      </w:hyperlink>
      <w:r w:rsidRPr="003E5B81">
        <w:rPr>
          <w:rFonts w:ascii="Times New Roman" w:eastAsia="Times New Roman" w:hAnsi="Times New Roman" w:cs="Times New Roman"/>
          <w:kern w:val="0"/>
          <w:lang w:eastAsia="en-GB"/>
          <w14:ligatures w14:val="none"/>
        </w:rPr>
        <w:t xml:space="preserve"> (Accessed: 11tht May 2025).</w:t>
      </w:r>
    </w:p>
    <w:p w14:paraId="550D1643"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Osher, D., Cantor, P., Berg, J., Steyer, L. and Rose, T. (2021) ‘Drivers of human development: How relationships and context shape learning and development’, in Cantor, P., Osher, D., Berg, J., Steyer, L. and Rose, T. (eds.) </w:t>
      </w:r>
      <w:r w:rsidRPr="003E5B81">
        <w:rPr>
          <w:rFonts w:ascii="Times New Roman" w:eastAsia="Times New Roman" w:hAnsi="Times New Roman" w:cs="Times New Roman"/>
          <w:i/>
          <w:iCs/>
          <w:kern w:val="0"/>
          <w:lang w:eastAsia="en-GB"/>
          <w14:ligatures w14:val="none"/>
        </w:rPr>
        <w:t>The science of learning and development</w:t>
      </w:r>
      <w:r w:rsidRPr="003E5B81">
        <w:rPr>
          <w:rFonts w:ascii="Times New Roman" w:eastAsia="Times New Roman" w:hAnsi="Times New Roman" w:cs="Times New Roman"/>
          <w:kern w:val="0"/>
          <w:lang w:eastAsia="en-GB"/>
          <w14:ligatures w14:val="none"/>
        </w:rPr>
        <w:t>. Routledge, pp.55–104.</w:t>
      </w:r>
    </w:p>
    <w:p w14:paraId="721BF07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Oxley, L. (2021) </w:t>
      </w:r>
      <w:r w:rsidRPr="003E5B81">
        <w:rPr>
          <w:rFonts w:ascii="Times New Roman" w:eastAsia="Times New Roman" w:hAnsi="Times New Roman" w:cs="Times New Roman"/>
          <w:i/>
          <w:iCs/>
          <w:kern w:val="0"/>
          <w:lang w:eastAsia="en-GB"/>
          <w14:ligatures w14:val="none"/>
        </w:rPr>
        <w:t>Alternative approaches to behaviour management in schools: diverging from a focus on punishment</w:t>
      </w:r>
      <w:r w:rsidRPr="003E5B81">
        <w:rPr>
          <w:rFonts w:ascii="Times New Roman" w:eastAsia="Times New Roman" w:hAnsi="Times New Roman" w:cs="Times New Roman"/>
          <w:kern w:val="0"/>
          <w:lang w:eastAsia="en-GB"/>
          <w14:ligatures w14:val="none"/>
        </w:rPr>
        <w:t>. University of York.</w:t>
      </w:r>
    </w:p>
    <w:p w14:paraId="34E5D7AF"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Oxley, L. (2023) ‘Reframing behaviour: Moving from punitive to restorative classroom practices in Wales’, </w:t>
      </w:r>
      <w:r w:rsidRPr="003E5B81">
        <w:rPr>
          <w:rFonts w:ascii="Times New Roman" w:eastAsia="Times New Roman" w:hAnsi="Times New Roman" w:cs="Times New Roman"/>
          <w:i/>
          <w:iCs/>
          <w:kern w:val="0"/>
          <w:lang w:eastAsia="en-GB"/>
          <w14:ligatures w14:val="none"/>
        </w:rPr>
        <w:t>British Journal of Educational Psychology</w:t>
      </w:r>
      <w:r w:rsidRPr="003E5B81">
        <w:rPr>
          <w:rFonts w:ascii="Times New Roman" w:eastAsia="Times New Roman" w:hAnsi="Times New Roman" w:cs="Times New Roman"/>
          <w:kern w:val="0"/>
          <w:lang w:eastAsia="en-GB"/>
          <w14:ligatures w14:val="none"/>
        </w:rPr>
        <w:t xml:space="preserve">, 93(1), pp.112–129. Available at: </w:t>
      </w:r>
      <w:hyperlink r:id="rId35" w:tgtFrame="_new" w:history="1">
        <w:r w:rsidRPr="003E5B81">
          <w:rPr>
            <w:rFonts w:ascii="Times New Roman" w:eastAsia="Times New Roman" w:hAnsi="Times New Roman" w:cs="Times New Roman"/>
            <w:kern w:val="0"/>
            <w:u w:val="single"/>
            <w:lang w:eastAsia="en-GB"/>
            <w14:ligatures w14:val="none"/>
          </w:rPr>
          <w:t>https://doi.org/10.1111/bjep.12489</w:t>
        </w:r>
      </w:hyperlink>
      <w:r w:rsidRPr="003E5B81">
        <w:rPr>
          <w:rFonts w:ascii="Times New Roman" w:eastAsia="Times New Roman" w:hAnsi="Times New Roman" w:cs="Times New Roman"/>
          <w:kern w:val="0"/>
          <w:lang w:eastAsia="en-GB"/>
          <w14:ligatures w14:val="none"/>
        </w:rPr>
        <w:t xml:space="preserve"> (Accessed: 4h May 2025).</w:t>
      </w:r>
    </w:p>
    <w:p w14:paraId="70901A2E"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Peat, D., Fikfak, V. and van der Zee, E. (2022) ‘Behavioural compliance theory’, </w:t>
      </w:r>
      <w:r w:rsidRPr="003E5B81">
        <w:rPr>
          <w:rFonts w:ascii="Times New Roman" w:eastAsia="Times New Roman" w:hAnsi="Times New Roman" w:cs="Times New Roman"/>
          <w:i/>
          <w:iCs/>
          <w:kern w:val="0"/>
          <w:lang w:eastAsia="en-GB"/>
          <w14:ligatures w14:val="none"/>
        </w:rPr>
        <w:t>Journal of International Dispute Settlement</w:t>
      </w:r>
      <w:r w:rsidRPr="003E5B81">
        <w:rPr>
          <w:rFonts w:ascii="Times New Roman" w:eastAsia="Times New Roman" w:hAnsi="Times New Roman" w:cs="Times New Roman"/>
          <w:kern w:val="0"/>
          <w:lang w:eastAsia="en-GB"/>
          <w14:ligatures w14:val="none"/>
        </w:rPr>
        <w:t>, 13(2), pp.167–178.</w:t>
      </w:r>
    </w:p>
    <w:p w14:paraId="63494D1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Piaget, J. (1955) </w:t>
      </w:r>
      <w:r w:rsidRPr="003E5B81">
        <w:rPr>
          <w:rFonts w:ascii="Times New Roman" w:eastAsia="Times New Roman" w:hAnsi="Times New Roman" w:cs="Times New Roman"/>
          <w:i/>
          <w:iCs/>
          <w:kern w:val="0"/>
          <w:lang w:eastAsia="en-GB"/>
          <w14:ligatures w14:val="none"/>
        </w:rPr>
        <w:t>The construction of reality in the child</w:t>
      </w:r>
      <w:r w:rsidRPr="003E5B81">
        <w:rPr>
          <w:rFonts w:ascii="Times New Roman" w:eastAsia="Times New Roman" w:hAnsi="Times New Roman" w:cs="Times New Roman"/>
          <w:kern w:val="0"/>
          <w:lang w:eastAsia="en-GB"/>
          <w14:ligatures w14:val="none"/>
        </w:rPr>
        <w:t>. London: Routledge &amp; Kegan Paul.</w:t>
      </w:r>
    </w:p>
    <w:p w14:paraId="0E1F91A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Policymakers Should Ring in the New Year With Action to End Teacher Shortages | Learning Policy Institute (2025) ‘Policymakers should ring in the new year with action to end teacher shortages’. Learning Policy Institute. Available at: </w:t>
      </w:r>
      <w:hyperlink r:id="rId36" w:tgtFrame="_new" w:history="1">
        <w:r w:rsidRPr="003E5B81">
          <w:rPr>
            <w:rFonts w:ascii="Times New Roman" w:eastAsia="Times New Roman" w:hAnsi="Times New Roman" w:cs="Times New Roman"/>
            <w:kern w:val="0"/>
            <w:u w:val="single"/>
            <w:lang w:eastAsia="en-GB"/>
            <w14:ligatures w14:val="none"/>
          </w:rPr>
          <w:t>https://learningpolicyinstitute.org/blog/new-year-action-end-teacher-shortages</w:t>
        </w:r>
      </w:hyperlink>
      <w:r w:rsidRPr="003E5B81">
        <w:rPr>
          <w:rFonts w:ascii="Times New Roman" w:eastAsia="Times New Roman" w:hAnsi="Times New Roman" w:cs="Times New Roman"/>
          <w:kern w:val="0"/>
          <w:lang w:eastAsia="en-GB"/>
          <w14:ligatures w14:val="none"/>
        </w:rPr>
        <w:t xml:space="preserve"> (Accessed: 17th May 2025).</w:t>
      </w:r>
    </w:p>
    <w:p w14:paraId="6C225CE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Pollard, A., Wyse, D., Craig, A., Daly, C., Harmey, S., Hayward, L., Higgins, S., McCrory, A. and Seleznyov, S. (2023) </w:t>
      </w:r>
      <w:r w:rsidRPr="003E5B81">
        <w:rPr>
          <w:rFonts w:ascii="Times New Roman" w:eastAsia="Times New Roman" w:hAnsi="Times New Roman" w:cs="Times New Roman"/>
          <w:i/>
          <w:iCs/>
          <w:kern w:val="0"/>
          <w:lang w:eastAsia="en-GB"/>
          <w14:ligatures w14:val="none"/>
        </w:rPr>
        <w:t>Reflective teaching in primary schools</w:t>
      </w:r>
      <w:r w:rsidRPr="003E5B81">
        <w:rPr>
          <w:rFonts w:ascii="Times New Roman" w:eastAsia="Times New Roman" w:hAnsi="Times New Roman" w:cs="Times New Roman"/>
          <w:kern w:val="0"/>
          <w:lang w:eastAsia="en-GB"/>
          <w14:ligatures w14:val="none"/>
        </w:rPr>
        <w:t>. Bloomsbury Publishing.</w:t>
      </w:r>
    </w:p>
    <w:p w14:paraId="7D53B39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Porter, L. (2008) </w:t>
      </w:r>
      <w:r w:rsidRPr="003E5B81">
        <w:rPr>
          <w:rFonts w:ascii="Times New Roman" w:eastAsia="Times New Roman" w:hAnsi="Times New Roman" w:cs="Times New Roman"/>
          <w:i/>
          <w:iCs/>
          <w:kern w:val="0"/>
          <w:lang w:eastAsia="en-GB"/>
          <w14:ligatures w14:val="none"/>
        </w:rPr>
        <w:t>Young children's behaviour: Practical approaches for caregivers and teachers</w:t>
      </w:r>
      <w:r w:rsidRPr="003E5B81">
        <w:rPr>
          <w:rFonts w:ascii="Times New Roman" w:eastAsia="Times New Roman" w:hAnsi="Times New Roman" w:cs="Times New Roman"/>
          <w:kern w:val="0"/>
          <w:lang w:eastAsia="en-GB"/>
          <w14:ligatures w14:val="none"/>
        </w:rPr>
        <w:t>. Elsevier Australia.</w:t>
      </w:r>
    </w:p>
    <w:p w14:paraId="0F1E347A"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Rabbani, L.M., Alarabi, K.S., Alsalhi, N.R. and Sa’deh Al Marashdi, H. (2023) ‘Behaviourist vs. Constructivist views of feedback: Provisions and implications’, </w:t>
      </w:r>
      <w:r w:rsidRPr="003E5B81">
        <w:rPr>
          <w:rFonts w:ascii="Times New Roman" w:eastAsia="Times New Roman" w:hAnsi="Times New Roman" w:cs="Times New Roman"/>
          <w:i/>
          <w:iCs/>
          <w:kern w:val="0"/>
          <w:lang w:eastAsia="en-GB"/>
          <w14:ligatures w14:val="none"/>
        </w:rPr>
        <w:t>Arts Educa</w:t>
      </w:r>
      <w:r w:rsidRPr="003E5B81">
        <w:rPr>
          <w:rFonts w:ascii="Times New Roman" w:eastAsia="Times New Roman" w:hAnsi="Times New Roman" w:cs="Times New Roman"/>
          <w:kern w:val="0"/>
          <w:lang w:eastAsia="en-GB"/>
          <w14:ligatures w14:val="none"/>
        </w:rPr>
        <w:t xml:space="preserve">, 36. Available at: </w:t>
      </w:r>
      <w:hyperlink r:id="rId37" w:tgtFrame="_new" w:history="1">
        <w:r w:rsidRPr="003E5B81">
          <w:rPr>
            <w:rFonts w:ascii="Times New Roman" w:eastAsia="Times New Roman" w:hAnsi="Times New Roman" w:cs="Times New Roman"/>
            <w:kern w:val="0"/>
            <w:u w:val="single"/>
            <w:lang w:eastAsia="en-GB"/>
            <w14:ligatures w14:val="none"/>
          </w:rPr>
          <w:t>https://artseduca.com/article/view/203</w:t>
        </w:r>
      </w:hyperlink>
      <w:r w:rsidRPr="003E5B81">
        <w:rPr>
          <w:rFonts w:ascii="Times New Roman" w:eastAsia="Times New Roman" w:hAnsi="Times New Roman" w:cs="Times New Roman"/>
          <w:kern w:val="0"/>
          <w:lang w:eastAsia="en-GB"/>
          <w14:ligatures w14:val="none"/>
        </w:rPr>
        <w:t xml:space="preserve"> (Accessed: 17th May 2025).</w:t>
      </w:r>
    </w:p>
    <w:p w14:paraId="14CFE6D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Rafi, A., Ansar, A. and Sami, M.A. (2020) ‘The implication of positive reinforcement strategy in dealing with disruptive behaviour in the classroom: A scoping review’, </w:t>
      </w:r>
      <w:r w:rsidRPr="003E5B81">
        <w:rPr>
          <w:rFonts w:ascii="Times New Roman" w:eastAsia="Times New Roman" w:hAnsi="Times New Roman" w:cs="Times New Roman"/>
          <w:i/>
          <w:iCs/>
          <w:kern w:val="0"/>
          <w:lang w:eastAsia="en-GB"/>
          <w14:ligatures w14:val="none"/>
        </w:rPr>
        <w:t>Journal of Rawalpindi Medical College</w:t>
      </w:r>
      <w:r w:rsidRPr="003E5B81">
        <w:rPr>
          <w:rFonts w:ascii="Times New Roman" w:eastAsia="Times New Roman" w:hAnsi="Times New Roman" w:cs="Times New Roman"/>
          <w:kern w:val="0"/>
          <w:lang w:eastAsia="en-GB"/>
          <w14:ligatures w14:val="none"/>
        </w:rPr>
        <w:t xml:space="preserve">, 24(2). Available at: </w:t>
      </w:r>
      <w:hyperlink r:id="rId38" w:tgtFrame="_new" w:history="1">
        <w:r w:rsidRPr="003E5B81">
          <w:rPr>
            <w:rFonts w:ascii="Times New Roman" w:eastAsia="Times New Roman" w:hAnsi="Times New Roman" w:cs="Times New Roman"/>
            <w:kern w:val="0"/>
            <w:u w:val="single"/>
            <w:lang w:eastAsia="en-GB"/>
            <w14:ligatures w14:val="none"/>
          </w:rPr>
          <w:t>https://www.journalrmc.com/index.php/JRMC/article/view/1466</w:t>
        </w:r>
      </w:hyperlink>
      <w:r w:rsidRPr="003E5B81">
        <w:rPr>
          <w:rFonts w:ascii="Times New Roman" w:eastAsia="Times New Roman" w:hAnsi="Times New Roman" w:cs="Times New Roman"/>
          <w:kern w:val="0"/>
          <w:lang w:eastAsia="en-GB"/>
          <w14:ligatures w14:val="none"/>
        </w:rPr>
        <w:t xml:space="preserve"> (Accessed: 17th May 2025).</w:t>
      </w:r>
    </w:p>
    <w:p w14:paraId="06D79AA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Rengi, Ö. (2023) ‘Culturally responsive classroom management in multicultural education environments’, </w:t>
      </w:r>
      <w:r w:rsidRPr="003E5B81">
        <w:rPr>
          <w:rFonts w:ascii="Times New Roman" w:eastAsia="Times New Roman" w:hAnsi="Times New Roman" w:cs="Times New Roman"/>
          <w:i/>
          <w:iCs/>
          <w:kern w:val="0"/>
          <w:lang w:eastAsia="en-GB"/>
          <w14:ligatures w14:val="none"/>
        </w:rPr>
        <w:t>Journal of Education and Practice</w:t>
      </w:r>
      <w:r w:rsidRPr="003E5B81">
        <w:rPr>
          <w:rFonts w:ascii="Times New Roman" w:eastAsia="Times New Roman" w:hAnsi="Times New Roman" w:cs="Times New Roman"/>
          <w:kern w:val="0"/>
          <w:lang w:eastAsia="en-GB"/>
          <w14:ligatures w14:val="none"/>
        </w:rPr>
        <w:t xml:space="preserve">, 14(2), pp.45–56. Available at: </w:t>
      </w:r>
      <w:hyperlink r:id="rId39" w:tgtFrame="_new" w:history="1">
        <w:r w:rsidRPr="003E5B81">
          <w:rPr>
            <w:rFonts w:ascii="Times New Roman" w:eastAsia="Times New Roman" w:hAnsi="Times New Roman" w:cs="Times New Roman"/>
            <w:kern w:val="0"/>
            <w:u w:val="single"/>
            <w:lang w:eastAsia="en-GB"/>
            <w14:ligatures w14:val="none"/>
          </w:rPr>
          <w:t>https://www.researchgate.net/publication/377890154_Culturally_Responsive_Classroom_Management_in_Multicultural_Education_Environments_Oznur_RENGI_a</w:t>
        </w:r>
      </w:hyperlink>
    </w:p>
    <w:p w14:paraId="1853C1C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Restorative Justice Council (2019) </w:t>
      </w:r>
      <w:r w:rsidRPr="003E5B81">
        <w:rPr>
          <w:rFonts w:ascii="Times New Roman" w:eastAsia="Times New Roman" w:hAnsi="Times New Roman" w:cs="Times New Roman"/>
          <w:i/>
          <w:iCs/>
          <w:kern w:val="0"/>
          <w:lang w:eastAsia="en-GB"/>
          <w14:ligatures w14:val="none"/>
        </w:rPr>
        <w:t>Restorative practice in education: evidence review</w:t>
      </w:r>
      <w:r w:rsidRPr="003E5B81">
        <w:rPr>
          <w:rFonts w:ascii="Times New Roman" w:eastAsia="Times New Roman" w:hAnsi="Times New Roman" w:cs="Times New Roman"/>
          <w:kern w:val="0"/>
          <w:lang w:eastAsia="en-GB"/>
          <w14:ligatures w14:val="none"/>
        </w:rPr>
        <w:t xml:space="preserve">. London: Restorative Justice Council. Available at: </w:t>
      </w:r>
      <w:hyperlink r:id="rId40" w:tgtFrame="_new" w:history="1">
        <w:r w:rsidRPr="003E5B81">
          <w:rPr>
            <w:rFonts w:ascii="Times New Roman" w:eastAsia="Times New Roman" w:hAnsi="Times New Roman" w:cs="Times New Roman"/>
            <w:kern w:val="0"/>
            <w:u w:val="single"/>
            <w:lang w:eastAsia="en-GB"/>
            <w14:ligatures w14:val="none"/>
          </w:rPr>
          <w:t>https://restorativejustice.org.uk/resources/restorative-practice-education-evidence-review</w:t>
        </w:r>
      </w:hyperlink>
      <w:r w:rsidRPr="003E5B81">
        <w:rPr>
          <w:rFonts w:ascii="Times New Roman" w:eastAsia="Times New Roman" w:hAnsi="Times New Roman" w:cs="Times New Roman"/>
          <w:kern w:val="0"/>
          <w:lang w:eastAsia="en-GB"/>
          <w14:ligatures w14:val="none"/>
        </w:rPr>
        <w:t xml:space="preserve"> (Accessed: 15th May 2025).</w:t>
      </w:r>
    </w:p>
    <w:p w14:paraId="603D6DA5"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Reynolds, J.E., Long, X., Paniukov, D., et al. (2024) ‘Developmental Mismatch Across Brain Modalities in Young Children’, </w:t>
      </w:r>
      <w:r w:rsidRPr="003E5B81">
        <w:rPr>
          <w:rFonts w:ascii="Times New Roman" w:eastAsia="Times New Roman" w:hAnsi="Times New Roman" w:cs="Times New Roman"/>
          <w:i/>
          <w:iCs/>
          <w:kern w:val="0"/>
          <w:lang w:eastAsia="en-GB"/>
          <w14:ligatures w14:val="none"/>
        </w:rPr>
        <w:t>Brain Connectivity</w:t>
      </w:r>
      <w:r w:rsidRPr="003E5B81">
        <w:rPr>
          <w:rFonts w:ascii="Times New Roman" w:eastAsia="Times New Roman" w:hAnsi="Times New Roman" w:cs="Times New Roman"/>
          <w:kern w:val="0"/>
          <w:lang w:eastAsia="en-GB"/>
          <w14:ligatures w14:val="none"/>
        </w:rPr>
        <w:t xml:space="preserve">. Available at: </w:t>
      </w:r>
      <w:hyperlink r:id="rId41" w:tgtFrame="_new" w:history="1">
        <w:r w:rsidRPr="003E5B81">
          <w:rPr>
            <w:rFonts w:ascii="Times New Roman" w:eastAsia="Times New Roman" w:hAnsi="Times New Roman" w:cs="Times New Roman"/>
            <w:kern w:val="0"/>
            <w:u w:val="single"/>
            <w:lang w:eastAsia="en-GB"/>
            <w14:ligatures w14:val="none"/>
          </w:rPr>
          <w:t>https://www.liebertpub.com/doi/10.1089/brain.2024.0046</w:t>
        </w:r>
      </w:hyperlink>
      <w:r w:rsidRPr="003E5B81">
        <w:rPr>
          <w:rFonts w:ascii="Times New Roman" w:eastAsia="Times New Roman" w:hAnsi="Times New Roman" w:cs="Times New Roman"/>
          <w:kern w:val="0"/>
          <w:lang w:eastAsia="en-GB"/>
          <w14:ligatures w14:val="none"/>
        </w:rPr>
        <w:t xml:space="preserve"> (Accessed: 11th May 2025).</w:t>
      </w:r>
    </w:p>
    <w:p w14:paraId="2FA42CEE"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Rudolf, R. (2024) ‘Predictors of adolescent well-being around the globe: are students from Confucian East Asia different?’, </w:t>
      </w:r>
      <w:r w:rsidRPr="003E5B81">
        <w:rPr>
          <w:rFonts w:ascii="Times New Roman" w:eastAsia="Times New Roman" w:hAnsi="Times New Roman" w:cs="Times New Roman"/>
          <w:i/>
          <w:iCs/>
          <w:kern w:val="0"/>
          <w:lang w:eastAsia="en-GB"/>
          <w14:ligatures w14:val="none"/>
        </w:rPr>
        <w:t>Frontiers in Psychology</w:t>
      </w:r>
      <w:r w:rsidRPr="003E5B81">
        <w:rPr>
          <w:rFonts w:ascii="Times New Roman" w:eastAsia="Times New Roman" w:hAnsi="Times New Roman" w:cs="Times New Roman"/>
          <w:kern w:val="0"/>
          <w:lang w:eastAsia="en-GB"/>
          <w14:ligatures w14:val="none"/>
        </w:rPr>
        <w:t>, 15, p.1446301.</w:t>
      </w:r>
    </w:p>
    <w:p w14:paraId="485C8612"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Ryan, R.M. and Deci, E.L. (2000) ‘Self-determination theory and the facilitation of intrinsic motivation, social development, and well-being’, </w:t>
      </w:r>
      <w:r w:rsidRPr="003E5B81">
        <w:rPr>
          <w:rFonts w:ascii="Times New Roman" w:eastAsia="Times New Roman" w:hAnsi="Times New Roman" w:cs="Times New Roman"/>
          <w:i/>
          <w:iCs/>
          <w:kern w:val="0"/>
          <w:lang w:eastAsia="en-GB"/>
          <w14:ligatures w14:val="none"/>
        </w:rPr>
        <w:t>American Psychologist</w:t>
      </w:r>
      <w:r w:rsidRPr="003E5B81">
        <w:rPr>
          <w:rFonts w:ascii="Times New Roman" w:eastAsia="Times New Roman" w:hAnsi="Times New Roman" w:cs="Times New Roman"/>
          <w:kern w:val="0"/>
          <w:lang w:eastAsia="en-GB"/>
          <w14:ligatures w14:val="none"/>
        </w:rPr>
        <w:t xml:space="preserve">, 55(1), pp. 68–78. </w:t>
      </w:r>
      <w:r w:rsidRPr="003E5B81">
        <w:t xml:space="preserve">Available at: </w:t>
      </w:r>
      <w:hyperlink r:id="rId42" w:tgtFrame="_new" w:history="1">
        <w:r w:rsidRPr="003E5B81">
          <w:rPr>
            <w:u w:val="single"/>
          </w:rPr>
          <w:t>https://selfdeterminationtheory.org/SDT/documents/2000_RyanDeci_SDT.pdf</w:t>
        </w:r>
      </w:hyperlink>
      <w:r w:rsidRPr="003E5B81">
        <w:t xml:space="preserve"> (Accessed on 2</w:t>
      </w:r>
      <w:r w:rsidRPr="003E5B81">
        <w:rPr>
          <w:vertAlign w:val="superscript"/>
        </w:rPr>
        <w:t>nd</w:t>
      </w:r>
      <w:r w:rsidRPr="003E5B81">
        <w:t xml:space="preserve"> May 2025). </w:t>
      </w:r>
    </w:p>
    <w:p w14:paraId="209031B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Sahlberg, P. (2015) </w:t>
      </w:r>
      <w:r w:rsidRPr="003E5B81">
        <w:rPr>
          <w:rFonts w:ascii="Times New Roman" w:eastAsia="Times New Roman" w:hAnsi="Times New Roman" w:cs="Times New Roman"/>
          <w:i/>
          <w:iCs/>
          <w:kern w:val="0"/>
          <w:lang w:eastAsia="en-GB"/>
          <w14:ligatures w14:val="none"/>
        </w:rPr>
        <w:t>Finnish Lessons 2.0: What Can the World Learn from Educational Change in Finland?</w:t>
      </w:r>
      <w:r w:rsidRPr="003E5B81">
        <w:rPr>
          <w:rFonts w:ascii="Times New Roman" w:eastAsia="Times New Roman" w:hAnsi="Times New Roman" w:cs="Times New Roman"/>
          <w:kern w:val="0"/>
          <w:lang w:eastAsia="en-GB"/>
          <w14:ligatures w14:val="none"/>
        </w:rPr>
        <w:t xml:space="preserve"> New York: Teachers College Press. Available at: </w:t>
      </w:r>
      <w:hyperlink r:id="rId43" w:tgtFrame="_new" w:history="1">
        <w:r w:rsidRPr="003E5B81">
          <w:rPr>
            <w:rFonts w:ascii="Times New Roman" w:eastAsia="Times New Roman" w:hAnsi="Times New Roman" w:cs="Times New Roman"/>
            <w:kern w:val="0"/>
            <w:u w:val="single"/>
            <w:lang w:eastAsia="en-GB"/>
            <w14:ligatures w14:val="none"/>
          </w:rPr>
          <w:t>https://books.google.com/books/about/Finnish_Lessons_2_0.html?id=HkpVCgAAQBAJ</w:t>
        </w:r>
      </w:hyperlink>
      <w:r w:rsidRPr="003E5B81">
        <w:rPr>
          <w:rFonts w:ascii="Times New Roman" w:eastAsia="Times New Roman" w:hAnsi="Times New Roman" w:cs="Times New Roman"/>
          <w:kern w:val="0"/>
          <w:lang w:eastAsia="en-GB"/>
          <w14:ligatures w14:val="none"/>
        </w:rPr>
        <w:t xml:space="preserve"> (Accessed: 11th May 2025).</w:t>
      </w:r>
    </w:p>
    <w:p w14:paraId="56CEFBE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School Detention in Finland: A Pilot Study (2025) ‘School detention in Finland: A pilot study’. </w:t>
      </w:r>
      <w:r w:rsidRPr="003E5B81">
        <w:rPr>
          <w:rFonts w:ascii="Times New Roman" w:eastAsia="Times New Roman" w:hAnsi="Times New Roman" w:cs="Times New Roman"/>
          <w:i/>
          <w:iCs/>
          <w:kern w:val="0"/>
          <w:lang w:eastAsia="en-GB"/>
          <w14:ligatures w14:val="none"/>
        </w:rPr>
        <w:t>ResearchGate</w:t>
      </w:r>
      <w:r w:rsidRPr="003E5B81">
        <w:rPr>
          <w:rFonts w:ascii="Times New Roman" w:eastAsia="Times New Roman" w:hAnsi="Times New Roman" w:cs="Times New Roman"/>
          <w:kern w:val="0"/>
          <w:lang w:eastAsia="en-GB"/>
          <w14:ligatures w14:val="none"/>
        </w:rPr>
        <w:t xml:space="preserve">. Available at: </w:t>
      </w:r>
      <w:hyperlink r:id="rId44" w:tgtFrame="_new" w:history="1">
        <w:r w:rsidRPr="003E5B81">
          <w:rPr>
            <w:rFonts w:ascii="Times New Roman" w:eastAsia="Times New Roman" w:hAnsi="Times New Roman" w:cs="Times New Roman"/>
            <w:kern w:val="0"/>
            <w:u w:val="single"/>
            <w:lang w:eastAsia="en-GB"/>
            <w14:ligatures w14:val="none"/>
          </w:rPr>
          <w:t>https://www.researchgate.net/publication/346505196_School_Detention_in_Finland_A_Pilot_Study</w:t>
        </w:r>
      </w:hyperlink>
      <w:r w:rsidRPr="003E5B81">
        <w:rPr>
          <w:rFonts w:ascii="Times New Roman" w:eastAsia="Times New Roman" w:hAnsi="Times New Roman" w:cs="Times New Roman"/>
          <w:kern w:val="0"/>
          <w:lang w:eastAsia="en-GB"/>
          <w14:ligatures w14:val="none"/>
        </w:rPr>
        <w:t>([Accessed: 7</w:t>
      </w:r>
      <w:r w:rsidRPr="003E5B81">
        <w:rPr>
          <w:rFonts w:ascii="Times New Roman" w:eastAsia="Times New Roman" w:hAnsi="Times New Roman" w:cs="Times New Roman"/>
          <w:kern w:val="0"/>
          <w:vertAlign w:val="superscript"/>
          <w:lang w:eastAsia="en-GB"/>
          <w14:ligatures w14:val="none"/>
        </w:rPr>
        <w:t>th</w:t>
      </w:r>
      <w:r w:rsidRPr="003E5B81">
        <w:rPr>
          <w:rFonts w:ascii="Times New Roman" w:eastAsia="Times New Roman" w:hAnsi="Times New Roman" w:cs="Times New Roman"/>
          <w:kern w:val="0"/>
          <w:lang w:eastAsia="en-GB"/>
          <w14:ligatures w14:val="none"/>
        </w:rPr>
        <w:t xml:space="preserve">  May 2025).</w:t>
      </w:r>
    </w:p>
    <w:p w14:paraId="5DA304B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School Suspension and Expulsion: Policy Statement | Pediatrics | American Academy of Pediatrics (2025) ‘School suspension and expulsion: Policy statement’. </w:t>
      </w:r>
      <w:r w:rsidRPr="003E5B81">
        <w:rPr>
          <w:rFonts w:ascii="Times New Roman" w:eastAsia="Times New Roman" w:hAnsi="Times New Roman" w:cs="Times New Roman"/>
          <w:i/>
          <w:iCs/>
          <w:kern w:val="0"/>
          <w:lang w:eastAsia="en-GB"/>
          <w14:ligatures w14:val="none"/>
        </w:rPr>
        <w:t>American Academy of Pediatrics</w:t>
      </w:r>
      <w:r w:rsidRPr="003E5B81">
        <w:rPr>
          <w:rFonts w:ascii="Times New Roman" w:eastAsia="Times New Roman" w:hAnsi="Times New Roman" w:cs="Times New Roman"/>
          <w:kern w:val="0"/>
          <w:lang w:eastAsia="en-GB"/>
          <w14:ligatures w14:val="none"/>
        </w:rPr>
        <w:t xml:space="preserve">. Available at: </w:t>
      </w:r>
      <w:hyperlink r:id="rId45" w:tgtFrame="_new" w:history="1">
        <w:r w:rsidRPr="003E5B81">
          <w:rPr>
            <w:rFonts w:ascii="Times New Roman" w:eastAsia="Times New Roman" w:hAnsi="Times New Roman" w:cs="Times New Roman"/>
            <w:kern w:val="0"/>
            <w:u w:val="single"/>
            <w:lang w:eastAsia="en-GB"/>
            <w14:ligatures w14:val="none"/>
          </w:rPr>
          <w:t>https://publications.aap.org/pediatrics/article/140/3/e20171905/37979/Policy-Statement-School-Suspension-and-Expulsion</w:t>
        </w:r>
      </w:hyperlink>
      <w:r w:rsidRPr="003E5B81">
        <w:rPr>
          <w:rFonts w:ascii="Times New Roman" w:eastAsia="Times New Roman" w:hAnsi="Times New Roman" w:cs="Times New Roman"/>
          <w:kern w:val="0"/>
          <w:lang w:eastAsia="en-GB"/>
          <w14:ligatures w14:val="none"/>
        </w:rPr>
        <w:t xml:space="preserve"> (Accessed: 17th May 2025).</w:t>
      </w:r>
    </w:p>
    <w:p w14:paraId="51F8CFF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lastRenderedPageBreak/>
        <w:t xml:space="preserve">Senedd Cymru (2023) Children, Young People and Education Committee – Meeting Notes and Evidence. [online] Available at: </w:t>
      </w:r>
      <w:hyperlink r:id="rId46" w:tgtFrame="_new" w:history="1">
        <w:r w:rsidRPr="003E5B81">
          <w:rPr>
            <w:rFonts w:ascii="Times New Roman" w:eastAsia="Times New Roman" w:hAnsi="Times New Roman" w:cs="Times New Roman"/>
            <w:kern w:val="0"/>
            <w:u w:val="single"/>
            <w:lang w:eastAsia="en-GB"/>
            <w14:ligatures w14:val="none"/>
          </w:rPr>
          <w:t>https://senedd.wales</w:t>
        </w:r>
      </w:hyperlink>
      <w:r w:rsidRPr="003E5B81">
        <w:rPr>
          <w:rFonts w:ascii="Times New Roman" w:eastAsia="Times New Roman" w:hAnsi="Times New Roman" w:cs="Times New Roman"/>
          <w:kern w:val="0"/>
          <w:lang w:eastAsia="en-GB"/>
          <w14:ligatures w14:val="none"/>
        </w:rPr>
        <w:t xml:space="preserve"> (Accessed: 11th May 2025).</w:t>
      </w:r>
    </w:p>
    <w:p w14:paraId="514F6816"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Senedd Cymru/Welsh Parliament (2024) Record of Proceedings: Plenary, 30 April 2024. [online] Available at: </w:t>
      </w:r>
      <w:hyperlink r:id="rId47" w:tgtFrame="_new" w:history="1">
        <w:r w:rsidRPr="003E5B81">
          <w:rPr>
            <w:rFonts w:ascii="Times New Roman" w:eastAsia="Times New Roman" w:hAnsi="Times New Roman" w:cs="Times New Roman"/>
            <w:kern w:val="0"/>
            <w:u w:val="single"/>
            <w:lang w:eastAsia="en-GB"/>
            <w14:ligatures w14:val="none"/>
          </w:rPr>
          <w:t>https://cofnod.senedd.cymru/Plenary/14876</w:t>
        </w:r>
      </w:hyperlink>
      <w:r w:rsidRPr="003E5B81">
        <w:rPr>
          <w:rFonts w:ascii="Times New Roman" w:eastAsia="Times New Roman" w:hAnsi="Times New Roman" w:cs="Times New Roman"/>
          <w:kern w:val="0"/>
          <w:lang w:eastAsia="en-GB"/>
          <w14:ligatures w14:val="none"/>
        </w:rPr>
        <w:t xml:space="preserve"> (Accessed: 11th May 2025).</w:t>
      </w:r>
    </w:p>
    <w:p w14:paraId="6E58EBA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Sharma, V. (2024) </w:t>
      </w:r>
      <w:r w:rsidRPr="003E5B81">
        <w:rPr>
          <w:rFonts w:ascii="Times New Roman" w:eastAsia="Times New Roman" w:hAnsi="Times New Roman" w:cs="Times New Roman"/>
          <w:i/>
          <w:iCs/>
          <w:kern w:val="0"/>
          <w:lang w:eastAsia="en-GB"/>
          <w14:ligatures w14:val="none"/>
        </w:rPr>
        <w:t>Moral education and character development: A guide for secondary school students</w:t>
      </w:r>
      <w:r w:rsidRPr="003E5B81">
        <w:rPr>
          <w:rFonts w:ascii="Times New Roman" w:eastAsia="Times New Roman" w:hAnsi="Times New Roman" w:cs="Times New Roman"/>
          <w:kern w:val="0"/>
          <w:lang w:eastAsia="en-GB"/>
          <w14:ligatures w14:val="none"/>
        </w:rPr>
        <w:t>. Personality Development and Character Building, p.43.</w:t>
      </w:r>
    </w:p>
    <w:p w14:paraId="645579CD"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Siegel, D.J. (2012) </w:t>
      </w:r>
      <w:r w:rsidRPr="003E5B81">
        <w:rPr>
          <w:rFonts w:ascii="Times New Roman" w:eastAsia="Times New Roman" w:hAnsi="Times New Roman" w:cs="Times New Roman"/>
          <w:i/>
          <w:iCs/>
          <w:kern w:val="0"/>
          <w:lang w:eastAsia="en-GB"/>
          <w14:ligatures w14:val="none"/>
        </w:rPr>
        <w:t>The developing mind: how relationships and the brain interact to shape who we are</w:t>
      </w:r>
      <w:r w:rsidRPr="003E5B81">
        <w:rPr>
          <w:rFonts w:ascii="Times New Roman" w:eastAsia="Times New Roman" w:hAnsi="Times New Roman" w:cs="Times New Roman"/>
          <w:kern w:val="0"/>
          <w:lang w:eastAsia="en-GB"/>
          <w14:ligatures w14:val="none"/>
        </w:rPr>
        <w:t>. 2nd edn. New York: Guilford Press.</w:t>
      </w:r>
    </w:p>
    <w:p w14:paraId="3E2E8B5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Stronge, J.H. (2018) </w:t>
      </w:r>
      <w:r w:rsidRPr="003E5B81">
        <w:rPr>
          <w:rFonts w:ascii="Times New Roman" w:eastAsia="Times New Roman" w:hAnsi="Times New Roman" w:cs="Times New Roman"/>
          <w:i/>
          <w:iCs/>
          <w:kern w:val="0"/>
          <w:lang w:eastAsia="en-GB"/>
          <w14:ligatures w14:val="none"/>
        </w:rPr>
        <w:t>Qualities of Effective Teachers</w:t>
      </w:r>
      <w:r w:rsidRPr="003E5B81">
        <w:rPr>
          <w:rFonts w:ascii="Times New Roman" w:eastAsia="Times New Roman" w:hAnsi="Times New Roman" w:cs="Times New Roman"/>
          <w:kern w:val="0"/>
          <w:lang w:eastAsia="en-GB"/>
          <w14:ligatures w14:val="none"/>
        </w:rPr>
        <w:t xml:space="preserve">, 4th edn. Alexandria, VA: ASCD. Available at: </w:t>
      </w:r>
      <w:hyperlink r:id="rId48" w:tgtFrame="_new" w:history="1">
        <w:r w:rsidRPr="003E5B81">
          <w:rPr>
            <w:rFonts w:ascii="Times New Roman" w:eastAsia="Times New Roman" w:hAnsi="Times New Roman" w:cs="Times New Roman"/>
            <w:kern w:val="0"/>
            <w:u w:val="single"/>
            <w:lang w:eastAsia="en-GB"/>
            <w14:ligatures w14:val="none"/>
          </w:rPr>
          <w:t>https://www.ascd.org</w:t>
        </w:r>
      </w:hyperlink>
      <w:r w:rsidRPr="003E5B81">
        <w:rPr>
          <w:rFonts w:ascii="Times New Roman" w:eastAsia="Times New Roman" w:hAnsi="Times New Roman" w:cs="Times New Roman"/>
          <w:kern w:val="0"/>
          <w:lang w:eastAsia="en-GB"/>
          <w14:ligatures w14:val="none"/>
        </w:rPr>
        <w:t xml:space="preserve"> (Accessed: 4th May 2025).</w:t>
      </w:r>
    </w:p>
    <w:p w14:paraId="1AA512C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Stuart McQueen, S., Huguley, J.P., Haynik, R., Joseph-McCatty, A., Calaman, R., Williams, M. and Wang, M.T. (2023) ‘Teacher perspectives on effective restorative practice implementation: Identifying programmatic elements that promote positive relational development in schools’, </w:t>
      </w:r>
      <w:r w:rsidRPr="003E5B81">
        <w:rPr>
          <w:rFonts w:ascii="Times New Roman" w:eastAsia="Times New Roman" w:hAnsi="Times New Roman" w:cs="Times New Roman"/>
          <w:i/>
          <w:iCs/>
          <w:kern w:val="0"/>
          <w:lang w:eastAsia="en-GB"/>
          <w14:ligatures w14:val="none"/>
        </w:rPr>
        <w:t>Child &amp; Youth Services</w:t>
      </w:r>
      <w:r w:rsidRPr="003E5B81">
        <w:rPr>
          <w:rFonts w:ascii="Times New Roman" w:eastAsia="Times New Roman" w:hAnsi="Times New Roman" w:cs="Times New Roman"/>
          <w:kern w:val="0"/>
          <w:lang w:eastAsia="en-GB"/>
          <w14:ligatures w14:val="none"/>
        </w:rPr>
        <w:t xml:space="preserve">, 45(3), pp.430–457. Available at: </w:t>
      </w:r>
      <w:hyperlink r:id="rId49" w:tgtFrame="_new" w:history="1">
        <w:r w:rsidRPr="003E5B81">
          <w:rPr>
            <w:rFonts w:ascii="Times New Roman" w:eastAsia="Times New Roman" w:hAnsi="Times New Roman" w:cs="Times New Roman"/>
            <w:kern w:val="0"/>
            <w:u w:val="single"/>
            <w:lang w:eastAsia="en-GB"/>
            <w14:ligatures w14:val="none"/>
          </w:rPr>
          <w:t>https://doi.org/10.1080/0145935X.2023.2191943</w:t>
        </w:r>
      </w:hyperlink>
      <w:r w:rsidRPr="003E5B81">
        <w:rPr>
          <w:rFonts w:ascii="Times New Roman" w:eastAsia="Times New Roman" w:hAnsi="Times New Roman" w:cs="Times New Roman"/>
          <w:kern w:val="0"/>
          <w:lang w:eastAsia="en-GB"/>
          <w14:ligatures w14:val="none"/>
        </w:rPr>
        <w:t xml:space="preserve"> (Accessed: 7th May 2025).</w:t>
      </w:r>
    </w:p>
    <w:p w14:paraId="49CD30C8"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Student Disengagement in Finnish Comprehensive Schooling (2023) In: </w:t>
      </w:r>
      <w:r w:rsidRPr="003E5B81">
        <w:rPr>
          <w:rFonts w:ascii="Times New Roman" w:eastAsia="Times New Roman" w:hAnsi="Times New Roman" w:cs="Times New Roman"/>
          <w:i/>
          <w:iCs/>
          <w:kern w:val="0"/>
          <w:lang w:eastAsia="en-GB"/>
          <w14:ligatures w14:val="none"/>
        </w:rPr>
        <w:t>Finnish Education System: Challenges and Opportunities</w:t>
      </w:r>
      <w:r w:rsidRPr="003E5B81">
        <w:rPr>
          <w:rFonts w:ascii="Times New Roman" w:eastAsia="Times New Roman" w:hAnsi="Times New Roman" w:cs="Times New Roman"/>
          <w:kern w:val="0"/>
          <w:lang w:eastAsia="en-GB"/>
          <w14:ligatures w14:val="none"/>
        </w:rPr>
        <w:t xml:space="preserve">. Springer. Available at: </w:t>
      </w:r>
      <w:hyperlink r:id="rId50" w:tgtFrame="_new" w:history="1">
        <w:r w:rsidRPr="003E5B81">
          <w:rPr>
            <w:rFonts w:ascii="Times New Roman" w:eastAsia="Times New Roman" w:hAnsi="Times New Roman" w:cs="Times New Roman"/>
            <w:kern w:val="0"/>
            <w:u w:val="single"/>
            <w:lang w:eastAsia="en-GB"/>
            <w14:ligatures w14:val="none"/>
          </w:rPr>
          <w:t>https://link.springer.com/chapter/10.1007/978-981-19-8241-5_27</w:t>
        </w:r>
      </w:hyperlink>
      <w:r w:rsidRPr="003E5B81">
        <w:rPr>
          <w:rFonts w:ascii="Times New Roman" w:eastAsia="Times New Roman" w:hAnsi="Times New Roman" w:cs="Times New Roman"/>
          <w:kern w:val="0"/>
          <w:lang w:eastAsia="en-GB"/>
          <w14:ligatures w14:val="none"/>
        </w:rPr>
        <w:t xml:space="preserve"> (Accessed: 6th May 2025).</w:t>
      </w:r>
    </w:p>
    <w:p w14:paraId="5FD54B1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Sukhodolsky, D.G., Smith, S.D., McCauley, S.A., Ibrahim, K. and Piasecka, J.B. (2016) ‘Behavioral interventions for anger, irritability, and aggression in children and adolescents’, </w:t>
      </w:r>
      <w:r w:rsidRPr="003E5B81">
        <w:rPr>
          <w:rFonts w:ascii="Times New Roman" w:eastAsia="Times New Roman" w:hAnsi="Times New Roman" w:cs="Times New Roman"/>
          <w:i/>
          <w:iCs/>
          <w:kern w:val="0"/>
          <w:lang w:eastAsia="en-GB"/>
          <w14:ligatures w14:val="none"/>
        </w:rPr>
        <w:t>Journal of Child and Adolescent Psychopharmacology</w:t>
      </w:r>
      <w:r w:rsidRPr="003E5B81">
        <w:rPr>
          <w:rFonts w:ascii="Times New Roman" w:eastAsia="Times New Roman" w:hAnsi="Times New Roman" w:cs="Times New Roman"/>
          <w:kern w:val="0"/>
          <w:lang w:eastAsia="en-GB"/>
          <w14:ligatures w14:val="none"/>
        </w:rPr>
        <w:t>, 26(1), pp.58–64.</w:t>
      </w:r>
    </w:p>
    <w:p w14:paraId="14AF64F0"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Sunderland, M. (2016) </w:t>
      </w:r>
      <w:r w:rsidRPr="003E5B81">
        <w:rPr>
          <w:rFonts w:ascii="Times New Roman" w:eastAsia="Times New Roman" w:hAnsi="Times New Roman" w:cs="Times New Roman"/>
          <w:i/>
          <w:iCs/>
          <w:kern w:val="0"/>
          <w:lang w:eastAsia="en-GB"/>
          <w14:ligatures w14:val="none"/>
        </w:rPr>
        <w:t>The science of parenting</w:t>
      </w:r>
      <w:r w:rsidRPr="003E5B81">
        <w:rPr>
          <w:rFonts w:ascii="Times New Roman" w:eastAsia="Times New Roman" w:hAnsi="Times New Roman" w:cs="Times New Roman"/>
          <w:kern w:val="0"/>
          <w:lang w:eastAsia="en-GB"/>
          <w14:ligatures w14:val="none"/>
        </w:rPr>
        <w:t>. 2nd edn. London: Dorling Kindersley.</w:t>
      </w:r>
    </w:p>
    <w:p w14:paraId="27C01704"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Swargiary, K. (2024) </w:t>
      </w:r>
      <w:r w:rsidRPr="003E5B81">
        <w:rPr>
          <w:rFonts w:ascii="Times New Roman" w:eastAsia="Times New Roman" w:hAnsi="Times New Roman" w:cs="Times New Roman"/>
          <w:i/>
          <w:iCs/>
          <w:kern w:val="0"/>
          <w:lang w:eastAsia="en-GB"/>
          <w14:ligatures w14:val="none"/>
        </w:rPr>
        <w:t>Navigating the Modern Classroom: A Teacher's Journey</w:t>
      </w:r>
      <w:r w:rsidRPr="003E5B81">
        <w:rPr>
          <w:rFonts w:ascii="Times New Roman" w:eastAsia="Times New Roman" w:hAnsi="Times New Roman" w:cs="Times New Roman"/>
          <w:kern w:val="0"/>
          <w:lang w:eastAsia="en-GB"/>
          <w14:ligatures w14:val="none"/>
        </w:rPr>
        <w:t>. LAP.</w:t>
      </w:r>
    </w:p>
    <w:p w14:paraId="0F3FC767"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Swedish National Agency for Education (n.d.) Becoming a Teacher in Sweden. [online] Available at: </w:t>
      </w:r>
      <w:hyperlink r:id="rId51" w:tgtFrame="_new" w:history="1">
        <w:r w:rsidRPr="003E5B81">
          <w:rPr>
            <w:rFonts w:ascii="Times New Roman" w:eastAsia="Times New Roman" w:hAnsi="Times New Roman" w:cs="Times New Roman"/>
            <w:kern w:val="0"/>
            <w:u w:val="single"/>
            <w:lang w:eastAsia="en-GB"/>
            <w14:ligatures w14:val="none"/>
          </w:rPr>
          <w:t>https://www.skolverket.se</w:t>
        </w:r>
      </w:hyperlink>
      <w:r w:rsidRPr="003E5B81">
        <w:rPr>
          <w:rFonts w:ascii="Times New Roman" w:eastAsia="Times New Roman" w:hAnsi="Times New Roman" w:cs="Times New Roman"/>
          <w:kern w:val="0"/>
          <w:lang w:eastAsia="en-GB"/>
          <w14:ligatures w14:val="none"/>
        </w:rPr>
        <w:t xml:space="preserve"> (Accessed: 11th May 2025).</w:t>
      </w:r>
    </w:p>
    <w:p w14:paraId="1CD170D2"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Talafian, H., Lundsgaard, M., Mahmood, M., Shafer, D., Stelzer, T. and Kuo, E. (2023) ‘Responsive Professional Development: A Facilitation Approach for Teachers' Development in a Physics Teaching Community of Practice’, </w:t>
      </w:r>
      <w:r w:rsidRPr="003E5B81">
        <w:rPr>
          <w:rFonts w:ascii="Times New Roman" w:eastAsia="Times New Roman" w:hAnsi="Times New Roman" w:cs="Times New Roman"/>
          <w:i/>
          <w:iCs/>
          <w:kern w:val="0"/>
          <w:lang w:eastAsia="en-GB"/>
          <w14:ligatures w14:val="none"/>
        </w:rPr>
        <w:t>arXiv</w:t>
      </w:r>
      <w:r w:rsidRPr="003E5B81">
        <w:rPr>
          <w:rFonts w:ascii="Times New Roman" w:eastAsia="Times New Roman" w:hAnsi="Times New Roman" w:cs="Times New Roman"/>
          <w:kern w:val="0"/>
          <w:lang w:eastAsia="en-GB"/>
          <w14:ligatures w14:val="none"/>
        </w:rPr>
        <w:t xml:space="preserve">. Available at: </w:t>
      </w:r>
      <w:hyperlink r:id="rId52" w:tgtFrame="_new" w:history="1">
        <w:r w:rsidRPr="003E5B81">
          <w:rPr>
            <w:rFonts w:ascii="Times New Roman" w:eastAsia="Times New Roman" w:hAnsi="Times New Roman" w:cs="Times New Roman"/>
            <w:kern w:val="0"/>
            <w:u w:val="single"/>
            <w:lang w:eastAsia="en-GB"/>
            <w14:ligatures w14:val="none"/>
          </w:rPr>
          <w:t>https://arxiv.org/abs/2310.11375</w:t>
        </w:r>
      </w:hyperlink>
      <w:r w:rsidRPr="003E5B81">
        <w:rPr>
          <w:rFonts w:ascii="Times New Roman" w:eastAsia="Times New Roman" w:hAnsi="Times New Roman" w:cs="Times New Roman"/>
          <w:kern w:val="0"/>
          <w:lang w:eastAsia="en-GB"/>
          <w14:ligatures w14:val="none"/>
        </w:rPr>
        <w:t xml:space="preserve"> (Accessed: 11th May 2025).</w:t>
      </w:r>
    </w:p>
    <w:p w14:paraId="29E1D6D2"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The Guardian (2024) ‘Teachers warn of rising mental health needs and lack of support post-Covid’, </w:t>
      </w:r>
      <w:r w:rsidRPr="003E5B81">
        <w:rPr>
          <w:rFonts w:ascii="Times New Roman" w:eastAsia="Times New Roman" w:hAnsi="Times New Roman" w:cs="Times New Roman"/>
          <w:i/>
          <w:iCs/>
          <w:kern w:val="0"/>
          <w:lang w:eastAsia="en-GB"/>
          <w14:ligatures w14:val="none"/>
        </w:rPr>
        <w:t>The Guardian</w:t>
      </w:r>
      <w:r w:rsidRPr="003E5B81">
        <w:rPr>
          <w:rFonts w:ascii="Times New Roman" w:eastAsia="Times New Roman" w:hAnsi="Times New Roman" w:cs="Times New Roman"/>
          <w:kern w:val="0"/>
          <w:lang w:eastAsia="en-GB"/>
          <w14:ligatures w14:val="none"/>
        </w:rPr>
        <w:t xml:space="preserve">, 18 January. Available at: </w:t>
      </w:r>
      <w:hyperlink r:id="rId53" w:tgtFrame="_new" w:history="1">
        <w:r w:rsidRPr="003E5B81">
          <w:rPr>
            <w:rFonts w:ascii="Times New Roman" w:eastAsia="Times New Roman" w:hAnsi="Times New Roman" w:cs="Times New Roman"/>
            <w:kern w:val="0"/>
            <w:u w:val="single"/>
            <w:lang w:eastAsia="en-GB"/>
            <w14:ligatures w14:val="none"/>
          </w:rPr>
          <w:t>https://www.theguardian.com/education/2024/jan/18/teachers-mental-health-post-covid</w:t>
        </w:r>
      </w:hyperlink>
      <w:r w:rsidRPr="003E5B81">
        <w:rPr>
          <w:rFonts w:ascii="Times New Roman" w:eastAsia="Times New Roman" w:hAnsi="Times New Roman" w:cs="Times New Roman"/>
          <w:kern w:val="0"/>
          <w:lang w:eastAsia="en-GB"/>
          <w14:ligatures w14:val="none"/>
        </w:rPr>
        <w:t xml:space="preserve"> (Accessed: 4</w:t>
      </w:r>
      <w:r w:rsidRPr="003E5B81">
        <w:rPr>
          <w:rFonts w:ascii="Times New Roman" w:eastAsia="Times New Roman" w:hAnsi="Times New Roman" w:cs="Times New Roman"/>
          <w:kern w:val="0"/>
          <w:vertAlign w:val="superscript"/>
          <w:lang w:eastAsia="en-GB"/>
          <w14:ligatures w14:val="none"/>
        </w:rPr>
        <w:t>th</w:t>
      </w:r>
      <w:r w:rsidRPr="003E5B81">
        <w:rPr>
          <w:rFonts w:ascii="Times New Roman" w:eastAsia="Times New Roman" w:hAnsi="Times New Roman" w:cs="Times New Roman"/>
          <w:kern w:val="0"/>
          <w:lang w:eastAsia="en-GB"/>
          <w14:ligatures w14:val="none"/>
        </w:rPr>
        <w:t xml:space="preserve"> May 2025).</w:t>
      </w:r>
    </w:p>
    <w:p w14:paraId="57FB0869"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Tong, P. and An, I.S. (2024) ‘Review of studies applying Bronfenbrenner's bioecological theory in international and intercultural education research’, </w:t>
      </w:r>
      <w:r w:rsidRPr="003E5B81">
        <w:rPr>
          <w:rFonts w:ascii="Times New Roman" w:eastAsia="Times New Roman" w:hAnsi="Times New Roman" w:cs="Times New Roman"/>
          <w:i/>
          <w:iCs/>
          <w:kern w:val="0"/>
          <w:lang w:eastAsia="en-GB"/>
          <w14:ligatures w14:val="none"/>
        </w:rPr>
        <w:t>Frontiers in Psychology</w:t>
      </w:r>
      <w:r w:rsidRPr="003E5B81">
        <w:rPr>
          <w:rFonts w:ascii="Times New Roman" w:eastAsia="Times New Roman" w:hAnsi="Times New Roman" w:cs="Times New Roman"/>
          <w:kern w:val="0"/>
          <w:lang w:eastAsia="en-GB"/>
          <w14:ligatures w14:val="none"/>
        </w:rPr>
        <w:t xml:space="preserve">, 14, p.1233925. Available at: </w:t>
      </w:r>
      <w:hyperlink r:id="rId54" w:tgtFrame="_new" w:history="1">
        <w:r w:rsidRPr="003E5B81">
          <w:rPr>
            <w:rFonts w:ascii="Times New Roman" w:eastAsia="Times New Roman" w:hAnsi="Times New Roman" w:cs="Times New Roman"/>
            <w:kern w:val="0"/>
            <w:u w:val="single"/>
            <w:lang w:eastAsia="en-GB"/>
            <w14:ligatures w14:val="none"/>
          </w:rPr>
          <w:t>https://www.frontiersin.org/articles/10.3389/fpsyg.2023.1233925/full</w:t>
        </w:r>
      </w:hyperlink>
      <w:r w:rsidRPr="003E5B81">
        <w:rPr>
          <w:rFonts w:ascii="Times New Roman" w:eastAsia="Times New Roman" w:hAnsi="Times New Roman" w:cs="Times New Roman"/>
          <w:kern w:val="0"/>
          <w:lang w:eastAsia="en-GB"/>
          <w14:ligatures w14:val="none"/>
        </w:rPr>
        <w:t xml:space="preserve"> (Accessed: 8th May 2025).</w:t>
      </w:r>
    </w:p>
    <w:p w14:paraId="547E80FB"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United Nations (1989) </w:t>
      </w:r>
      <w:r w:rsidRPr="003E5B81">
        <w:rPr>
          <w:rFonts w:ascii="Times New Roman" w:eastAsia="Times New Roman" w:hAnsi="Times New Roman" w:cs="Times New Roman"/>
          <w:i/>
          <w:iCs/>
          <w:kern w:val="0"/>
          <w:lang w:eastAsia="en-GB"/>
          <w14:ligatures w14:val="none"/>
        </w:rPr>
        <w:t>Convention on the Rights of the Child</w:t>
      </w:r>
      <w:r w:rsidRPr="003E5B81">
        <w:rPr>
          <w:rFonts w:ascii="Times New Roman" w:eastAsia="Times New Roman" w:hAnsi="Times New Roman" w:cs="Times New Roman"/>
          <w:kern w:val="0"/>
          <w:lang w:eastAsia="en-GB"/>
          <w14:ligatures w14:val="none"/>
        </w:rPr>
        <w:t xml:space="preserve">. Available at: </w:t>
      </w:r>
      <w:hyperlink r:id="rId55" w:tgtFrame="_new" w:history="1">
        <w:r w:rsidRPr="003E5B81">
          <w:rPr>
            <w:rFonts w:ascii="Times New Roman" w:eastAsia="Times New Roman" w:hAnsi="Times New Roman" w:cs="Times New Roman"/>
            <w:kern w:val="0"/>
            <w:u w:val="single"/>
            <w:lang w:eastAsia="en-GB"/>
            <w14:ligatures w14:val="none"/>
          </w:rPr>
          <w:t>https://www.ohchr.org/en/instruments-mechanisms/instruments/convention-rights-child</w:t>
        </w:r>
      </w:hyperlink>
      <w:r w:rsidRPr="003E5B81">
        <w:rPr>
          <w:rFonts w:ascii="Times New Roman" w:eastAsia="Times New Roman" w:hAnsi="Times New Roman" w:cs="Times New Roman"/>
          <w:kern w:val="0"/>
          <w:lang w:eastAsia="en-GB"/>
          <w14:ligatures w14:val="none"/>
        </w:rPr>
        <w:t xml:space="preserve"> (Accessed: 15th May 2025).</w:t>
      </w:r>
    </w:p>
    <w:p w14:paraId="1426F90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Valdebenito, S., Eisner, M., Farrington, D., Ttofi, M. and Sutherland, A. (2015) ‘Protocol for a systematic review: School-based interventions for reducing disciplinary school exclusion: A systematic review’, </w:t>
      </w:r>
      <w:r w:rsidRPr="003E5B81">
        <w:rPr>
          <w:rFonts w:ascii="Times New Roman" w:eastAsia="Times New Roman" w:hAnsi="Times New Roman" w:cs="Times New Roman"/>
          <w:i/>
          <w:iCs/>
          <w:kern w:val="0"/>
          <w:lang w:eastAsia="en-GB"/>
          <w14:ligatures w14:val="none"/>
        </w:rPr>
        <w:t>Campbell Systematic Reviews</w:t>
      </w:r>
      <w:r w:rsidRPr="003E5B81">
        <w:rPr>
          <w:rFonts w:ascii="Times New Roman" w:eastAsia="Times New Roman" w:hAnsi="Times New Roman" w:cs="Times New Roman"/>
          <w:kern w:val="0"/>
          <w:lang w:eastAsia="en-GB"/>
          <w14:ligatures w14:val="none"/>
        </w:rPr>
        <w:t>, 11(1), pp.1–54.</w:t>
      </w:r>
    </w:p>
    <w:p w14:paraId="362D0F5C"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5B81">
        <w:rPr>
          <w:rFonts w:ascii="Times New Roman" w:eastAsia="Times New Roman" w:hAnsi="Times New Roman" w:cs="Times New Roman"/>
          <w:kern w:val="0"/>
          <w:lang w:eastAsia="en-GB"/>
          <w14:ligatures w14:val="none"/>
        </w:rPr>
        <w:t xml:space="preserve">Van der Kolk, B. (2015) </w:t>
      </w:r>
      <w:r w:rsidRPr="003E5B81">
        <w:rPr>
          <w:rFonts w:ascii="Times New Roman" w:eastAsia="Times New Roman" w:hAnsi="Times New Roman" w:cs="Times New Roman"/>
          <w:i/>
          <w:iCs/>
          <w:kern w:val="0"/>
          <w:lang w:eastAsia="en-GB"/>
          <w14:ligatures w14:val="none"/>
        </w:rPr>
        <w:t>The body keeps the score: brain, mind, and body in the healing of trauma</w:t>
      </w:r>
      <w:r w:rsidRPr="003E5B81">
        <w:rPr>
          <w:rFonts w:ascii="Times New Roman" w:eastAsia="Times New Roman" w:hAnsi="Times New Roman" w:cs="Times New Roman"/>
          <w:kern w:val="0"/>
          <w:lang w:eastAsia="en-GB"/>
          <w14:ligatures w14:val="none"/>
        </w:rPr>
        <w:t>. London:</w:t>
      </w:r>
    </w:p>
    <w:p w14:paraId="79B319A1" w14:textId="77777777" w:rsidR="003E5B81" w:rsidRPr="003E5B81" w:rsidRDefault="003E5B81" w:rsidP="003E5B8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412DAE" w14:textId="77777777" w:rsidR="00632E4A" w:rsidRPr="007F3E94" w:rsidRDefault="00632E4A" w:rsidP="007F3E94">
      <w:pPr>
        <w:spacing w:line="480" w:lineRule="auto"/>
        <w:rPr>
          <w:sz w:val="22"/>
          <w:szCs w:val="22"/>
        </w:rPr>
      </w:pPr>
    </w:p>
    <w:p w14:paraId="301FE0FF" w14:textId="77777777" w:rsidR="009C4C29" w:rsidRPr="007F3E94" w:rsidRDefault="009C4C29" w:rsidP="007F3E94">
      <w:pPr>
        <w:spacing w:line="480" w:lineRule="auto"/>
        <w:rPr>
          <w:sz w:val="22"/>
          <w:szCs w:val="22"/>
        </w:rPr>
      </w:pPr>
    </w:p>
    <w:sectPr w:rsidR="009C4C29" w:rsidRPr="007F3E94">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6636C" w14:textId="77777777" w:rsidR="003F07B9" w:rsidRDefault="003F07B9" w:rsidP="003F07B9">
      <w:pPr>
        <w:spacing w:after="0" w:line="240" w:lineRule="auto"/>
      </w:pPr>
      <w:r>
        <w:separator/>
      </w:r>
    </w:p>
  </w:endnote>
  <w:endnote w:type="continuationSeparator" w:id="0">
    <w:p w14:paraId="41F287D2" w14:textId="77777777" w:rsidR="003F07B9" w:rsidRDefault="003F07B9" w:rsidP="003F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A3887" w14:textId="77777777" w:rsidR="003F07B9" w:rsidRDefault="003F07B9" w:rsidP="003F07B9">
      <w:pPr>
        <w:spacing w:after="0" w:line="240" w:lineRule="auto"/>
      </w:pPr>
      <w:r>
        <w:separator/>
      </w:r>
    </w:p>
  </w:footnote>
  <w:footnote w:type="continuationSeparator" w:id="0">
    <w:p w14:paraId="7E54E9AC" w14:textId="77777777" w:rsidR="003F07B9" w:rsidRDefault="003F07B9" w:rsidP="003F07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B5ADE" w14:textId="63D32CCD" w:rsidR="003F07B9" w:rsidRDefault="00FC4F07" w:rsidP="003F07B9">
    <w:pPr>
      <w:pStyle w:val="Header"/>
      <w:jc w:val="right"/>
    </w:pPr>
    <w:r>
      <w:t>Student number: 2316803</w:t>
    </w:r>
  </w:p>
  <w:p w14:paraId="78B27D7C" w14:textId="4A28655B" w:rsidR="00FC4F07" w:rsidRDefault="00FC4F07" w:rsidP="003F07B9">
    <w:pPr>
      <w:pStyle w:val="Header"/>
      <w:jc w:val="right"/>
    </w:pPr>
    <w:r>
      <w:t xml:space="preserve">Word count: 7017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57285"/>
    <w:multiLevelType w:val="multilevel"/>
    <w:tmpl w:val="62A85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D81929"/>
    <w:multiLevelType w:val="multilevel"/>
    <w:tmpl w:val="DCCC3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8324B"/>
    <w:multiLevelType w:val="multilevel"/>
    <w:tmpl w:val="464C3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02CE1"/>
    <w:multiLevelType w:val="multilevel"/>
    <w:tmpl w:val="D89C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45289"/>
    <w:multiLevelType w:val="multilevel"/>
    <w:tmpl w:val="2834C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7D4547"/>
    <w:multiLevelType w:val="multilevel"/>
    <w:tmpl w:val="0E08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C4282"/>
    <w:multiLevelType w:val="hybridMultilevel"/>
    <w:tmpl w:val="2DAEF59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53257B29"/>
    <w:multiLevelType w:val="multilevel"/>
    <w:tmpl w:val="6068D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E4CD1"/>
    <w:multiLevelType w:val="multilevel"/>
    <w:tmpl w:val="474E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713BD9"/>
    <w:multiLevelType w:val="multilevel"/>
    <w:tmpl w:val="5ADC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C3745E"/>
    <w:multiLevelType w:val="multilevel"/>
    <w:tmpl w:val="3C20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5620855">
    <w:abstractNumId w:val="7"/>
  </w:num>
  <w:num w:numId="2" w16cid:durableId="1890141217">
    <w:abstractNumId w:val="5"/>
  </w:num>
  <w:num w:numId="3" w16cid:durableId="1908372565">
    <w:abstractNumId w:val="2"/>
  </w:num>
  <w:num w:numId="4" w16cid:durableId="118184508">
    <w:abstractNumId w:val="1"/>
  </w:num>
  <w:num w:numId="5" w16cid:durableId="113790181">
    <w:abstractNumId w:val="8"/>
  </w:num>
  <w:num w:numId="6" w16cid:durableId="1427337914">
    <w:abstractNumId w:val="4"/>
  </w:num>
  <w:num w:numId="7" w16cid:durableId="679701988">
    <w:abstractNumId w:val="0"/>
  </w:num>
  <w:num w:numId="8" w16cid:durableId="926504460">
    <w:abstractNumId w:val="3"/>
  </w:num>
  <w:num w:numId="9" w16cid:durableId="311956480">
    <w:abstractNumId w:val="10"/>
  </w:num>
  <w:num w:numId="10" w16cid:durableId="1866138834">
    <w:abstractNumId w:val="9"/>
  </w:num>
  <w:num w:numId="11" w16cid:durableId="21254150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D9"/>
    <w:rsid w:val="00000448"/>
    <w:rsid w:val="00002FDF"/>
    <w:rsid w:val="00003AAA"/>
    <w:rsid w:val="000133E4"/>
    <w:rsid w:val="00016EF0"/>
    <w:rsid w:val="0002283E"/>
    <w:rsid w:val="00033C09"/>
    <w:rsid w:val="000357E7"/>
    <w:rsid w:val="00037DA6"/>
    <w:rsid w:val="00040A6C"/>
    <w:rsid w:val="00045FC5"/>
    <w:rsid w:val="00047410"/>
    <w:rsid w:val="00051556"/>
    <w:rsid w:val="00055BBE"/>
    <w:rsid w:val="00056863"/>
    <w:rsid w:val="00056A56"/>
    <w:rsid w:val="00061545"/>
    <w:rsid w:val="00064C31"/>
    <w:rsid w:val="00065E65"/>
    <w:rsid w:val="0007434D"/>
    <w:rsid w:val="000754A5"/>
    <w:rsid w:val="000756CC"/>
    <w:rsid w:val="00077278"/>
    <w:rsid w:val="000903F5"/>
    <w:rsid w:val="00090E04"/>
    <w:rsid w:val="000950A6"/>
    <w:rsid w:val="00095486"/>
    <w:rsid w:val="00096661"/>
    <w:rsid w:val="000A2EB6"/>
    <w:rsid w:val="000A6942"/>
    <w:rsid w:val="000C0B8B"/>
    <w:rsid w:val="000C2419"/>
    <w:rsid w:val="000C4537"/>
    <w:rsid w:val="000E4A15"/>
    <w:rsid w:val="000E70A5"/>
    <w:rsid w:val="000F2422"/>
    <w:rsid w:val="000F25A2"/>
    <w:rsid w:val="000F5325"/>
    <w:rsid w:val="00100803"/>
    <w:rsid w:val="00101029"/>
    <w:rsid w:val="00103615"/>
    <w:rsid w:val="00105425"/>
    <w:rsid w:val="00114490"/>
    <w:rsid w:val="00123735"/>
    <w:rsid w:val="001238BF"/>
    <w:rsid w:val="001273D5"/>
    <w:rsid w:val="00134591"/>
    <w:rsid w:val="00134941"/>
    <w:rsid w:val="00135E9E"/>
    <w:rsid w:val="001424DA"/>
    <w:rsid w:val="00143F38"/>
    <w:rsid w:val="0014503A"/>
    <w:rsid w:val="001454C2"/>
    <w:rsid w:val="00150A99"/>
    <w:rsid w:val="00153C0D"/>
    <w:rsid w:val="00154B26"/>
    <w:rsid w:val="00154E0C"/>
    <w:rsid w:val="00157373"/>
    <w:rsid w:val="0016166D"/>
    <w:rsid w:val="00162AEF"/>
    <w:rsid w:val="0016723C"/>
    <w:rsid w:val="0017258C"/>
    <w:rsid w:val="00173431"/>
    <w:rsid w:val="001855E5"/>
    <w:rsid w:val="00186AC1"/>
    <w:rsid w:val="00190D13"/>
    <w:rsid w:val="00194E6E"/>
    <w:rsid w:val="001A40AB"/>
    <w:rsid w:val="001B144B"/>
    <w:rsid w:val="001C7B23"/>
    <w:rsid w:val="001C7C5F"/>
    <w:rsid w:val="001D27ED"/>
    <w:rsid w:val="001D521A"/>
    <w:rsid w:val="001D5388"/>
    <w:rsid w:val="001E7C68"/>
    <w:rsid w:val="001F2FBE"/>
    <w:rsid w:val="001F5399"/>
    <w:rsid w:val="002016B1"/>
    <w:rsid w:val="002036B8"/>
    <w:rsid w:val="00211F66"/>
    <w:rsid w:val="00212D13"/>
    <w:rsid w:val="002141FC"/>
    <w:rsid w:val="00216572"/>
    <w:rsid w:val="0021685C"/>
    <w:rsid w:val="00224F19"/>
    <w:rsid w:val="00232FD8"/>
    <w:rsid w:val="00241708"/>
    <w:rsid w:val="002421D9"/>
    <w:rsid w:val="0024656E"/>
    <w:rsid w:val="0025404B"/>
    <w:rsid w:val="002649BC"/>
    <w:rsid w:val="00265439"/>
    <w:rsid w:val="00266429"/>
    <w:rsid w:val="00270B0D"/>
    <w:rsid w:val="00271DCB"/>
    <w:rsid w:val="0027689E"/>
    <w:rsid w:val="00282256"/>
    <w:rsid w:val="002924CC"/>
    <w:rsid w:val="00296390"/>
    <w:rsid w:val="002966DE"/>
    <w:rsid w:val="0029690F"/>
    <w:rsid w:val="0029698D"/>
    <w:rsid w:val="002A67EF"/>
    <w:rsid w:val="002B2700"/>
    <w:rsid w:val="002B2862"/>
    <w:rsid w:val="002B35E5"/>
    <w:rsid w:val="002B5469"/>
    <w:rsid w:val="002C128E"/>
    <w:rsid w:val="002C40A1"/>
    <w:rsid w:val="002C6550"/>
    <w:rsid w:val="002D0404"/>
    <w:rsid w:val="002D0407"/>
    <w:rsid w:val="002D0F49"/>
    <w:rsid w:val="002D1F22"/>
    <w:rsid w:val="002D3201"/>
    <w:rsid w:val="002D6256"/>
    <w:rsid w:val="002D6684"/>
    <w:rsid w:val="002E6886"/>
    <w:rsid w:val="002F1BB5"/>
    <w:rsid w:val="002F2F7D"/>
    <w:rsid w:val="002F3D7E"/>
    <w:rsid w:val="002F432E"/>
    <w:rsid w:val="002F52B5"/>
    <w:rsid w:val="003006D4"/>
    <w:rsid w:val="00300B7B"/>
    <w:rsid w:val="003043A9"/>
    <w:rsid w:val="00306204"/>
    <w:rsid w:val="0031681D"/>
    <w:rsid w:val="0032235D"/>
    <w:rsid w:val="003229FE"/>
    <w:rsid w:val="0032601C"/>
    <w:rsid w:val="0032766B"/>
    <w:rsid w:val="0033011E"/>
    <w:rsid w:val="003329EB"/>
    <w:rsid w:val="0034368F"/>
    <w:rsid w:val="00350B5E"/>
    <w:rsid w:val="00354C9B"/>
    <w:rsid w:val="00367A94"/>
    <w:rsid w:val="00371888"/>
    <w:rsid w:val="003758B1"/>
    <w:rsid w:val="00377547"/>
    <w:rsid w:val="00380189"/>
    <w:rsid w:val="00385466"/>
    <w:rsid w:val="003854D9"/>
    <w:rsid w:val="00386AB3"/>
    <w:rsid w:val="00390211"/>
    <w:rsid w:val="0039514D"/>
    <w:rsid w:val="003A0DCD"/>
    <w:rsid w:val="003B4A69"/>
    <w:rsid w:val="003B4E3E"/>
    <w:rsid w:val="003B680B"/>
    <w:rsid w:val="003C0CCB"/>
    <w:rsid w:val="003C2054"/>
    <w:rsid w:val="003C5D21"/>
    <w:rsid w:val="003C603A"/>
    <w:rsid w:val="003D548A"/>
    <w:rsid w:val="003E5B81"/>
    <w:rsid w:val="003F07B9"/>
    <w:rsid w:val="003F5D4E"/>
    <w:rsid w:val="003F6175"/>
    <w:rsid w:val="004011B5"/>
    <w:rsid w:val="004037E9"/>
    <w:rsid w:val="004054AA"/>
    <w:rsid w:val="004116BE"/>
    <w:rsid w:val="00412B3A"/>
    <w:rsid w:val="004140DA"/>
    <w:rsid w:val="00416F85"/>
    <w:rsid w:val="00422792"/>
    <w:rsid w:val="004254D8"/>
    <w:rsid w:val="00431BE2"/>
    <w:rsid w:val="00434847"/>
    <w:rsid w:val="0044056D"/>
    <w:rsid w:val="00440D89"/>
    <w:rsid w:val="004448DC"/>
    <w:rsid w:val="004479C5"/>
    <w:rsid w:val="00447DED"/>
    <w:rsid w:val="00453A2F"/>
    <w:rsid w:val="00462969"/>
    <w:rsid w:val="004642D9"/>
    <w:rsid w:val="0046593D"/>
    <w:rsid w:val="00470F42"/>
    <w:rsid w:val="00473040"/>
    <w:rsid w:val="0047333A"/>
    <w:rsid w:val="00481376"/>
    <w:rsid w:val="004820D5"/>
    <w:rsid w:val="0048231B"/>
    <w:rsid w:val="00486B6B"/>
    <w:rsid w:val="004879AF"/>
    <w:rsid w:val="00490DB1"/>
    <w:rsid w:val="00492ABD"/>
    <w:rsid w:val="004933A4"/>
    <w:rsid w:val="00493C4A"/>
    <w:rsid w:val="00495427"/>
    <w:rsid w:val="004A0084"/>
    <w:rsid w:val="004A125B"/>
    <w:rsid w:val="004A13B6"/>
    <w:rsid w:val="004A2974"/>
    <w:rsid w:val="004B36D9"/>
    <w:rsid w:val="004B4F8D"/>
    <w:rsid w:val="004B51F7"/>
    <w:rsid w:val="004B7C79"/>
    <w:rsid w:val="004C064C"/>
    <w:rsid w:val="004C251D"/>
    <w:rsid w:val="004C7ADE"/>
    <w:rsid w:val="004D182B"/>
    <w:rsid w:val="004D7B8A"/>
    <w:rsid w:val="004E08F4"/>
    <w:rsid w:val="004E3860"/>
    <w:rsid w:val="004E5925"/>
    <w:rsid w:val="004F1ACA"/>
    <w:rsid w:val="004F1F8E"/>
    <w:rsid w:val="005004E3"/>
    <w:rsid w:val="00502427"/>
    <w:rsid w:val="00507545"/>
    <w:rsid w:val="005132EF"/>
    <w:rsid w:val="005163B7"/>
    <w:rsid w:val="00522DF1"/>
    <w:rsid w:val="00522E3A"/>
    <w:rsid w:val="00523C18"/>
    <w:rsid w:val="00525740"/>
    <w:rsid w:val="005267D0"/>
    <w:rsid w:val="00527536"/>
    <w:rsid w:val="00533575"/>
    <w:rsid w:val="005441F4"/>
    <w:rsid w:val="00555B95"/>
    <w:rsid w:val="005621F8"/>
    <w:rsid w:val="00563975"/>
    <w:rsid w:val="0057076E"/>
    <w:rsid w:val="00570AE8"/>
    <w:rsid w:val="00571502"/>
    <w:rsid w:val="00580F4B"/>
    <w:rsid w:val="0058508B"/>
    <w:rsid w:val="005925A0"/>
    <w:rsid w:val="005A2CA7"/>
    <w:rsid w:val="005A4531"/>
    <w:rsid w:val="005A5021"/>
    <w:rsid w:val="005A66C5"/>
    <w:rsid w:val="005B120F"/>
    <w:rsid w:val="005B1454"/>
    <w:rsid w:val="005B424E"/>
    <w:rsid w:val="005B63C4"/>
    <w:rsid w:val="005B7BF5"/>
    <w:rsid w:val="005C20B4"/>
    <w:rsid w:val="005C7B44"/>
    <w:rsid w:val="005D0420"/>
    <w:rsid w:val="005D05C7"/>
    <w:rsid w:val="005D5A5B"/>
    <w:rsid w:val="005D5A85"/>
    <w:rsid w:val="005E2D9A"/>
    <w:rsid w:val="005E306B"/>
    <w:rsid w:val="005E4E4B"/>
    <w:rsid w:val="005E56DA"/>
    <w:rsid w:val="005F7875"/>
    <w:rsid w:val="00601DE3"/>
    <w:rsid w:val="006021FA"/>
    <w:rsid w:val="006115B2"/>
    <w:rsid w:val="00611727"/>
    <w:rsid w:val="00620A58"/>
    <w:rsid w:val="006218DE"/>
    <w:rsid w:val="00632E4A"/>
    <w:rsid w:val="006375F5"/>
    <w:rsid w:val="00637640"/>
    <w:rsid w:val="0064020F"/>
    <w:rsid w:val="00641101"/>
    <w:rsid w:val="0064366A"/>
    <w:rsid w:val="006446E6"/>
    <w:rsid w:val="00645EE5"/>
    <w:rsid w:val="00654AC4"/>
    <w:rsid w:val="00657C09"/>
    <w:rsid w:val="006675FA"/>
    <w:rsid w:val="006702D4"/>
    <w:rsid w:val="006725EE"/>
    <w:rsid w:val="00673A77"/>
    <w:rsid w:val="006765F6"/>
    <w:rsid w:val="00676BF2"/>
    <w:rsid w:val="0067768F"/>
    <w:rsid w:val="006811B5"/>
    <w:rsid w:val="00684910"/>
    <w:rsid w:val="0069199E"/>
    <w:rsid w:val="00691C3E"/>
    <w:rsid w:val="006948EE"/>
    <w:rsid w:val="006959E0"/>
    <w:rsid w:val="006A0818"/>
    <w:rsid w:val="006A1936"/>
    <w:rsid w:val="006A1FD8"/>
    <w:rsid w:val="006B31D0"/>
    <w:rsid w:val="006C36D4"/>
    <w:rsid w:val="006C7498"/>
    <w:rsid w:val="006D02E1"/>
    <w:rsid w:val="006D1DF2"/>
    <w:rsid w:val="006F2176"/>
    <w:rsid w:val="006F3969"/>
    <w:rsid w:val="006F539C"/>
    <w:rsid w:val="006F57EB"/>
    <w:rsid w:val="006F58B3"/>
    <w:rsid w:val="006F5C24"/>
    <w:rsid w:val="00700B18"/>
    <w:rsid w:val="0070162D"/>
    <w:rsid w:val="007052F9"/>
    <w:rsid w:val="00711B2F"/>
    <w:rsid w:val="00712A15"/>
    <w:rsid w:val="00715E58"/>
    <w:rsid w:val="00716AAE"/>
    <w:rsid w:val="00716D03"/>
    <w:rsid w:val="00720474"/>
    <w:rsid w:val="0072413D"/>
    <w:rsid w:val="00725A23"/>
    <w:rsid w:val="007324D2"/>
    <w:rsid w:val="00741F73"/>
    <w:rsid w:val="00743842"/>
    <w:rsid w:val="00745AA6"/>
    <w:rsid w:val="00745CA0"/>
    <w:rsid w:val="00752F80"/>
    <w:rsid w:val="007550A9"/>
    <w:rsid w:val="0075758B"/>
    <w:rsid w:val="00773492"/>
    <w:rsid w:val="00774053"/>
    <w:rsid w:val="00774E48"/>
    <w:rsid w:val="007755AC"/>
    <w:rsid w:val="00775981"/>
    <w:rsid w:val="007768E4"/>
    <w:rsid w:val="00782436"/>
    <w:rsid w:val="0078625B"/>
    <w:rsid w:val="0078761B"/>
    <w:rsid w:val="00787FFB"/>
    <w:rsid w:val="00791F5B"/>
    <w:rsid w:val="00794C34"/>
    <w:rsid w:val="007A1DFF"/>
    <w:rsid w:val="007A252C"/>
    <w:rsid w:val="007A34D9"/>
    <w:rsid w:val="007A5BFA"/>
    <w:rsid w:val="007B04CF"/>
    <w:rsid w:val="007B16B9"/>
    <w:rsid w:val="007B6C46"/>
    <w:rsid w:val="007C37A2"/>
    <w:rsid w:val="007C3874"/>
    <w:rsid w:val="007D4BEE"/>
    <w:rsid w:val="007D5C98"/>
    <w:rsid w:val="007F0572"/>
    <w:rsid w:val="007F0C1B"/>
    <w:rsid w:val="007F3E94"/>
    <w:rsid w:val="007F40F4"/>
    <w:rsid w:val="007F50A5"/>
    <w:rsid w:val="00800A60"/>
    <w:rsid w:val="00800B58"/>
    <w:rsid w:val="00806BBE"/>
    <w:rsid w:val="0081557A"/>
    <w:rsid w:val="008230BD"/>
    <w:rsid w:val="008236A8"/>
    <w:rsid w:val="008244EB"/>
    <w:rsid w:val="00830F35"/>
    <w:rsid w:val="00834714"/>
    <w:rsid w:val="00835D40"/>
    <w:rsid w:val="00837503"/>
    <w:rsid w:val="00837DDE"/>
    <w:rsid w:val="008412C5"/>
    <w:rsid w:val="00841481"/>
    <w:rsid w:val="00844FE3"/>
    <w:rsid w:val="00845692"/>
    <w:rsid w:val="008750E7"/>
    <w:rsid w:val="00876810"/>
    <w:rsid w:val="0088109F"/>
    <w:rsid w:val="00883461"/>
    <w:rsid w:val="008903F5"/>
    <w:rsid w:val="00890EA4"/>
    <w:rsid w:val="0089223E"/>
    <w:rsid w:val="00892B8B"/>
    <w:rsid w:val="008A2E73"/>
    <w:rsid w:val="008A4F8B"/>
    <w:rsid w:val="008A5731"/>
    <w:rsid w:val="008B2945"/>
    <w:rsid w:val="008B5FFC"/>
    <w:rsid w:val="008C0FEA"/>
    <w:rsid w:val="008C3DE1"/>
    <w:rsid w:val="008C47A4"/>
    <w:rsid w:val="008D1BD9"/>
    <w:rsid w:val="008D1E47"/>
    <w:rsid w:val="008D4F83"/>
    <w:rsid w:val="008E195B"/>
    <w:rsid w:val="008E207F"/>
    <w:rsid w:val="008E2863"/>
    <w:rsid w:val="008E2ED4"/>
    <w:rsid w:val="008E6A61"/>
    <w:rsid w:val="008E6DBF"/>
    <w:rsid w:val="008F209A"/>
    <w:rsid w:val="0090153B"/>
    <w:rsid w:val="009064F5"/>
    <w:rsid w:val="009147FA"/>
    <w:rsid w:val="00915748"/>
    <w:rsid w:val="00915AE7"/>
    <w:rsid w:val="00932407"/>
    <w:rsid w:val="00937572"/>
    <w:rsid w:val="00941279"/>
    <w:rsid w:val="00944896"/>
    <w:rsid w:val="009555F0"/>
    <w:rsid w:val="00956BE6"/>
    <w:rsid w:val="00960729"/>
    <w:rsid w:val="00962070"/>
    <w:rsid w:val="009671CE"/>
    <w:rsid w:val="00974594"/>
    <w:rsid w:val="00977E53"/>
    <w:rsid w:val="009915C8"/>
    <w:rsid w:val="00995DFA"/>
    <w:rsid w:val="009A369C"/>
    <w:rsid w:val="009B6912"/>
    <w:rsid w:val="009C24DD"/>
    <w:rsid w:val="009C4644"/>
    <w:rsid w:val="009C4C29"/>
    <w:rsid w:val="009D426B"/>
    <w:rsid w:val="009D5FB1"/>
    <w:rsid w:val="009E4A0A"/>
    <w:rsid w:val="009F1E35"/>
    <w:rsid w:val="009F4565"/>
    <w:rsid w:val="009F46D7"/>
    <w:rsid w:val="009F6BB7"/>
    <w:rsid w:val="00A034AE"/>
    <w:rsid w:val="00A07FE4"/>
    <w:rsid w:val="00A1355F"/>
    <w:rsid w:val="00A13923"/>
    <w:rsid w:val="00A15AF2"/>
    <w:rsid w:val="00A26E3D"/>
    <w:rsid w:val="00A31EF7"/>
    <w:rsid w:val="00A32ACE"/>
    <w:rsid w:val="00A42028"/>
    <w:rsid w:val="00A44333"/>
    <w:rsid w:val="00A459B0"/>
    <w:rsid w:val="00A5326C"/>
    <w:rsid w:val="00A54617"/>
    <w:rsid w:val="00A60093"/>
    <w:rsid w:val="00A604CF"/>
    <w:rsid w:val="00A60895"/>
    <w:rsid w:val="00A658F7"/>
    <w:rsid w:val="00A7235F"/>
    <w:rsid w:val="00A73DE7"/>
    <w:rsid w:val="00A76F99"/>
    <w:rsid w:val="00A836F3"/>
    <w:rsid w:val="00A85CC7"/>
    <w:rsid w:val="00A93A6D"/>
    <w:rsid w:val="00A979A2"/>
    <w:rsid w:val="00AA0A2F"/>
    <w:rsid w:val="00AA4A08"/>
    <w:rsid w:val="00AA6258"/>
    <w:rsid w:val="00AC10E1"/>
    <w:rsid w:val="00AD32D9"/>
    <w:rsid w:val="00AD4C69"/>
    <w:rsid w:val="00AD7B08"/>
    <w:rsid w:val="00AE326A"/>
    <w:rsid w:val="00AF0BAE"/>
    <w:rsid w:val="00AF0C07"/>
    <w:rsid w:val="00AF1BFC"/>
    <w:rsid w:val="00AF26BC"/>
    <w:rsid w:val="00AF4E76"/>
    <w:rsid w:val="00AF7452"/>
    <w:rsid w:val="00AF7CE5"/>
    <w:rsid w:val="00B00508"/>
    <w:rsid w:val="00B067E1"/>
    <w:rsid w:val="00B07CE9"/>
    <w:rsid w:val="00B22C1C"/>
    <w:rsid w:val="00B23AED"/>
    <w:rsid w:val="00B26C0F"/>
    <w:rsid w:val="00B318FE"/>
    <w:rsid w:val="00B36275"/>
    <w:rsid w:val="00B36C01"/>
    <w:rsid w:val="00B46371"/>
    <w:rsid w:val="00B57D36"/>
    <w:rsid w:val="00B621DE"/>
    <w:rsid w:val="00B65784"/>
    <w:rsid w:val="00B66E70"/>
    <w:rsid w:val="00B70A2F"/>
    <w:rsid w:val="00B71AC6"/>
    <w:rsid w:val="00B72DFB"/>
    <w:rsid w:val="00B822B0"/>
    <w:rsid w:val="00B908E5"/>
    <w:rsid w:val="00B93778"/>
    <w:rsid w:val="00B93FBB"/>
    <w:rsid w:val="00B9576F"/>
    <w:rsid w:val="00B966C2"/>
    <w:rsid w:val="00B96C10"/>
    <w:rsid w:val="00BA39C6"/>
    <w:rsid w:val="00BA5BB6"/>
    <w:rsid w:val="00BB0577"/>
    <w:rsid w:val="00BB537B"/>
    <w:rsid w:val="00BC0E67"/>
    <w:rsid w:val="00BC21F7"/>
    <w:rsid w:val="00BC2333"/>
    <w:rsid w:val="00BC43EC"/>
    <w:rsid w:val="00BD6321"/>
    <w:rsid w:val="00BE441D"/>
    <w:rsid w:val="00BF1C43"/>
    <w:rsid w:val="00BF1EB9"/>
    <w:rsid w:val="00BF366C"/>
    <w:rsid w:val="00BF697D"/>
    <w:rsid w:val="00C126D5"/>
    <w:rsid w:val="00C269A6"/>
    <w:rsid w:val="00C27016"/>
    <w:rsid w:val="00C31127"/>
    <w:rsid w:val="00C36F86"/>
    <w:rsid w:val="00C51752"/>
    <w:rsid w:val="00C54A32"/>
    <w:rsid w:val="00C55984"/>
    <w:rsid w:val="00C56E78"/>
    <w:rsid w:val="00C60C52"/>
    <w:rsid w:val="00C63508"/>
    <w:rsid w:val="00C64D14"/>
    <w:rsid w:val="00C71616"/>
    <w:rsid w:val="00C746A2"/>
    <w:rsid w:val="00C76BC5"/>
    <w:rsid w:val="00C80D97"/>
    <w:rsid w:val="00C85F4D"/>
    <w:rsid w:val="00C87DBD"/>
    <w:rsid w:val="00C95C62"/>
    <w:rsid w:val="00CB306C"/>
    <w:rsid w:val="00CB4B2C"/>
    <w:rsid w:val="00CB53CF"/>
    <w:rsid w:val="00CC52D7"/>
    <w:rsid w:val="00CD57A0"/>
    <w:rsid w:val="00CD6295"/>
    <w:rsid w:val="00CE0A49"/>
    <w:rsid w:val="00CE38A9"/>
    <w:rsid w:val="00CE4FE9"/>
    <w:rsid w:val="00CF1DCC"/>
    <w:rsid w:val="00CF2C35"/>
    <w:rsid w:val="00CF4EF7"/>
    <w:rsid w:val="00D00981"/>
    <w:rsid w:val="00D00F73"/>
    <w:rsid w:val="00D031D7"/>
    <w:rsid w:val="00D1214A"/>
    <w:rsid w:val="00D17420"/>
    <w:rsid w:val="00D31034"/>
    <w:rsid w:val="00D31BC9"/>
    <w:rsid w:val="00D32CFB"/>
    <w:rsid w:val="00D332DB"/>
    <w:rsid w:val="00D33888"/>
    <w:rsid w:val="00D348D9"/>
    <w:rsid w:val="00D35DEE"/>
    <w:rsid w:val="00D42DCD"/>
    <w:rsid w:val="00D4397C"/>
    <w:rsid w:val="00D5278A"/>
    <w:rsid w:val="00D54DC3"/>
    <w:rsid w:val="00D576E3"/>
    <w:rsid w:val="00D61B54"/>
    <w:rsid w:val="00D65931"/>
    <w:rsid w:val="00D72854"/>
    <w:rsid w:val="00D76501"/>
    <w:rsid w:val="00D8165D"/>
    <w:rsid w:val="00D83BEA"/>
    <w:rsid w:val="00D84BC5"/>
    <w:rsid w:val="00D85480"/>
    <w:rsid w:val="00D87E2F"/>
    <w:rsid w:val="00D9573A"/>
    <w:rsid w:val="00DB5A76"/>
    <w:rsid w:val="00DC11CA"/>
    <w:rsid w:val="00DC4930"/>
    <w:rsid w:val="00DC52C6"/>
    <w:rsid w:val="00DD5029"/>
    <w:rsid w:val="00DD62AF"/>
    <w:rsid w:val="00DE299C"/>
    <w:rsid w:val="00DE2B5C"/>
    <w:rsid w:val="00DE741D"/>
    <w:rsid w:val="00DF7D58"/>
    <w:rsid w:val="00E06444"/>
    <w:rsid w:val="00E10677"/>
    <w:rsid w:val="00E2288D"/>
    <w:rsid w:val="00E231E4"/>
    <w:rsid w:val="00E303AD"/>
    <w:rsid w:val="00E45786"/>
    <w:rsid w:val="00E462FA"/>
    <w:rsid w:val="00E60763"/>
    <w:rsid w:val="00E620C1"/>
    <w:rsid w:val="00E67735"/>
    <w:rsid w:val="00E67C1A"/>
    <w:rsid w:val="00E74876"/>
    <w:rsid w:val="00E843AF"/>
    <w:rsid w:val="00E8676B"/>
    <w:rsid w:val="00E86EAD"/>
    <w:rsid w:val="00E90BED"/>
    <w:rsid w:val="00E95283"/>
    <w:rsid w:val="00E95C2E"/>
    <w:rsid w:val="00EA1CA3"/>
    <w:rsid w:val="00EA2819"/>
    <w:rsid w:val="00EA4033"/>
    <w:rsid w:val="00EB06CE"/>
    <w:rsid w:val="00EB4783"/>
    <w:rsid w:val="00EB581D"/>
    <w:rsid w:val="00EB79EB"/>
    <w:rsid w:val="00EB7F01"/>
    <w:rsid w:val="00EC16FA"/>
    <w:rsid w:val="00EC49D3"/>
    <w:rsid w:val="00EC5B3B"/>
    <w:rsid w:val="00ED0912"/>
    <w:rsid w:val="00ED6BCB"/>
    <w:rsid w:val="00ED750B"/>
    <w:rsid w:val="00ED7B4A"/>
    <w:rsid w:val="00EE1E15"/>
    <w:rsid w:val="00EE2158"/>
    <w:rsid w:val="00EE298C"/>
    <w:rsid w:val="00EE4F0B"/>
    <w:rsid w:val="00EE6B46"/>
    <w:rsid w:val="00EF182A"/>
    <w:rsid w:val="00EF6C13"/>
    <w:rsid w:val="00F0491C"/>
    <w:rsid w:val="00F05969"/>
    <w:rsid w:val="00F141B2"/>
    <w:rsid w:val="00F15B51"/>
    <w:rsid w:val="00F2020A"/>
    <w:rsid w:val="00F21311"/>
    <w:rsid w:val="00F23C5B"/>
    <w:rsid w:val="00F27E96"/>
    <w:rsid w:val="00F332A4"/>
    <w:rsid w:val="00F37A60"/>
    <w:rsid w:val="00F43D7A"/>
    <w:rsid w:val="00F43EB0"/>
    <w:rsid w:val="00F465CB"/>
    <w:rsid w:val="00F50C74"/>
    <w:rsid w:val="00F51D9A"/>
    <w:rsid w:val="00F53BB0"/>
    <w:rsid w:val="00F5767A"/>
    <w:rsid w:val="00F6387B"/>
    <w:rsid w:val="00F70FC3"/>
    <w:rsid w:val="00F7297A"/>
    <w:rsid w:val="00F763B8"/>
    <w:rsid w:val="00F91F06"/>
    <w:rsid w:val="00F92B6C"/>
    <w:rsid w:val="00F93061"/>
    <w:rsid w:val="00FB182E"/>
    <w:rsid w:val="00FB2009"/>
    <w:rsid w:val="00FC4F07"/>
    <w:rsid w:val="00FC58D4"/>
    <w:rsid w:val="00FC5C01"/>
    <w:rsid w:val="00FD750A"/>
    <w:rsid w:val="00FE3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15571"/>
  <w15:chartTrackingRefBased/>
  <w15:docId w15:val="{30EAC813-05BB-42F8-BF0A-3DADBD1C1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2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2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2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2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2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2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2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2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2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D9"/>
    <w:rPr>
      <w:rFonts w:eastAsiaTheme="majorEastAsia" w:cstheme="majorBidi"/>
      <w:color w:val="272727" w:themeColor="text1" w:themeTint="D8"/>
    </w:rPr>
  </w:style>
  <w:style w:type="paragraph" w:styleId="Title">
    <w:name w:val="Title"/>
    <w:basedOn w:val="Normal"/>
    <w:next w:val="Normal"/>
    <w:link w:val="TitleChar"/>
    <w:uiPriority w:val="10"/>
    <w:qFormat/>
    <w:rsid w:val="00AD3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D9"/>
    <w:pPr>
      <w:spacing w:before="160"/>
      <w:jc w:val="center"/>
    </w:pPr>
    <w:rPr>
      <w:i/>
      <w:iCs/>
      <w:color w:val="404040" w:themeColor="text1" w:themeTint="BF"/>
    </w:rPr>
  </w:style>
  <w:style w:type="character" w:customStyle="1" w:styleId="QuoteChar">
    <w:name w:val="Quote Char"/>
    <w:basedOn w:val="DefaultParagraphFont"/>
    <w:link w:val="Quote"/>
    <w:uiPriority w:val="29"/>
    <w:rsid w:val="00AD32D9"/>
    <w:rPr>
      <w:i/>
      <w:iCs/>
      <w:color w:val="404040" w:themeColor="text1" w:themeTint="BF"/>
    </w:rPr>
  </w:style>
  <w:style w:type="paragraph" w:styleId="ListParagraph">
    <w:name w:val="List Paragraph"/>
    <w:basedOn w:val="Normal"/>
    <w:uiPriority w:val="34"/>
    <w:qFormat/>
    <w:rsid w:val="00AD32D9"/>
    <w:pPr>
      <w:ind w:left="720"/>
      <w:contextualSpacing/>
    </w:pPr>
  </w:style>
  <w:style w:type="character" w:styleId="IntenseEmphasis">
    <w:name w:val="Intense Emphasis"/>
    <w:basedOn w:val="DefaultParagraphFont"/>
    <w:uiPriority w:val="21"/>
    <w:qFormat/>
    <w:rsid w:val="00AD32D9"/>
    <w:rPr>
      <w:i/>
      <w:iCs/>
      <w:color w:val="0F4761" w:themeColor="accent1" w:themeShade="BF"/>
    </w:rPr>
  </w:style>
  <w:style w:type="paragraph" w:styleId="IntenseQuote">
    <w:name w:val="Intense Quote"/>
    <w:basedOn w:val="Normal"/>
    <w:next w:val="Normal"/>
    <w:link w:val="IntenseQuoteChar"/>
    <w:uiPriority w:val="30"/>
    <w:qFormat/>
    <w:rsid w:val="00AD32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D9"/>
    <w:rPr>
      <w:i/>
      <w:iCs/>
      <w:color w:val="0F4761" w:themeColor="accent1" w:themeShade="BF"/>
    </w:rPr>
  </w:style>
  <w:style w:type="character" w:styleId="IntenseReference">
    <w:name w:val="Intense Reference"/>
    <w:basedOn w:val="DefaultParagraphFont"/>
    <w:uiPriority w:val="32"/>
    <w:qFormat/>
    <w:rsid w:val="00AD32D9"/>
    <w:rPr>
      <w:b/>
      <w:bCs/>
      <w:smallCaps/>
      <w:color w:val="0F4761" w:themeColor="accent1" w:themeShade="BF"/>
      <w:spacing w:val="5"/>
    </w:rPr>
  </w:style>
  <w:style w:type="character" w:styleId="Emphasis">
    <w:name w:val="Emphasis"/>
    <w:basedOn w:val="DefaultParagraphFont"/>
    <w:uiPriority w:val="20"/>
    <w:qFormat/>
    <w:rsid w:val="00AD32D9"/>
    <w:rPr>
      <w:i/>
      <w:iCs/>
    </w:rPr>
  </w:style>
  <w:style w:type="character" w:customStyle="1" w:styleId="relative">
    <w:name w:val="relative"/>
    <w:basedOn w:val="DefaultParagraphFont"/>
    <w:rsid w:val="0070162D"/>
  </w:style>
  <w:style w:type="character" w:styleId="Strong">
    <w:name w:val="Strong"/>
    <w:basedOn w:val="DefaultParagraphFont"/>
    <w:uiPriority w:val="22"/>
    <w:qFormat/>
    <w:rsid w:val="00037DA6"/>
    <w:rPr>
      <w:b/>
      <w:bCs/>
    </w:rPr>
  </w:style>
  <w:style w:type="character" w:styleId="Hyperlink">
    <w:name w:val="Hyperlink"/>
    <w:basedOn w:val="DefaultParagraphFont"/>
    <w:uiPriority w:val="99"/>
    <w:semiHidden/>
    <w:unhideWhenUsed/>
    <w:rsid w:val="00B46371"/>
    <w:rPr>
      <w:color w:val="0000FF"/>
      <w:u w:val="single"/>
    </w:rPr>
  </w:style>
  <w:style w:type="paragraph" w:styleId="Header">
    <w:name w:val="header"/>
    <w:basedOn w:val="Normal"/>
    <w:link w:val="HeaderChar"/>
    <w:uiPriority w:val="99"/>
    <w:unhideWhenUsed/>
    <w:rsid w:val="003F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7B9"/>
  </w:style>
  <w:style w:type="paragraph" w:styleId="Footer">
    <w:name w:val="footer"/>
    <w:basedOn w:val="Normal"/>
    <w:link w:val="FooterChar"/>
    <w:uiPriority w:val="99"/>
    <w:unhideWhenUsed/>
    <w:rsid w:val="003F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634180">
      <w:bodyDiv w:val="1"/>
      <w:marLeft w:val="0"/>
      <w:marRight w:val="0"/>
      <w:marTop w:val="0"/>
      <w:marBottom w:val="0"/>
      <w:divBdr>
        <w:top w:val="none" w:sz="0" w:space="0" w:color="auto"/>
        <w:left w:val="none" w:sz="0" w:space="0" w:color="auto"/>
        <w:bottom w:val="none" w:sz="0" w:space="0" w:color="auto"/>
        <w:right w:val="none" w:sz="0" w:space="0" w:color="auto"/>
      </w:divBdr>
    </w:div>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187648726">
      <w:bodyDiv w:val="1"/>
      <w:marLeft w:val="0"/>
      <w:marRight w:val="0"/>
      <w:marTop w:val="0"/>
      <w:marBottom w:val="0"/>
      <w:divBdr>
        <w:top w:val="none" w:sz="0" w:space="0" w:color="auto"/>
        <w:left w:val="none" w:sz="0" w:space="0" w:color="auto"/>
        <w:bottom w:val="none" w:sz="0" w:space="0" w:color="auto"/>
        <w:right w:val="none" w:sz="0" w:space="0" w:color="auto"/>
      </w:divBdr>
    </w:div>
    <w:div w:id="193926736">
      <w:bodyDiv w:val="1"/>
      <w:marLeft w:val="0"/>
      <w:marRight w:val="0"/>
      <w:marTop w:val="0"/>
      <w:marBottom w:val="0"/>
      <w:divBdr>
        <w:top w:val="none" w:sz="0" w:space="0" w:color="auto"/>
        <w:left w:val="none" w:sz="0" w:space="0" w:color="auto"/>
        <w:bottom w:val="none" w:sz="0" w:space="0" w:color="auto"/>
        <w:right w:val="none" w:sz="0" w:space="0" w:color="auto"/>
      </w:divBdr>
    </w:div>
    <w:div w:id="201720006">
      <w:bodyDiv w:val="1"/>
      <w:marLeft w:val="0"/>
      <w:marRight w:val="0"/>
      <w:marTop w:val="0"/>
      <w:marBottom w:val="0"/>
      <w:divBdr>
        <w:top w:val="none" w:sz="0" w:space="0" w:color="auto"/>
        <w:left w:val="none" w:sz="0" w:space="0" w:color="auto"/>
        <w:bottom w:val="none" w:sz="0" w:space="0" w:color="auto"/>
        <w:right w:val="none" w:sz="0" w:space="0" w:color="auto"/>
      </w:divBdr>
    </w:div>
    <w:div w:id="312222133">
      <w:bodyDiv w:val="1"/>
      <w:marLeft w:val="0"/>
      <w:marRight w:val="0"/>
      <w:marTop w:val="0"/>
      <w:marBottom w:val="0"/>
      <w:divBdr>
        <w:top w:val="none" w:sz="0" w:space="0" w:color="auto"/>
        <w:left w:val="none" w:sz="0" w:space="0" w:color="auto"/>
        <w:bottom w:val="none" w:sz="0" w:space="0" w:color="auto"/>
        <w:right w:val="none" w:sz="0" w:space="0" w:color="auto"/>
      </w:divBdr>
    </w:div>
    <w:div w:id="313143370">
      <w:bodyDiv w:val="1"/>
      <w:marLeft w:val="0"/>
      <w:marRight w:val="0"/>
      <w:marTop w:val="0"/>
      <w:marBottom w:val="0"/>
      <w:divBdr>
        <w:top w:val="none" w:sz="0" w:space="0" w:color="auto"/>
        <w:left w:val="none" w:sz="0" w:space="0" w:color="auto"/>
        <w:bottom w:val="none" w:sz="0" w:space="0" w:color="auto"/>
        <w:right w:val="none" w:sz="0" w:space="0" w:color="auto"/>
      </w:divBdr>
    </w:div>
    <w:div w:id="413169035">
      <w:bodyDiv w:val="1"/>
      <w:marLeft w:val="0"/>
      <w:marRight w:val="0"/>
      <w:marTop w:val="0"/>
      <w:marBottom w:val="0"/>
      <w:divBdr>
        <w:top w:val="none" w:sz="0" w:space="0" w:color="auto"/>
        <w:left w:val="none" w:sz="0" w:space="0" w:color="auto"/>
        <w:bottom w:val="none" w:sz="0" w:space="0" w:color="auto"/>
        <w:right w:val="none" w:sz="0" w:space="0" w:color="auto"/>
      </w:divBdr>
    </w:div>
    <w:div w:id="503859924">
      <w:bodyDiv w:val="1"/>
      <w:marLeft w:val="0"/>
      <w:marRight w:val="0"/>
      <w:marTop w:val="0"/>
      <w:marBottom w:val="0"/>
      <w:divBdr>
        <w:top w:val="none" w:sz="0" w:space="0" w:color="auto"/>
        <w:left w:val="none" w:sz="0" w:space="0" w:color="auto"/>
        <w:bottom w:val="none" w:sz="0" w:space="0" w:color="auto"/>
        <w:right w:val="none" w:sz="0" w:space="0" w:color="auto"/>
      </w:divBdr>
    </w:div>
    <w:div w:id="575867280">
      <w:bodyDiv w:val="1"/>
      <w:marLeft w:val="0"/>
      <w:marRight w:val="0"/>
      <w:marTop w:val="0"/>
      <w:marBottom w:val="0"/>
      <w:divBdr>
        <w:top w:val="none" w:sz="0" w:space="0" w:color="auto"/>
        <w:left w:val="none" w:sz="0" w:space="0" w:color="auto"/>
        <w:bottom w:val="none" w:sz="0" w:space="0" w:color="auto"/>
        <w:right w:val="none" w:sz="0" w:space="0" w:color="auto"/>
      </w:divBdr>
      <w:divsChild>
        <w:div w:id="1435708256">
          <w:marLeft w:val="0"/>
          <w:marRight w:val="0"/>
          <w:marTop w:val="0"/>
          <w:marBottom w:val="0"/>
          <w:divBdr>
            <w:top w:val="none" w:sz="0" w:space="0" w:color="auto"/>
            <w:left w:val="none" w:sz="0" w:space="0" w:color="auto"/>
            <w:bottom w:val="none" w:sz="0" w:space="0" w:color="auto"/>
            <w:right w:val="none" w:sz="0" w:space="0" w:color="auto"/>
          </w:divBdr>
          <w:divsChild>
            <w:div w:id="1061715287">
              <w:marLeft w:val="0"/>
              <w:marRight w:val="0"/>
              <w:marTop w:val="0"/>
              <w:marBottom w:val="0"/>
              <w:divBdr>
                <w:top w:val="none" w:sz="0" w:space="0" w:color="auto"/>
                <w:left w:val="none" w:sz="0" w:space="0" w:color="auto"/>
                <w:bottom w:val="none" w:sz="0" w:space="0" w:color="auto"/>
                <w:right w:val="none" w:sz="0" w:space="0" w:color="auto"/>
              </w:divBdr>
              <w:divsChild>
                <w:div w:id="686442379">
                  <w:marLeft w:val="0"/>
                  <w:marRight w:val="0"/>
                  <w:marTop w:val="0"/>
                  <w:marBottom w:val="0"/>
                  <w:divBdr>
                    <w:top w:val="none" w:sz="0" w:space="0" w:color="auto"/>
                    <w:left w:val="none" w:sz="0" w:space="0" w:color="auto"/>
                    <w:bottom w:val="none" w:sz="0" w:space="0" w:color="auto"/>
                    <w:right w:val="none" w:sz="0" w:space="0" w:color="auto"/>
                  </w:divBdr>
                </w:div>
              </w:divsChild>
            </w:div>
            <w:div w:id="3520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461539">
      <w:bodyDiv w:val="1"/>
      <w:marLeft w:val="0"/>
      <w:marRight w:val="0"/>
      <w:marTop w:val="0"/>
      <w:marBottom w:val="0"/>
      <w:divBdr>
        <w:top w:val="none" w:sz="0" w:space="0" w:color="auto"/>
        <w:left w:val="none" w:sz="0" w:space="0" w:color="auto"/>
        <w:bottom w:val="none" w:sz="0" w:space="0" w:color="auto"/>
        <w:right w:val="none" w:sz="0" w:space="0" w:color="auto"/>
      </w:divBdr>
    </w:div>
    <w:div w:id="761101495">
      <w:bodyDiv w:val="1"/>
      <w:marLeft w:val="0"/>
      <w:marRight w:val="0"/>
      <w:marTop w:val="0"/>
      <w:marBottom w:val="0"/>
      <w:divBdr>
        <w:top w:val="none" w:sz="0" w:space="0" w:color="auto"/>
        <w:left w:val="none" w:sz="0" w:space="0" w:color="auto"/>
        <w:bottom w:val="none" w:sz="0" w:space="0" w:color="auto"/>
        <w:right w:val="none" w:sz="0" w:space="0" w:color="auto"/>
      </w:divBdr>
    </w:div>
    <w:div w:id="761148896">
      <w:bodyDiv w:val="1"/>
      <w:marLeft w:val="0"/>
      <w:marRight w:val="0"/>
      <w:marTop w:val="0"/>
      <w:marBottom w:val="0"/>
      <w:divBdr>
        <w:top w:val="none" w:sz="0" w:space="0" w:color="auto"/>
        <w:left w:val="none" w:sz="0" w:space="0" w:color="auto"/>
        <w:bottom w:val="none" w:sz="0" w:space="0" w:color="auto"/>
        <w:right w:val="none" w:sz="0" w:space="0" w:color="auto"/>
      </w:divBdr>
    </w:div>
    <w:div w:id="772752038">
      <w:bodyDiv w:val="1"/>
      <w:marLeft w:val="0"/>
      <w:marRight w:val="0"/>
      <w:marTop w:val="0"/>
      <w:marBottom w:val="0"/>
      <w:divBdr>
        <w:top w:val="none" w:sz="0" w:space="0" w:color="auto"/>
        <w:left w:val="none" w:sz="0" w:space="0" w:color="auto"/>
        <w:bottom w:val="none" w:sz="0" w:space="0" w:color="auto"/>
        <w:right w:val="none" w:sz="0" w:space="0" w:color="auto"/>
      </w:divBdr>
    </w:div>
    <w:div w:id="782459717">
      <w:bodyDiv w:val="1"/>
      <w:marLeft w:val="0"/>
      <w:marRight w:val="0"/>
      <w:marTop w:val="0"/>
      <w:marBottom w:val="0"/>
      <w:divBdr>
        <w:top w:val="none" w:sz="0" w:space="0" w:color="auto"/>
        <w:left w:val="none" w:sz="0" w:space="0" w:color="auto"/>
        <w:bottom w:val="none" w:sz="0" w:space="0" w:color="auto"/>
        <w:right w:val="none" w:sz="0" w:space="0" w:color="auto"/>
      </w:divBdr>
    </w:div>
    <w:div w:id="797718583">
      <w:bodyDiv w:val="1"/>
      <w:marLeft w:val="0"/>
      <w:marRight w:val="0"/>
      <w:marTop w:val="0"/>
      <w:marBottom w:val="0"/>
      <w:divBdr>
        <w:top w:val="none" w:sz="0" w:space="0" w:color="auto"/>
        <w:left w:val="none" w:sz="0" w:space="0" w:color="auto"/>
        <w:bottom w:val="none" w:sz="0" w:space="0" w:color="auto"/>
        <w:right w:val="none" w:sz="0" w:space="0" w:color="auto"/>
      </w:divBdr>
    </w:div>
    <w:div w:id="840582067">
      <w:bodyDiv w:val="1"/>
      <w:marLeft w:val="0"/>
      <w:marRight w:val="0"/>
      <w:marTop w:val="0"/>
      <w:marBottom w:val="0"/>
      <w:divBdr>
        <w:top w:val="none" w:sz="0" w:space="0" w:color="auto"/>
        <w:left w:val="none" w:sz="0" w:space="0" w:color="auto"/>
        <w:bottom w:val="none" w:sz="0" w:space="0" w:color="auto"/>
        <w:right w:val="none" w:sz="0" w:space="0" w:color="auto"/>
      </w:divBdr>
    </w:div>
    <w:div w:id="841166827">
      <w:bodyDiv w:val="1"/>
      <w:marLeft w:val="0"/>
      <w:marRight w:val="0"/>
      <w:marTop w:val="0"/>
      <w:marBottom w:val="0"/>
      <w:divBdr>
        <w:top w:val="none" w:sz="0" w:space="0" w:color="auto"/>
        <w:left w:val="none" w:sz="0" w:space="0" w:color="auto"/>
        <w:bottom w:val="none" w:sz="0" w:space="0" w:color="auto"/>
        <w:right w:val="none" w:sz="0" w:space="0" w:color="auto"/>
      </w:divBdr>
    </w:div>
    <w:div w:id="864682817">
      <w:bodyDiv w:val="1"/>
      <w:marLeft w:val="0"/>
      <w:marRight w:val="0"/>
      <w:marTop w:val="0"/>
      <w:marBottom w:val="0"/>
      <w:divBdr>
        <w:top w:val="none" w:sz="0" w:space="0" w:color="auto"/>
        <w:left w:val="none" w:sz="0" w:space="0" w:color="auto"/>
        <w:bottom w:val="none" w:sz="0" w:space="0" w:color="auto"/>
        <w:right w:val="none" w:sz="0" w:space="0" w:color="auto"/>
      </w:divBdr>
    </w:div>
    <w:div w:id="941643504">
      <w:bodyDiv w:val="1"/>
      <w:marLeft w:val="0"/>
      <w:marRight w:val="0"/>
      <w:marTop w:val="0"/>
      <w:marBottom w:val="0"/>
      <w:divBdr>
        <w:top w:val="none" w:sz="0" w:space="0" w:color="auto"/>
        <w:left w:val="none" w:sz="0" w:space="0" w:color="auto"/>
        <w:bottom w:val="none" w:sz="0" w:space="0" w:color="auto"/>
        <w:right w:val="none" w:sz="0" w:space="0" w:color="auto"/>
      </w:divBdr>
    </w:div>
    <w:div w:id="968319413">
      <w:bodyDiv w:val="1"/>
      <w:marLeft w:val="0"/>
      <w:marRight w:val="0"/>
      <w:marTop w:val="0"/>
      <w:marBottom w:val="0"/>
      <w:divBdr>
        <w:top w:val="none" w:sz="0" w:space="0" w:color="auto"/>
        <w:left w:val="none" w:sz="0" w:space="0" w:color="auto"/>
        <w:bottom w:val="none" w:sz="0" w:space="0" w:color="auto"/>
        <w:right w:val="none" w:sz="0" w:space="0" w:color="auto"/>
      </w:divBdr>
    </w:div>
    <w:div w:id="1108547700">
      <w:bodyDiv w:val="1"/>
      <w:marLeft w:val="0"/>
      <w:marRight w:val="0"/>
      <w:marTop w:val="0"/>
      <w:marBottom w:val="0"/>
      <w:divBdr>
        <w:top w:val="none" w:sz="0" w:space="0" w:color="auto"/>
        <w:left w:val="none" w:sz="0" w:space="0" w:color="auto"/>
        <w:bottom w:val="none" w:sz="0" w:space="0" w:color="auto"/>
        <w:right w:val="none" w:sz="0" w:space="0" w:color="auto"/>
      </w:divBdr>
    </w:div>
    <w:div w:id="1113402754">
      <w:bodyDiv w:val="1"/>
      <w:marLeft w:val="0"/>
      <w:marRight w:val="0"/>
      <w:marTop w:val="0"/>
      <w:marBottom w:val="0"/>
      <w:divBdr>
        <w:top w:val="none" w:sz="0" w:space="0" w:color="auto"/>
        <w:left w:val="none" w:sz="0" w:space="0" w:color="auto"/>
        <w:bottom w:val="none" w:sz="0" w:space="0" w:color="auto"/>
        <w:right w:val="none" w:sz="0" w:space="0" w:color="auto"/>
      </w:divBdr>
    </w:div>
    <w:div w:id="1211765229">
      <w:bodyDiv w:val="1"/>
      <w:marLeft w:val="0"/>
      <w:marRight w:val="0"/>
      <w:marTop w:val="0"/>
      <w:marBottom w:val="0"/>
      <w:divBdr>
        <w:top w:val="none" w:sz="0" w:space="0" w:color="auto"/>
        <w:left w:val="none" w:sz="0" w:space="0" w:color="auto"/>
        <w:bottom w:val="none" w:sz="0" w:space="0" w:color="auto"/>
        <w:right w:val="none" w:sz="0" w:space="0" w:color="auto"/>
      </w:divBdr>
    </w:div>
    <w:div w:id="1232618518">
      <w:bodyDiv w:val="1"/>
      <w:marLeft w:val="0"/>
      <w:marRight w:val="0"/>
      <w:marTop w:val="0"/>
      <w:marBottom w:val="0"/>
      <w:divBdr>
        <w:top w:val="none" w:sz="0" w:space="0" w:color="auto"/>
        <w:left w:val="none" w:sz="0" w:space="0" w:color="auto"/>
        <w:bottom w:val="none" w:sz="0" w:space="0" w:color="auto"/>
        <w:right w:val="none" w:sz="0" w:space="0" w:color="auto"/>
      </w:divBdr>
    </w:div>
    <w:div w:id="1240016832">
      <w:bodyDiv w:val="1"/>
      <w:marLeft w:val="0"/>
      <w:marRight w:val="0"/>
      <w:marTop w:val="0"/>
      <w:marBottom w:val="0"/>
      <w:divBdr>
        <w:top w:val="none" w:sz="0" w:space="0" w:color="auto"/>
        <w:left w:val="none" w:sz="0" w:space="0" w:color="auto"/>
        <w:bottom w:val="none" w:sz="0" w:space="0" w:color="auto"/>
        <w:right w:val="none" w:sz="0" w:space="0" w:color="auto"/>
      </w:divBdr>
    </w:div>
    <w:div w:id="1253588619">
      <w:bodyDiv w:val="1"/>
      <w:marLeft w:val="0"/>
      <w:marRight w:val="0"/>
      <w:marTop w:val="0"/>
      <w:marBottom w:val="0"/>
      <w:divBdr>
        <w:top w:val="none" w:sz="0" w:space="0" w:color="auto"/>
        <w:left w:val="none" w:sz="0" w:space="0" w:color="auto"/>
        <w:bottom w:val="none" w:sz="0" w:space="0" w:color="auto"/>
        <w:right w:val="none" w:sz="0" w:space="0" w:color="auto"/>
      </w:divBdr>
    </w:div>
    <w:div w:id="1293170883">
      <w:bodyDiv w:val="1"/>
      <w:marLeft w:val="0"/>
      <w:marRight w:val="0"/>
      <w:marTop w:val="0"/>
      <w:marBottom w:val="0"/>
      <w:divBdr>
        <w:top w:val="none" w:sz="0" w:space="0" w:color="auto"/>
        <w:left w:val="none" w:sz="0" w:space="0" w:color="auto"/>
        <w:bottom w:val="none" w:sz="0" w:space="0" w:color="auto"/>
        <w:right w:val="none" w:sz="0" w:space="0" w:color="auto"/>
      </w:divBdr>
    </w:div>
    <w:div w:id="1310596362">
      <w:bodyDiv w:val="1"/>
      <w:marLeft w:val="0"/>
      <w:marRight w:val="0"/>
      <w:marTop w:val="0"/>
      <w:marBottom w:val="0"/>
      <w:divBdr>
        <w:top w:val="none" w:sz="0" w:space="0" w:color="auto"/>
        <w:left w:val="none" w:sz="0" w:space="0" w:color="auto"/>
        <w:bottom w:val="none" w:sz="0" w:space="0" w:color="auto"/>
        <w:right w:val="none" w:sz="0" w:space="0" w:color="auto"/>
      </w:divBdr>
    </w:div>
    <w:div w:id="1536037540">
      <w:bodyDiv w:val="1"/>
      <w:marLeft w:val="0"/>
      <w:marRight w:val="0"/>
      <w:marTop w:val="0"/>
      <w:marBottom w:val="0"/>
      <w:divBdr>
        <w:top w:val="none" w:sz="0" w:space="0" w:color="auto"/>
        <w:left w:val="none" w:sz="0" w:space="0" w:color="auto"/>
        <w:bottom w:val="none" w:sz="0" w:space="0" w:color="auto"/>
        <w:right w:val="none" w:sz="0" w:space="0" w:color="auto"/>
      </w:divBdr>
    </w:div>
    <w:div w:id="1546671845">
      <w:bodyDiv w:val="1"/>
      <w:marLeft w:val="0"/>
      <w:marRight w:val="0"/>
      <w:marTop w:val="0"/>
      <w:marBottom w:val="0"/>
      <w:divBdr>
        <w:top w:val="none" w:sz="0" w:space="0" w:color="auto"/>
        <w:left w:val="none" w:sz="0" w:space="0" w:color="auto"/>
        <w:bottom w:val="none" w:sz="0" w:space="0" w:color="auto"/>
        <w:right w:val="none" w:sz="0" w:space="0" w:color="auto"/>
      </w:divBdr>
    </w:div>
    <w:div w:id="1584802359">
      <w:bodyDiv w:val="1"/>
      <w:marLeft w:val="0"/>
      <w:marRight w:val="0"/>
      <w:marTop w:val="0"/>
      <w:marBottom w:val="0"/>
      <w:divBdr>
        <w:top w:val="none" w:sz="0" w:space="0" w:color="auto"/>
        <w:left w:val="none" w:sz="0" w:space="0" w:color="auto"/>
        <w:bottom w:val="none" w:sz="0" w:space="0" w:color="auto"/>
        <w:right w:val="none" w:sz="0" w:space="0" w:color="auto"/>
      </w:divBdr>
    </w:div>
    <w:div w:id="1587689731">
      <w:bodyDiv w:val="1"/>
      <w:marLeft w:val="0"/>
      <w:marRight w:val="0"/>
      <w:marTop w:val="0"/>
      <w:marBottom w:val="0"/>
      <w:divBdr>
        <w:top w:val="none" w:sz="0" w:space="0" w:color="auto"/>
        <w:left w:val="none" w:sz="0" w:space="0" w:color="auto"/>
        <w:bottom w:val="none" w:sz="0" w:space="0" w:color="auto"/>
        <w:right w:val="none" w:sz="0" w:space="0" w:color="auto"/>
      </w:divBdr>
    </w:div>
    <w:div w:id="1610964796">
      <w:bodyDiv w:val="1"/>
      <w:marLeft w:val="0"/>
      <w:marRight w:val="0"/>
      <w:marTop w:val="0"/>
      <w:marBottom w:val="0"/>
      <w:divBdr>
        <w:top w:val="none" w:sz="0" w:space="0" w:color="auto"/>
        <w:left w:val="none" w:sz="0" w:space="0" w:color="auto"/>
        <w:bottom w:val="none" w:sz="0" w:space="0" w:color="auto"/>
        <w:right w:val="none" w:sz="0" w:space="0" w:color="auto"/>
      </w:divBdr>
    </w:div>
    <w:div w:id="1623807327">
      <w:bodyDiv w:val="1"/>
      <w:marLeft w:val="0"/>
      <w:marRight w:val="0"/>
      <w:marTop w:val="0"/>
      <w:marBottom w:val="0"/>
      <w:divBdr>
        <w:top w:val="none" w:sz="0" w:space="0" w:color="auto"/>
        <w:left w:val="none" w:sz="0" w:space="0" w:color="auto"/>
        <w:bottom w:val="none" w:sz="0" w:space="0" w:color="auto"/>
        <w:right w:val="none" w:sz="0" w:space="0" w:color="auto"/>
      </w:divBdr>
    </w:div>
    <w:div w:id="1630237276">
      <w:bodyDiv w:val="1"/>
      <w:marLeft w:val="0"/>
      <w:marRight w:val="0"/>
      <w:marTop w:val="0"/>
      <w:marBottom w:val="0"/>
      <w:divBdr>
        <w:top w:val="none" w:sz="0" w:space="0" w:color="auto"/>
        <w:left w:val="none" w:sz="0" w:space="0" w:color="auto"/>
        <w:bottom w:val="none" w:sz="0" w:space="0" w:color="auto"/>
        <w:right w:val="none" w:sz="0" w:space="0" w:color="auto"/>
      </w:divBdr>
    </w:div>
    <w:div w:id="1651396756">
      <w:bodyDiv w:val="1"/>
      <w:marLeft w:val="0"/>
      <w:marRight w:val="0"/>
      <w:marTop w:val="0"/>
      <w:marBottom w:val="0"/>
      <w:divBdr>
        <w:top w:val="none" w:sz="0" w:space="0" w:color="auto"/>
        <w:left w:val="none" w:sz="0" w:space="0" w:color="auto"/>
        <w:bottom w:val="none" w:sz="0" w:space="0" w:color="auto"/>
        <w:right w:val="none" w:sz="0" w:space="0" w:color="auto"/>
      </w:divBdr>
    </w:div>
    <w:div w:id="1700622554">
      <w:bodyDiv w:val="1"/>
      <w:marLeft w:val="0"/>
      <w:marRight w:val="0"/>
      <w:marTop w:val="0"/>
      <w:marBottom w:val="0"/>
      <w:divBdr>
        <w:top w:val="none" w:sz="0" w:space="0" w:color="auto"/>
        <w:left w:val="none" w:sz="0" w:space="0" w:color="auto"/>
        <w:bottom w:val="none" w:sz="0" w:space="0" w:color="auto"/>
        <w:right w:val="none" w:sz="0" w:space="0" w:color="auto"/>
      </w:divBdr>
    </w:div>
    <w:div w:id="1719620740">
      <w:bodyDiv w:val="1"/>
      <w:marLeft w:val="0"/>
      <w:marRight w:val="0"/>
      <w:marTop w:val="0"/>
      <w:marBottom w:val="0"/>
      <w:divBdr>
        <w:top w:val="none" w:sz="0" w:space="0" w:color="auto"/>
        <w:left w:val="none" w:sz="0" w:space="0" w:color="auto"/>
        <w:bottom w:val="none" w:sz="0" w:space="0" w:color="auto"/>
        <w:right w:val="none" w:sz="0" w:space="0" w:color="auto"/>
      </w:divBdr>
    </w:div>
    <w:div w:id="1743747948">
      <w:bodyDiv w:val="1"/>
      <w:marLeft w:val="0"/>
      <w:marRight w:val="0"/>
      <w:marTop w:val="0"/>
      <w:marBottom w:val="0"/>
      <w:divBdr>
        <w:top w:val="none" w:sz="0" w:space="0" w:color="auto"/>
        <w:left w:val="none" w:sz="0" w:space="0" w:color="auto"/>
        <w:bottom w:val="none" w:sz="0" w:space="0" w:color="auto"/>
        <w:right w:val="none" w:sz="0" w:space="0" w:color="auto"/>
      </w:divBdr>
    </w:div>
    <w:div w:id="1751271907">
      <w:bodyDiv w:val="1"/>
      <w:marLeft w:val="0"/>
      <w:marRight w:val="0"/>
      <w:marTop w:val="0"/>
      <w:marBottom w:val="0"/>
      <w:divBdr>
        <w:top w:val="none" w:sz="0" w:space="0" w:color="auto"/>
        <w:left w:val="none" w:sz="0" w:space="0" w:color="auto"/>
        <w:bottom w:val="none" w:sz="0" w:space="0" w:color="auto"/>
        <w:right w:val="none" w:sz="0" w:space="0" w:color="auto"/>
      </w:divBdr>
    </w:div>
    <w:div w:id="1879122449">
      <w:bodyDiv w:val="1"/>
      <w:marLeft w:val="0"/>
      <w:marRight w:val="0"/>
      <w:marTop w:val="0"/>
      <w:marBottom w:val="0"/>
      <w:divBdr>
        <w:top w:val="none" w:sz="0" w:space="0" w:color="auto"/>
        <w:left w:val="none" w:sz="0" w:space="0" w:color="auto"/>
        <w:bottom w:val="none" w:sz="0" w:space="0" w:color="auto"/>
        <w:right w:val="none" w:sz="0" w:space="0" w:color="auto"/>
      </w:divBdr>
    </w:div>
    <w:div w:id="1910530100">
      <w:bodyDiv w:val="1"/>
      <w:marLeft w:val="0"/>
      <w:marRight w:val="0"/>
      <w:marTop w:val="0"/>
      <w:marBottom w:val="0"/>
      <w:divBdr>
        <w:top w:val="none" w:sz="0" w:space="0" w:color="auto"/>
        <w:left w:val="none" w:sz="0" w:space="0" w:color="auto"/>
        <w:bottom w:val="none" w:sz="0" w:space="0" w:color="auto"/>
        <w:right w:val="none" w:sz="0" w:space="0" w:color="auto"/>
      </w:divBdr>
    </w:div>
    <w:div w:id="1965888585">
      <w:bodyDiv w:val="1"/>
      <w:marLeft w:val="0"/>
      <w:marRight w:val="0"/>
      <w:marTop w:val="0"/>
      <w:marBottom w:val="0"/>
      <w:divBdr>
        <w:top w:val="none" w:sz="0" w:space="0" w:color="auto"/>
        <w:left w:val="none" w:sz="0" w:space="0" w:color="auto"/>
        <w:bottom w:val="none" w:sz="0" w:space="0" w:color="auto"/>
        <w:right w:val="none" w:sz="0" w:space="0" w:color="auto"/>
      </w:divBdr>
    </w:div>
    <w:div w:id="1987853713">
      <w:bodyDiv w:val="1"/>
      <w:marLeft w:val="0"/>
      <w:marRight w:val="0"/>
      <w:marTop w:val="0"/>
      <w:marBottom w:val="0"/>
      <w:divBdr>
        <w:top w:val="none" w:sz="0" w:space="0" w:color="auto"/>
        <w:left w:val="none" w:sz="0" w:space="0" w:color="auto"/>
        <w:bottom w:val="none" w:sz="0" w:space="0" w:color="auto"/>
        <w:right w:val="none" w:sz="0" w:space="0" w:color="auto"/>
      </w:divBdr>
    </w:div>
    <w:div w:id="2011786484">
      <w:bodyDiv w:val="1"/>
      <w:marLeft w:val="0"/>
      <w:marRight w:val="0"/>
      <w:marTop w:val="0"/>
      <w:marBottom w:val="0"/>
      <w:divBdr>
        <w:top w:val="none" w:sz="0" w:space="0" w:color="auto"/>
        <w:left w:val="none" w:sz="0" w:space="0" w:color="auto"/>
        <w:bottom w:val="none" w:sz="0" w:space="0" w:color="auto"/>
        <w:right w:val="none" w:sz="0" w:space="0" w:color="auto"/>
      </w:divBdr>
    </w:div>
    <w:div w:id="2030794897">
      <w:bodyDiv w:val="1"/>
      <w:marLeft w:val="0"/>
      <w:marRight w:val="0"/>
      <w:marTop w:val="0"/>
      <w:marBottom w:val="0"/>
      <w:divBdr>
        <w:top w:val="none" w:sz="0" w:space="0" w:color="auto"/>
        <w:left w:val="none" w:sz="0" w:space="0" w:color="auto"/>
        <w:bottom w:val="none" w:sz="0" w:space="0" w:color="auto"/>
        <w:right w:val="none" w:sz="0" w:space="0" w:color="auto"/>
      </w:divBdr>
    </w:div>
    <w:div w:id="2044549625">
      <w:bodyDiv w:val="1"/>
      <w:marLeft w:val="0"/>
      <w:marRight w:val="0"/>
      <w:marTop w:val="0"/>
      <w:marBottom w:val="0"/>
      <w:divBdr>
        <w:top w:val="none" w:sz="0" w:space="0" w:color="auto"/>
        <w:left w:val="none" w:sz="0" w:space="0" w:color="auto"/>
        <w:bottom w:val="none" w:sz="0" w:space="0" w:color="auto"/>
        <w:right w:val="none" w:sz="0" w:space="0" w:color="auto"/>
      </w:divBdr>
    </w:div>
    <w:div w:id="2102027279">
      <w:bodyDiv w:val="1"/>
      <w:marLeft w:val="0"/>
      <w:marRight w:val="0"/>
      <w:marTop w:val="0"/>
      <w:marBottom w:val="0"/>
      <w:divBdr>
        <w:top w:val="none" w:sz="0" w:space="0" w:color="auto"/>
        <w:left w:val="none" w:sz="0" w:space="0" w:color="auto"/>
        <w:bottom w:val="none" w:sz="0" w:space="0" w:color="auto"/>
        <w:right w:val="none" w:sz="0" w:space="0" w:color="auto"/>
      </w:divBdr>
    </w:div>
    <w:div w:id="2115321271">
      <w:bodyDiv w:val="1"/>
      <w:marLeft w:val="0"/>
      <w:marRight w:val="0"/>
      <w:marTop w:val="0"/>
      <w:marBottom w:val="0"/>
      <w:divBdr>
        <w:top w:val="none" w:sz="0" w:space="0" w:color="auto"/>
        <w:left w:val="none" w:sz="0" w:space="0" w:color="auto"/>
        <w:bottom w:val="none" w:sz="0" w:space="0" w:color="auto"/>
        <w:right w:val="none" w:sz="0" w:space="0" w:color="auto"/>
      </w:divBdr>
    </w:div>
    <w:div w:id="214330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ntiersin.org/articles/10.3389/feduc.2025.1522997/full" TargetMode="External"/><Relationship Id="rId18" Type="http://schemas.openxmlformats.org/officeDocument/2006/relationships/hyperlink" Target="https://www.estyn.gov.wales" TargetMode="External"/><Relationship Id="rId26" Type="http://schemas.openxmlformats.org/officeDocument/2006/relationships/hyperlink" Target="https://doi.org/10.52337/pjer.v6i2.784" TargetMode="External"/><Relationship Id="rId39" Type="http://schemas.openxmlformats.org/officeDocument/2006/relationships/hyperlink" Target="https://www.researchgate.net/publication/377890154_Culturally_Responsive_Classroom_Management_in_Multicultural_Education_Environments_Oznur_RENGI_a" TargetMode="External"/><Relationship Id="rId21" Type="http://schemas.openxmlformats.org/officeDocument/2006/relationships/hyperlink" Target="https://www.forbes.com/sites/nickmorrison/2024/05/15/zero-tolerance-policies-in-school-promote-further-misbehavior-study-finds/" TargetMode="External"/><Relationship Id="rId34" Type="http://schemas.openxmlformats.org/officeDocument/2006/relationships/hyperlink" Target="https://www.regjeringen.no" TargetMode="External"/><Relationship Id="rId42" Type="http://schemas.openxmlformats.org/officeDocument/2006/relationships/hyperlink" Target="https://selfdeterminationtheory.org/SDT/documents/2000_RyanDeci_SDT.pdf" TargetMode="External"/><Relationship Id="rId47" Type="http://schemas.openxmlformats.org/officeDocument/2006/relationships/hyperlink" Target="https://cofnod.senedd.cymru/Plenary/14876" TargetMode="External"/><Relationship Id="rId50" Type="http://schemas.openxmlformats.org/officeDocument/2006/relationships/hyperlink" Target="https://link.springer.com/chapter/10.1007/978-981-19-8241-5_27" TargetMode="External"/><Relationship Id="rId55" Type="http://schemas.openxmlformats.org/officeDocument/2006/relationships/hyperlink" Target="https://www.ohchr.org/en/instruments-mechanisms/instruments/convention-rights-child" TargetMode="External"/><Relationship Id="rId7" Type="http://schemas.openxmlformats.org/officeDocument/2006/relationships/hyperlink" Target="https://doi.org/10.1007/s10833-017-9312-1" TargetMode="External"/><Relationship Id="rId2" Type="http://schemas.openxmlformats.org/officeDocument/2006/relationships/styles" Target="styles.xml"/><Relationship Id="rId16" Type="http://schemas.openxmlformats.org/officeDocument/2006/relationships/hyperlink" Target="https://www.educationsupport.org.uk/resources/research-reports/teacher-wellbeing-index-2023/" TargetMode="External"/><Relationship Id="rId29" Type="http://schemas.openxmlformats.org/officeDocument/2006/relationships/hyperlink" Target="https://learningpolicyinstitute.org/product/crdc-school-suspension-report" TargetMode="External"/><Relationship Id="rId11" Type="http://schemas.openxmlformats.org/officeDocument/2006/relationships/hyperlink" Target="https://www.verywellmind.com/industry-versus-inferiority-2795736" TargetMode="External"/><Relationship Id="rId24" Type="http://schemas.openxmlformats.org/officeDocument/2006/relationships/hyperlink" Target="https://researchet.wordpress.com/2020/06/25/lessons-from-a-pandemic" TargetMode="External"/><Relationship Id="rId32" Type="http://schemas.openxmlformats.org/officeDocument/2006/relationships/hyperlink" Target="https://www.frontiersin.org/articles/10.3389/feduc.2025.1430197/full" TargetMode="External"/><Relationship Id="rId37" Type="http://schemas.openxmlformats.org/officeDocument/2006/relationships/hyperlink" Target="https://artseduca.com/article/view/203" TargetMode="External"/><Relationship Id="rId40" Type="http://schemas.openxmlformats.org/officeDocument/2006/relationships/hyperlink" Target="https://restorativejustice.org.uk/resources/restorative-practice-education-evidence-review" TargetMode="External"/><Relationship Id="rId45" Type="http://schemas.openxmlformats.org/officeDocument/2006/relationships/hyperlink" Target="https://publications.aap.org/pediatrics/article/140/3/e20171905/37979/Policy-Statement-School-Suspension-and-Expulsion" TargetMode="External"/><Relationship Id="rId53" Type="http://schemas.openxmlformats.org/officeDocument/2006/relationships/hyperlink" Target="https://www.theguardian.com/education/2024/jan/18/teachers-mental-health-post-covid"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researchbriefings.files.parliament.uk/documents/CDP-2020-0081/CDP-2020-0081.pdf" TargetMode="External"/><Relationship Id="rId4" Type="http://schemas.openxmlformats.org/officeDocument/2006/relationships/webSettings" Target="webSettings.xml"/><Relationship Id="rId9" Type="http://schemas.openxmlformats.org/officeDocument/2006/relationships/hyperlink" Target="https://qlantic.com/index.php/qjssh/article/view/230" TargetMode="External"/><Relationship Id="rId14" Type="http://schemas.openxmlformats.org/officeDocument/2006/relationships/hyperlink" Target="https://doi.org/10.1111/j.1467-8624.2010.01564.x" TargetMode="External"/><Relationship Id="rId22" Type="http://schemas.openxmlformats.org/officeDocument/2006/relationships/hyperlink" Target="https://doi.org/10.1017/S003329171700215X" TargetMode="External"/><Relationship Id="rId27" Type="http://schemas.openxmlformats.org/officeDocument/2006/relationships/hyperlink" Target="https://journals.e-palli.com/home/index.php/pehss/article/view/1556" TargetMode="External"/><Relationship Id="rId30" Type="http://schemas.openxmlformats.org/officeDocument/2006/relationships/hyperlink" Target="https://doi.org/10.1080/01411920701657033" TargetMode="External"/><Relationship Id="rId35" Type="http://schemas.openxmlformats.org/officeDocument/2006/relationships/hyperlink" Target="https://doi.org/10.1111/bjep.12489" TargetMode="External"/><Relationship Id="rId43" Type="http://schemas.openxmlformats.org/officeDocument/2006/relationships/hyperlink" Target="https://books.google.com/books/about/Finnish_Lessons_2_0.html?id=HkpVCgAAQBAJ" TargetMode="External"/><Relationship Id="rId48" Type="http://schemas.openxmlformats.org/officeDocument/2006/relationships/hyperlink" Target="https://www.ascd.org" TargetMode="External"/><Relationship Id="rId56" Type="http://schemas.openxmlformats.org/officeDocument/2006/relationships/header" Target="header1.xml"/><Relationship Id="rId8" Type="http://schemas.openxmlformats.org/officeDocument/2006/relationships/hyperlink" Target="https://doi.org/10.17863/CAM.90564" TargetMode="External"/><Relationship Id="rId51" Type="http://schemas.openxmlformats.org/officeDocument/2006/relationships/hyperlink" Target="https://www.skolverket.se" TargetMode="External"/><Relationship Id="rId3" Type="http://schemas.openxmlformats.org/officeDocument/2006/relationships/settings" Target="settings.xml"/><Relationship Id="rId12" Type="http://schemas.openxmlformats.org/officeDocument/2006/relationships/hyperlink" Target="https://www.gov.uk/government/publications/inclusive-britain-updatedreport/inclusive-britain-second-update-report-may-2024" TargetMode="External"/><Relationship Id="rId17" Type="http://schemas.openxmlformats.org/officeDocument/2006/relationships/hyperlink" Target="https://www.estyn.gov.wales/document/annual-report-2022-2023" TargetMode="External"/><Relationship Id="rId25" Type="http://schemas.openxmlformats.org/officeDocument/2006/relationships/hyperlink" Target="https://journal.uwp.co.uk" TargetMode="External"/><Relationship Id="rId33" Type="http://schemas.openxmlformats.org/officeDocument/2006/relationships/hyperlink" Target="https://www.udir.no" TargetMode="External"/><Relationship Id="rId38" Type="http://schemas.openxmlformats.org/officeDocument/2006/relationships/hyperlink" Target="https://www.journalrmc.com/index.php/JRMC/article/view/1466" TargetMode="External"/><Relationship Id="rId46" Type="http://schemas.openxmlformats.org/officeDocument/2006/relationships/hyperlink" Target="https://senedd.wales" TargetMode="External"/><Relationship Id="rId20" Type="http://schemas.openxmlformats.org/officeDocument/2006/relationships/hyperlink" Target="https://doi.org/10.1080/2005615X.2021.1932255" TargetMode="External"/><Relationship Id="rId41" Type="http://schemas.openxmlformats.org/officeDocument/2006/relationships/hyperlink" Target="https://www.liebertpub.com/doi/10.1089/brain.2024.0046" TargetMode="External"/><Relationship Id="rId54" Type="http://schemas.openxmlformats.org/officeDocument/2006/relationships/hyperlink" Target="https://www.frontiersin.org/articles/10.3389/fpsyg.2023.1233925/ful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gov.scot/media/rbppz4ya/incorporating-the-uncrc-in-education.pdf" TargetMode="External"/><Relationship Id="rId23" Type="http://schemas.openxmlformats.org/officeDocument/2006/relationships/hyperlink" Target="https://doi.org/10.1080/03054985.2021.1930725" TargetMode="External"/><Relationship Id="rId28" Type="http://schemas.openxmlformats.org/officeDocument/2006/relationships/hyperlink" Target="https://journals.researchparks.org/index.php/EIJMR/article/view/5216" TargetMode="External"/><Relationship Id="rId36" Type="http://schemas.openxmlformats.org/officeDocument/2006/relationships/hyperlink" Target="https://learningpolicyinstitute.org/blog/new-year-action-end-teacher-shortages" TargetMode="External"/><Relationship Id="rId49" Type="http://schemas.openxmlformats.org/officeDocument/2006/relationships/hyperlink" Target="https://doi.org/10.1080/0145935X.2023.2191943" TargetMode="External"/><Relationship Id="rId57" Type="http://schemas.openxmlformats.org/officeDocument/2006/relationships/fontTable" Target="fontTable.xml"/><Relationship Id="rId10" Type="http://schemas.openxmlformats.org/officeDocument/2006/relationships/hyperlink" Target="https://doi.org/10.1080/08856257.2021.1954286" TargetMode="External"/><Relationship Id="rId31" Type="http://schemas.openxmlformats.org/officeDocument/2006/relationships/hyperlink" Target="https://psychclassics.yorku.ca/Maslow/motivation.htm" TargetMode="External"/><Relationship Id="rId44" Type="http://schemas.openxmlformats.org/officeDocument/2006/relationships/hyperlink" Target="https://www.researchgate.net/publication/346505196_School_Detention_in_Finland_A_Pilot_Study" TargetMode="External"/><Relationship Id="rId52" Type="http://schemas.openxmlformats.org/officeDocument/2006/relationships/hyperlink" Target="https://arxiv.org/abs/2310.113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6204</TotalTime>
  <Pages>34</Pages>
  <Words>12012</Words>
  <Characters>68472</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cp:lastModifiedBy>
  <cp:revision>609</cp:revision>
  <dcterms:created xsi:type="dcterms:W3CDTF">2025-04-10T15:23:00Z</dcterms:created>
  <dcterms:modified xsi:type="dcterms:W3CDTF">2025-05-17T21:55:00Z</dcterms:modified>
</cp:coreProperties>
</file>