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8EEEF" w14:textId="131F36FB" w:rsidR="00180005" w:rsidRPr="00F026E2" w:rsidRDefault="001A70E9" w:rsidP="00B1017F">
      <w:pPr>
        <w:jc w:val="center"/>
        <w:rPr>
          <w:rFonts w:ascii="Arial" w:hAnsi="Arial" w:cs="Arial"/>
          <w:b/>
          <w:bCs/>
          <w:sz w:val="44"/>
          <w:szCs w:val="44"/>
        </w:rPr>
      </w:pPr>
      <w:r w:rsidRPr="00F026E2">
        <w:rPr>
          <w:rFonts w:ascii="Arial" w:hAnsi="Arial" w:cs="Arial"/>
          <w:b/>
          <w:bCs/>
          <w:sz w:val="44"/>
          <w:szCs w:val="44"/>
        </w:rPr>
        <w:t xml:space="preserve">BMHP6029 </w:t>
      </w:r>
      <w:r w:rsidR="00AD4715" w:rsidRPr="00F026E2">
        <w:rPr>
          <w:rFonts w:ascii="Arial" w:hAnsi="Arial" w:cs="Arial"/>
          <w:b/>
          <w:bCs/>
          <w:sz w:val="44"/>
          <w:szCs w:val="44"/>
        </w:rPr>
        <w:t>–</w:t>
      </w:r>
      <w:r w:rsidRPr="00F026E2">
        <w:rPr>
          <w:rFonts w:ascii="Arial" w:hAnsi="Arial" w:cs="Arial"/>
          <w:b/>
          <w:bCs/>
          <w:sz w:val="44"/>
          <w:szCs w:val="44"/>
        </w:rPr>
        <w:t xml:space="preserve"> P</w:t>
      </w:r>
      <w:r w:rsidR="00AD4715" w:rsidRPr="00F026E2">
        <w:rPr>
          <w:rFonts w:ascii="Arial" w:hAnsi="Arial" w:cs="Arial"/>
          <w:b/>
          <w:bCs/>
          <w:sz w:val="44"/>
          <w:szCs w:val="44"/>
        </w:rPr>
        <w:t>sychological Classifications and Provisions</w:t>
      </w:r>
    </w:p>
    <w:p w14:paraId="7987E7A4" w14:textId="77777777" w:rsidR="00B1017F" w:rsidRPr="00F026E2" w:rsidRDefault="00B1017F" w:rsidP="00B1017F">
      <w:pPr>
        <w:jc w:val="center"/>
        <w:rPr>
          <w:rFonts w:ascii="Arial" w:hAnsi="Arial" w:cs="Arial"/>
          <w:b/>
          <w:bCs/>
          <w:sz w:val="44"/>
          <w:szCs w:val="44"/>
        </w:rPr>
      </w:pPr>
    </w:p>
    <w:p w14:paraId="2974E786" w14:textId="6B95FDB9" w:rsidR="00920BEA" w:rsidRPr="00F026E2" w:rsidRDefault="0062620E" w:rsidP="00B1017F">
      <w:pPr>
        <w:jc w:val="center"/>
        <w:rPr>
          <w:rFonts w:ascii="Arial" w:hAnsi="Arial" w:cs="Arial"/>
          <w:b/>
          <w:bCs/>
          <w:sz w:val="44"/>
          <w:szCs w:val="44"/>
        </w:rPr>
      </w:pPr>
      <w:r w:rsidRPr="00F026E2">
        <w:rPr>
          <w:rFonts w:ascii="Arial" w:hAnsi="Arial" w:cs="Arial"/>
          <w:b/>
          <w:bCs/>
          <w:sz w:val="44"/>
          <w:szCs w:val="44"/>
        </w:rPr>
        <w:t>Lecturer</w:t>
      </w:r>
      <w:r w:rsidR="00F026E2">
        <w:rPr>
          <w:rFonts w:ascii="Arial" w:hAnsi="Arial" w:cs="Arial"/>
          <w:b/>
          <w:bCs/>
          <w:sz w:val="44"/>
          <w:szCs w:val="44"/>
        </w:rPr>
        <w:t xml:space="preserve">: Tomy </w:t>
      </w:r>
      <w:r w:rsidR="003020E4">
        <w:rPr>
          <w:rFonts w:ascii="Arial" w:hAnsi="Arial" w:cs="Arial"/>
          <w:b/>
          <w:bCs/>
          <w:sz w:val="44"/>
          <w:szCs w:val="44"/>
        </w:rPr>
        <w:t>Adattu Chac</w:t>
      </w:r>
      <w:r w:rsidR="00EA26E2">
        <w:rPr>
          <w:rFonts w:ascii="Arial" w:hAnsi="Arial" w:cs="Arial"/>
          <w:b/>
          <w:bCs/>
          <w:sz w:val="44"/>
          <w:szCs w:val="44"/>
        </w:rPr>
        <w:t>ko</w:t>
      </w:r>
    </w:p>
    <w:p w14:paraId="24A7F7F8" w14:textId="77777777" w:rsidR="00B1017F" w:rsidRPr="00F026E2" w:rsidRDefault="00B1017F" w:rsidP="00B1017F">
      <w:pPr>
        <w:jc w:val="center"/>
        <w:rPr>
          <w:rFonts w:ascii="Arial" w:hAnsi="Arial" w:cs="Arial"/>
          <w:b/>
          <w:bCs/>
          <w:sz w:val="44"/>
          <w:szCs w:val="44"/>
        </w:rPr>
      </w:pPr>
    </w:p>
    <w:p w14:paraId="49226ECD" w14:textId="770C62D9" w:rsidR="007B1A18" w:rsidRPr="00F026E2" w:rsidRDefault="007B1A18" w:rsidP="00B1017F">
      <w:pPr>
        <w:jc w:val="center"/>
        <w:rPr>
          <w:rFonts w:ascii="Arial" w:hAnsi="Arial" w:cs="Arial"/>
          <w:b/>
          <w:bCs/>
          <w:sz w:val="44"/>
          <w:szCs w:val="44"/>
        </w:rPr>
      </w:pPr>
      <w:r w:rsidRPr="00F026E2">
        <w:rPr>
          <w:rFonts w:ascii="Arial" w:hAnsi="Arial" w:cs="Arial"/>
          <w:b/>
          <w:bCs/>
          <w:sz w:val="44"/>
          <w:szCs w:val="44"/>
        </w:rPr>
        <w:t xml:space="preserve">Component </w:t>
      </w:r>
      <w:r w:rsidR="00920BEA" w:rsidRPr="00F026E2">
        <w:rPr>
          <w:rFonts w:ascii="Arial" w:hAnsi="Arial" w:cs="Arial"/>
          <w:b/>
          <w:bCs/>
          <w:sz w:val="44"/>
          <w:szCs w:val="44"/>
        </w:rPr>
        <w:t>Two</w:t>
      </w:r>
    </w:p>
    <w:p w14:paraId="2E6A5650" w14:textId="77777777" w:rsidR="00F026E2" w:rsidRPr="00F026E2" w:rsidRDefault="00F026E2" w:rsidP="00F026E2">
      <w:pPr>
        <w:jc w:val="center"/>
        <w:rPr>
          <w:rFonts w:ascii="Arial" w:hAnsi="Arial" w:cs="Arial"/>
          <w:b/>
          <w:bCs/>
          <w:sz w:val="44"/>
          <w:szCs w:val="44"/>
        </w:rPr>
      </w:pPr>
      <w:r w:rsidRPr="00F026E2">
        <w:rPr>
          <w:rFonts w:ascii="Arial" w:hAnsi="Arial" w:cs="Arial"/>
          <w:b/>
          <w:bCs/>
          <w:sz w:val="44"/>
          <w:szCs w:val="44"/>
        </w:rPr>
        <w:t>17</w:t>
      </w:r>
      <w:r w:rsidRPr="00F026E2">
        <w:rPr>
          <w:rFonts w:ascii="Arial" w:hAnsi="Arial" w:cs="Arial"/>
          <w:b/>
          <w:bCs/>
          <w:sz w:val="44"/>
          <w:szCs w:val="44"/>
          <w:vertAlign w:val="superscript"/>
        </w:rPr>
        <w:t>th</w:t>
      </w:r>
      <w:r w:rsidRPr="00F026E2">
        <w:rPr>
          <w:rFonts w:ascii="Arial" w:hAnsi="Arial" w:cs="Arial"/>
          <w:b/>
          <w:bCs/>
          <w:sz w:val="44"/>
          <w:szCs w:val="44"/>
        </w:rPr>
        <w:t xml:space="preserve"> November 2025</w:t>
      </w:r>
    </w:p>
    <w:p w14:paraId="407DF6EE" w14:textId="77777777" w:rsidR="00F026E2" w:rsidRPr="00F026E2" w:rsidRDefault="00F026E2" w:rsidP="00F026E2">
      <w:pPr>
        <w:jc w:val="center"/>
        <w:rPr>
          <w:rFonts w:ascii="Arial" w:hAnsi="Arial" w:cs="Arial"/>
          <w:b/>
          <w:bCs/>
          <w:sz w:val="44"/>
          <w:szCs w:val="44"/>
        </w:rPr>
      </w:pPr>
    </w:p>
    <w:p w14:paraId="3B76E752" w14:textId="77777777" w:rsidR="00F026E2" w:rsidRPr="00F026E2" w:rsidRDefault="00F026E2" w:rsidP="00F026E2">
      <w:pPr>
        <w:jc w:val="center"/>
        <w:rPr>
          <w:rFonts w:ascii="Arial" w:hAnsi="Arial" w:cs="Arial"/>
          <w:b/>
          <w:bCs/>
          <w:sz w:val="44"/>
          <w:szCs w:val="44"/>
        </w:rPr>
      </w:pPr>
      <w:r w:rsidRPr="00F026E2">
        <w:rPr>
          <w:rFonts w:ascii="Arial" w:hAnsi="Arial" w:cs="Arial"/>
          <w:b/>
          <w:bCs/>
          <w:sz w:val="44"/>
          <w:szCs w:val="44"/>
        </w:rPr>
        <w:t>Afiya Barakat</w:t>
      </w:r>
    </w:p>
    <w:p w14:paraId="5B950CFA" w14:textId="77777777" w:rsidR="00F026E2" w:rsidRPr="00F026E2" w:rsidRDefault="00F026E2" w:rsidP="00F026E2">
      <w:pPr>
        <w:jc w:val="center"/>
        <w:rPr>
          <w:rFonts w:ascii="Arial" w:hAnsi="Arial" w:cs="Arial"/>
          <w:b/>
          <w:bCs/>
          <w:sz w:val="44"/>
          <w:szCs w:val="44"/>
        </w:rPr>
      </w:pPr>
      <w:r w:rsidRPr="00F026E2">
        <w:rPr>
          <w:rFonts w:ascii="Arial" w:hAnsi="Arial" w:cs="Arial"/>
          <w:b/>
          <w:bCs/>
          <w:sz w:val="44"/>
          <w:szCs w:val="44"/>
        </w:rPr>
        <w:t>2314493</w:t>
      </w:r>
    </w:p>
    <w:p w14:paraId="001FCB02" w14:textId="77777777" w:rsidR="00F026E2" w:rsidRPr="00F026E2" w:rsidRDefault="00F026E2" w:rsidP="00F026E2">
      <w:pPr>
        <w:rPr>
          <w:sz w:val="44"/>
          <w:szCs w:val="44"/>
        </w:rPr>
      </w:pPr>
    </w:p>
    <w:p w14:paraId="37EB4624" w14:textId="02F417E0" w:rsidR="00675161" w:rsidRPr="00084790" w:rsidRDefault="00C54E35" w:rsidP="00B1017F">
      <w:pPr>
        <w:jc w:val="center"/>
        <w:rPr>
          <w:rFonts w:ascii="Arial" w:hAnsi="Arial" w:cs="Arial"/>
          <w:b/>
          <w:bCs/>
          <w:sz w:val="36"/>
          <w:szCs w:val="36"/>
        </w:rPr>
      </w:pPr>
      <w:r w:rsidRPr="00084790">
        <w:rPr>
          <w:rFonts w:ascii="Arial" w:hAnsi="Arial" w:cs="Arial"/>
          <w:b/>
          <w:bCs/>
          <w:sz w:val="36"/>
          <w:szCs w:val="36"/>
        </w:rPr>
        <w:t>I</w:t>
      </w:r>
      <w:r w:rsidR="005170DB" w:rsidRPr="00084790">
        <w:rPr>
          <w:rFonts w:ascii="Arial" w:hAnsi="Arial" w:cs="Arial"/>
          <w:b/>
          <w:bCs/>
          <w:sz w:val="36"/>
          <w:szCs w:val="36"/>
        </w:rPr>
        <w:t>CD–11</w:t>
      </w:r>
      <w:r w:rsidR="00780414" w:rsidRPr="00084790">
        <w:rPr>
          <w:rFonts w:ascii="Arial" w:hAnsi="Arial" w:cs="Arial"/>
          <w:b/>
          <w:bCs/>
          <w:sz w:val="36"/>
          <w:szCs w:val="36"/>
        </w:rPr>
        <w:t>-</w:t>
      </w:r>
      <w:r w:rsidR="00084790" w:rsidRPr="00084790">
        <w:rPr>
          <w:rFonts w:ascii="Arial" w:hAnsi="Arial" w:cs="Arial"/>
          <w:b/>
          <w:bCs/>
          <w:sz w:val="36"/>
          <w:szCs w:val="36"/>
        </w:rPr>
        <w:t xml:space="preserve"> </w:t>
      </w:r>
      <w:r w:rsidR="00780414" w:rsidRPr="00084790">
        <w:rPr>
          <w:rFonts w:ascii="Arial" w:hAnsi="Arial" w:cs="Arial"/>
          <w:b/>
          <w:bCs/>
          <w:sz w:val="36"/>
          <w:szCs w:val="36"/>
        </w:rPr>
        <w:t>Anxiety</w:t>
      </w:r>
      <w:r w:rsidR="00084790" w:rsidRPr="00084790">
        <w:rPr>
          <w:rFonts w:ascii="Arial" w:hAnsi="Arial" w:cs="Arial"/>
          <w:b/>
          <w:bCs/>
          <w:sz w:val="36"/>
          <w:szCs w:val="36"/>
        </w:rPr>
        <w:t>- 6B00</w:t>
      </w:r>
      <w:r w:rsidR="005170DB" w:rsidRPr="00084790">
        <w:rPr>
          <w:rFonts w:ascii="Arial" w:hAnsi="Arial" w:cs="Arial"/>
          <w:b/>
          <w:bCs/>
          <w:sz w:val="36"/>
          <w:szCs w:val="36"/>
        </w:rPr>
        <w:t xml:space="preserve"> </w:t>
      </w:r>
    </w:p>
    <w:p w14:paraId="6DCF4AE6" w14:textId="77777777" w:rsidR="00675161" w:rsidRPr="00084790" w:rsidRDefault="00675161">
      <w:pPr>
        <w:rPr>
          <w:rFonts w:ascii="Arial" w:hAnsi="Arial" w:cs="Arial"/>
          <w:b/>
          <w:bCs/>
          <w:sz w:val="36"/>
          <w:szCs w:val="36"/>
        </w:rPr>
      </w:pPr>
      <w:r w:rsidRPr="00084790">
        <w:rPr>
          <w:rFonts w:ascii="Arial" w:hAnsi="Arial" w:cs="Arial"/>
          <w:b/>
          <w:bCs/>
          <w:sz w:val="36"/>
          <w:szCs w:val="36"/>
        </w:rPr>
        <w:br w:type="page"/>
      </w:r>
    </w:p>
    <w:p w14:paraId="78221F6C" w14:textId="774B786D" w:rsidR="00675161" w:rsidRDefault="00675161" w:rsidP="00F026E2">
      <w:pPr>
        <w:rPr>
          <w:rFonts w:ascii="Arial" w:hAnsi="Arial" w:cs="Arial"/>
          <w:b/>
          <w:bCs/>
          <w:sz w:val="32"/>
          <w:szCs w:val="32"/>
        </w:rPr>
      </w:pPr>
      <w:r w:rsidRPr="00675161">
        <w:rPr>
          <w:rFonts w:ascii="Arial" w:hAnsi="Arial" w:cs="Arial"/>
          <w:b/>
          <w:bCs/>
          <w:sz w:val="32"/>
          <w:szCs w:val="32"/>
        </w:rPr>
        <w:lastRenderedPageBreak/>
        <w:t>Contents</w:t>
      </w:r>
    </w:p>
    <w:p w14:paraId="5340FA66" w14:textId="77777777" w:rsidR="004D0219" w:rsidRDefault="004D0219" w:rsidP="00F026E2">
      <w:pPr>
        <w:rPr>
          <w:rFonts w:ascii="Arial" w:hAnsi="Arial" w:cs="Arial"/>
          <w:b/>
          <w:bCs/>
          <w:sz w:val="32"/>
          <w:szCs w:val="32"/>
        </w:rPr>
      </w:pPr>
    </w:p>
    <w:p w14:paraId="64429DD8" w14:textId="35F2399F" w:rsidR="004D0219" w:rsidRPr="007A29DD" w:rsidRDefault="004D0219" w:rsidP="00F026E2">
      <w:pPr>
        <w:rPr>
          <w:rFonts w:ascii="Arial" w:hAnsi="Arial" w:cs="Arial"/>
          <w:b/>
          <w:bCs/>
          <w:sz w:val="28"/>
          <w:szCs w:val="28"/>
        </w:rPr>
      </w:pPr>
      <w:r w:rsidRPr="007A29DD">
        <w:rPr>
          <w:rFonts w:ascii="Arial" w:hAnsi="Arial" w:cs="Arial"/>
          <w:b/>
          <w:bCs/>
          <w:sz w:val="28"/>
          <w:szCs w:val="28"/>
        </w:rPr>
        <w:t>Introduction</w:t>
      </w:r>
      <w:r w:rsidR="0071492B">
        <w:rPr>
          <w:rFonts w:ascii="Arial" w:hAnsi="Arial" w:cs="Arial"/>
          <w:b/>
          <w:bCs/>
          <w:sz w:val="28"/>
          <w:szCs w:val="28"/>
        </w:rPr>
        <w:t>………………………………………………………………….</w:t>
      </w:r>
      <w:r w:rsidR="00C02348">
        <w:rPr>
          <w:rFonts w:ascii="Arial" w:hAnsi="Arial" w:cs="Arial"/>
          <w:b/>
          <w:bCs/>
          <w:sz w:val="28"/>
          <w:szCs w:val="28"/>
        </w:rPr>
        <w:t xml:space="preserve"> 3</w:t>
      </w:r>
    </w:p>
    <w:p w14:paraId="6D0B7354" w14:textId="38CADF5B" w:rsidR="004D0219" w:rsidRPr="007A29DD" w:rsidRDefault="004D0219" w:rsidP="00F026E2">
      <w:pPr>
        <w:rPr>
          <w:rFonts w:ascii="Arial" w:hAnsi="Arial" w:cs="Arial"/>
          <w:b/>
          <w:bCs/>
          <w:sz w:val="28"/>
          <w:szCs w:val="28"/>
        </w:rPr>
      </w:pPr>
      <w:r w:rsidRPr="007A29DD">
        <w:rPr>
          <w:rFonts w:ascii="Arial" w:hAnsi="Arial" w:cs="Arial"/>
          <w:b/>
          <w:bCs/>
          <w:sz w:val="28"/>
          <w:szCs w:val="28"/>
        </w:rPr>
        <w:t>Classification</w:t>
      </w:r>
      <w:r w:rsidR="009A361A" w:rsidRPr="007A29DD">
        <w:rPr>
          <w:rFonts w:ascii="Arial" w:hAnsi="Arial" w:cs="Arial"/>
          <w:b/>
          <w:bCs/>
          <w:sz w:val="28"/>
          <w:szCs w:val="28"/>
        </w:rPr>
        <w:t xml:space="preserve"> and Diagnoses</w:t>
      </w:r>
      <w:r w:rsidR="0071492B">
        <w:rPr>
          <w:rFonts w:ascii="Arial" w:hAnsi="Arial" w:cs="Arial"/>
          <w:b/>
          <w:bCs/>
          <w:sz w:val="28"/>
          <w:szCs w:val="28"/>
        </w:rPr>
        <w:t>…………………………………………….</w:t>
      </w:r>
      <w:r w:rsidR="00C02348">
        <w:rPr>
          <w:rFonts w:ascii="Arial" w:hAnsi="Arial" w:cs="Arial"/>
          <w:b/>
          <w:bCs/>
          <w:sz w:val="28"/>
          <w:szCs w:val="28"/>
        </w:rPr>
        <w:t xml:space="preserve"> 3,</w:t>
      </w:r>
      <w:r w:rsidR="00467370">
        <w:rPr>
          <w:rFonts w:ascii="Arial" w:hAnsi="Arial" w:cs="Arial"/>
          <w:b/>
          <w:bCs/>
          <w:sz w:val="28"/>
          <w:szCs w:val="28"/>
        </w:rPr>
        <w:t xml:space="preserve"> </w:t>
      </w:r>
      <w:r w:rsidR="00C02348">
        <w:rPr>
          <w:rFonts w:ascii="Arial" w:hAnsi="Arial" w:cs="Arial"/>
          <w:b/>
          <w:bCs/>
          <w:sz w:val="28"/>
          <w:szCs w:val="28"/>
        </w:rPr>
        <w:t>4</w:t>
      </w:r>
    </w:p>
    <w:p w14:paraId="5592A878" w14:textId="56837C04" w:rsidR="009A361A" w:rsidRDefault="009A361A" w:rsidP="00F026E2">
      <w:pPr>
        <w:rPr>
          <w:rFonts w:ascii="Arial" w:hAnsi="Arial" w:cs="Arial"/>
          <w:b/>
          <w:bCs/>
          <w:sz w:val="28"/>
          <w:szCs w:val="28"/>
        </w:rPr>
      </w:pPr>
      <w:r w:rsidRPr="007A29DD">
        <w:rPr>
          <w:rFonts w:ascii="Arial" w:hAnsi="Arial" w:cs="Arial"/>
          <w:b/>
          <w:bCs/>
          <w:sz w:val="28"/>
          <w:szCs w:val="28"/>
        </w:rPr>
        <w:t xml:space="preserve">Treatment </w:t>
      </w:r>
      <w:r w:rsidR="00262082">
        <w:rPr>
          <w:rFonts w:ascii="Arial" w:hAnsi="Arial" w:cs="Arial"/>
          <w:b/>
          <w:bCs/>
          <w:sz w:val="28"/>
          <w:szCs w:val="28"/>
        </w:rPr>
        <w:t>Approaches</w:t>
      </w:r>
      <w:r w:rsidR="0071492B">
        <w:rPr>
          <w:rFonts w:ascii="Arial" w:hAnsi="Arial" w:cs="Arial"/>
          <w:b/>
          <w:bCs/>
          <w:sz w:val="28"/>
          <w:szCs w:val="28"/>
        </w:rPr>
        <w:t>…………………………………………</w:t>
      </w:r>
      <w:r w:rsidR="002872C8">
        <w:rPr>
          <w:rFonts w:ascii="Arial" w:hAnsi="Arial" w:cs="Arial"/>
          <w:b/>
          <w:bCs/>
          <w:sz w:val="28"/>
          <w:szCs w:val="28"/>
        </w:rPr>
        <w:t>…</w:t>
      </w:r>
      <w:r w:rsidR="00D458D5">
        <w:rPr>
          <w:rFonts w:ascii="Arial" w:hAnsi="Arial" w:cs="Arial"/>
          <w:b/>
          <w:bCs/>
          <w:sz w:val="28"/>
          <w:szCs w:val="28"/>
        </w:rPr>
        <w:t>……….</w:t>
      </w:r>
      <w:r w:rsidR="00C02348">
        <w:rPr>
          <w:rFonts w:ascii="Arial" w:hAnsi="Arial" w:cs="Arial"/>
          <w:b/>
          <w:bCs/>
          <w:sz w:val="28"/>
          <w:szCs w:val="28"/>
        </w:rPr>
        <w:t xml:space="preserve"> 4,</w:t>
      </w:r>
      <w:r w:rsidR="00467370">
        <w:rPr>
          <w:rFonts w:ascii="Arial" w:hAnsi="Arial" w:cs="Arial"/>
          <w:b/>
          <w:bCs/>
          <w:sz w:val="28"/>
          <w:szCs w:val="28"/>
        </w:rPr>
        <w:t xml:space="preserve"> </w:t>
      </w:r>
      <w:r w:rsidR="00C02348">
        <w:rPr>
          <w:rFonts w:ascii="Arial" w:hAnsi="Arial" w:cs="Arial"/>
          <w:b/>
          <w:bCs/>
          <w:sz w:val="28"/>
          <w:szCs w:val="28"/>
        </w:rPr>
        <w:t>5,</w:t>
      </w:r>
      <w:r w:rsidR="00467370">
        <w:rPr>
          <w:rFonts w:ascii="Arial" w:hAnsi="Arial" w:cs="Arial"/>
          <w:b/>
          <w:bCs/>
          <w:sz w:val="28"/>
          <w:szCs w:val="28"/>
        </w:rPr>
        <w:t xml:space="preserve"> </w:t>
      </w:r>
      <w:r w:rsidR="00C02348">
        <w:rPr>
          <w:rFonts w:ascii="Arial" w:hAnsi="Arial" w:cs="Arial"/>
          <w:b/>
          <w:bCs/>
          <w:sz w:val="28"/>
          <w:szCs w:val="28"/>
        </w:rPr>
        <w:t>6,</w:t>
      </w:r>
      <w:r w:rsidR="00467370">
        <w:rPr>
          <w:rFonts w:ascii="Arial" w:hAnsi="Arial" w:cs="Arial"/>
          <w:b/>
          <w:bCs/>
          <w:sz w:val="28"/>
          <w:szCs w:val="28"/>
        </w:rPr>
        <w:t xml:space="preserve"> </w:t>
      </w:r>
      <w:r w:rsidR="00C02348">
        <w:rPr>
          <w:rFonts w:ascii="Arial" w:hAnsi="Arial" w:cs="Arial"/>
          <w:b/>
          <w:bCs/>
          <w:sz w:val="28"/>
          <w:szCs w:val="28"/>
        </w:rPr>
        <w:t>7</w:t>
      </w:r>
    </w:p>
    <w:p w14:paraId="37E15494" w14:textId="74032C64" w:rsidR="00262082" w:rsidRPr="007A29DD" w:rsidRDefault="00262082" w:rsidP="00F026E2">
      <w:pPr>
        <w:rPr>
          <w:rFonts w:ascii="Arial" w:hAnsi="Arial" w:cs="Arial"/>
          <w:b/>
          <w:bCs/>
          <w:sz w:val="28"/>
          <w:szCs w:val="28"/>
        </w:rPr>
      </w:pPr>
      <w:r>
        <w:rPr>
          <w:rFonts w:ascii="Arial" w:hAnsi="Arial" w:cs="Arial"/>
          <w:b/>
          <w:bCs/>
          <w:sz w:val="28"/>
          <w:szCs w:val="28"/>
        </w:rPr>
        <w:t xml:space="preserve">Rehabilitation and </w:t>
      </w:r>
      <w:r w:rsidR="00D458D5">
        <w:rPr>
          <w:rFonts w:ascii="Arial" w:hAnsi="Arial" w:cs="Arial"/>
          <w:b/>
          <w:bCs/>
          <w:sz w:val="28"/>
          <w:szCs w:val="28"/>
        </w:rPr>
        <w:t>Long-Term</w:t>
      </w:r>
      <w:r w:rsidR="00A23134">
        <w:rPr>
          <w:rFonts w:ascii="Arial" w:hAnsi="Arial" w:cs="Arial"/>
          <w:b/>
          <w:bCs/>
          <w:sz w:val="28"/>
          <w:szCs w:val="28"/>
        </w:rPr>
        <w:t xml:space="preserve"> Management</w:t>
      </w:r>
      <w:r w:rsidR="00D458D5">
        <w:rPr>
          <w:rFonts w:ascii="Arial" w:hAnsi="Arial" w:cs="Arial"/>
          <w:b/>
          <w:bCs/>
          <w:sz w:val="28"/>
          <w:szCs w:val="28"/>
        </w:rPr>
        <w:t>………………………</w:t>
      </w:r>
      <w:r w:rsidR="00995DE0">
        <w:rPr>
          <w:rFonts w:ascii="Arial" w:hAnsi="Arial" w:cs="Arial"/>
          <w:b/>
          <w:bCs/>
          <w:sz w:val="28"/>
          <w:szCs w:val="28"/>
        </w:rPr>
        <w:t>…..</w:t>
      </w:r>
      <w:r w:rsidR="00E17ECE">
        <w:rPr>
          <w:rFonts w:ascii="Arial" w:hAnsi="Arial" w:cs="Arial"/>
          <w:b/>
          <w:bCs/>
          <w:sz w:val="28"/>
          <w:szCs w:val="28"/>
        </w:rPr>
        <w:t xml:space="preserve"> 7,</w:t>
      </w:r>
      <w:r w:rsidR="00467370">
        <w:rPr>
          <w:rFonts w:ascii="Arial" w:hAnsi="Arial" w:cs="Arial"/>
          <w:b/>
          <w:bCs/>
          <w:sz w:val="28"/>
          <w:szCs w:val="28"/>
        </w:rPr>
        <w:t xml:space="preserve"> </w:t>
      </w:r>
      <w:r w:rsidR="00E17ECE">
        <w:rPr>
          <w:rFonts w:ascii="Arial" w:hAnsi="Arial" w:cs="Arial"/>
          <w:b/>
          <w:bCs/>
          <w:sz w:val="28"/>
          <w:szCs w:val="28"/>
        </w:rPr>
        <w:t>8</w:t>
      </w:r>
    </w:p>
    <w:p w14:paraId="69AB7D6B" w14:textId="6D4B121F" w:rsidR="009A361A" w:rsidRDefault="007A29DD" w:rsidP="00F026E2">
      <w:pPr>
        <w:rPr>
          <w:rFonts w:ascii="Arial" w:hAnsi="Arial" w:cs="Arial"/>
          <w:b/>
          <w:bCs/>
          <w:sz w:val="28"/>
          <w:szCs w:val="28"/>
        </w:rPr>
      </w:pPr>
      <w:r w:rsidRPr="007A29DD">
        <w:rPr>
          <w:rFonts w:ascii="Arial" w:hAnsi="Arial" w:cs="Arial"/>
          <w:b/>
          <w:bCs/>
          <w:sz w:val="28"/>
          <w:szCs w:val="28"/>
        </w:rPr>
        <w:t>Current Debates and Emerging Issues</w:t>
      </w:r>
      <w:r w:rsidR="0071492B">
        <w:rPr>
          <w:rFonts w:ascii="Arial" w:hAnsi="Arial" w:cs="Arial"/>
          <w:b/>
          <w:bCs/>
          <w:sz w:val="28"/>
          <w:szCs w:val="28"/>
        </w:rPr>
        <w:t>…………………………………</w:t>
      </w:r>
      <w:r w:rsidR="00E17ECE">
        <w:rPr>
          <w:rFonts w:ascii="Arial" w:hAnsi="Arial" w:cs="Arial"/>
          <w:b/>
          <w:bCs/>
          <w:sz w:val="28"/>
          <w:szCs w:val="28"/>
        </w:rPr>
        <w:t xml:space="preserve"> 8,</w:t>
      </w:r>
      <w:r w:rsidR="00467370">
        <w:rPr>
          <w:rFonts w:ascii="Arial" w:hAnsi="Arial" w:cs="Arial"/>
          <w:b/>
          <w:bCs/>
          <w:sz w:val="28"/>
          <w:szCs w:val="28"/>
        </w:rPr>
        <w:t xml:space="preserve"> </w:t>
      </w:r>
      <w:r w:rsidR="00E17ECE">
        <w:rPr>
          <w:rFonts w:ascii="Arial" w:hAnsi="Arial" w:cs="Arial"/>
          <w:b/>
          <w:bCs/>
          <w:sz w:val="28"/>
          <w:szCs w:val="28"/>
        </w:rPr>
        <w:t>9</w:t>
      </w:r>
    </w:p>
    <w:p w14:paraId="0B42D909" w14:textId="0DF79B50" w:rsidR="007A29DD" w:rsidRDefault="0071492B" w:rsidP="00F026E2">
      <w:pPr>
        <w:rPr>
          <w:rFonts w:ascii="Arial" w:hAnsi="Arial" w:cs="Arial"/>
          <w:b/>
          <w:bCs/>
          <w:sz w:val="28"/>
          <w:szCs w:val="28"/>
        </w:rPr>
      </w:pPr>
      <w:r>
        <w:rPr>
          <w:rFonts w:ascii="Arial" w:hAnsi="Arial" w:cs="Arial"/>
          <w:b/>
          <w:bCs/>
          <w:sz w:val="28"/>
          <w:szCs w:val="28"/>
        </w:rPr>
        <w:t>Recommendations………………………………………………………</w:t>
      </w:r>
      <w:r w:rsidR="002872C8">
        <w:rPr>
          <w:rFonts w:ascii="Arial" w:hAnsi="Arial" w:cs="Arial"/>
          <w:b/>
          <w:bCs/>
          <w:sz w:val="28"/>
          <w:szCs w:val="28"/>
        </w:rPr>
        <w:t>….</w:t>
      </w:r>
      <w:r w:rsidR="00E17ECE">
        <w:rPr>
          <w:rFonts w:ascii="Arial" w:hAnsi="Arial" w:cs="Arial"/>
          <w:b/>
          <w:bCs/>
          <w:sz w:val="28"/>
          <w:szCs w:val="28"/>
        </w:rPr>
        <w:t xml:space="preserve"> </w:t>
      </w:r>
      <w:r w:rsidR="00BA1878">
        <w:rPr>
          <w:rFonts w:ascii="Arial" w:hAnsi="Arial" w:cs="Arial"/>
          <w:b/>
          <w:bCs/>
          <w:sz w:val="28"/>
          <w:szCs w:val="28"/>
        </w:rPr>
        <w:t>9,10</w:t>
      </w:r>
    </w:p>
    <w:p w14:paraId="6D72A9A5" w14:textId="28472752" w:rsidR="001A5464" w:rsidRDefault="001A5464" w:rsidP="00F026E2">
      <w:pPr>
        <w:rPr>
          <w:rFonts w:ascii="Arial" w:hAnsi="Arial" w:cs="Arial"/>
          <w:b/>
          <w:bCs/>
          <w:sz w:val="28"/>
          <w:szCs w:val="28"/>
        </w:rPr>
      </w:pPr>
      <w:r>
        <w:rPr>
          <w:rFonts w:ascii="Arial" w:hAnsi="Arial" w:cs="Arial"/>
          <w:b/>
          <w:bCs/>
          <w:sz w:val="28"/>
          <w:szCs w:val="28"/>
        </w:rPr>
        <w:t>Conclusion…………………………………………………………………..</w:t>
      </w:r>
      <w:r w:rsidR="005D5FE9">
        <w:rPr>
          <w:rFonts w:ascii="Arial" w:hAnsi="Arial" w:cs="Arial"/>
          <w:b/>
          <w:bCs/>
          <w:sz w:val="28"/>
          <w:szCs w:val="28"/>
        </w:rPr>
        <w:t>1</w:t>
      </w:r>
      <w:r w:rsidR="00720667">
        <w:rPr>
          <w:rFonts w:ascii="Arial" w:hAnsi="Arial" w:cs="Arial"/>
          <w:b/>
          <w:bCs/>
          <w:sz w:val="28"/>
          <w:szCs w:val="28"/>
        </w:rPr>
        <w:t>0</w:t>
      </w:r>
      <w:r w:rsidR="00BA1878">
        <w:rPr>
          <w:rFonts w:ascii="Arial" w:hAnsi="Arial" w:cs="Arial"/>
          <w:b/>
          <w:bCs/>
          <w:sz w:val="28"/>
          <w:szCs w:val="28"/>
        </w:rPr>
        <w:t xml:space="preserve"> 11</w:t>
      </w:r>
    </w:p>
    <w:p w14:paraId="20909D4D" w14:textId="666FE257" w:rsidR="0071492B" w:rsidRPr="007A29DD" w:rsidRDefault="0071492B" w:rsidP="00F026E2">
      <w:pPr>
        <w:rPr>
          <w:rFonts w:ascii="Arial" w:hAnsi="Arial" w:cs="Arial"/>
          <w:b/>
          <w:bCs/>
          <w:sz w:val="28"/>
          <w:szCs w:val="28"/>
        </w:rPr>
      </w:pPr>
      <w:r>
        <w:rPr>
          <w:rFonts w:ascii="Arial" w:hAnsi="Arial" w:cs="Arial"/>
          <w:b/>
          <w:bCs/>
          <w:sz w:val="28"/>
          <w:szCs w:val="28"/>
        </w:rPr>
        <w:t>References……………………………………………………………………</w:t>
      </w:r>
      <w:r w:rsidR="00BA1878">
        <w:rPr>
          <w:rFonts w:ascii="Arial" w:hAnsi="Arial" w:cs="Arial"/>
          <w:b/>
          <w:bCs/>
          <w:sz w:val="28"/>
          <w:szCs w:val="28"/>
        </w:rPr>
        <w:t xml:space="preserve"> 12,</w:t>
      </w:r>
      <w:r w:rsidR="00467370">
        <w:rPr>
          <w:rFonts w:ascii="Arial" w:hAnsi="Arial" w:cs="Arial"/>
          <w:b/>
          <w:bCs/>
          <w:sz w:val="28"/>
          <w:szCs w:val="28"/>
        </w:rPr>
        <w:t xml:space="preserve"> 13</w:t>
      </w:r>
    </w:p>
    <w:p w14:paraId="0683ECE5" w14:textId="4D0EC86D" w:rsidR="00675161" w:rsidRDefault="00675161">
      <w:pPr>
        <w:rPr>
          <w:rFonts w:ascii="Arial" w:hAnsi="Arial" w:cs="Arial"/>
          <w:b/>
          <w:bCs/>
          <w:sz w:val="48"/>
          <w:szCs w:val="48"/>
        </w:rPr>
      </w:pPr>
      <w:r>
        <w:rPr>
          <w:rFonts w:ascii="Arial" w:hAnsi="Arial" w:cs="Arial"/>
          <w:b/>
          <w:bCs/>
          <w:sz w:val="48"/>
          <w:szCs w:val="48"/>
        </w:rPr>
        <w:br w:type="page"/>
      </w:r>
    </w:p>
    <w:p w14:paraId="2A385BA4" w14:textId="6A9E94CA" w:rsidR="00920BEA" w:rsidRDefault="00F026E2" w:rsidP="0066251A">
      <w:pPr>
        <w:spacing w:line="360" w:lineRule="auto"/>
        <w:rPr>
          <w:rFonts w:ascii="Arial" w:hAnsi="Arial" w:cs="Arial"/>
          <w:b/>
          <w:bCs/>
          <w:sz w:val="24"/>
          <w:szCs w:val="24"/>
          <w:u w:val="single"/>
        </w:rPr>
      </w:pPr>
      <w:r w:rsidRPr="001F3859">
        <w:rPr>
          <w:rFonts w:ascii="Arial" w:hAnsi="Arial" w:cs="Arial"/>
          <w:b/>
          <w:bCs/>
          <w:sz w:val="24"/>
          <w:szCs w:val="24"/>
          <w:u w:val="single"/>
        </w:rPr>
        <w:lastRenderedPageBreak/>
        <w:t>Introductio</w:t>
      </w:r>
      <w:r w:rsidR="00676B2A" w:rsidRPr="001F3859">
        <w:rPr>
          <w:rFonts w:ascii="Arial" w:hAnsi="Arial" w:cs="Arial"/>
          <w:b/>
          <w:bCs/>
          <w:sz w:val="24"/>
          <w:szCs w:val="24"/>
          <w:u w:val="single"/>
        </w:rPr>
        <w:t>n</w:t>
      </w:r>
    </w:p>
    <w:p w14:paraId="1D061FD5" w14:textId="77777777" w:rsidR="00B61844" w:rsidRPr="004C2B5C" w:rsidRDefault="00B61844" w:rsidP="004C2B5C">
      <w:pPr>
        <w:spacing w:after="0" w:line="360" w:lineRule="auto"/>
        <w:rPr>
          <w:rFonts w:ascii="Arial" w:eastAsia="Times New Roman" w:hAnsi="Arial" w:cs="Arial"/>
          <w:lang w:eastAsia="en-GB"/>
        </w:rPr>
      </w:pPr>
      <w:r w:rsidRPr="00B61844">
        <w:rPr>
          <w:rFonts w:ascii="Arial" w:eastAsia="Times New Roman" w:hAnsi="Arial" w:cs="Arial"/>
          <w:lang w:eastAsia="en-GB"/>
        </w:rPr>
        <w:t>Among the most prevalent mental health issues in the world, anxiety and fear-related disorders have a substantial impact on daily functioning, emotional regulation, and long-term wellbeing. A more sophisticated method of categorising these conditions is introduced by the ICD-11, which emphasises functional impairment, core clinical features, and contextual factors that affect a person's presentation (World Health Organisation, 2024). This development is consistent with modern conceptions of anxiety as a complex disorder influenced by social, psychological, and biological variables. It is crucial to critically assess how ICD-11 classifications affect diagnosis, treatment, and overall health policy in the UK in light of these developments.</w:t>
      </w:r>
    </w:p>
    <w:p w14:paraId="4F1C28A5" w14:textId="77777777" w:rsidR="00B61844" w:rsidRPr="004C2B5C" w:rsidRDefault="00B61844" w:rsidP="004C2B5C">
      <w:pPr>
        <w:spacing w:after="0" w:line="360" w:lineRule="auto"/>
        <w:rPr>
          <w:rFonts w:ascii="Arial" w:eastAsia="Times New Roman" w:hAnsi="Arial" w:cs="Arial"/>
          <w:lang w:eastAsia="en-GB"/>
        </w:rPr>
      </w:pPr>
    </w:p>
    <w:p w14:paraId="0D41723B" w14:textId="1AC050C9" w:rsidR="004C2B5C" w:rsidRPr="004C2B5C" w:rsidRDefault="004C2B5C" w:rsidP="004C2B5C">
      <w:pPr>
        <w:spacing w:after="0" w:line="360" w:lineRule="auto"/>
        <w:rPr>
          <w:rFonts w:ascii="Times New Roman" w:eastAsia="Times New Roman" w:hAnsi="Times New Roman" w:cs="Times New Roman"/>
          <w:sz w:val="24"/>
          <w:szCs w:val="24"/>
          <w:lang w:eastAsia="en-GB"/>
        </w:rPr>
      </w:pPr>
      <w:r w:rsidRPr="004C2B5C">
        <w:rPr>
          <w:rFonts w:ascii="Arial" w:eastAsia="Times New Roman" w:hAnsi="Arial" w:cs="Arial"/>
          <w:lang w:eastAsia="en-GB"/>
        </w:rPr>
        <w:t xml:space="preserve">An extensive analysis of ICD-11 anxiety disorders is presented in this report. It starts with an examination of diagnostic and classification procedures, evaluating the advantages and disadvantages of the ICD-11 framework. Treatment modalities, such as psychological, pharmacological, and integrated models of care, are critically assessed in the following section. Following </w:t>
      </w:r>
      <w:r w:rsidR="00461DFC" w:rsidRPr="004C2B5C">
        <w:rPr>
          <w:rFonts w:ascii="Arial" w:eastAsia="Times New Roman" w:hAnsi="Arial" w:cs="Arial"/>
          <w:lang w:eastAsia="en-GB"/>
        </w:rPr>
        <w:t>on,</w:t>
      </w:r>
      <w:r w:rsidRPr="004C2B5C">
        <w:rPr>
          <w:rFonts w:ascii="Arial" w:eastAsia="Times New Roman" w:hAnsi="Arial" w:cs="Arial"/>
          <w:lang w:eastAsia="en-GB"/>
        </w:rPr>
        <w:t xml:space="preserve"> the report looks at long-term care and rehabilitation, emphasising community-based approaches, legal frameworks like the Mental Health Act 1983 (amended 2007), and the function of third-sector organisations. An additional section delves into contemporary discussions and new topics, such as neurodiversity, policy modifications, and the consequences of the Equality Act of 2010. Recommendations for enhancing clinical practice and service delivery are included in the report's conclusion</w:t>
      </w:r>
      <w:r w:rsidRPr="004C2B5C">
        <w:rPr>
          <w:rFonts w:ascii="Times New Roman" w:eastAsia="Times New Roman" w:hAnsi="Times New Roman" w:cs="Times New Roman"/>
          <w:sz w:val="24"/>
          <w:szCs w:val="24"/>
          <w:lang w:eastAsia="en-GB"/>
        </w:rPr>
        <w:t>.</w:t>
      </w:r>
    </w:p>
    <w:p w14:paraId="18D13D26" w14:textId="77777777" w:rsidR="00CD71C5" w:rsidRPr="00B61844" w:rsidRDefault="00CD71C5" w:rsidP="00B61844">
      <w:pPr>
        <w:spacing w:after="0" w:line="240" w:lineRule="auto"/>
        <w:rPr>
          <w:rFonts w:ascii="Times New Roman" w:eastAsia="Times New Roman" w:hAnsi="Times New Roman" w:cs="Times New Roman"/>
          <w:sz w:val="24"/>
          <w:szCs w:val="24"/>
          <w:lang w:eastAsia="en-GB"/>
        </w:rPr>
      </w:pPr>
    </w:p>
    <w:p w14:paraId="1A92202B" w14:textId="475AA5C3" w:rsidR="00676B2A" w:rsidRPr="001F3859" w:rsidRDefault="00676B2A" w:rsidP="0066251A">
      <w:pPr>
        <w:spacing w:line="360" w:lineRule="auto"/>
        <w:rPr>
          <w:rFonts w:ascii="Arial" w:hAnsi="Arial" w:cs="Arial"/>
          <w:b/>
          <w:bCs/>
          <w:sz w:val="24"/>
          <w:szCs w:val="24"/>
          <w:u w:val="single"/>
        </w:rPr>
      </w:pPr>
      <w:r w:rsidRPr="001F3859">
        <w:rPr>
          <w:rFonts w:ascii="Arial" w:hAnsi="Arial" w:cs="Arial"/>
          <w:b/>
          <w:bCs/>
          <w:sz w:val="24"/>
          <w:szCs w:val="24"/>
          <w:u w:val="single"/>
        </w:rPr>
        <w:t>C</w:t>
      </w:r>
      <w:r w:rsidR="007008E3" w:rsidRPr="001F3859">
        <w:rPr>
          <w:rFonts w:ascii="Arial" w:hAnsi="Arial" w:cs="Arial"/>
          <w:b/>
          <w:bCs/>
          <w:sz w:val="24"/>
          <w:szCs w:val="24"/>
          <w:u w:val="single"/>
        </w:rPr>
        <w:t>lassification and Diagnosis</w:t>
      </w:r>
    </w:p>
    <w:p w14:paraId="1EE05C5D" w14:textId="44883FC1" w:rsidR="007008E3" w:rsidRDefault="000D322B" w:rsidP="00CA658E">
      <w:pPr>
        <w:spacing w:after="0" w:line="360" w:lineRule="auto"/>
        <w:rPr>
          <w:rFonts w:ascii="Arial" w:eastAsia="Times New Roman" w:hAnsi="Arial" w:cs="Arial"/>
          <w:lang w:eastAsia="en-GB"/>
        </w:rPr>
      </w:pPr>
      <w:r>
        <w:rPr>
          <w:rFonts w:ascii="Arial" w:eastAsia="Times New Roman" w:hAnsi="Arial" w:cs="Arial"/>
          <w:lang w:eastAsia="en-GB"/>
        </w:rPr>
        <w:t>As reported by (WH</w:t>
      </w:r>
      <w:r w:rsidR="008509FF">
        <w:rPr>
          <w:rFonts w:ascii="Arial" w:eastAsia="Times New Roman" w:hAnsi="Arial" w:cs="Arial"/>
          <w:lang w:eastAsia="en-GB"/>
        </w:rPr>
        <w:t>O, 2024), t</w:t>
      </w:r>
      <w:r w:rsidR="007008E3" w:rsidRPr="007008E3">
        <w:rPr>
          <w:rFonts w:ascii="Arial" w:eastAsia="Times New Roman" w:hAnsi="Arial" w:cs="Arial"/>
          <w:lang w:eastAsia="en-GB"/>
        </w:rPr>
        <w:t>hrough combining disorders with prominent anxious or fear-based phenomenology into a single chapter titled "Anxiety and fear-related disorders," ICD-11 departed from the previous ICD-10 arrangement. In order to improve face validity and clinical utility across settings, this reorganisation groups conditions according to the focus of apprehension (e.g., generalised worry, panic, specific phobias, separation anxiety) as opposed to previous, more disjointed headings. The WHO's Clinical Descriptions and Diagnostic Requirements (CDDR) prioritise functional impairment, temporal persistence, and cultural context over strict numerical criteria and present essential features for each disorder instead of strict symptom counts.</w:t>
      </w:r>
    </w:p>
    <w:p w14:paraId="4FDDFA4D" w14:textId="77777777" w:rsidR="00472A5D" w:rsidRDefault="00472A5D" w:rsidP="00CA658E">
      <w:pPr>
        <w:spacing w:after="0" w:line="360" w:lineRule="auto"/>
        <w:rPr>
          <w:rFonts w:ascii="Arial" w:eastAsia="Times New Roman" w:hAnsi="Arial" w:cs="Arial"/>
          <w:lang w:eastAsia="en-GB"/>
        </w:rPr>
      </w:pPr>
    </w:p>
    <w:p w14:paraId="1E19842E" w14:textId="0C0778F9" w:rsidR="00F0019B" w:rsidRDefault="00F0019B" w:rsidP="00CA658E">
      <w:pPr>
        <w:spacing w:after="0" w:line="360" w:lineRule="auto"/>
        <w:rPr>
          <w:rFonts w:ascii="Arial" w:eastAsia="Times New Roman" w:hAnsi="Arial" w:cs="Arial"/>
          <w:lang w:eastAsia="en-GB"/>
        </w:rPr>
      </w:pPr>
      <w:r w:rsidRPr="00F0019B">
        <w:rPr>
          <w:rFonts w:ascii="Arial" w:eastAsia="Times New Roman" w:hAnsi="Arial" w:cs="Arial"/>
          <w:lang w:eastAsia="en-GB"/>
        </w:rPr>
        <w:t xml:space="preserve">As a result, ICD-11's diagnostic criteria are purposefully flexible and descriptive. For instance, there is no required checklist of X or Y symptoms for a diagnosis of generalised anxiety disorder (GAD), which is characterised by core features (persistent, excessive worry </w:t>
      </w:r>
      <w:r w:rsidRPr="00F0019B">
        <w:rPr>
          <w:rFonts w:ascii="Arial" w:eastAsia="Times New Roman" w:hAnsi="Arial" w:cs="Arial"/>
          <w:lang w:eastAsia="en-GB"/>
        </w:rPr>
        <w:lastRenderedPageBreak/>
        <w:t>present most days for several months, with associated symptoms and impairment). Additionally, ICD-11 makes clearer distinctions that permit concurrent coding (e.g., panic disorder and agoraphobia coded separately when appropriate) and separates panic attacks as a coded specifier that can accompany multiple disorders. These decisions are intended to improve clinician adoption and global applicability, especially in low</w:t>
      </w:r>
      <w:r w:rsidR="003A5865">
        <w:rPr>
          <w:rFonts w:ascii="Arial" w:eastAsia="Times New Roman" w:hAnsi="Arial" w:cs="Arial"/>
          <w:lang w:eastAsia="en-GB"/>
        </w:rPr>
        <w:t xml:space="preserve"> </w:t>
      </w:r>
      <w:r w:rsidRPr="00F0019B">
        <w:rPr>
          <w:rFonts w:ascii="Arial" w:eastAsia="Times New Roman" w:hAnsi="Arial" w:cs="Arial"/>
          <w:lang w:eastAsia="en-GB"/>
        </w:rPr>
        <w:t xml:space="preserve">resource or </w:t>
      </w:r>
      <w:r w:rsidR="00FF7224" w:rsidRPr="00F0019B">
        <w:rPr>
          <w:rFonts w:ascii="Arial" w:eastAsia="Times New Roman" w:hAnsi="Arial" w:cs="Arial"/>
          <w:lang w:eastAsia="en-GB"/>
        </w:rPr>
        <w:t>cross</w:t>
      </w:r>
      <w:r w:rsidR="00FF7224">
        <w:rPr>
          <w:rFonts w:ascii="Arial" w:eastAsia="Times New Roman" w:hAnsi="Arial" w:cs="Arial"/>
          <w:lang w:eastAsia="en-GB"/>
        </w:rPr>
        <w:t>-cultural</w:t>
      </w:r>
      <w:r w:rsidRPr="00F0019B">
        <w:rPr>
          <w:rFonts w:ascii="Arial" w:eastAsia="Times New Roman" w:hAnsi="Arial" w:cs="Arial"/>
          <w:lang w:eastAsia="en-GB"/>
        </w:rPr>
        <w:t xml:space="preserve"> settings where rigid checklists might not be as useful.</w:t>
      </w:r>
    </w:p>
    <w:p w14:paraId="095E6AF0" w14:textId="77777777" w:rsidR="00CA658E" w:rsidRDefault="00CA658E" w:rsidP="00CA658E">
      <w:pPr>
        <w:spacing w:after="0" w:line="360" w:lineRule="auto"/>
        <w:rPr>
          <w:rFonts w:ascii="Arial" w:eastAsia="Times New Roman" w:hAnsi="Arial" w:cs="Arial"/>
          <w:lang w:eastAsia="en-GB"/>
        </w:rPr>
      </w:pPr>
    </w:p>
    <w:p w14:paraId="483501DD" w14:textId="4231BE4D" w:rsidR="00472A5D" w:rsidRPr="00472A5D" w:rsidRDefault="00472A5D" w:rsidP="00CA658E">
      <w:pPr>
        <w:spacing w:after="0" w:line="360" w:lineRule="auto"/>
        <w:rPr>
          <w:rFonts w:ascii="Arial" w:eastAsia="Times New Roman" w:hAnsi="Arial" w:cs="Arial"/>
          <w:lang w:eastAsia="en-GB"/>
        </w:rPr>
      </w:pPr>
      <w:r w:rsidRPr="00472A5D">
        <w:rPr>
          <w:rFonts w:ascii="Arial" w:eastAsia="Times New Roman" w:hAnsi="Arial" w:cs="Arial"/>
          <w:lang w:eastAsia="en-GB"/>
        </w:rPr>
        <w:t>Improved clinical utility, less diagnostic clutter, and a focus on impairment and context are some of this diagnostic approach's advantages. Clinicians find the ICD-11 descriptions easier to use in routine practice and in international settings, according to field studies and commentary, which could lead to more consistent reporting across nations. Dimensional research demonstrating that anxiety symptoms exist on continua rather than neat categorical boxes is also consistent with the shift towards essential features.</w:t>
      </w:r>
    </w:p>
    <w:p w14:paraId="06132DFB" w14:textId="77777777" w:rsidR="00472A5D" w:rsidRDefault="00472A5D" w:rsidP="00CA658E">
      <w:pPr>
        <w:spacing w:after="0" w:line="360" w:lineRule="auto"/>
        <w:rPr>
          <w:rFonts w:ascii="Arial" w:eastAsia="Times New Roman" w:hAnsi="Arial" w:cs="Arial"/>
          <w:lang w:eastAsia="en-GB"/>
        </w:rPr>
      </w:pPr>
    </w:p>
    <w:p w14:paraId="29639CE1" w14:textId="471ABCC1" w:rsidR="001B7403" w:rsidRDefault="00ED043D" w:rsidP="00002F93">
      <w:pPr>
        <w:spacing w:after="0" w:line="360" w:lineRule="auto"/>
        <w:rPr>
          <w:rFonts w:ascii="Arial" w:eastAsia="Times New Roman" w:hAnsi="Arial" w:cs="Arial"/>
          <w:lang w:eastAsia="en-GB"/>
        </w:rPr>
      </w:pPr>
      <w:r w:rsidRPr="00ED043D">
        <w:rPr>
          <w:rFonts w:ascii="Arial" w:eastAsia="Times New Roman" w:hAnsi="Arial" w:cs="Arial"/>
          <w:lang w:eastAsia="en-GB"/>
        </w:rPr>
        <w:t xml:space="preserve">However significant discussions are still ongoing. Removing particular symptom counts and thresholds, according to critics, may lower inter-rater reliability for epidemiology and research, making it more difficult to compare prevalence over time and between DSM-based studies. Concerns regarding variability in thresholding (the degree to which worry equates to "disorder") and the possibility of both under- and over-diagnosis are raised by the descriptive approach, which can also leave clinicians with more interpretive work. Additionally, there is an unresolved conflict between the demands of precision research that relies on highly operationalised criteria and a pragmatic, </w:t>
      </w:r>
      <w:r w:rsidR="009836F3" w:rsidRPr="00ED043D">
        <w:rPr>
          <w:rFonts w:ascii="Arial" w:eastAsia="Times New Roman" w:hAnsi="Arial" w:cs="Arial"/>
          <w:lang w:eastAsia="en-GB"/>
        </w:rPr>
        <w:t>globally oriented</w:t>
      </w:r>
      <w:r w:rsidRPr="00ED043D">
        <w:rPr>
          <w:rFonts w:ascii="Arial" w:eastAsia="Times New Roman" w:hAnsi="Arial" w:cs="Arial"/>
          <w:lang w:eastAsia="en-GB"/>
        </w:rPr>
        <w:t xml:space="preserve"> nosology</w:t>
      </w:r>
      <w:r w:rsidR="00D34B4F">
        <w:rPr>
          <w:rFonts w:ascii="Arial" w:eastAsia="Times New Roman" w:hAnsi="Arial" w:cs="Arial"/>
          <w:lang w:eastAsia="en-GB"/>
        </w:rPr>
        <w:t xml:space="preserve"> according to</w:t>
      </w:r>
      <w:r w:rsidR="0023069A">
        <w:rPr>
          <w:rFonts w:ascii="Arial" w:eastAsia="Times New Roman" w:hAnsi="Arial" w:cs="Arial"/>
          <w:lang w:eastAsia="en-GB"/>
        </w:rPr>
        <w:t xml:space="preserve"> (Reed, G, et, al, 2019)</w:t>
      </w:r>
      <w:r w:rsidR="00F44135">
        <w:rPr>
          <w:rFonts w:ascii="Arial" w:eastAsia="Times New Roman" w:hAnsi="Arial" w:cs="Arial"/>
          <w:lang w:eastAsia="en-GB"/>
        </w:rPr>
        <w:t>.</w:t>
      </w:r>
    </w:p>
    <w:p w14:paraId="7F9C83DF" w14:textId="77777777" w:rsidR="007C176E" w:rsidRDefault="007C176E" w:rsidP="00002F93">
      <w:pPr>
        <w:spacing w:after="0" w:line="360" w:lineRule="auto"/>
        <w:rPr>
          <w:rFonts w:ascii="Arial" w:eastAsia="Times New Roman" w:hAnsi="Arial" w:cs="Arial"/>
          <w:lang w:eastAsia="en-GB"/>
        </w:rPr>
      </w:pPr>
    </w:p>
    <w:p w14:paraId="4EB94DAF" w14:textId="24AFC2E5" w:rsidR="001B7403" w:rsidRPr="004C2B5C" w:rsidRDefault="001B7403" w:rsidP="00002F93">
      <w:pPr>
        <w:spacing w:after="0" w:line="360" w:lineRule="auto"/>
        <w:rPr>
          <w:rFonts w:ascii="Arial" w:eastAsia="Times New Roman" w:hAnsi="Arial" w:cs="Arial"/>
          <w:b/>
          <w:bCs/>
          <w:sz w:val="24"/>
          <w:szCs w:val="24"/>
          <w:u w:val="single"/>
          <w:lang w:eastAsia="en-GB"/>
        </w:rPr>
      </w:pPr>
      <w:r w:rsidRPr="004C2B5C">
        <w:rPr>
          <w:rFonts w:ascii="Arial" w:eastAsia="Times New Roman" w:hAnsi="Arial" w:cs="Arial"/>
          <w:b/>
          <w:bCs/>
          <w:sz w:val="24"/>
          <w:szCs w:val="24"/>
          <w:u w:val="single"/>
          <w:lang w:eastAsia="en-GB"/>
        </w:rPr>
        <w:t xml:space="preserve">Treatment </w:t>
      </w:r>
      <w:r w:rsidR="002E721C" w:rsidRPr="004C2B5C">
        <w:rPr>
          <w:rFonts w:ascii="Arial" w:eastAsia="Times New Roman" w:hAnsi="Arial" w:cs="Arial"/>
          <w:b/>
          <w:bCs/>
          <w:sz w:val="24"/>
          <w:szCs w:val="24"/>
          <w:u w:val="single"/>
          <w:lang w:eastAsia="en-GB"/>
        </w:rPr>
        <w:t>Approaches</w:t>
      </w:r>
    </w:p>
    <w:p w14:paraId="7B8BF279" w14:textId="77777777" w:rsidR="004C2B5C" w:rsidRDefault="004C2B5C" w:rsidP="00301F8E">
      <w:pPr>
        <w:spacing w:after="0" w:line="360" w:lineRule="auto"/>
        <w:rPr>
          <w:rFonts w:ascii="Arial" w:eastAsia="Times New Roman" w:hAnsi="Arial" w:cs="Arial"/>
          <w:lang w:eastAsia="en-GB"/>
        </w:rPr>
      </w:pPr>
    </w:p>
    <w:p w14:paraId="520C7D03" w14:textId="01141C3D" w:rsidR="00301F8E" w:rsidRDefault="00301F8E" w:rsidP="00301F8E">
      <w:pPr>
        <w:spacing w:after="0" w:line="360" w:lineRule="auto"/>
        <w:rPr>
          <w:rFonts w:ascii="Arial" w:eastAsia="Times New Roman" w:hAnsi="Arial" w:cs="Arial"/>
          <w:lang w:eastAsia="en-GB"/>
        </w:rPr>
      </w:pPr>
      <w:r w:rsidRPr="00301F8E">
        <w:rPr>
          <w:rFonts w:ascii="Arial" w:eastAsia="Times New Roman" w:hAnsi="Arial" w:cs="Arial"/>
          <w:lang w:eastAsia="en-GB"/>
        </w:rPr>
        <w:t>According to ICD-11, a wide range of psychological, pharmacological, and combined interventions are used to treat anxiety disorders. A critical assessment of these methods reveals both substantial limitations or disagreements and solid evidence bases.</w:t>
      </w:r>
    </w:p>
    <w:p w14:paraId="780EF4AC" w14:textId="77777777" w:rsidR="006D6C0C" w:rsidRDefault="006D6C0C" w:rsidP="00301F8E">
      <w:pPr>
        <w:spacing w:after="0" w:line="360" w:lineRule="auto"/>
        <w:rPr>
          <w:rFonts w:ascii="Arial" w:eastAsia="Times New Roman" w:hAnsi="Arial" w:cs="Arial"/>
          <w:lang w:eastAsia="en-GB"/>
        </w:rPr>
      </w:pPr>
    </w:p>
    <w:tbl>
      <w:tblPr>
        <w:tblStyle w:val="TableGrid"/>
        <w:tblW w:w="0" w:type="auto"/>
        <w:tblLook w:val="04A0" w:firstRow="1" w:lastRow="0" w:firstColumn="1" w:lastColumn="0" w:noHBand="0" w:noVBand="1"/>
      </w:tblPr>
      <w:tblGrid>
        <w:gridCol w:w="1829"/>
        <w:gridCol w:w="1878"/>
        <w:gridCol w:w="1699"/>
        <w:gridCol w:w="2289"/>
        <w:gridCol w:w="1321"/>
      </w:tblGrid>
      <w:tr w:rsidR="00682F27" w:rsidRPr="00C56DE4" w14:paraId="587D38F8" w14:textId="684DB0B2" w:rsidTr="00821F3E">
        <w:tc>
          <w:tcPr>
            <w:tcW w:w="2195" w:type="dxa"/>
          </w:tcPr>
          <w:p w14:paraId="35558D8C" w14:textId="31C50B10" w:rsidR="00821F3E" w:rsidRPr="00C56DE4" w:rsidRDefault="00821F3E" w:rsidP="003166F7">
            <w:pPr>
              <w:spacing w:line="360" w:lineRule="auto"/>
              <w:jc w:val="center"/>
              <w:rPr>
                <w:rFonts w:ascii="Arial" w:eastAsia="Times New Roman" w:hAnsi="Arial" w:cs="Arial"/>
                <w:b/>
                <w:bCs/>
                <w:lang w:eastAsia="en-GB"/>
              </w:rPr>
            </w:pPr>
            <w:r w:rsidRPr="00C56DE4">
              <w:rPr>
                <w:rFonts w:ascii="Arial" w:eastAsia="Times New Roman" w:hAnsi="Arial" w:cs="Arial"/>
                <w:b/>
                <w:bCs/>
                <w:lang w:eastAsia="en-GB"/>
              </w:rPr>
              <w:t>Approach</w:t>
            </w:r>
          </w:p>
        </w:tc>
        <w:tc>
          <w:tcPr>
            <w:tcW w:w="2204" w:type="dxa"/>
          </w:tcPr>
          <w:p w14:paraId="2E23FAD1" w14:textId="0CAD75D8" w:rsidR="00821F3E" w:rsidRPr="00C56DE4" w:rsidRDefault="00821F3E" w:rsidP="003166F7">
            <w:pPr>
              <w:spacing w:line="360" w:lineRule="auto"/>
              <w:jc w:val="center"/>
              <w:rPr>
                <w:rFonts w:ascii="Arial" w:eastAsia="Times New Roman" w:hAnsi="Arial" w:cs="Arial"/>
                <w:b/>
                <w:bCs/>
                <w:lang w:eastAsia="en-GB"/>
              </w:rPr>
            </w:pPr>
            <w:r w:rsidRPr="00C56DE4">
              <w:rPr>
                <w:rFonts w:ascii="Arial" w:eastAsia="Times New Roman" w:hAnsi="Arial" w:cs="Arial"/>
                <w:b/>
                <w:bCs/>
                <w:lang w:eastAsia="en-GB"/>
              </w:rPr>
              <w:t>Evidence based description</w:t>
            </w:r>
          </w:p>
        </w:tc>
        <w:tc>
          <w:tcPr>
            <w:tcW w:w="1864" w:type="dxa"/>
          </w:tcPr>
          <w:p w14:paraId="3559FE4A" w14:textId="4A779F48" w:rsidR="00821F3E" w:rsidRPr="00C56DE4" w:rsidRDefault="00821F3E" w:rsidP="003166F7">
            <w:pPr>
              <w:spacing w:line="360" w:lineRule="auto"/>
              <w:jc w:val="center"/>
              <w:rPr>
                <w:rFonts w:ascii="Arial" w:eastAsia="Times New Roman" w:hAnsi="Arial" w:cs="Arial"/>
                <w:b/>
                <w:bCs/>
                <w:lang w:eastAsia="en-GB"/>
              </w:rPr>
            </w:pPr>
            <w:r w:rsidRPr="00C56DE4">
              <w:rPr>
                <w:rFonts w:ascii="Arial" w:eastAsia="Times New Roman" w:hAnsi="Arial" w:cs="Arial"/>
                <w:b/>
                <w:bCs/>
                <w:lang w:eastAsia="en-GB"/>
              </w:rPr>
              <w:t>Strengths</w:t>
            </w:r>
          </w:p>
        </w:tc>
        <w:tc>
          <w:tcPr>
            <w:tcW w:w="1665" w:type="dxa"/>
          </w:tcPr>
          <w:p w14:paraId="4305FEA9" w14:textId="4A39DF88" w:rsidR="00821F3E" w:rsidRPr="00C56DE4" w:rsidRDefault="00B77BE6" w:rsidP="003166F7">
            <w:pPr>
              <w:spacing w:line="360" w:lineRule="auto"/>
              <w:jc w:val="center"/>
              <w:rPr>
                <w:rFonts w:ascii="Arial" w:eastAsia="Times New Roman" w:hAnsi="Arial" w:cs="Arial"/>
                <w:b/>
                <w:bCs/>
                <w:lang w:eastAsia="en-GB"/>
              </w:rPr>
            </w:pPr>
            <w:r w:rsidRPr="00C56DE4">
              <w:rPr>
                <w:rFonts w:ascii="Arial" w:eastAsia="Times New Roman" w:hAnsi="Arial" w:cs="Arial"/>
                <w:b/>
                <w:bCs/>
                <w:lang w:eastAsia="en-GB"/>
              </w:rPr>
              <w:t>Limitations</w:t>
            </w:r>
            <w:r w:rsidR="009B0EE1" w:rsidRPr="00C56DE4">
              <w:rPr>
                <w:rFonts w:ascii="Arial" w:eastAsia="Times New Roman" w:hAnsi="Arial" w:cs="Arial"/>
                <w:b/>
                <w:bCs/>
                <w:lang w:eastAsia="en-GB"/>
              </w:rPr>
              <w:t>/Debates</w:t>
            </w:r>
          </w:p>
        </w:tc>
        <w:tc>
          <w:tcPr>
            <w:tcW w:w="1088" w:type="dxa"/>
          </w:tcPr>
          <w:p w14:paraId="07807B74" w14:textId="1F24B5A4" w:rsidR="00821F3E" w:rsidRPr="00C56DE4" w:rsidRDefault="009B0EE1" w:rsidP="003166F7">
            <w:pPr>
              <w:spacing w:line="360" w:lineRule="auto"/>
              <w:jc w:val="center"/>
              <w:rPr>
                <w:rFonts w:ascii="Arial" w:eastAsia="Times New Roman" w:hAnsi="Arial" w:cs="Arial"/>
                <w:b/>
                <w:bCs/>
                <w:lang w:eastAsia="en-GB"/>
              </w:rPr>
            </w:pPr>
            <w:r w:rsidRPr="00C56DE4">
              <w:rPr>
                <w:rFonts w:ascii="Arial" w:eastAsia="Times New Roman" w:hAnsi="Arial" w:cs="Arial"/>
                <w:b/>
                <w:bCs/>
                <w:lang w:eastAsia="en-GB"/>
              </w:rPr>
              <w:t>Sources</w:t>
            </w:r>
          </w:p>
        </w:tc>
      </w:tr>
      <w:tr w:rsidR="00667B73" w14:paraId="120BA7CE" w14:textId="6A440180" w:rsidTr="00821F3E">
        <w:tc>
          <w:tcPr>
            <w:tcW w:w="2195" w:type="dxa"/>
          </w:tcPr>
          <w:p w14:paraId="1EBE3C8F" w14:textId="77777777" w:rsidR="00821F3E" w:rsidRPr="00EA52FE" w:rsidRDefault="00821F3E" w:rsidP="005D5F92">
            <w:pPr>
              <w:spacing w:line="360" w:lineRule="auto"/>
              <w:rPr>
                <w:rFonts w:ascii="Arial" w:eastAsia="Times New Roman" w:hAnsi="Arial" w:cs="Arial"/>
                <w:lang w:eastAsia="en-GB"/>
              </w:rPr>
            </w:pPr>
            <w:r w:rsidRPr="00EA52FE">
              <w:rPr>
                <w:rFonts w:ascii="Arial" w:eastAsia="Times New Roman" w:hAnsi="Arial" w:cs="Arial"/>
                <w:b/>
                <w:bCs/>
                <w:lang w:eastAsia="en-GB"/>
              </w:rPr>
              <w:t>1</w:t>
            </w:r>
            <w:r w:rsidRPr="00EA52FE">
              <w:rPr>
                <w:rFonts w:ascii="Arial" w:eastAsia="Times New Roman" w:hAnsi="Arial" w:cs="Arial"/>
                <w:lang w:eastAsia="en-GB"/>
              </w:rPr>
              <w:t xml:space="preserve">. Psychological treatments, mainly CBT </w:t>
            </w:r>
            <w:r w:rsidRPr="00EA52FE">
              <w:rPr>
                <w:rFonts w:ascii="Arial" w:eastAsia="Times New Roman" w:hAnsi="Arial" w:cs="Arial"/>
                <w:lang w:eastAsia="en-GB"/>
              </w:rPr>
              <w:lastRenderedPageBreak/>
              <w:t>(cognitive behavioural therapy)</w:t>
            </w:r>
          </w:p>
          <w:p w14:paraId="56FF64FF" w14:textId="77777777" w:rsidR="00821F3E" w:rsidRPr="00682F27" w:rsidRDefault="00821F3E" w:rsidP="005D5F92">
            <w:pPr>
              <w:spacing w:line="360" w:lineRule="auto"/>
              <w:rPr>
                <w:rFonts w:ascii="Arial" w:eastAsia="Times New Roman" w:hAnsi="Arial" w:cs="Arial"/>
                <w:lang w:eastAsia="en-GB"/>
              </w:rPr>
            </w:pPr>
          </w:p>
        </w:tc>
        <w:tc>
          <w:tcPr>
            <w:tcW w:w="2204" w:type="dxa"/>
          </w:tcPr>
          <w:p w14:paraId="7F0E39E3" w14:textId="77777777" w:rsidR="00821F3E" w:rsidRPr="0028051B" w:rsidRDefault="00821F3E" w:rsidP="005D5F92">
            <w:pPr>
              <w:spacing w:line="360" w:lineRule="auto"/>
              <w:rPr>
                <w:rFonts w:ascii="Arial" w:eastAsia="Times New Roman" w:hAnsi="Arial" w:cs="Arial"/>
                <w:lang w:eastAsia="en-GB"/>
              </w:rPr>
            </w:pPr>
            <w:r w:rsidRPr="0028051B">
              <w:rPr>
                <w:rFonts w:ascii="Arial" w:eastAsia="Times New Roman" w:hAnsi="Arial" w:cs="Arial"/>
                <w:lang w:eastAsia="en-GB"/>
              </w:rPr>
              <w:lastRenderedPageBreak/>
              <w:t xml:space="preserve">For the majority of ICD-11 anxiety </w:t>
            </w:r>
            <w:r w:rsidRPr="0028051B">
              <w:rPr>
                <w:rFonts w:ascii="Arial" w:eastAsia="Times New Roman" w:hAnsi="Arial" w:cs="Arial"/>
                <w:lang w:eastAsia="en-GB"/>
              </w:rPr>
              <w:lastRenderedPageBreak/>
              <w:t>disorders (GAD, panic disorder, social anxiety, phobias), cognitive behavioural therapy (CBT) continues to be the first-line treatment. In order to lessen maladaptive fear reactions, it emphasises cognitive restructuring and exposure. When CBT is not available or is not preferred, psychodynamic therapy is taken into consideration.</w:t>
            </w:r>
          </w:p>
          <w:p w14:paraId="1ED281DA" w14:textId="77777777" w:rsidR="00821F3E" w:rsidRPr="00682F27" w:rsidRDefault="00821F3E" w:rsidP="005D5F92">
            <w:pPr>
              <w:spacing w:line="360" w:lineRule="auto"/>
              <w:rPr>
                <w:rFonts w:ascii="Arial" w:eastAsia="Times New Roman" w:hAnsi="Arial" w:cs="Arial"/>
                <w:lang w:eastAsia="en-GB"/>
              </w:rPr>
            </w:pPr>
          </w:p>
        </w:tc>
        <w:tc>
          <w:tcPr>
            <w:tcW w:w="1864" w:type="dxa"/>
          </w:tcPr>
          <w:p w14:paraId="07581D40" w14:textId="77777777" w:rsidR="00682F27" w:rsidRDefault="00821F3E" w:rsidP="005D5F92">
            <w:pPr>
              <w:spacing w:line="360" w:lineRule="auto"/>
              <w:rPr>
                <w:rFonts w:ascii="Arial" w:eastAsia="Times New Roman" w:hAnsi="Arial" w:cs="Arial"/>
                <w:lang w:eastAsia="en-GB"/>
              </w:rPr>
            </w:pPr>
            <w:r w:rsidRPr="00A20F97">
              <w:rPr>
                <w:rFonts w:ascii="Arial" w:eastAsia="Times New Roman" w:hAnsi="Arial" w:cs="Arial"/>
                <w:lang w:eastAsia="en-GB"/>
              </w:rPr>
              <w:lastRenderedPageBreak/>
              <w:t xml:space="preserve">• Robust evidence-based support </w:t>
            </w:r>
            <w:r w:rsidRPr="00A20F97">
              <w:rPr>
                <w:rFonts w:ascii="Arial" w:eastAsia="Times New Roman" w:hAnsi="Arial" w:cs="Arial"/>
                <w:lang w:eastAsia="en-GB"/>
              </w:rPr>
              <w:lastRenderedPageBreak/>
              <w:t>for all disorders.</w:t>
            </w:r>
          </w:p>
          <w:p w14:paraId="345C6492" w14:textId="3C1B729A" w:rsidR="00682F27" w:rsidRDefault="00821F3E" w:rsidP="005D5F92">
            <w:pPr>
              <w:spacing w:line="360" w:lineRule="auto"/>
              <w:rPr>
                <w:rFonts w:ascii="Arial" w:eastAsia="Times New Roman" w:hAnsi="Arial" w:cs="Arial"/>
                <w:lang w:eastAsia="en-GB"/>
              </w:rPr>
            </w:pPr>
            <w:r w:rsidRPr="00A20F97">
              <w:rPr>
                <w:rFonts w:ascii="Arial" w:eastAsia="Times New Roman" w:hAnsi="Arial" w:cs="Arial"/>
                <w:lang w:eastAsia="en-GB"/>
              </w:rPr>
              <w:t xml:space="preserve">• </w:t>
            </w:r>
            <w:r w:rsidRPr="00682F27">
              <w:rPr>
                <w:rFonts w:ascii="Arial" w:eastAsia="Times New Roman" w:hAnsi="Arial" w:cs="Arial"/>
                <w:lang w:eastAsia="en-GB"/>
              </w:rPr>
              <w:t>Considers</w:t>
            </w:r>
            <w:r w:rsidRPr="00A20F97">
              <w:rPr>
                <w:rFonts w:ascii="Arial" w:eastAsia="Times New Roman" w:hAnsi="Arial" w:cs="Arial"/>
                <w:lang w:eastAsia="en-GB"/>
              </w:rPr>
              <w:t xml:space="preserve"> underlying behavioural and cognitive processes.</w:t>
            </w:r>
          </w:p>
          <w:p w14:paraId="0AAA37BA" w14:textId="040845E1" w:rsidR="00682F27" w:rsidRDefault="00821F3E" w:rsidP="005D5F92">
            <w:pPr>
              <w:spacing w:line="360" w:lineRule="auto"/>
              <w:rPr>
                <w:rFonts w:ascii="Arial" w:eastAsia="Times New Roman" w:hAnsi="Arial" w:cs="Arial"/>
                <w:lang w:eastAsia="en-GB"/>
              </w:rPr>
            </w:pPr>
            <w:r w:rsidRPr="00A20F97">
              <w:rPr>
                <w:rFonts w:ascii="Arial" w:eastAsia="Times New Roman" w:hAnsi="Arial" w:cs="Arial"/>
                <w:lang w:eastAsia="en-GB"/>
              </w:rPr>
              <w:t>• Low relapse and long-term durability.</w:t>
            </w:r>
          </w:p>
          <w:p w14:paraId="7C04DBA8" w14:textId="4C6D8A9A" w:rsidR="00821F3E" w:rsidRPr="00A20F97" w:rsidRDefault="00821F3E" w:rsidP="005D5F92">
            <w:pPr>
              <w:spacing w:line="360" w:lineRule="auto"/>
              <w:rPr>
                <w:rFonts w:ascii="Arial" w:eastAsia="Times New Roman" w:hAnsi="Arial" w:cs="Arial"/>
                <w:lang w:eastAsia="en-GB"/>
              </w:rPr>
            </w:pPr>
            <w:r w:rsidRPr="00A20F97">
              <w:rPr>
                <w:rFonts w:ascii="Arial" w:eastAsia="Times New Roman" w:hAnsi="Arial" w:cs="Arial"/>
                <w:lang w:eastAsia="en-GB"/>
              </w:rPr>
              <w:t>• Fewer adverse effects than with medication.</w:t>
            </w:r>
          </w:p>
          <w:p w14:paraId="0CCC3B4D" w14:textId="77777777" w:rsidR="00821F3E" w:rsidRPr="00682F27" w:rsidRDefault="00821F3E" w:rsidP="005D5F92">
            <w:pPr>
              <w:spacing w:line="360" w:lineRule="auto"/>
              <w:rPr>
                <w:rFonts w:ascii="Arial" w:eastAsia="Times New Roman" w:hAnsi="Arial" w:cs="Arial"/>
                <w:lang w:eastAsia="en-GB"/>
              </w:rPr>
            </w:pPr>
          </w:p>
        </w:tc>
        <w:tc>
          <w:tcPr>
            <w:tcW w:w="1665" w:type="dxa"/>
          </w:tcPr>
          <w:p w14:paraId="12EC67E1" w14:textId="77777777" w:rsidR="00682F27" w:rsidRDefault="00821F3E" w:rsidP="005D5F92">
            <w:pPr>
              <w:spacing w:line="360" w:lineRule="auto"/>
              <w:rPr>
                <w:rFonts w:ascii="Arial" w:eastAsia="Times New Roman" w:hAnsi="Arial" w:cs="Arial"/>
                <w:lang w:eastAsia="en-GB"/>
              </w:rPr>
            </w:pPr>
            <w:r w:rsidRPr="00712954">
              <w:rPr>
                <w:rFonts w:ascii="Arial" w:eastAsia="Times New Roman" w:hAnsi="Arial" w:cs="Arial"/>
                <w:lang w:eastAsia="en-GB"/>
              </w:rPr>
              <w:lastRenderedPageBreak/>
              <w:t>• Globally, access and availability are still restricted.</w:t>
            </w:r>
          </w:p>
          <w:p w14:paraId="1ADAD4E6" w14:textId="626D7DE5" w:rsidR="00682F27" w:rsidRDefault="00821F3E" w:rsidP="005D5F92">
            <w:pPr>
              <w:spacing w:line="360" w:lineRule="auto"/>
              <w:rPr>
                <w:rFonts w:ascii="Arial" w:eastAsia="Times New Roman" w:hAnsi="Arial" w:cs="Arial"/>
                <w:lang w:eastAsia="en-GB"/>
              </w:rPr>
            </w:pPr>
            <w:r w:rsidRPr="00712954">
              <w:rPr>
                <w:rFonts w:ascii="Arial" w:eastAsia="Times New Roman" w:hAnsi="Arial" w:cs="Arial"/>
                <w:lang w:eastAsia="en-GB"/>
              </w:rPr>
              <w:lastRenderedPageBreak/>
              <w:t>• The effect sizes of self-help or lower-intensity CBT, including online forms, are smaller.</w:t>
            </w:r>
          </w:p>
          <w:p w14:paraId="4BECD752" w14:textId="1D83A21F" w:rsidR="00682F27" w:rsidRDefault="00821F3E" w:rsidP="005D5F92">
            <w:pPr>
              <w:spacing w:line="360" w:lineRule="auto"/>
              <w:rPr>
                <w:rFonts w:ascii="Arial" w:eastAsia="Times New Roman" w:hAnsi="Arial" w:cs="Arial"/>
                <w:lang w:eastAsia="en-GB"/>
              </w:rPr>
            </w:pPr>
            <w:r w:rsidRPr="00712954">
              <w:rPr>
                <w:rFonts w:ascii="Arial" w:eastAsia="Times New Roman" w:hAnsi="Arial" w:cs="Arial"/>
                <w:lang w:eastAsia="en-GB"/>
              </w:rPr>
              <w:t>• Only a partial response may occur in severe or comorbid cases.</w:t>
            </w:r>
          </w:p>
          <w:p w14:paraId="316593BE" w14:textId="5DEF3043" w:rsidR="00821F3E" w:rsidRPr="00712954" w:rsidRDefault="00821F3E" w:rsidP="005D5F92">
            <w:pPr>
              <w:spacing w:line="360" w:lineRule="auto"/>
              <w:rPr>
                <w:rFonts w:ascii="Arial" w:eastAsia="Times New Roman" w:hAnsi="Arial" w:cs="Arial"/>
                <w:lang w:eastAsia="en-GB"/>
              </w:rPr>
            </w:pPr>
            <w:r w:rsidRPr="00712954">
              <w:rPr>
                <w:rFonts w:ascii="Arial" w:eastAsia="Times New Roman" w:hAnsi="Arial" w:cs="Arial"/>
                <w:lang w:eastAsia="en-GB"/>
              </w:rPr>
              <w:t>• The universal applicability of ICD-11 may be challenged by cultural and resource-level variations in effectiveness.</w:t>
            </w:r>
          </w:p>
          <w:p w14:paraId="7EACD951" w14:textId="77777777" w:rsidR="00821F3E" w:rsidRPr="00682F27" w:rsidRDefault="00821F3E" w:rsidP="005D5F92">
            <w:pPr>
              <w:spacing w:line="360" w:lineRule="auto"/>
              <w:rPr>
                <w:rFonts w:ascii="Arial" w:eastAsia="Times New Roman" w:hAnsi="Arial" w:cs="Arial"/>
                <w:lang w:eastAsia="en-GB"/>
              </w:rPr>
            </w:pPr>
          </w:p>
        </w:tc>
        <w:tc>
          <w:tcPr>
            <w:tcW w:w="1088" w:type="dxa"/>
          </w:tcPr>
          <w:p w14:paraId="4DFA7B84" w14:textId="40D7C6AB" w:rsidR="00821F3E" w:rsidRPr="00712954" w:rsidRDefault="00481AB7" w:rsidP="005D5F92">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w:t>
            </w:r>
            <w:r w:rsidR="003E3FBF">
              <w:rPr>
                <w:rFonts w:ascii="Times New Roman" w:eastAsia="Times New Roman" w:hAnsi="Times New Roman" w:cs="Times New Roman"/>
                <w:sz w:val="24"/>
                <w:szCs w:val="24"/>
                <w:lang w:eastAsia="en-GB"/>
              </w:rPr>
              <w:t>Ban</w:t>
            </w:r>
            <w:r w:rsidR="00667B73">
              <w:rPr>
                <w:rFonts w:ascii="Times New Roman" w:eastAsia="Times New Roman" w:hAnsi="Times New Roman" w:cs="Times New Roman"/>
                <w:sz w:val="24"/>
                <w:szCs w:val="24"/>
                <w:lang w:eastAsia="en-GB"/>
              </w:rPr>
              <w:t>delow, B,</w:t>
            </w:r>
            <w:r>
              <w:rPr>
                <w:rFonts w:ascii="Times New Roman" w:eastAsia="Times New Roman" w:hAnsi="Times New Roman" w:cs="Times New Roman"/>
                <w:sz w:val="24"/>
                <w:szCs w:val="24"/>
                <w:lang w:eastAsia="en-GB"/>
              </w:rPr>
              <w:t xml:space="preserve"> </w:t>
            </w:r>
            <w:r w:rsidR="00667B73">
              <w:rPr>
                <w:rFonts w:ascii="Times New Roman" w:eastAsia="Times New Roman" w:hAnsi="Times New Roman" w:cs="Times New Roman"/>
                <w:sz w:val="24"/>
                <w:szCs w:val="24"/>
                <w:lang w:eastAsia="en-GB"/>
              </w:rPr>
              <w:t>et,</w:t>
            </w:r>
            <w:r>
              <w:rPr>
                <w:rFonts w:ascii="Times New Roman" w:eastAsia="Times New Roman" w:hAnsi="Times New Roman" w:cs="Times New Roman"/>
                <w:sz w:val="24"/>
                <w:szCs w:val="24"/>
                <w:lang w:eastAsia="en-GB"/>
              </w:rPr>
              <w:t xml:space="preserve"> </w:t>
            </w:r>
            <w:r w:rsidR="00667B73">
              <w:rPr>
                <w:rFonts w:ascii="Times New Roman" w:eastAsia="Times New Roman" w:hAnsi="Times New Roman" w:cs="Times New Roman"/>
                <w:sz w:val="24"/>
                <w:szCs w:val="24"/>
                <w:lang w:eastAsia="en-GB"/>
              </w:rPr>
              <w:t xml:space="preserve">al, </w:t>
            </w:r>
            <w:r>
              <w:rPr>
                <w:rFonts w:ascii="Times New Roman" w:eastAsia="Times New Roman" w:hAnsi="Times New Roman" w:cs="Times New Roman"/>
                <w:sz w:val="24"/>
                <w:szCs w:val="24"/>
                <w:lang w:eastAsia="en-GB"/>
              </w:rPr>
              <w:t>2021)</w:t>
            </w:r>
          </w:p>
        </w:tc>
      </w:tr>
      <w:tr w:rsidR="00667B73" w14:paraId="032A34B6" w14:textId="662EEA51" w:rsidTr="00821F3E">
        <w:tc>
          <w:tcPr>
            <w:tcW w:w="2195" w:type="dxa"/>
          </w:tcPr>
          <w:p w14:paraId="74A53B98" w14:textId="77777777" w:rsidR="00821F3E" w:rsidRPr="00E675EC" w:rsidRDefault="00821F3E" w:rsidP="005D5F92">
            <w:pPr>
              <w:spacing w:line="360" w:lineRule="auto"/>
              <w:rPr>
                <w:rFonts w:ascii="Arial" w:eastAsia="Times New Roman" w:hAnsi="Arial" w:cs="Arial"/>
                <w:lang w:eastAsia="en-GB"/>
              </w:rPr>
            </w:pPr>
            <w:r w:rsidRPr="00E675EC">
              <w:rPr>
                <w:rFonts w:ascii="Arial" w:eastAsia="Times New Roman" w:hAnsi="Arial" w:cs="Arial"/>
                <w:b/>
                <w:bCs/>
                <w:lang w:eastAsia="en-GB"/>
              </w:rPr>
              <w:t>2</w:t>
            </w:r>
            <w:r w:rsidRPr="00E675EC">
              <w:rPr>
                <w:rFonts w:ascii="Arial" w:eastAsia="Times New Roman" w:hAnsi="Arial" w:cs="Arial"/>
                <w:lang w:eastAsia="en-GB"/>
              </w:rPr>
              <w:t>. Pharmacological Interventions (including SNRIs and SSRIs)</w:t>
            </w:r>
          </w:p>
          <w:p w14:paraId="64315177" w14:textId="77777777" w:rsidR="00821F3E" w:rsidRPr="00682F27" w:rsidRDefault="00821F3E" w:rsidP="005D5F92">
            <w:pPr>
              <w:spacing w:line="360" w:lineRule="auto"/>
              <w:rPr>
                <w:rFonts w:ascii="Arial" w:eastAsia="Times New Roman" w:hAnsi="Arial" w:cs="Arial"/>
                <w:lang w:eastAsia="en-GB"/>
              </w:rPr>
            </w:pPr>
          </w:p>
        </w:tc>
        <w:tc>
          <w:tcPr>
            <w:tcW w:w="2204" w:type="dxa"/>
          </w:tcPr>
          <w:p w14:paraId="042F73EC" w14:textId="77777777" w:rsidR="00821F3E" w:rsidRPr="00A00124" w:rsidRDefault="00821F3E" w:rsidP="005D5F92">
            <w:pPr>
              <w:spacing w:line="360" w:lineRule="auto"/>
              <w:rPr>
                <w:rFonts w:ascii="Arial" w:eastAsia="Times New Roman" w:hAnsi="Arial" w:cs="Arial"/>
                <w:lang w:eastAsia="en-GB"/>
              </w:rPr>
            </w:pPr>
            <w:r w:rsidRPr="00A00124">
              <w:rPr>
                <w:rFonts w:ascii="Arial" w:eastAsia="Times New Roman" w:hAnsi="Arial" w:cs="Arial"/>
                <w:lang w:eastAsia="en-GB"/>
              </w:rPr>
              <w:t>First-line medications that are advised include SSRIs (such as escitalopram and sertraline) and SNRIs (such as venlafaxine). Benzodiazepine</w:t>
            </w:r>
            <w:r w:rsidRPr="00A00124">
              <w:rPr>
                <w:rFonts w:ascii="Arial" w:eastAsia="Times New Roman" w:hAnsi="Arial" w:cs="Arial"/>
                <w:lang w:eastAsia="en-GB"/>
              </w:rPr>
              <w:lastRenderedPageBreak/>
              <w:t>s should only be used acutely or for brief periods of time. usually kept up for six to twelve months after remission in order to avoid relapse.</w:t>
            </w:r>
          </w:p>
          <w:p w14:paraId="530F34F2" w14:textId="77777777" w:rsidR="00821F3E" w:rsidRPr="00682F27" w:rsidRDefault="00821F3E" w:rsidP="005D5F92">
            <w:pPr>
              <w:spacing w:line="360" w:lineRule="auto"/>
              <w:rPr>
                <w:rFonts w:ascii="Arial" w:eastAsia="Times New Roman" w:hAnsi="Arial" w:cs="Arial"/>
                <w:lang w:eastAsia="en-GB"/>
              </w:rPr>
            </w:pPr>
          </w:p>
        </w:tc>
        <w:tc>
          <w:tcPr>
            <w:tcW w:w="1864" w:type="dxa"/>
          </w:tcPr>
          <w:p w14:paraId="63F9D96D" w14:textId="77777777" w:rsidR="007949FF" w:rsidRPr="007949FF" w:rsidRDefault="007949FF" w:rsidP="005D5F92">
            <w:pPr>
              <w:spacing w:line="360" w:lineRule="auto"/>
              <w:rPr>
                <w:rFonts w:ascii="Arial" w:eastAsia="Times New Roman" w:hAnsi="Arial" w:cs="Arial"/>
                <w:lang w:eastAsia="en-GB"/>
              </w:rPr>
            </w:pPr>
            <w:r w:rsidRPr="007949FF">
              <w:rPr>
                <w:rFonts w:ascii="Arial" w:eastAsia="Times New Roman" w:hAnsi="Arial" w:cs="Arial"/>
                <w:lang w:eastAsia="en-GB"/>
              </w:rPr>
              <w:lastRenderedPageBreak/>
              <w:t xml:space="preserve">It can be used in conjunction with psychotherapy for moderate-to-severe cases; it is widely accessible and frequently more </w:t>
            </w:r>
            <w:r w:rsidRPr="007949FF">
              <w:rPr>
                <w:rFonts w:ascii="Arial" w:eastAsia="Times New Roman" w:hAnsi="Arial" w:cs="Arial"/>
                <w:lang w:eastAsia="en-GB"/>
              </w:rPr>
              <w:lastRenderedPageBreak/>
              <w:t>immediately effective for somatic/panic symptoms; it is especially helpful in situations where psychotherapy is unavailable.</w:t>
            </w:r>
          </w:p>
          <w:p w14:paraId="096F0547" w14:textId="77777777" w:rsidR="00821F3E" w:rsidRPr="00682F27" w:rsidRDefault="00821F3E" w:rsidP="005D5F92">
            <w:pPr>
              <w:spacing w:line="360" w:lineRule="auto"/>
              <w:rPr>
                <w:rFonts w:ascii="Arial" w:eastAsia="Times New Roman" w:hAnsi="Arial" w:cs="Arial"/>
                <w:lang w:eastAsia="en-GB"/>
              </w:rPr>
            </w:pPr>
          </w:p>
        </w:tc>
        <w:tc>
          <w:tcPr>
            <w:tcW w:w="1665" w:type="dxa"/>
          </w:tcPr>
          <w:p w14:paraId="22995E74" w14:textId="77777777" w:rsidR="00960B3F" w:rsidRPr="00960B3F" w:rsidRDefault="00960B3F" w:rsidP="005D5F92">
            <w:pPr>
              <w:spacing w:line="360" w:lineRule="auto"/>
              <w:rPr>
                <w:rFonts w:ascii="Arial" w:eastAsia="Times New Roman" w:hAnsi="Arial" w:cs="Arial"/>
                <w:lang w:eastAsia="en-GB"/>
              </w:rPr>
            </w:pPr>
            <w:r w:rsidRPr="00960B3F">
              <w:rPr>
                <w:rFonts w:ascii="Arial" w:eastAsia="Times New Roman" w:hAnsi="Arial" w:cs="Arial"/>
                <w:lang w:eastAsia="en-GB"/>
              </w:rPr>
              <w:lastRenderedPageBreak/>
              <w:t>• The burden of side effects, such as nausea, withdrawal, and sexual dysfunction.</w:t>
            </w:r>
            <w:r w:rsidRPr="00960B3F">
              <w:rPr>
                <w:rFonts w:ascii="Arial" w:eastAsia="Times New Roman" w:hAnsi="Arial" w:cs="Arial"/>
                <w:lang w:eastAsia="en-GB"/>
              </w:rPr>
              <w:br/>
              <w:t>• Risk of dependence (benzodiazepines).</w:t>
            </w:r>
            <w:r w:rsidRPr="00960B3F">
              <w:rPr>
                <w:rFonts w:ascii="Arial" w:eastAsia="Times New Roman" w:hAnsi="Arial" w:cs="Arial"/>
                <w:lang w:eastAsia="en-GB"/>
              </w:rPr>
              <w:br/>
              <w:t xml:space="preserve">• Relapse rates are still high, and many people only </w:t>
            </w:r>
            <w:r w:rsidRPr="00960B3F">
              <w:rPr>
                <w:rFonts w:ascii="Arial" w:eastAsia="Times New Roman" w:hAnsi="Arial" w:cs="Arial"/>
                <w:lang w:eastAsia="en-GB"/>
              </w:rPr>
              <w:lastRenderedPageBreak/>
              <w:t>experience partial remission.</w:t>
            </w:r>
            <w:r w:rsidRPr="00960B3F">
              <w:rPr>
                <w:rFonts w:ascii="Arial" w:eastAsia="Times New Roman" w:hAnsi="Arial" w:cs="Arial"/>
                <w:lang w:eastAsia="en-GB"/>
              </w:rPr>
              <w:br/>
              <w:t>• Relying too much on medication runs the risk of ignoring psychological aspects.</w:t>
            </w:r>
          </w:p>
          <w:p w14:paraId="6A89AD53" w14:textId="77777777" w:rsidR="00821F3E" w:rsidRPr="00682F27" w:rsidRDefault="00821F3E" w:rsidP="005D5F92">
            <w:pPr>
              <w:spacing w:line="360" w:lineRule="auto"/>
              <w:rPr>
                <w:rFonts w:ascii="Arial" w:eastAsia="Times New Roman" w:hAnsi="Arial" w:cs="Arial"/>
                <w:lang w:eastAsia="en-GB"/>
              </w:rPr>
            </w:pPr>
          </w:p>
        </w:tc>
        <w:tc>
          <w:tcPr>
            <w:tcW w:w="1088" w:type="dxa"/>
          </w:tcPr>
          <w:p w14:paraId="30E010F3" w14:textId="6B177B9B" w:rsidR="00821F3E" w:rsidRDefault="00A12906" w:rsidP="005D5F92">
            <w:pPr>
              <w:spacing w:line="360" w:lineRule="auto"/>
              <w:rPr>
                <w:rFonts w:ascii="Arial" w:eastAsia="Times New Roman" w:hAnsi="Arial" w:cs="Arial"/>
                <w:lang w:eastAsia="en-GB"/>
              </w:rPr>
            </w:pPr>
            <w:r>
              <w:rPr>
                <w:rFonts w:ascii="Arial" w:eastAsia="Times New Roman" w:hAnsi="Arial" w:cs="Arial"/>
                <w:lang w:eastAsia="en-GB"/>
              </w:rPr>
              <w:lastRenderedPageBreak/>
              <w:t>(Bandelow, B, et, al, 2021)</w:t>
            </w:r>
            <w:r w:rsidR="006F56F0">
              <w:rPr>
                <w:rFonts w:ascii="Arial" w:eastAsia="Times New Roman" w:hAnsi="Arial" w:cs="Arial"/>
                <w:lang w:eastAsia="en-GB"/>
              </w:rPr>
              <w:t>,</w:t>
            </w:r>
            <w:r w:rsidR="00586915">
              <w:rPr>
                <w:rFonts w:ascii="Arial" w:eastAsia="Times New Roman" w:hAnsi="Arial" w:cs="Arial"/>
                <w:lang w:eastAsia="en-GB"/>
              </w:rPr>
              <w:t xml:space="preserve"> (Hoyer,</w:t>
            </w:r>
            <w:r w:rsidR="005C4483">
              <w:rPr>
                <w:rFonts w:ascii="Arial" w:eastAsia="Times New Roman" w:hAnsi="Arial" w:cs="Arial"/>
                <w:lang w:eastAsia="en-GB"/>
              </w:rPr>
              <w:t xml:space="preserve"> </w:t>
            </w:r>
            <w:r w:rsidR="00586915">
              <w:rPr>
                <w:rFonts w:ascii="Arial" w:eastAsia="Times New Roman" w:hAnsi="Arial" w:cs="Arial"/>
                <w:lang w:eastAsia="en-GB"/>
              </w:rPr>
              <w:t>J, et, al</w:t>
            </w:r>
            <w:r w:rsidR="005C4483">
              <w:rPr>
                <w:rFonts w:ascii="Arial" w:eastAsia="Times New Roman" w:hAnsi="Arial" w:cs="Arial"/>
                <w:lang w:eastAsia="en-GB"/>
              </w:rPr>
              <w:t>).</w:t>
            </w:r>
          </w:p>
        </w:tc>
      </w:tr>
      <w:tr w:rsidR="00667B73" w14:paraId="1ED0B592" w14:textId="696047C7" w:rsidTr="00821F3E">
        <w:tc>
          <w:tcPr>
            <w:tcW w:w="2195" w:type="dxa"/>
          </w:tcPr>
          <w:p w14:paraId="58554968" w14:textId="77777777" w:rsidR="003166F7" w:rsidRPr="003166F7" w:rsidRDefault="003166F7" w:rsidP="005D5F92">
            <w:pPr>
              <w:spacing w:line="360" w:lineRule="auto"/>
              <w:rPr>
                <w:rFonts w:ascii="Arial" w:eastAsia="Times New Roman" w:hAnsi="Arial" w:cs="Arial"/>
                <w:lang w:eastAsia="en-GB"/>
              </w:rPr>
            </w:pPr>
            <w:r w:rsidRPr="003166F7">
              <w:rPr>
                <w:rFonts w:ascii="Arial" w:eastAsia="Times New Roman" w:hAnsi="Arial" w:cs="Arial"/>
                <w:b/>
                <w:bCs/>
                <w:lang w:eastAsia="en-GB"/>
              </w:rPr>
              <w:t>3</w:t>
            </w:r>
            <w:r w:rsidRPr="003166F7">
              <w:rPr>
                <w:rFonts w:ascii="Arial" w:eastAsia="Times New Roman" w:hAnsi="Arial" w:cs="Arial"/>
                <w:lang w:eastAsia="en-GB"/>
              </w:rPr>
              <w:t>. Stepped-Care and Combined Models</w:t>
            </w:r>
          </w:p>
          <w:p w14:paraId="0534DB46" w14:textId="77777777" w:rsidR="00821F3E" w:rsidRPr="00682F27" w:rsidRDefault="00821F3E" w:rsidP="005D5F92">
            <w:pPr>
              <w:spacing w:line="360" w:lineRule="auto"/>
              <w:rPr>
                <w:rFonts w:ascii="Arial" w:eastAsia="Times New Roman" w:hAnsi="Arial" w:cs="Arial"/>
                <w:lang w:eastAsia="en-GB"/>
              </w:rPr>
            </w:pPr>
          </w:p>
        </w:tc>
        <w:tc>
          <w:tcPr>
            <w:tcW w:w="2204" w:type="dxa"/>
          </w:tcPr>
          <w:p w14:paraId="0AF4B5BE" w14:textId="77777777" w:rsidR="004D3F8B" w:rsidRPr="004D3F8B" w:rsidRDefault="004D3F8B" w:rsidP="005D5F92">
            <w:pPr>
              <w:spacing w:line="360" w:lineRule="auto"/>
              <w:rPr>
                <w:rFonts w:ascii="Arial" w:eastAsia="Times New Roman" w:hAnsi="Arial" w:cs="Arial"/>
                <w:lang w:eastAsia="en-GB"/>
              </w:rPr>
            </w:pPr>
            <w:r w:rsidRPr="004D3F8B">
              <w:rPr>
                <w:rFonts w:ascii="Arial" w:eastAsia="Times New Roman" w:hAnsi="Arial" w:cs="Arial"/>
                <w:lang w:eastAsia="en-GB"/>
              </w:rPr>
              <w:t>Stepped-care frameworks advise beginning with low-intensity therapy (guided self-help) and, if symptoms worsen, progressing to CBT, medication, or both. Treatments that are combined can produce better results, especially for severe or resistant anxiety.</w:t>
            </w:r>
          </w:p>
          <w:p w14:paraId="57CCC5E7" w14:textId="77777777" w:rsidR="00821F3E" w:rsidRPr="00682F27" w:rsidRDefault="00821F3E" w:rsidP="005D5F92">
            <w:pPr>
              <w:spacing w:line="360" w:lineRule="auto"/>
              <w:rPr>
                <w:rFonts w:ascii="Arial" w:eastAsia="Times New Roman" w:hAnsi="Arial" w:cs="Arial"/>
                <w:lang w:eastAsia="en-GB"/>
              </w:rPr>
            </w:pPr>
          </w:p>
        </w:tc>
        <w:tc>
          <w:tcPr>
            <w:tcW w:w="1864" w:type="dxa"/>
          </w:tcPr>
          <w:p w14:paraId="6F0579D3" w14:textId="7CEF7B6E" w:rsidR="00B77BE6" w:rsidRPr="00682F27" w:rsidRDefault="0032695E" w:rsidP="005D5F92">
            <w:pPr>
              <w:spacing w:line="360" w:lineRule="auto"/>
              <w:rPr>
                <w:rFonts w:ascii="Arial" w:eastAsia="Times New Roman" w:hAnsi="Arial" w:cs="Arial"/>
                <w:lang w:eastAsia="en-GB"/>
              </w:rPr>
            </w:pPr>
            <w:r w:rsidRPr="0032695E">
              <w:rPr>
                <w:rFonts w:ascii="Arial" w:eastAsia="Times New Roman" w:hAnsi="Arial" w:cs="Arial"/>
                <w:lang w:eastAsia="en-GB"/>
              </w:rPr>
              <w:t xml:space="preserve">•Acknowledges variations in severity and treatment </w:t>
            </w:r>
            <w:r w:rsidR="00B77BE6" w:rsidRPr="00682F27">
              <w:rPr>
                <w:rFonts w:ascii="Arial" w:eastAsia="Times New Roman" w:hAnsi="Arial" w:cs="Arial"/>
                <w:lang w:eastAsia="en-GB"/>
              </w:rPr>
              <w:t>response.</w:t>
            </w:r>
          </w:p>
          <w:p w14:paraId="0073F791" w14:textId="5A99D26B" w:rsidR="0032695E" w:rsidRPr="0032695E" w:rsidRDefault="0032695E" w:rsidP="005D5F92">
            <w:pPr>
              <w:spacing w:line="360" w:lineRule="auto"/>
              <w:rPr>
                <w:rFonts w:ascii="Arial" w:eastAsia="Times New Roman" w:hAnsi="Arial" w:cs="Arial"/>
                <w:lang w:eastAsia="en-GB"/>
              </w:rPr>
            </w:pPr>
            <w:r w:rsidRPr="0032695E">
              <w:rPr>
                <w:rFonts w:ascii="Arial" w:eastAsia="Times New Roman" w:hAnsi="Arial" w:cs="Arial"/>
                <w:lang w:eastAsia="en-GB"/>
              </w:rPr>
              <w:t>• Encourages effective use of resources and patient-</w:t>
            </w:r>
            <w:r w:rsidR="00B77BE6" w:rsidRPr="00682F27">
              <w:rPr>
                <w:rFonts w:ascii="Arial" w:eastAsia="Times New Roman" w:hAnsi="Arial" w:cs="Arial"/>
                <w:lang w:eastAsia="en-GB"/>
              </w:rPr>
              <w:t>centred</w:t>
            </w:r>
            <w:r w:rsidRPr="0032695E">
              <w:rPr>
                <w:rFonts w:ascii="Arial" w:eastAsia="Times New Roman" w:hAnsi="Arial" w:cs="Arial"/>
                <w:lang w:eastAsia="en-GB"/>
              </w:rPr>
              <w:t xml:space="preserve"> customisation.</w:t>
            </w:r>
            <w:r w:rsidRPr="0032695E">
              <w:rPr>
                <w:rFonts w:ascii="Arial" w:eastAsia="Times New Roman" w:hAnsi="Arial" w:cs="Arial"/>
                <w:lang w:eastAsia="en-GB"/>
              </w:rPr>
              <w:br/>
              <w:t>• For complicated cases, combination therapy frequently produces better results.</w:t>
            </w:r>
          </w:p>
          <w:p w14:paraId="65D10599" w14:textId="77777777" w:rsidR="00821F3E" w:rsidRPr="00682F27" w:rsidRDefault="00821F3E" w:rsidP="005D5F92">
            <w:pPr>
              <w:spacing w:line="360" w:lineRule="auto"/>
              <w:rPr>
                <w:rFonts w:ascii="Arial" w:eastAsia="Times New Roman" w:hAnsi="Arial" w:cs="Arial"/>
                <w:lang w:eastAsia="en-GB"/>
              </w:rPr>
            </w:pPr>
          </w:p>
        </w:tc>
        <w:tc>
          <w:tcPr>
            <w:tcW w:w="1665" w:type="dxa"/>
          </w:tcPr>
          <w:p w14:paraId="3C1ADB41" w14:textId="77777777" w:rsidR="00B8174E" w:rsidRPr="00B8174E" w:rsidRDefault="00B8174E" w:rsidP="005D5F92">
            <w:pPr>
              <w:spacing w:line="360" w:lineRule="auto"/>
              <w:rPr>
                <w:rFonts w:ascii="Arial" w:eastAsia="Times New Roman" w:hAnsi="Arial" w:cs="Arial"/>
                <w:lang w:eastAsia="en-GB"/>
              </w:rPr>
            </w:pPr>
            <w:r w:rsidRPr="00B8174E">
              <w:rPr>
                <w:rFonts w:ascii="Arial" w:eastAsia="Times New Roman" w:hAnsi="Arial" w:cs="Arial"/>
                <w:lang w:eastAsia="en-GB"/>
              </w:rPr>
              <w:t>• There is still conflicting evidence regarding the effectiveness of combined therapy for all types of anxiety.</w:t>
            </w:r>
            <w:r w:rsidRPr="00B8174E">
              <w:rPr>
                <w:rFonts w:ascii="Arial" w:eastAsia="Times New Roman" w:hAnsi="Arial" w:cs="Arial"/>
                <w:lang w:eastAsia="en-GB"/>
              </w:rPr>
              <w:br/>
              <w:t>• Healthcare infrastructure plays a major role in implementation.</w:t>
            </w:r>
            <w:r w:rsidRPr="00B8174E">
              <w:rPr>
                <w:rFonts w:ascii="Arial" w:eastAsia="Times New Roman" w:hAnsi="Arial" w:cs="Arial"/>
                <w:lang w:eastAsia="en-GB"/>
              </w:rPr>
              <w:br/>
              <w:t>• In situations with limited resources, it might be expensive or unfeasible.</w:t>
            </w:r>
            <w:r w:rsidRPr="00B8174E">
              <w:rPr>
                <w:rFonts w:ascii="Arial" w:eastAsia="Times New Roman" w:hAnsi="Arial" w:cs="Arial"/>
                <w:lang w:eastAsia="en-GB"/>
              </w:rPr>
              <w:br/>
              <w:t>• Demands meticulous provider coordination.</w:t>
            </w:r>
          </w:p>
          <w:p w14:paraId="53DD8726" w14:textId="77777777" w:rsidR="00821F3E" w:rsidRPr="00682F27" w:rsidRDefault="00821F3E" w:rsidP="005D5F92">
            <w:pPr>
              <w:spacing w:line="360" w:lineRule="auto"/>
              <w:rPr>
                <w:rFonts w:ascii="Arial" w:eastAsia="Times New Roman" w:hAnsi="Arial" w:cs="Arial"/>
                <w:lang w:eastAsia="en-GB"/>
              </w:rPr>
            </w:pPr>
          </w:p>
        </w:tc>
        <w:tc>
          <w:tcPr>
            <w:tcW w:w="1088" w:type="dxa"/>
          </w:tcPr>
          <w:p w14:paraId="2DAE9C4C" w14:textId="7E8672B0" w:rsidR="00821F3E" w:rsidRDefault="002B544E" w:rsidP="005D5F92">
            <w:pPr>
              <w:spacing w:line="360" w:lineRule="auto"/>
              <w:rPr>
                <w:rFonts w:ascii="Arial" w:eastAsia="Times New Roman" w:hAnsi="Arial" w:cs="Arial"/>
                <w:lang w:eastAsia="en-GB"/>
              </w:rPr>
            </w:pPr>
            <w:r>
              <w:rPr>
                <w:rFonts w:ascii="Arial" w:eastAsia="Times New Roman" w:hAnsi="Arial" w:cs="Arial"/>
                <w:lang w:eastAsia="en-GB"/>
              </w:rPr>
              <w:t>(</w:t>
            </w:r>
            <w:r w:rsidR="00817D7E">
              <w:rPr>
                <w:rFonts w:ascii="Arial" w:eastAsia="Times New Roman" w:hAnsi="Arial" w:cs="Arial"/>
                <w:lang w:eastAsia="en-GB"/>
              </w:rPr>
              <w:t>Nice</w:t>
            </w:r>
            <w:r>
              <w:rPr>
                <w:rFonts w:ascii="Arial" w:eastAsia="Times New Roman" w:hAnsi="Arial" w:cs="Arial"/>
                <w:lang w:eastAsia="en-GB"/>
              </w:rPr>
              <w:t>, 2020)</w:t>
            </w:r>
          </w:p>
        </w:tc>
      </w:tr>
      <w:tr w:rsidR="00667B73" w14:paraId="2BDB757C" w14:textId="348983D6" w:rsidTr="00821F3E">
        <w:tc>
          <w:tcPr>
            <w:tcW w:w="2195" w:type="dxa"/>
          </w:tcPr>
          <w:p w14:paraId="4057C2BD" w14:textId="77777777" w:rsidR="003D4D3F" w:rsidRPr="003D4D3F" w:rsidRDefault="003D4D3F" w:rsidP="005D5F92">
            <w:pPr>
              <w:spacing w:line="360" w:lineRule="auto"/>
              <w:rPr>
                <w:rFonts w:ascii="Arial" w:eastAsia="Times New Roman" w:hAnsi="Arial" w:cs="Arial"/>
                <w:b/>
                <w:bCs/>
                <w:lang w:eastAsia="en-GB"/>
              </w:rPr>
            </w:pPr>
            <w:r w:rsidRPr="003D4D3F">
              <w:rPr>
                <w:rFonts w:ascii="Arial" w:eastAsia="Times New Roman" w:hAnsi="Arial" w:cs="Arial"/>
                <w:b/>
                <w:bCs/>
                <w:lang w:eastAsia="en-GB"/>
              </w:rPr>
              <w:t>4. Current and Upcoming Discussions</w:t>
            </w:r>
          </w:p>
          <w:p w14:paraId="47D26699" w14:textId="77777777" w:rsidR="00821F3E" w:rsidRPr="00682F27" w:rsidRDefault="00821F3E" w:rsidP="005D5F92">
            <w:pPr>
              <w:spacing w:line="360" w:lineRule="auto"/>
              <w:rPr>
                <w:rFonts w:ascii="Arial" w:eastAsia="Times New Roman" w:hAnsi="Arial" w:cs="Arial"/>
                <w:lang w:eastAsia="en-GB"/>
              </w:rPr>
            </w:pPr>
          </w:p>
        </w:tc>
        <w:tc>
          <w:tcPr>
            <w:tcW w:w="2204" w:type="dxa"/>
          </w:tcPr>
          <w:p w14:paraId="2794B827" w14:textId="77777777" w:rsidR="00CE6A09" w:rsidRPr="00CE6A09" w:rsidRDefault="00CE6A09" w:rsidP="005D5F92">
            <w:pPr>
              <w:spacing w:line="360" w:lineRule="auto"/>
              <w:rPr>
                <w:rFonts w:ascii="Arial" w:eastAsia="Times New Roman" w:hAnsi="Arial" w:cs="Arial"/>
                <w:lang w:eastAsia="en-GB"/>
              </w:rPr>
            </w:pPr>
            <w:r w:rsidRPr="00CE6A09">
              <w:rPr>
                <w:rFonts w:ascii="Arial" w:eastAsia="Times New Roman" w:hAnsi="Arial" w:cs="Arial"/>
                <w:lang w:eastAsia="en-GB"/>
              </w:rPr>
              <w:t xml:space="preserve">Precision-based and technology-assisted interventions </w:t>
            </w:r>
            <w:r w:rsidRPr="00CE6A09">
              <w:rPr>
                <w:rFonts w:ascii="Arial" w:eastAsia="Times New Roman" w:hAnsi="Arial" w:cs="Arial"/>
                <w:lang w:eastAsia="en-GB"/>
              </w:rPr>
              <w:lastRenderedPageBreak/>
              <w:t>(such as self-guided digital CBT and virtual reality exposure therapy) are currently being discussed. These methods complement ICD-11's focus on adaptability and worldwide relevance.</w:t>
            </w:r>
          </w:p>
          <w:p w14:paraId="6DB6DD23" w14:textId="77777777" w:rsidR="00821F3E" w:rsidRPr="00682F27" w:rsidRDefault="00821F3E" w:rsidP="005D5F92">
            <w:pPr>
              <w:spacing w:line="360" w:lineRule="auto"/>
              <w:rPr>
                <w:rFonts w:ascii="Arial" w:eastAsia="Times New Roman" w:hAnsi="Arial" w:cs="Arial"/>
                <w:lang w:eastAsia="en-GB"/>
              </w:rPr>
            </w:pPr>
          </w:p>
        </w:tc>
        <w:tc>
          <w:tcPr>
            <w:tcW w:w="1864" w:type="dxa"/>
          </w:tcPr>
          <w:p w14:paraId="531D17C6" w14:textId="77777777" w:rsidR="008E0BC0" w:rsidRPr="008E0BC0" w:rsidRDefault="008E0BC0" w:rsidP="005D5F92">
            <w:pPr>
              <w:spacing w:line="360" w:lineRule="auto"/>
              <w:rPr>
                <w:rFonts w:ascii="Arial" w:eastAsia="Times New Roman" w:hAnsi="Arial" w:cs="Arial"/>
                <w:lang w:eastAsia="en-GB"/>
              </w:rPr>
            </w:pPr>
            <w:r w:rsidRPr="008E0BC0">
              <w:rPr>
                <w:rFonts w:ascii="Arial" w:eastAsia="Times New Roman" w:hAnsi="Arial" w:cs="Arial"/>
                <w:lang w:eastAsia="en-GB"/>
              </w:rPr>
              <w:lastRenderedPageBreak/>
              <w:t xml:space="preserve">• Increases accessibility; in theory, cost-effective; • </w:t>
            </w:r>
            <w:r w:rsidRPr="008E0BC0">
              <w:rPr>
                <w:rFonts w:ascii="Arial" w:eastAsia="Times New Roman" w:hAnsi="Arial" w:cs="Arial"/>
                <w:lang w:eastAsia="en-GB"/>
              </w:rPr>
              <w:lastRenderedPageBreak/>
              <w:t>May lessen stigma and treatment barriers; • Makes personalised and transdiagnostic models possible.</w:t>
            </w:r>
          </w:p>
          <w:p w14:paraId="1B4E7497" w14:textId="77777777" w:rsidR="00821F3E" w:rsidRPr="00682F27" w:rsidRDefault="00821F3E" w:rsidP="005D5F92">
            <w:pPr>
              <w:spacing w:line="360" w:lineRule="auto"/>
              <w:rPr>
                <w:rFonts w:ascii="Arial" w:eastAsia="Times New Roman" w:hAnsi="Arial" w:cs="Arial"/>
                <w:lang w:eastAsia="en-GB"/>
              </w:rPr>
            </w:pPr>
          </w:p>
        </w:tc>
        <w:tc>
          <w:tcPr>
            <w:tcW w:w="1665" w:type="dxa"/>
          </w:tcPr>
          <w:p w14:paraId="6DBD1EA0" w14:textId="77777777" w:rsidR="00682F27" w:rsidRPr="00682F27" w:rsidRDefault="00682F27" w:rsidP="005D5F92">
            <w:pPr>
              <w:spacing w:line="360" w:lineRule="auto"/>
              <w:rPr>
                <w:rFonts w:ascii="Arial" w:eastAsia="Times New Roman" w:hAnsi="Arial" w:cs="Arial"/>
                <w:lang w:eastAsia="en-GB"/>
              </w:rPr>
            </w:pPr>
            <w:r w:rsidRPr="00682F27">
              <w:rPr>
                <w:rFonts w:ascii="Arial" w:eastAsia="Times New Roman" w:hAnsi="Arial" w:cs="Arial"/>
                <w:lang w:eastAsia="en-GB"/>
              </w:rPr>
              <w:lastRenderedPageBreak/>
              <w:t>• Limited information on long-term efficacy.</w:t>
            </w:r>
            <w:r w:rsidRPr="00682F27">
              <w:rPr>
                <w:rFonts w:ascii="Arial" w:eastAsia="Times New Roman" w:hAnsi="Arial" w:cs="Arial"/>
                <w:lang w:eastAsia="en-GB"/>
              </w:rPr>
              <w:br/>
              <w:t xml:space="preserve">• Issues with the </w:t>
            </w:r>
            <w:r w:rsidRPr="00682F27">
              <w:rPr>
                <w:rFonts w:ascii="Arial" w:eastAsia="Times New Roman" w:hAnsi="Arial" w:cs="Arial"/>
                <w:lang w:eastAsia="en-GB"/>
              </w:rPr>
              <w:lastRenderedPageBreak/>
              <w:t>digital divide and ethics.</w:t>
            </w:r>
            <w:r w:rsidRPr="00682F27">
              <w:rPr>
                <w:rFonts w:ascii="Arial" w:eastAsia="Times New Roman" w:hAnsi="Arial" w:cs="Arial"/>
                <w:lang w:eastAsia="en-GB"/>
              </w:rPr>
              <w:br/>
              <w:t>• The majority of the evidence came from DSM-based samples; its applicability to the reorganised nosology of ICD-11 is uncertain.</w:t>
            </w:r>
          </w:p>
          <w:p w14:paraId="350B8C45" w14:textId="77777777" w:rsidR="00821F3E" w:rsidRPr="00682F27" w:rsidRDefault="00821F3E" w:rsidP="005D5F92">
            <w:pPr>
              <w:spacing w:line="360" w:lineRule="auto"/>
              <w:rPr>
                <w:rFonts w:ascii="Arial" w:eastAsia="Times New Roman" w:hAnsi="Arial" w:cs="Arial"/>
                <w:lang w:eastAsia="en-GB"/>
              </w:rPr>
            </w:pPr>
          </w:p>
        </w:tc>
        <w:tc>
          <w:tcPr>
            <w:tcW w:w="1088" w:type="dxa"/>
          </w:tcPr>
          <w:p w14:paraId="1A93867B" w14:textId="434A5EE2" w:rsidR="00821F3E" w:rsidRDefault="002B544E" w:rsidP="005D5F92">
            <w:pPr>
              <w:spacing w:line="360" w:lineRule="auto"/>
              <w:rPr>
                <w:rFonts w:ascii="Arial" w:eastAsia="Times New Roman" w:hAnsi="Arial" w:cs="Arial"/>
                <w:lang w:eastAsia="en-GB"/>
              </w:rPr>
            </w:pPr>
            <w:r>
              <w:rPr>
                <w:rFonts w:ascii="Arial" w:eastAsia="Times New Roman" w:hAnsi="Arial" w:cs="Arial"/>
                <w:lang w:eastAsia="en-GB"/>
              </w:rPr>
              <w:lastRenderedPageBreak/>
              <w:t>(Nice, 2020)</w:t>
            </w:r>
          </w:p>
        </w:tc>
      </w:tr>
    </w:tbl>
    <w:p w14:paraId="14DE83F7" w14:textId="77777777" w:rsidR="006D6C0C" w:rsidRPr="00301F8E" w:rsidRDefault="006D6C0C" w:rsidP="005D5F92">
      <w:pPr>
        <w:spacing w:after="0" w:line="360" w:lineRule="auto"/>
        <w:rPr>
          <w:rFonts w:ascii="Arial" w:eastAsia="Times New Roman" w:hAnsi="Arial" w:cs="Arial"/>
          <w:lang w:eastAsia="en-GB"/>
        </w:rPr>
      </w:pPr>
    </w:p>
    <w:p w14:paraId="76131181" w14:textId="77777777" w:rsidR="004C2B5C" w:rsidRDefault="004C2B5C" w:rsidP="00301F8E">
      <w:pPr>
        <w:spacing w:after="0" w:line="360" w:lineRule="auto"/>
        <w:rPr>
          <w:rFonts w:ascii="Arial" w:eastAsia="Times New Roman" w:hAnsi="Arial" w:cs="Arial"/>
          <w:b/>
          <w:bCs/>
          <w:sz w:val="24"/>
          <w:szCs w:val="24"/>
          <w:u w:val="single"/>
          <w:lang w:eastAsia="en-GB"/>
        </w:rPr>
      </w:pPr>
    </w:p>
    <w:p w14:paraId="09216AAB" w14:textId="42E21381" w:rsidR="009B77C2" w:rsidRPr="001F3859" w:rsidRDefault="00EC66FA" w:rsidP="00301F8E">
      <w:pPr>
        <w:spacing w:after="0" w:line="360" w:lineRule="auto"/>
        <w:rPr>
          <w:rFonts w:ascii="Arial" w:eastAsia="Times New Roman" w:hAnsi="Arial" w:cs="Arial"/>
          <w:b/>
          <w:bCs/>
          <w:sz w:val="24"/>
          <w:szCs w:val="24"/>
          <w:u w:val="single"/>
          <w:lang w:eastAsia="en-GB"/>
        </w:rPr>
      </w:pPr>
      <w:r w:rsidRPr="001F3859">
        <w:rPr>
          <w:rFonts w:ascii="Arial" w:eastAsia="Times New Roman" w:hAnsi="Arial" w:cs="Arial"/>
          <w:b/>
          <w:bCs/>
          <w:sz w:val="24"/>
          <w:szCs w:val="24"/>
          <w:u w:val="single"/>
          <w:lang w:eastAsia="en-GB"/>
        </w:rPr>
        <w:t>Rehabilitation</w:t>
      </w:r>
      <w:r w:rsidR="00DF2056" w:rsidRPr="001F3859">
        <w:rPr>
          <w:rFonts w:ascii="Arial" w:eastAsia="Times New Roman" w:hAnsi="Arial" w:cs="Arial"/>
          <w:b/>
          <w:bCs/>
          <w:sz w:val="24"/>
          <w:szCs w:val="24"/>
          <w:u w:val="single"/>
          <w:lang w:eastAsia="en-GB"/>
        </w:rPr>
        <w:t xml:space="preserve"> and </w:t>
      </w:r>
      <w:r w:rsidR="00DC08FC" w:rsidRPr="001F3859">
        <w:rPr>
          <w:rFonts w:ascii="Arial" w:eastAsia="Times New Roman" w:hAnsi="Arial" w:cs="Arial"/>
          <w:b/>
          <w:bCs/>
          <w:sz w:val="24"/>
          <w:szCs w:val="24"/>
          <w:u w:val="single"/>
          <w:lang w:eastAsia="en-GB"/>
        </w:rPr>
        <w:t>Long-Term</w:t>
      </w:r>
      <w:r w:rsidR="00DF2056" w:rsidRPr="001F3859">
        <w:rPr>
          <w:rFonts w:ascii="Arial" w:eastAsia="Times New Roman" w:hAnsi="Arial" w:cs="Arial"/>
          <w:b/>
          <w:bCs/>
          <w:sz w:val="24"/>
          <w:szCs w:val="24"/>
          <w:u w:val="single"/>
          <w:lang w:eastAsia="en-GB"/>
        </w:rPr>
        <w:t xml:space="preserve"> Management</w:t>
      </w:r>
    </w:p>
    <w:p w14:paraId="7B39F87A" w14:textId="77777777" w:rsidR="00397636" w:rsidRDefault="00397636" w:rsidP="00301F8E">
      <w:pPr>
        <w:spacing w:after="0" w:line="360" w:lineRule="auto"/>
        <w:rPr>
          <w:rFonts w:ascii="Arial" w:eastAsia="Times New Roman" w:hAnsi="Arial" w:cs="Arial"/>
          <w:b/>
          <w:bCs/>
          <w:lang w:eastAsia="en-GB"/>
        </w:rPr>
      </w:pPr>
    </w:p>
    <w:p w14:paraId="205B9F7E" w14:textId="77777777" w:rsidR="00397636" w:rsidRPr="00397636" w:rsidRDefault="00397636" w:rsidP="007D089A">
      <w:pPr>
        <w:spacing w:after="0" w:line="360" w:lineRule="auto"/>
        <w:rPr>
          <w:rFonts w:ascii="Arial" w:eastAsia="Times New Roman" w:hAnsi="Arial" w:cs="Arial"/>
          <w:lang w:eastAsia="en-GB"/>
        </w:rPr>
      </w:pPr>
      <w:r w:rsidRPr="00397636">
        <w:rPr>
          <w:rFonts w:ascii="Arial" w:eastAsia="Times New Roman" w:hAnsi="Arial" w:cs="Arial"/>
          <w:lang w:eastAsia="en-GB"/>
        </w:rPr>
        <w:t>Anxiety and fear-related disorders are defined by ICD-11 as conditions that affect day-to-day functioning in addition to symptom severity. Instead of focussing only on symptom relief, this aligns rehabilitation with the objective of re-establishing engagement in employment, relationships, and community life (WHO, 2024). Therefore, community mental health teams (CMHTs), primary care, and volunteer partners provide structured psychological support, occupational therapy, and social reintegration activities as part of rehabilitation.</w:t>
      </w:r>
    </w:p>
    <w:p w14:paraId="2E98E8B4" w14:textId="77777777" w:rsidR="00397636" w:rsidRPr="007D089A" w:rsidRDefault="00397636" w:rsidP="007D089A">
      <w:pPr>
        <w:spacing w:after="0" w:line="360" w:lineRule="auto"/>
        <w:rPr>
          <w:rFonts w:ascii="Arial" w:eastAsia="Times New Roman" w:hAnsi="Arial" w:cs="Arial"/>
          <w:b/>
          <w:bCs/>
          <w:lang w:eastAsia="en-GB"/>
        </w:rPr>
      </w:pPr>
    </w:p>
    <w:p w14:paraId="4AB36846" w14:textId="77777777" w:rsidR="00A47B5F" w:rsidRPr="007D089A" w:rsidRDefault="00A47B5F" w:rsidP="007D089A">
      <w:pPr>
        <w:spacing w:after="0" w:line="360" w:lineRule="auto"/>
        <w:rPr>
          <w:rFonts w:ascii="Arial" w:eastAsia="Times New Roman" w:hAnsi="Arial" w:cs="Arial"/>
          <w:lang w:eastAsia="en-GB"/>
        </w:rPr>
      </w:pPr>
      <w:r w:rsidRPr="00A47B5F">
        <w:rPr>
          <w:rFonts w:ascii="Arial" w:eastAsia="Times New Roman" w:hAnsi="Arial" w:cs="Arial"/>
          <w:lang w:eastAsia="en-GB"/>
        </w:rPr>
        <w:t>Rehabilitation is included in the UK's NHS Long Term Plan for Mental Health (NHS England, 2019), which places a high priority on community-based, recovery-oriented care and equal treatment with physical health. Stepped-care frameworks, supported housing programs, and individual placement and support (IPS) for employment are examples of implementation. However, delivery outside of severe psychosis pathways is limited due to persistent workforce shortages and unequal access, as revealed by national audits.</w:t>
      </w:r>
    </w:p>
    <w:p w14:paraId="025570C7" w14:textId="77777777" w:rsidR="00A47B5F" w:rsidRPr="007D089A" w:rsidRDefault="00A47B5F" w:rsidP="007D089A">
      <w:pPr>
        <w:spacing w:after="0" w:line="360" w:lineRule="auto"/>
        <w:rPr>
          <w:rFonts w:ascii="Arial" w:eastAsia="Times New Roman" w:hAnsi="Arial" w:cs="Arial"/>
          <w:lang w:eastAsia="en-GB"/>
        </w:rPr>
      </w:pPr>
    </w:p>
    <w:p w14:paraId="2BF8BD56" w14:textId="616D304C" w:rsidR="00DF2056" w:rsidRPr="007D089A" w:rsidRDefault="00DF2056" w:rsidP="007D089A">
      <w:pPr>
        <w:spacing w:after="0" w:line="360" w:lineRule="auto"/>
        <w:rPr>
          <w:rFonts w:ascii="Arial" w:eastAsia="Times New Roman" w:hAnsi="Arial" w:cs="Arial"/>
          <w:lang w:eastAsia="en-GB"/>
        </w:rPr>
      </w:pPr>
      <w:r w:rsidRPr="00DF2056">
        <w:rPr>
          <w:rFonts w:ascii="Arial" w:eastAsia="Times New Roman" w:hAnsi="Arial" w:cs="Arial"/>
          <w:lang w:eastAsia="en-GB"/>
        </w:rPr>
        <w:t xml:space="preserve">Community treatment orders (CTOs) and mandatory treatment through detention are governed by the </w:t>
      </w:r>
      <w:r w:rsidR="006A44CF">
        <w:rPr>
          <w:rFonts w:ascii="Arial" w:eastAsia="Times New Roman" w:hAnsi="Arial" w:cs="Arial"/>
          <w:lang w:eastAsia="en-GB"/>
        </w:rPr>
        <w:t>(</w:t>
      </w:r>
      <w:r w:rsidRPr="00DF2056">
        <w:rPr>
          <w:rFonts w:ascii="Arial" w:eastAsia="Times New Roman" w:hAnsi="Arial" w:cs="Arial"/>
          <w:lang w:eastAsia="en-GB"/>
        </w:rPr>
        <w:t>Mental Health Act</w:t>
      </w:r>
      <w:r w:rsidR="00D13F08">
        <w:rPr>
          <w:rFonts w:ascii="Arial" w:eastAsia="Times New Roman" w:hAnsi="Arial" w:cs="Arial"/>
          <w:lang w:eastAsia="en-GB"/>
        </w:rPr>
        <w:t>,</w:t>
      </w:r>
      <w:r w:rsidRPr="00DF2056">
        <w:rPr>
          <w:rFonts w:ascii="Arial" w:eastAsia="Times New Roman" w:hAnsi="Arial" w:cs="Arial"/>
          <w:lang w:eastAsia="en-GB"/>
        </w:rPr>
        <w:t xml:space="preserve"> 1983</w:t>
      </w:r>
      <w:r w:rsidR="006A44CF">
        <w:rPr>
          <w:rFonts w:ascii="Arial" w:eastAsia="Times New Roman" w:hAnsi="Arial" w:cs="Arial"/>
          <w:lang w:eastAsia="en-GB"/>
        </w:rPr>
        <w:t>)</w:t>
      </w:r>
      <w:r w:rsidRPr="00DF2056">
        <w:rPr>
          <w:rFonts w:ascii="Arial" w:eastAsia="Times New Roman" w:hAnsi="Arial" w:cs="Arial"/>
          <w:lang w:eastAsia="en-GB"/>
        </w:rPr>
        <w:t xml:space="preserve">, which was amended in 2007. Although structured rehabilitation may be made possible by these measures, autonomy and proportionality raise ethical questions. The Act and its Code of Practice require patient </w:t>
      </w:r>
      <w:r w:rsidRPr="00DF2056">
        <w:rPr>
          <w:rFonts w:ascii="Arial" w:eastAsia="Times New Roman" w:hAnsi="Arial" w:cs="Arial"/>
          <w:lang w:eastAsia="en-GB"/>
        </w:rPr>
        <w:lastRenderedPageBreak/>
        <w:t>participation, least-restrictive care, and legal rights to appeal, all of which are essential components of modern recovery models.</w:t>
      </w:r>
    </w:p>
    <w:p w14:paraId="31CDAE5D" w14:textId="77777777" w:rsidR="0007398B" w:rsidRPr="007D089A" w:rsidRDefault="0007398B" w:rsidP="007D089A">
      <w:pPr>
        <w:spacing w:after="0" w:line="360" w:lineRule="auto"/>
        <w:rPr>
          <w:rFonts w:ascii="Arial" w:eastAsia="Times New Roman" w:hAnsi="Arial" w:cs="Arial"/>
          <w:lang w:eastAsia="en-GB"/>
        </w:rPr>
      </w:pPr>
    </w:p>
    <w:p w14:paraId="41EC98EF" w14:textId="6D99024B" w:rsidR="007D089A" w:rsidRPr="007D089A" w:rsidRDefault="007D089A" w:rsidP="007D089A">
      <w:pPr>
        <w:spacing w:after="0" w:line="360" w:lineRule="auto"/>
        <w:rPr>
          <w:rFonts w:ascii="Arial" w:eastAsia="Times New Roman" w:hAnsi="Arial" w:cs="Arial"/>
          <w:lang w:eastAsia="en-GB"/>
        </w:rPr>
      </w:pPr>
      <w:r w:rsidRPr="007D089A">
        <w:rPr>
          <w:rFonts w:ascii="Arial" w:eastAsia="Times New Roman" w:hAnsi="Arial" w:cs="Arial"/>
          <w:lang w:eastAsia="en-GB"/>
        </w:rPr>
        <w:t>Reintegration into society is still a major obstacle. Social isolation and long-term job withdrawal are two consequences of anxiety. Through advocacy, peer support, supported housing, and crisis intervention, charitable and third-sector organisations like Mind</w:t>
      </w:r>
      <w:r w:rsidR="006A3B53">
        <w:rPr>
          <w:rFonts w:ascii="Arial" w:eastAsia="Times New Roman" w:hAnsi="Arial" w:cs="Arial"/>
          <w:lang w:eastAsia="en-GB"/>
        </w:rPr>
        <w:t xml:space="preserve"> and </w:t>
      </w:r>
      <w:r w:rsidRPr="007D089A">
        <w:rPr>
          <w:rFonts w:ascii="Arial" w:eastAsia="Times New Roman" w:hAnsi="Arial" w:cs="Arial"/>
          <w:lang w:eastAsia="en-GB"/>
        </w:rPr>
        <w:t>Rethink Mental Illness, play a crucial role in rehabilitation. By addressing stigma, encouraging self-management, and assisting with re-engagement with society, these services support NHS care.</w:t>
      </w:r>
      <w:r w:rsidRPr="007D089A">
        <w:rPr>
          <w:rFonts w:ascii="Arial" w:eastAsia="Times New Roman" w:hAnsi="Arial" w:cs="Arial"/>
          <w:lang w:eastAsia="en-GB"/>
        </w:rPr>
        <w:br/>
      </w:r>
      <w:r w:rsidRPr="007D089A">
        <w:rPr>
          <w:rFonts w:ascii="Arial" w:eastAsia="Times New Roman" w:hAnsi="Arial" w:cs="Arial"/>
          <w:lang w:eastAsia="en-GB"/>
        </w:rPr>
        <w:br/>
        <w:t>In general, ICD-11 encourages a comprehensive rehabilitation strategy that prioritises functioning and recuperation. However, sustained investment, workforce growth, and improved integration between the statutory and voluntary sectors are necessary to achieve consistent, person-centred long-term management in the UK.</w:t>
      </w:r>
    </w:p>
    <w:p w14:paraId="2F45815D" w14:textId="77777777" w:rsidR="0007398B" w:rsidRPr="00DF2056" w:rsidRDefault="0007398B" w:rsidP="007D089A">
      <w:pPr>
        <w:spacing w:after="0" w:line="360" w:lineRule="auto"/>
        <w:rPr>
          <w:rFonts w:ascii="Arial" w:eastAsia="Times New Roman" w:hAnsi="Arial" w:cs="Arial"/>
          <w:lang w:eastAsia="en-GB"/>
        </w:rPr>
      </w:pPr>
    </w:p>
    <w:p w14:paraId="6FC25685" w14:textId="1C504B27" w:rsidR="001B7403" w:rsidRPr="001F3859" w:rsidRDefault="0061713C" w:rsidP="00002F93">
      <w:pPr>
        <w:spacing w:after="0" w:line="360" w:lineRule="auto"/>
        <w:rPr>
          <w:rFonts w:ascii="Arial" w:eastAsia="Times New Roman" w:hAnsi="Arial" w:cs="Arial"/>
          <w:b/>
          <w:bCs/>
          <w:sz w:val="24"/>
          <w:szCs w:val="24"/>
          <w:u w:val="single"/>
          <w:lang w:eastAsia="en-GB"/>
        </w:rPr>
      </w:pPr>
      <w:r w:rsidRPr="001F3859">
        <w:rPr>
          <w:rFonts w:ascii="Arial" w:eastAsia="Times New Roman" w:hAnsi="Arial" w:cs="Arial"/>
          <w:b/>
          <w:bCs/>
          <w:sz w:val="24"/>
          <w:szCs w:val="24"/>
          <w:u w:val="single"/>
          <w:lang w:eastAsia="en-GB"/>
        </w:rPr>
        <w:t>Current Debates and Emerg</w:t>
      </w:r>
      <w:r w:rsidR="00BD78F1" w:rsidRPr="001F3859">
        <w:rPr>
          <w:rFonts w:ascii="Arial" w:eastAsia="Times New Roman" w:hAnsi="Arial" w:cs="Arial"/>
          <w:b/>
          <w:bCs/>
          <w:sz w:val="24"/>
          <w:szCs w:val="24"/>
          <w:u w:val="single"/>
          <w:lang w:eastAsia="en-GB"/>
        </w:rPr>
        <w:t>ing Issues</w:t>
      </w:r>
    </w:p>
    <w:p w14:paraId="727E80F0" w14:textId="77777777" w:rsidR="00C751A4" w:rsidRDefault="00C751A4" w:rsidP="00ED0D75">
      <w:pPr>
        <w:spacing w:after="0" w:line="360" w:lineRule="auto"/>
        <w:rPr>
          <w:rFonts w:ascii="Arial" w:eastAsia="Times New Roman" w:hAnsi="Arial" w:cs="Arial"/>
          <w:lang w:eastAsia="en-GB"/>
        </w:rPr>
      </w:pPr>
    </w:p>
    <w:p w14:paraId="2CD23E99" w14:textId="56A7F8C8" w:rsidR="00F27E84" w:rsidRPr="00B41E2A" w:rsidRDefault="00F27E84" w:rsidP="00B41E2A">
      <w:pPr>
        <w:spacing w:after="0" w:line="360" w:lineRule="auto"/>
        <w:rPr>
          <w:rFonts w:ascii="Arial" w:eastAsia="Times New Roman" w:hAnsi="Arial" w:cs="Arial"/>
          <w:lang w:eastAsia="en-GB"/>
        </w:rPr>
      </w:pPr>
      <w:r w:rsidRPr="00F27E84">
        <w:rPr>
          <w:rFonts w:ascii="Arial" w:eastAsia="Times New Roman" w:hAnsi="Arial" w:cs="Arial"/>
          <w:lang w:eastAsia="en-GB"/>
        </w:rPr>
        <w:t>The focus of current discussions about anxiety is on social context, treatment precision, and nosology. The goal of ICD-11's shift to essential-feature and function-focused descriptions was to increase clinical utility, but detractors contend that this decreases operational precision for research and makes crosswalks with DSM-derived evidence more difficult, which is problematic for prevalence monitoring and treatment trials. Retraining, mapping legacy datasets, and maintaining epidemiological continuity present practical challenges for UK services implementing ICD-11</w:t>
      </w:r>
      <w:r w:rsidR="00700BC8" w:rsidRPr="00B41E2A">
        <w:rPr>
          <w:rFonts w:ascii="Arial" w:eastAsia="Times New Roman" w:hAnsi="Arial" w:cs="Arial"/>
          <w:lang w:eastAsia="en-GB"/>
        </w:rPr>
        <w:t xml:space="preserve"> according </w:t>
      </w:r>
      <w:r w:rsidR="000821E4" w:rsidRPr="00B41E2A">
        <w:rPr>
          <w:rFonts w:ascii="Arial" w:eastAsia="Times New Roman" w:hAnsi="Arial" w:cs="Arial"/>
          <w:lang w:eastAsia="en-GB"/>
        </w:rPr>
        <w:t>to (Chin Wei Ooi,</w:t>
      </w:r>
      <w:r w:rsidR="005C4DC9" w:rsidRPr="00B41E2A">
        <w:rPr>
          <w:rFonts w:ascii="Arial" w:eastAsia="Times New Roman" w:hAnsi="Arial" w:cs="Arial"/>
          <w:lang w:eastAsia="en-GB"/>
        </w:rPr>
        <w:t xml:space="preserve"> E, et, al, 2025).</w:t>
      </w:r>
      <w:r w:rsidR="00700BC8" w:rsidRPr="00B41E2A">
        <w:rPr>
          <w:rFonts w:ascii="Arial" w:eastAsia="Times New Roman" w:hAnsi="Arial" w:cs="Arial"/>
          <w:lang w:eastAsia="en-GB"/>
        </w:rPr>
        <w:t xml:space="preserve"> </w:t>
      </w:r>
    </w:p>
    <w:p w14:paraId="6AB5EB93" w14:textId="77777777" w:rsidR="00D91A1B" w:rsidRPr="00B41E2A" w:rsidRDefault="00D91A1B" w:rsidP="00B41E2A">
      <w:pPr>
        <w:spacing w:after="0" w:line="360" w:lineRule="auto"/>
        <w:rPr>
          <w:rFonts w:ascii="Arial" w:eastAsia="Times New Roman" w:hAnsi="Arial" w:cs="Arial"/>
          <w:lang w:eastAsia="en-GB"/>
        </w:rPr>
      </w:pPr>
    </w:p>
    <w:p w14:paraId="74CA8D66" w14:textId="50863531" w:rsidR="00D91A1B" w:rsidRPr="00B41E2A" w:rsidRDefault="00D91A1B" w:rsidP="00B41E2A">
      <w:pPr>
        <w:spacing w:after="0" w:line="360" w:lineRule="auto"/>
        <w:rPr>
          <w:rFonts w:ascii="Arial" w:eastAsia="Times New Roman" w:hAnsi="Arial" w:cs="Arial"/>
          <w:lang w:eastAsia="en-GB"/>
        </w:rPr>
      </w:pPr>
      <w:r w:rsidRPr="00D91A1B">
        <w:rPr>
          <w:rFonts w:ascii="Arial" w:eastAsia="Times New Roman" w:hAnsi="Arial" w:cs="Arial"/>
          <w:lang w:eastAsia="en-GB"/>
        </w:rPr>
        <w:t xml:space="preserve">The role of neurodivergence (autism spectrum disorders, ADHD) in redefining anxiety diagnostic frameworks is a developing, contentious field. Many anxiety symptoms in neurodivergent individuals may have distinct aetiologies (sensory overload, social cognition differences, executive-function stressors) that may not fit into conventional anxiety algorithms, according to </w:t>
      </w:r>
      <w:r w:rsidR="00B83F17" w:rsidRPr="00B41E2A">
        <w:rPr>
          <w:rFonts w:ascii="Arial" w:eastAsia="Times New Roman" w:hAnsi="Arial" w:cs="Arial"/>
          <w:lang w:eastAsia="en-GB"/>
        </w:rPr>
        <w:t xml:space="preserve">(Bonti, E, </w:t>
      </w:r>
      <w:r w:rsidR="00D207E2" w:rsidRPr="00B41E2A">
        <w:rPr>
          <w:rFonts w:ascii="Arial" w:eastAsia="Times New Roman" w:hAnsi="Arial" w:cs="Arial"/>
          <w:lang w:eastAsia="en-GB"/>
        </w:rPr>
        <w:t>et, al, (2024)</w:t>
      </w:r>
      <w:r w:rsidRPr="00D91A1B">
        <w:rPr>
          <w:rFonts w:ascii="Arial" w:eastAsia="Times New Roman" w:hAnsi="Arial" w:cs="Arial"/>
          <w:lang w:eastAsia="en-GB"/>
        </w:rPr>
        <w:t>. This has led to demands for dimensional, transdiagnostic approaches that take neurodevelopmental profiles into consideration when defining case</w:t>
      </w:r>
      <w:r w:rsidR="00090886" w:rsidRPr="00B41E2A">
        <w:rPr>
          <w:rFonts w:ascii="Arial" w:eastAsia="Times New Roman" w:hAnsi="Arial" w:cs="Arial"/>
          <w:lang w:eastAsia="en-GB"/>
        </w:rPr>
        <w:t>s</w:t>
      </w:r>
      <w:r w:rsidRPr="00D91A1B">
        <w:rPr>
          <w:rFonts w:ascii="Arial" w:eastAsia="Times New Roman" w:hAnsi="Arial" w:cs="Arial"/>
          <w:lang w:eastAsia="en-GB"/>
        </w:rPr>
        <w:t xml:space="preserve"> and choosing interventions</w:t>
      </w:r>
      <w:r w:rsidR="004358E5">
        <w:rPr>
          <w:rFonts w:ascii="Arial" w:eastAsia="Times New Roman" w:hAnsi="Arial" w:cs="Arial"/>
          <w:lang w:eastAsia="en-GB"/>
        </w:rPr>
        <w:t xml:space="preserve"> as</w:t>
      </w:r>
      <w:r w:rsidR="00945273">
        <w:rPr>
          <w:rFonts w:ascii="Arial" w:eastAsia="Times New Roman" w:hAnsi="Arial" w:cs="Arial"/>
          <w:lang w:eastAsia="en-GB"/>
        </w:rPr>
        <w:t xml:space="preserve"> </w:t>
      </w:r>
      <w:r w:rsidR="00AE3E78">
        <w:rPr>
          <w:rFonts w:ascii="Arial" w:eastAsia="Times New Roman" w:hAnsi="Arial" w:cs="Arial"/>
          <w:lang w:eastAsia="en-GB"/>
        </w:rPr>
        <w:t>outlined by (</w:t>
      </w:r>
      <w:r w:rsidR="004330EC">
        <w:rPr>
          <w:rFonts w:ascii="Arial" w:eastAsia="Times New Roman" w:hAnsi="Arial" w:cs="Arial"/>
          <w:lang w:eastAsia="en-GB"/>
        </w:rPr>
        <w:t>Nafarreh</w:t>
      </w:r>
      <w:r w:rsidR="00B819CE">
        <w:rPr>
          <w:rFonts w:ascii="Arial" w:eastAsia="Times New Roman" w:hAnsi="Arial" w:cs="Arial"/>
          <w:lang w:eastAsia="en-GB"/>
        </w:rPr>
        <w:t xml:space="preserve">, </w:t>
      </w:r>
      <w:r w:rsidR="004330EC">
        <w:rPr>
          <w:rFonts w:ascii="Arial" w:eastAsia="Times New Roman" w:hAnsi="Arial" w:cs="Arial"/>
          <w:lang w:eastAsia="en-GB"/>
        </w:rPr>
        <w:t>K</w:t>
      </w:r>
      <w:r w:rsidR="00B819CE">
        <w:rPr>
          <w:rFonts w:ascii="Arial" w:eastAsia="Times New Roman" w:hAnsi="Arial" w:cs="Arial"/>
          <w:lang w:eastAsia="en-GB"/>
        </w:rPr>
        <w:t>, et,</w:t>
      </w:r>
      <w:r w:rsidR="005D7381">
        <w:rPr>
          <w:rFonts w:ascii="Arial" w:eastAsia="Times New Roman" w:hAnsi="Arial" w:cs="Arial"/>
          <w:lang w:eastAsia="en-GB"/>
        </w:rPr>
        <w:t xml:space="preserve"> </w:t>
      </w:r>
      <w:r w:rsidR="00B819CE">
        <w:rPr>
          <w:rFonts w:ascii="Arial" w:eastAsia="Times New Roman" w:hAnsi="Arial" w:cs="Arial"/>
          <w:lang w:eastAsia="en-GB"/>
        </w:rPr>
        <w:t>al</w:t>
      </w:r>
      <w:r w:rsidR="005D7381">
        <w:rPr>
          <w:rFonts w:ascii="Arial" w:eastAsia="Times New Roman" w:hAnsi="Arial" w:cs="Arial"/>
          <w:lang w:eastAsia="en-GB"/>
        </w:rPr>
        <w:t>, 2024</w:t>
      </w:r>
      <w:r w:rsidR="004358E5">
        <w:rPr>
          <w:rFonts w:ascii="Arial" w:eastAsia="Times New Roman" w:hAnsi="Arial" w:cs="Arial"/>
          <w:lang w:eastAsia="en-GB"/>
        </w:rPr>
        <w:t>.</w:t>
      </w:r>
      <w:r w:rsidR="005D7381">
        <w:rPr>
          <w:rFonts w:ascii="Arial" w:eastAsia="Times New Roman" w:hAnsi="Arial" w:cs="Arial"/>
          <w:lang w:eastAsia="en-GB"/>
        </w:rPr>
        <w:t>)</w:t>
      </w:r>
      <w:r w:rsidRPr="00D91A1B">
        <w:rPr>
          <w:rFonts w:ascii="Arial" w:eastAsia="Times New Roman" w:hAnsi="Arial" w:cs="Arial"/>
          <w:lang w:eastAsia="en-GB"/>
        </w:rPr>
        <w:t xml:space="preserve"> Both better person-centred care and increased complexity for service delivery and research comparability are at risk from such a reorientation.</w:t>
      </w:r>
    </w:p>
    <w:p w14:paraId="2F6F721A" w14:textId="77777777" w:rsidR="00090886" w:rsidRPr="00B41E2A" w:rsidRDefault="00090886" w:rsidP="00B41E2A">
      <w:pPr>
        <w:spacing w:after="0" w:line="360" w:lineRule="auto"/>
        <w:rPr>
          <w:rFonts w:ascii="Arial" w:eastAsia="Times New Roman" w:hAnsi="Arial" w:cs="Arial"/>
          <w:lang w:eastAsia="en-GB"/>
        </w:rPr>
      </w:pPr>
    </w:p>
    <w:p w14:paraId="4077E7BB" w14:textId="556C2498" w:rsidR="003F1630" w:rsidRPr="00B41E2A" w:rsidRDefault="003F1630" w:rsidP="00B41E2A">
      <w:pPr>
        <w:spacing w:after="0" w:line="360" w:lineRule="auto"/>
        <w:rPr>
          <w:rFonts w:ascii="Arial" w:eastAsia="Times New Roman" w:hAnsi="Arial" w:cs="Arial"/>
          <w:lang w:eastAsia="en-GB"/>
        </w:rPr>
      </w:pPr>
      <w:r w:rsidRPr="003F1630">
        <w:rPr>
          <w:rFonts w:ascii="Arial" w:eastAsia="Times New Roman" w:hAnsi="Arial" w:cs="Arial"/>
          <w:lang w:eastAsia="en-GB"/>
        </w:rPr>
        <w:t>Changes in policy intensify these discussions.</w:t>
      </w:r>
      <w:r w:rsidR="005F3844">
        <w:rPr>
          <w:rFonts w:ascii="Arial" w:eastAsia="Times New Roman" w:hAnsi="Arial" w:cs="Arial"/>
          <w:lang w:eastAsia="en-GB"/>
        </w:rPr>
        <w:t xml:space="preserve"> As reported </w:t>
      </w:r>
      <w:r w:rsidR="00D61CBE">
        <w:rPr>
          <w:rFonts w:ascii="Arial" w:eastAsia="Times New Roman" w:hAnsi="Arial" w:cs="Arial"/>
          <w:lang w:eastAsia="en-GB"/>
        </w:rPr>
        <w:t>by (Acas, 2022),</w:t>
      </w:r>
      <w:r w:rsidRPr="003F1630">
        <w:rPr>
          <w:rFonts w:ascii="Arial" w:eastAsia="Times New Roman" w:hAnsi="Arial" w:cs="Arial"/>
          <w:lang w:eastAsia="en-GB"/>
        </w:rPr>
        <w:t xml:space="preserve"> </w:t>
      </w:r>
      <w:r w:rsidR="00D61CBE">
        <w:rPr>
          <w:rFonts w:ascii="Arial" w:eastAsia="Times New Roman" w:hAnsi="Arial" w:cs="Arial"/>
          <w:lang w:eastAsia="en-GB"/>
        </w:rPr>
        <w:t>e</w:t>
      </w:r>
      <w:r w:rsidRPr="003F1630">
        <w:rPr>
          <w:rFonts w:ascii="Arial" w:eastAsia="Times New Roman" w:hAnsi="Arial" w:cs="Arial"/>
          <w:lang w:eastAsia="en-GB"/>
        </w:rPr>
        <w:t>mployers and services are under pressure to implement tailored accommodations</w:t>
      </w:r>
      <w:r w:rsidR="0087499B">
        <w:rPr>
          <w:rFonts w:ascii="Arial" w:eastAsia="Times New Roman" w:hAnsi="Arial" w:cs="Arial"/>
          <w:lang w:eastAsia="en-GB"/>
        </w:rPr>
        <w:t xml:space="preserve"> </w:t>
      </w:r>
      <w:r w:rsidRPr="003F1630">
        <w:rPr>
          <w:rFonts w:ascii="Arial" w:eastAsia="Times New Roman" w:hAnsi="Arial" w:cs="Arial"/>
          <w:lang w:eastAsia="en-GB"/>
        </w:rPr>
        <w:t>flexible working,</w:t>
      </w:r>
      <w:r w:rsidR="00E80136">
        <w:rPr>
          <w:rFonts w:ascii="Arial" w:eastAsia="Times New Roman" w:hAnsi="Arial" w:cs="Arial"/>
          <w:lang w:eastAsia="en-GB"/>
        </w:rPr>
        <w:t xml:space="preserve"> and</w:t>
      </w:r>
      <w:r w:rsidRPr="003F1630">
        <w:rPr>
          <w:rFonts w:ascii="Arial" w:eastAsia="Times New Roman" w:hAnsi="Arial" w:cs="Arial"/>
          <w:lang w:eastAsia="en-GB"/>
        </w:rPr>
        <w:t xml:space="preserve"> </w:t>
      </w:r>
      <w:r w:rsidRPr="003F1630">
        <w:rPr>
          <w:rFonts w:ascii="Arial" w:eastAsia="Times New Roman" w:hAnsi="Arial" w:cs="Arial"/>
          <w:lang w:eastAsia="en-GB"/>
        </w:rPr>
        <w:lastRenderedPageBreak/>
        <w:t>sensory adjustments, in cases where mental health conditions qualify as disabilities under the Equality Act 2010. However, research reveals uneven implementation and ongoing employment disparities for individuals with mental and neurodevelopmental disabilities in the UK. The impact of this legal framework, which supports workplace</w:t>
      </w:r>
      <w:r w:rsidR="006B60A8">
        <w:rPr>
          <w:rFonts w:ascii="Arial" w:eastAsia="Times New Roman" w:hAnsi="Arial" w:cs="Arial"/>
          <w:lang w:eastAsia="en-GB"/>
        </w:rPr>
        <w:t xml:space="preserve"> </w:t>
      </w:r>
      <w:r w:rsidRPr="003F1630">
        <w:rPr>
          <w:rFonts w:ascii="Arial" w:eastAsia="Times New Roman" w:hAnsi="Arial" w:cs="Arial"/>
          <w:lang w:eastAsia="en-GB"/>
        </w:rPr>
        <w:t xml:space="preserve">based and </w:t>
      </w:r>
      <w:r w:rsidR="002B3FAF" w:rsidRPr="00B41E2A">
        <w:rPr>
          <w:rFonts w:ascii="Arial" w:eastAsia="Times New Roman" w:hAnsi="Arial" w:cs="Arial"/>
          <w:lang w:eastAsia="en-GB"/>
        </w:rPr>
        <w:t>de</w:t>
      </w:r>
      <w:r w:rsidR="0087499B">
        <w:rPr>
          <w:rFonts w:ascii="Arial" w:eastAsia="Times New Roman" w:hAnsi="Arial" w:cs="Arial"/>
          <w:lang w:eastAsia="en-GB"/>
        </w:rPr>
        <w:t>-</w:t>
      </w:r>
      <w:r w:rsidR="002B3FAF" w:rsidRPr="00B41E2A">
        <w:rPr>
          <w:rFonts w:ascii="Arial" w:eastAsia="Times New Roman" w:hAnsi="Arial" w:cs="Arial"/>
          <w:lang w:eastAsia="en-GB"/>
        </w:rPr>
        <w:t>institutional</w:t>
      </w:r>
      <w:r w:rsidRPr="003F1630">
        <w:rPr>
          <w:rFonts w:ascii="Arial" w:eastAsia="Times New Roman" w:hAnsi="Arial" w:cs="Arial"/>
          <w:lang w:eastAsia="en-GB"/>
        </w:rPr>
        <w:t xml:space="preserve"> management models, is contingent upon resource availability, employer awareness, and enforcement</w:t>
      </w:r>
      <w:r w:rsidR="006B60A8">
        <w:rPr>
          <w:rFonts w:ascii="Arial" w:eastAsia="Times New Roman" w:hAnsi="Arial" w:cs="Arial"/>
          <w:lang w:eastAsia="en-GB"/>
        </w:rPr>
        <w:t>,</w:t>
      </w:r>
      <w:r w:rsidR="000D42E7">
        <w:rPr>
          <w:rFonts w:ascii="Arial" w:eastAsia="Times New Roman" w:hAnsi="Arial" w:cs="Arial"/>
          <w:lang w:eastAsia="en-GB"/>
        </w:rPr>
        <w:t xml:space="preserve"> according to</w:t>
      </w:r>
      <w:r w:rsidR="004B30C6">
        <w:rPr>
          <w:rFonts w:ascii="Arial" w:eastAsia="Times New Roman" w:hAnsi="Arial" w:cs="Arial"/>
          <w:lang w:eastAsia="en-GB"/>
        </w:rPr>
        <w:t xml:space="preserve"> (</w:t>
      </w:r>
      <w:r w:rsidR="006B60A8">
        <w:rPr>
          <w:rFonts w:ascii="Arial" w:eastAsia="Times New Roman" w:hAnsi="Arial" w:cs="Arial"/>
          <w:lang w:eastAsia="en-GB"/>
        </w:rPr>
        <w:t>DWP, 2025)</w:t>
      </w:r>
    </w:p>
    <w:p w14:paraId="2F8E5553" w14:textId="77777777" w:rsidR="002B3FAF" w:rsidRPr="00B41E2A" w:rsidRDefault="002B3FAF" w:rsidP="00B41E2A">
      <w:pPr>
        <w:spacing w:after="0" w:line="360" w:lineRule="auto"/>
        <w:rPr>
          <w:rFonts w:ascii="Arial" w:eastAsia="Times New Roman" w:hAnsi="Arial" w:cs="Arial"/>
          <w:lang w:eastAsia="en-GB"/>
        </w:rPr>
      </w:pPr>
    </w:p>
    <w:p w14:paraId="3C36815D" w14:textId="28EB41CD" w:rsidR="00561627" w:rsidRDefault="00561627" w:rsidP="00B41E2A">
      <w:pPr>
        <w:spacing w:after="0" w:line="360" w:lineRule="auto"/>
        <w:rPr>
          <w:rFonts w:ascii="Arial" w:eastAsia="Times New Roman" w:hAnsi="Arial" w:cs="Arial"/>
          <w:lang w:eastAsia="en-GB"/>
        </w:rPr>
      </w:pPr>
      <w:r w:rsidRPr="00561627">
        <w:rPr>
          <w:rFonts w:ascii="Arial" w:eastAsia="Times New Roman" w:hAnsi="Arial" w:cs="Arial"/>
          <w:lang w:eastAsia="en-GB"/>
        </w:rPr>
        <w:t>Precision vs. utility in ICD-11 classification, transdiagnostic and neurodiversity</w:t>
      </w:r>
      <w:r w:rsidR="00AE5F94">
        <w:rPr>
          <w:rFonts w:ascii="Arial" w:eastAsia="Times New Roman" w:hAnsi="Arial" w:cs="Arial"/>
          <w:lang w:eastAsia="en-GB"/>
        </w:rPr>
        <w:t xml:space="preserve"> </w:t>
      </w:r>
      <w:r w:rsidRPr="00561627">
        <w:rPr>
          <w:rFonts w:ascii="Arial" w:eastAsia="Times New Roman" w:hAnsi="Arial" w:cs="Arial"/>
          <w:lang w:eastAsia="en-GB"/>
        </w:rPr>
        <w:t>informed care that challenges one</w:t>
      </w:r>
      <w:r w:rsidR="00C03E65">
        <w:rPr>
          <w:rFonts w:ascii="Arial" w:eastAsia="Times New Roman" w:hAnsi="Arial" w:cs="Arial"/>
          <w:lang w:eastAsia="en-GB"/>
        </w:rPr>
        <w:t xml:space="preserve"> </w:t>
      </w:r>
      <w:r w:rsidRPr="00561627">
        <w:rPr>
          <w:rFonts w:ascii="Arial" w:eastAsia="Times New Roman" w:hAnsi="Arial" w:cs="Arial"/>
          <w:lang w:eastAsia="en-GB"/>
        </w:rPr>
        <w:t>size</w:t>
      </w:r>
      <w:r w:rsidR="00C03E65">
        <w:rPr>
          <w:rFonts w:ascii="Arial" w:eastAsia="Times New Roman" w:hAnsi="Arial" w:cs="Arial"/>
          <w:lang w:eastAsia="en-GB"/>
        </w:rPr>
        <w:t xml:space="preserve"> </w:t>
      </w:r>
      <w:r w:rsidRPr="00561627">
        <w:rPr>
          <w:rFonts w:ascii="Arial" w:eastAsia="Times New Roman" w:hAnsi="Arial" w:cs="Arial"/>
          <w:lang w:eastAsia="en-GB"/>
        </w:rPr>
        <w:t>fits</w:t>
      </w:r>
      <w:r w:rsidR="00C03E65">
        <w:rPr>
          <w:rFonts w:ascii="Arial" w:eastAsia="Times New Roman" w:hAnsi="Arial" w:cs="Arial"/>
          <w:lang w:eastAsia="en-GB"/>
        </w:rPr>
        <w:t xml:space="preserve"> </w:t>
      </w:r>
      <w:r w:rsidRPr="00561627">
        <w:rPr>
          <w:rFonts w:ascii="Arial" w:eastAsia="Times New Roman" w:hAnsi="Arial" w:cs="Arial"/>
          <w:lang w:eastAsia="en-GB"/>
        </w:rPr>
        <w:t>all treatments, and policy</w:t>
      </w:r>
      <w:r w:rsidR="00C03E65">
        <w:rPr>
          <w:rFonts w:ascii="Arial" w:eastAsia="Times New Roman" w:hAnsi="Arial" w:cs="Arial"/>
          <w:lang w:eastAsia="en-GB"/>
        </w:rPr>
        <w:t xml:space="preserve"> </w:t>
      </w:r>
      <w:r w:rsidRPr="00561627">
        <w:rPr>
          <w:rFonts w:ascii="Arial" w:eastAsia="Times New Roman" w:hAnsi="Arial" w:cs="Arial"/>
          <w:lang w:eastAsia="en-GB"/>
        </w:rPr>
        <w:t>practice gaps where legal protections (Equality Act) and NHS commitments (ICD-11 adoption, Long Term Plan objectives) necessitate systemic changes to deliver equitable, tailored care are the main points of contention</w:t>
      </w:r>
      <w:r w:rsidR="000E70F8">
        <w:rPr>
          <w:rFonts w:ascii="Arial" w:eastAsia="Times New Roman" w:hAnsi="Arial" w:cs="Arial"/>
          <w:lang w:eastAsia="en-GB"/>
        </w:rPr>
        <w:t xml:space="preserve"> states</w:t>
      </w:r>
      <w:r w:rsidR="00FA6448">
        <w:rPr>
          <w:rFonts w:ascii="Arial" w:eastAsia="Times New Roman" w:hAnsi="Arial" w:cs="Arial"/>
          <w:lang w:eastAsia="en-GB"/>
        </w:rPr>
        <w:t xml:space="preserve"> (</w:t>
      </w:r>
      <w:r w:rsidR="000244CE">
        <w:rPr>
          <w:rFonts w:ascii="Arial" w:eastAsia="Times New Roman" w:hAnsi="Arial" w:cs="Arial"/>
          <w:lang w:eastAsia="en-GB"/>
        </w:rPr>
        <w:t>Nafarreh, K, et, al, 2024</w:t>
      </w:r>
      <w:r w:rsidR="00CF4A08">
        <w:rPr>
          <w:rFonts w:ascii="Arial" w:eastAsia="Times New Roman" w:hAnsi="Arial" w:cs="Arial"/>
          <w:lang w:eastAsia="en-GB"/>
        </w:rPr>
        <w:t>).</w:t>
      </w:r>
      <w:r w:rsidRPr="00561627">
        <w:rPr>
          <w:rFonts w:ascii="Arial" w:eastAsia="Times New Roman" w:hAnsi="Arial" w:cs="Arial"/>
          <w:lang w:eastAsia="en-GB"/>
        </w:rPr>
        <w:t xml:space="preserve"> To put policy into practice, UK research increasingly suggests dimensional measurement, neurodiversity</w:t>
      </w:r>
      <w:r w:rsidR="00C03E65">
        <w:rPr>
          <w:rFonts w:ascii="Arial" w:eastAsia="Times New Roman" w:hAnsi="Arial" w:cs="Arial"/>
          <w:lang w:eastAsia="en-GB"/>
        </w:rPr>
        <w:t xml:space="preserve"> </w:t>
      </w:r>
      <w:r w:rsidRPr="00561627">
        <w:rPr>
          <w:rFonts w:ascii="Arial" w:eastAsia="Times New Roman" w:hAnsi="Arial" w:cs="Arial"/>
          <w:lang w:eastAsia="en-GB"/>
        </w:rPr>
        <w:t>sensitive assessment, and more robust employer</w:t>
      </w:r>
      <w:r w:rsidR="00C03E65">
        <w:rPr>
          <w:rFonts w:ascii="Arial" w:eastAsia="Times New Roman" w:hAnsi="Arial" w:cs="Arial"/>
          <w:lang w:eastAsia="en-GB"/>
        </w:rPr>
        <w:t xml:space="preserve"> </w:t>
      </w:r>
      <w:r w:rsidRPr="00561627">
        <w:rPr>
          <w:rFonts w:ascii="Arial" w:eastAsia="Times New Roman" w:hAnsi="Arial" w:cs="Arial"/>
          <w:lang w:eastAsia="en-GB"/>
        </w:rPr>
        <w:t>service partnerships</w:t>
      </w:r>
      <w:r w:rsidR="00241EE5">
        <w:rPr>
          <w:rFonts w:ascii="Arial" w:eastAsia="Times New Roman" w:hAnsi="Arial" w:cs="Arial"/>
          <w:lang w:eastAsia="en-GB"/>
        </w:rPr>
        <w:t>, according to (</w:t>
      </w:r>
      <w:r w:rsidR="00D54637">
        <w:rPr>
          <w:rFonts w:ascii="Arial" w:eastAsia="Times New Roman" w:hAnsi="Arial" w:cs="Arial"/>
          <w:lang w:eastAsia="en-GB"/>
        </w:rPr>
        <w:t>Liubertiene,</w:t>
      </w:r>
      <w:r w:rsidR="006230CD">
        <w:rPr>
          <w:rFonts w:ascii="Arial" w:eastAsia="Times New Roman" w:hAnsi="Arial" w:cs="Arial"/>
          <w:lang w:eastAsia="en-GB"/>
        </w:rPr>
        <w:t xml:space="preserve"> G, et, al, 2025).</w:t>
      </w:r>
    </w:p>
    <w:p w14:paraId="20AACFD4" w14:textId="77777777" w:rsidR="003E0755" w:rsidRDefault="003E0755" w:rsidP="00B41E2A">
      <w:pPr>
        <w:spacing w:after="0" w:line="360" w:lineRule="auto"/>
        <w:rPr>
          <w:rFonts w:ascii="Arial" w:eastAsia="Times New Roman" w:hAnsi="Arial" w:cs="Arial"/>
          <w:lang w:eastAsia="en-GB"/>
        </w:rPr>
      </w:pPr>
    </w:p>
    <w:p w14:paraId="2B38533B" w14:textId="3CA40A78" w:rsidR="00BD78F1" w:rsidRPr="006A178F" w:rsidRDefault="00BD78F1" w:rsidP="00002F93">
      <w:pPr>
        <w:spacing w:after="0" w:line="360" w:lineRule="auto"/>
        <w:rPr>
          <w:rFonts w:ascii="Arial" w:eastAsia="Times New Roman" w:hAnsi="Arial" w:cs="Arial"/>
          <w:b/>
          <w:bCs/>
          <w:sz w:val="24"/>
          <w:szCs w:val="24"/>
          <w:u w:val="single"/>
          <w:lang w:eastAsia="en-GB"/>
        </w:rPr>
      </w:pPr>
      <w:r w:rsidRPr="006A178F">
        <w:rPr>
          <w:rFonts w:ascii="Arial" w:eastAsia="Times New Roman" w:hAnsi="Arial" w:cs="Arial"/>
          <w:b/>
          <w:bCs/>
          <w:sz w:val="24"/>
          <w:szCs w:val="24"/>
          <w:u w:val="single"/>
          <w:lang w:eastAsia="en-GB"/>
        </w:rPr>
        <w:t>Recommendations</w:t>
      </w:r>
    </w:p>
    <w:p w14:paraId="4F68C0D3" w14:textId="77777777" w:rsidR="003B0EC7" w:rsidRDefault="003B0EC7" w:rsidP="00002F93">
      <w:pPr>
        <w:spacing w:after="0" w:line="360" w:lineRule="auto"/>
        <w:rPr>
          <w:rFonts w:ascii="Arial" w:eastAsia="Times New Roman" w:hAnsi="Arial" w:cs="Arial"/>
          <w:b/>
          <w:bCs/>
          <w:lang w:eastAsia="en-GB"/>
        </w:rPr>
      </w:pPr>
    </w:p>
    <w:tbl>
      <w:tblPr>
        <w:tblStyle w:val="TableGrid"/>
        <w:tblW w:w="0" w:type="auto"/>
        <w:tblLook w:val="04A0" w:firstRow="1" w:lastRow="0" w:firstColumn="1" w:lastColumn="0" w:noHBand="0" w:noVBand="1"/>
      </w:tblPr>
      <w:tblGrid>
        <w:gridCol w:w="3005"/>
        <w:gridCol w:w="3005"/>
        <w:gridCol w:w="3006"/>
      </w:tblGrid>
      <w:tr w:rsidR="000307D2" w14:paraId="23F5F678" w14:textId="77777777">
        <w:tc>
          <w:tcPr>
            <w:tcW w:w="3005" w:type="dxa"/>
          </w:tcPr>
          <w:p w14:paraId="46227CFB" w14:textId="193899C2" w:rsidR="000307D2" w:rsidRPr="006A178F" w:rsidRDefault="005360FE" w:rsidP="006A178F">
            <w:pPr>
              <w:spacing w:line="360" w:lineRule="auto"/>
              <w:jc w:val="center"/>
              <w:rPr>
                <w:rFonts w:ascii="Arial" w:eastAsia="Times New Roman" w:hAnsi="Arial" w:cs="Arial"/>
                <w:b/>
                <w:bCs/>
                <w:sz w:val="24"/>
                <w:szCs w:val="24"/>
                <w:lang w:eastAsia="en-GB"/>
              </w:rPr>
            </w:pPr>
            <w:r w:rsidRPr="006A178F">
              <w:rPr>
                <w:rFonts w:ascii="Arial" w:eastAsia="Times New Roman" w:hAnsi="Arial" w:cs="Arial"/>
                <w:b/>
                <w:bCs/>
                <w:sz w:val="24"/>
                <w:szCs w:val="24"/>
                <w:lang w:eastAsia="en-GB"/>
              </w:rPr>
              <w:t>Area</w:t>
            </w:r>
          </w:p>
        </w:tc>
        <w:tc>
          <w:tcPr>
            <w:tcW w:w="3005" w:type="dxa"/>
          </w:tcPr>
          <w:p w14:paraId="342190CF" w14:textId="1EA0C087" w:rsidR="000307D2" w:rsidRPr="006A178F" w:rsidRDefault="005360FE" w:rsidP="006A178F">
            <w:pPr>
              <w:spacing w:line="360" w:lineRule="auto"/>
              <w:jc w:val="center"/>
              <w:rPr>
                <w:rFonts w:ascii="Arial" w:eastAsia="Times New Roman" w:hAnsi="Arial" w:cs="Arial"/>
                <w:b/>
                <w:bCs/>
                <w:sz w:val="24"/>
                <w:szCs w:val="24"/>
                <w:lang w:eastAsia="en-GB"/>
              </w:rPr>
            </w:pPr>
            <w:r w:rsidRPr="006A178F">
              <w:rPr>
                <w:rFonts w:ascii="Arial" w:eastAsia="Times New Roman" w:hAnsi="Arial" w:cs="Arial"/>
                <w:b/>
                <w:bCs/>
                <w:sz w:val="24"/>
                <w:szCs w:val="24"/>
                <w:lang w:eastAsia="en-GB"/>
              </w:rPr>
              <w:t>Recommendation</w:t>
            </w:r>
          </w:p>
        </w:tc>
        <w:tc>
          <w:tcPr>
            <w:tcW w:w="3006" w:type="dxa"/>
          </w:tcPr>
          <w:p w14:paraId="06BD370F" w14:textId="535AF13B" w:rsidR="000307D2" w:rsidRPr="006A178F" w:rsidRDefault="006A178F" w:rsidP="006A178F">
            <w:pPr>
              <w:spacing w:line="360" w:lineRule="auto"/>
              <w:jc w:val="center"/>
              <w:rPr>
                <w:rFonts w:ascii="Arial" w:eastAsia="Times New Roman" w:hAnsi="Arial" w:cs="Arial"/>
                <w:b/>
                <w:bCs/>
                <w:sz w:val="24"/>
                <w:szCs w:val="24"/>
                <w:lang w:eastAsia="en-GB"/>
              </w:rPr>
            </w:pPr>
            <w:r w:rsidRPr="006A178F">
              <w:rPr>
                <w:rFonts w:ascii="Arial" w:eastAsia="Times New Roman" w:hAnsi="Arial" w:cs="Arial"/>
                <w:b/>
                <w:bCs/>
                <w:sz w:val="24"/>
                <w:szCs w:val="24"/>
                <w:lang w:eastAsia="en-GB"/>
              </w:rPr>
              <w:t>Rationale &amp; Expected Impact</w:t>
            </w:r>
          </w:p>
        </w:tc>
      </w:tr>
      <w:tr w:rsidR="000307D2" w14:paraId="29CFE9A3" w14:textId="77777777">
        <w:tc>
          <w:tcPr>
            <w:tcW w:w="3005" w:type="dxa"/>
          </w:tcPr>
          <w:p w14:paraId="1FA47830" w14:textId="77777777" w:rsidR="004C38B6" w:rsidRPr="004C38B6" w:rsidRDefault="004C38B6" w:rsidP="006A178F">
            <w:pPr>
              <w:spacing w:line="360" w:lineRule="auto"/>
              <w:rPr>
                <w:rFonts w:ascii="Arial" w:eastAsia="Times New Roman" w:hAnsi="Arial" w:cs="Arial"/>
                <w:b/>
                <w:bCs/>
                <w:lang w:eastAsia="en-GB"/>
              </w:rPr>
            </w:pPr>
            <w:r w:rsidRPr="004C38B6">
              <w:rPr>
                <w:rFonts w:ascii="Arial" w:eastAsia="Times New Roman" w:hAnsi="Arial" w:cs="Arial"/>
                <w:b/>
                <w:bCs/>
                <w:lang w:eastAsia="en-GB"/>
              </w:rPr>
              <w:t>1. Diagnostic Methods</w:t>
            </w:r>
          </w:p>
          <w:p w14:paraId="2F954200" w14:textId="77777777" w:rsidR="000307D2" w:rsidRPr="0086533B" w:rsidRDefault="000307D2" w:rsidP="006A178F">
            <w:pPr>
              <w:spacing w:line="360" w:lineRule="auto"/>
              <w:rPr>
                <w:rFonts w:ascii="Arial" w:eastAsia="Times New Roman" w:hAnsi="Arial" w:cs="Arial"/>
                <w:b/>
                <w:bCs/>
                <w:lang w:eastAsia="en-GB"/>
              </w:rPr>
            </w:pPr>
          </w:p>
        </w:tc>
        <w:tc>
          <w:tcPr>
            <w:tcW w:w="3005" w:type="dxa"/>
          </w:tcPr>
          <w:p w14:paraId="49C8F951" w14:textId="77777777" w:rsidR="006E05E6" w:rsidRPr="006E05E6" w:rsidRDefault="006E05E6" w:rsidP="006A178F">
            <w:pPr>
              <w:spacing w:line="360" w:lineRule="auto"/>
              <w:rPr>
                <w:rFonts w:ascii="Arial" w:eastAsia="Times New Roman" w:hAnsi="Arial" w:cs="Arial"/>
                <w:lang w:eastAsia="en-GB"/>
              </w:rPr>
            </w:pPr>
            <w:r w:rsidRPr="006E05E6">
              <w:rPr>
                <w:rFonts w:ascii="Arial" w:eastAsia="Times New Roman" w:hAnsi="Arial" w:cs="Arial"/>
                <w:lang w:eastAsia="en-GB"/>
              </w:rPr>
              <w:t>Boost training on ICD-11 anxiety criteria, including neurodiversity-informed assessment, throughout the United Kingdom.</w:t>
            </w:r>
          </w:p>
          <w:p w14:paraId="0C11D69D" w14:textId="77777777" w:rsidR="000307D2" w:rsidRPr="006A178F" w:rsidRDefault="000307D2" w:rsidP="006A178F">
            <w:pPr>
              <w:spacing w:line="360" w:lineRule="auto"/>
              <w:rPr>
                <w:rFonts w:ascii="Arial" w:eastAsia="Times New Roman" w:hAnsi="Arial" w:cs="Arial"/>
                <w:b/>
                <w:bCs/>
                <w:lang w:eastAsia="en-GB"/>
              </w:rPr>
            </w:pPr>
          </w:p>
        </w:tc>
        <w:tc>
          <w:tcPr>
            <w:tcW w:w="3006" w:type="dxa"/>
          </w:tcPr>
          <w:p w14:paraId="34A726CE" w14:textId="77777777" w:rsidR="007558CB" w:rsidRPr="007558CB" w:rsidRDefault="007558CB" w:rsidP="006A178F">
            <w:pPr>
              <w:spacing w:line="360" w:lineRule="auto"/>
              <w:rPr>
                <w:rFonts w:ascii="Arial" w:eastAsia="Times New Roman" w:hAnsi="Arial" w:cs="Arial"/>
                <w:lang w:eastAsia="en-GB"/>
              </w:rPr>
            </w:pPr>
            <w:r w:rsidRPr="007558CB">
              <w:rPr>
                <w:rFonts w:ascii="Arial" w:eastAsia="Times New Roman" w:hAnsi="Arial" w:cs="Arial"/>
                <w:lang w:eastAsia="en-GB"/>
              </w:rPr>
              <w:t>Increases cross-service continuity, decreases misclassification for populations with autism and ADHD, and improves diagnostic consistency.</w:t>
            </w:r>
          </w:p>
          <w:p w14:paraId="23630BFF" w14:textId="77777777" w:rsidR="000307D2" w:rsidRPr="006A178F" w:rsidRDefault="000307D2" w:rsidP="006A178F">
            <w:pPr>
              <w:spacing w:line="360" w:lineRule="auto"/>
              <w:rPr>
                <w:rFonts w:ascii="Arial" w:eastAsia="Times New Roman" w:hAnsi="Arial" w:cs="Arial"/>
                <w:b/>
                <w:bCs/>
                <w:lang w:eastAsia="en-GB"/>
              </w:rPr>
            </w:pPr>
          </w:p>
        </w:tc>
      </w:tr>
      <w:tr w:rsidR="000307D2" w14:paraId="4E95D040" w14:textId="77777777">
        <w:tc>
          <w:tcPr>
            <w:tcW w:w="3005" w:type="dxa"/>
          </w:tcPr>
          <w:p w14:paraId="09D1DB09" w14:textId="77777777" w:rsidR="00C11852" w:rsidRPr="00C11852" w:rsidRDefault="00C11852" w:rsidP="006A178F">
            <w:pPr>
              <w:spacing w:after="240" w:line="360" w:lineRule="auto"/>
              <w:rPr>
                <w:rFonts w:ascii="Arial" w:eastAsia="Times New Roman" w:hAnsi="Arial" w:cs="Arial"/>
                <w:b/>
                <w:bCs/>
                <w:lang w:eastAsia="en-GB"/>
              </w:rPr>
            </w:pPr>
            <w:r w:rsidRPr="00C11852">
              <w:rPr>
                <w:rFonts w:ascii="Arial" w:eastAsia="Times New Roman" w:hAnsi="Arial" w:cs="Arial"/>
                <w:b/>
                <w:bCs/>
                <w:lang w:eastAsia="en-GB"/>
              </w:rPr>
              <w:t>2. Pathways for Integrated Care</w:t>
            </w:r>
          </w:p>
          <w:p w14:paraId="2DFD2007" w14:textId="77777777" w:rsidR="000307D2" w:rsidRPr="0086533B" w:rsidRDefault="000307D2" w:rsidP="006A178F">
            <w:pPr>
              <w:spacing w:line="360" w:lineRule="auto"/>
              <w:rPr>
                <w:rFonts w:ascii="Arial" w:eastAsia="Times New Roman" w:hAnsi="Arial" w:cs="Arial"/>
                <w:b/>
                <w:bCs/>
                <w:lang w:eastAsia="en-GB"/>
              </w:rPr>
            </w:pPr>
          </w:p>
        </w:tc>
        <w:tc>
          <w:tcPr>
            <w:tcW w:w="3005" w:type="dxa"/>
          </w:tcPr>
          <w:p w14:paraId="7E1DFCC1" w14:textId="77777777" w:rsidR="004A316E" w:rsidRPr="004A316E" w:rsidRDefault="004A316E" w:rsidP="006A178F">
            <w:pPr>
              <w:spacing w:line="360" w:lineRule="auto"/>
              <w:rPr>
                <w:rFonts w:ascii="Arial" w:eastAsia="Times New Roman" w:hAnsi="Arial" w:cs="Arial"/>
                <w:lang w:eastAsia="en-GB"/>
              </w:rPr>
            </w:pPr>
            <w:r w:rsidRPr="004A316E">
              <w:rPr>
                <w:rFonts w:ascii="Arial" w:eastAsia="Times New Roman" w:hAnsi="Arial" w:cs="Arial"/>
                <w:lang w:eastAsia="en-GB"/>
              </w:rPr>
              <w:t>Increase the use of community-based rehabilitation and integrate individualised care plans into primary care and CMHTs.</w:t>
            </w:r>
          </w:p>
          <w:p w14:paraId="62C27C7D" w14:textId="77777777" w:rsidR="000307D2" w:rsidRPr="006A178F" w:rsidRDefault="000307D2" w:rsidP="006A178F">
            <w:pPr>
              <w:spacing w:line="360" w:lineRule="auto"/>
              <w:rPr>
                <w:rFonts w:ascii="Arial" w:eastAsia="Times New Roman" w:hAnsi="Arial" w:cs="Arial"/>
                <w:b/>
                <w:bCs/>
                <w:lang w:eastAsia="en-GB"/>
              </w:rPr>
            </w:pPr>
          </w:p>
        </w:tc>
        <w:tc>
          <w:tcPr>
            <w:tcW w:w="3006" w:type="dxa"/>
          </w:tcPr>
          <w:p w14:paraId="024E83A9" w14:textId="77777777" w:rsidR="007007DD" w:rsidRPr="007007DD" w:rsidRDefault="007007DD" w:rsidP="006A178F">
            <w:pPr>
              <w:spacing w:line="360" w:lineRule="auto"/>
              <w:rPr>
                <w:rFonts w:ascii="Arial" w:eastAsia="Times New Roman" w:hAnsi="Arial" w:cs="Arial"/>
                <w:lang w:eastAsia="en-GB"/>
              </w:rPr>
            </w:pPr>
            <w:r w:rsidRPr="007007DD">
              <w:rPr>
                <w:rFonts w:ascii="Arial" w:eastAsia="Times New Roman" w:hAnsi="Arial" w:cs="Arial"/>
                <w:lang w:eastAsia="en-GB"/>
              </w:rPr>
              <w:t>Enhances access outside of psychosis-focused pathways, promotes long-term functioning, and supports the recovery objectives of the NHS Long Term Plan.</w:t>
            </w:r>
          </w:p>
          <w:p w14:paraId="5A2EC058" w14:textId="77777777" w:rsidR="000307D2" w:rsidRPr="006A178F" w:rsidRDefault="000307D2" w:rsidP="006A178F">
            <w:pPr>
              <w:spacing w:line="360" w:lineRule="auto"/>
              <w:rPr>
                <w:rFonts w:ascii="Arial" w:eastAsia="Times New Roman" w:hAnsi="Arial" w:cs="Arial"/>
                <w:b/>
                <w:bCs/>
                <w:lang w:eastAsia="en-GB"/>
              </w:rPr>
            </w:pPr>
          </w:p>
        </w:tc>
      </w:tr>
      <w:tr w:rsidR="000307D2" w14:paraId="5038B36D" w14:textId="77777777">
        <w:tc>
          <w:tcPr>
            <w:tcW w:w="3005" w:type="dxa"/>
          </w:tcPr>
          <w:p w14:paraId="4E78B6AF" w14:textId="77777777" w:rsidR="00B63193" w:rsidRPr="00B63193" w:rsidRDefault="00B63193" w:rsidP="006A178F">
            <w:pPr>
              <w:spacing w:line="360" w:lineRule="auto"/>
              <w:rPr>
                <w:rFonts w:ascii="Arial" w:eastAsia="Times New Roman" w:hAnsi="Arial" w:cs="Arial"/>
                <w:b/>
                <w:bCs/>
                <w:lang w:eastAsia="en-GB"/>
              </w:rPr>
            </w:pPr>
            <w:r w:rsidRPr="00B63193">
              <w:rPr>
                <w:rFonts w:ascii="Arial" w:eastAsia="Times New Roman" w:hAnsi="Arial" w:cs="Arial"/>
                <w:b/>
                <w:bCs/>
                <w:lang w:eastAsia="en-GB"/>
              </w:rPr>
              <w:t>3. Support for the Workplace and Education</w:t>
            </w:r>
          </w:p>
          <w:p w14:paraId="646310BF" w14:textId="77777777" w:rsidR="000307D2" w:rsidRPr="0086533B" w:rsidRDefault="000307D2" w:rsidP="006A178F">
            <w:pPr>
              <w:spacing w:line="360" w:lineRule="auto"/>
              <w:rPr>
                <w:rFonts w:ascii="Arial" w:eastAsia="Times New Roman" w:hAnsi="Arial" w:cs="Arial"/>
                <w:b/>
                <w:bCs/>
                <w:lang w:eastAsia="en-GB"/>
              </w:rPr>
            </w:pPr>
          </w:p>
        </w:tc>
        <w:tc>
          <w:tcPr>
            <w:tcW w:w="3005" w:type="dxa"/>
          </w:tcPr>
          <w:p w14:paraId="6BF76BA5" w14:textId="77777777" w:rsidR="00FA3FAA" w:rsidRPr="00FA3FAA" w:rsidRDefault="00FA3FAA" w:rsidP="006A178F">
            <w:pPr>
              <w:spacing w:line="360" w:lineRule="auto"/>
              <w:rPr>
                <w:rFonts w:ascii="Arial" w:eastAsia="Times New Roman" w:hAnsi="Arial" w:cs="Arial"/>
                <w:lang w:eastAsia="en-GB"/>
              </w:rPr>
            </w:pPr>
            <w:r w:rsidRPr="00FA3FAA">
              <w:rPr>
                <w:rFonts w:ascii="Arial" w:eastAsia="Times New Roman" w:hAnsi="Arial" w:cs="Arial"/>
                <w:lang w:eastAsia="en-GB"/>
              </w:rPr>
              <w:lastRenderedPageBreak/>
              <w:t xml:space="preserve">Improve the Equality Act of 2010's implementation of </w:t>
            </w:r>
            <w:r w:rsidRPr="00FA3FAA">
              <w:rPr>
                <w:rFonts w:ascii="Arial" w:eastAsia="Times New Roman" w:hAnsi="Arial" w:cs="Arial"/>
                <w:lang w:eastAsia="en-GB"/>
              </w:rPr>
              <w:lastRenderedPageBreak/>
              <w:t>reasonable adjustments by providing employers with clear guidelines and oversight.</w:t>
            </w:r>
          </w:p>
          <w:p w14:paraId="47866600" w14:textId="77777777" w:rsidR="000307D2" w:rsidRPr="006A178F" w:rsidRDefault="000307D2" w:rsidP="006A178F">
            <w:pPr>
              <w:spacing w:line="360" w:lineRule="auto"/>
              <w:rPr>
                <w:rFonts w:ascii="Arial" w:eastAsia="Times New Roman" w:hAnsi="Arial" w:cs="Arial"/>
                <w:b/>
                <w:bCs/>
                <w:lang w:eastAsia="en-GB"/>
              </w:rPr>
            </w:pPr>
          </w:p>
        </w:tc>
        <w:tc>
          <w:tcPr>
            <w:tcW w:w="3006" w:type="dxa"/>
          </w:tcPr>
          <w:p w14:paraId="340BB8EC" w14:textId="77777777" w:rsidR="00DF1B65" w:rsidRPr="00DF1B65" w:rsidRDefault="00DF1B65" w:rsidP="006A178F">
            <w:pPr>
              <w:spacing w:line="360" w:lineRule="auto"/>
              <w:rPr>
                <w:rFonts w:ascii="Arial" w:eastAsia="Times New Roman" w:hAnsi="Arial" w:cs="Arial"/>
                <w:lang w:eastAsia="en-GB"/>
              </w:rPr>
            </w:pPr>
            <w:r w:rsidRPr="00DF1B65">
              <w:rPr>
                <w:rFonts w:ascii="Arial" w:eastAsia="Times New Roman" w:hAnsi="Arial" w:cs="Arial"/>
                <w:lang w:eastAsia="en-GB"/>
              </w:rPr>
              <w:lastRenderedPageBreak/>
              <w:t xml:space="preserve">Reduces exclusion from the workplace and promotes </w:t>
            </w:r>
            <w:r w:rsidRPr="00DF1B65">
              <w:rPr>
                <w:rFonts w:ascii="Arial" w:eastAsia="Times New Roman" w:hAnsi="Arial" w:cs="Arial"/>
                <w:lang w:eastAsia="en-GB"/>
              </w:rPr>
              <w:lastRenderedPageBreak/>
              <w:t>long-term recovery and social engagement for people with chronic anxiety.</w:t>
            </w:r>
          </w:p>
          <w:p w14:paraId="0A03D616" w14:textId="77777777" w:rsidR="000307D2" w:rsidRPr="006A178F" w:rsidRDefault="000307D2" w:rsidP="006A178F">
            <w:pPr>
              <w:spacing w:line="360" w:lineRule="auto"/>
              <w:rPr>
                <w:rFonts w:ascii="Arial" w:eastAsia="Times New Roman" w:hAnsi="Arial" w:cs="Arial"/>
                <w:b/>
                <w:bCs/>
                <w:lang w:eastAsia="en-GB"/>
              </w:rPr>
            </w:pPr>
          </w:p>
        </w:tc>
      </w:tr>
      <w:tr w:rsidR="000307D2" w14:paraId="25B18A39" w14:textId="77777777">
        <w:tc>
          <w:tcPr>
            <w:tcW w:w="3005" w:type="dxa"/>
          </w:tcPr>
          <w:p w14:paraId="172FB0DD" w14:textId="77777777" w:rsidR="00D76E81" w:rsidRPr="00D76E81" w:rsidRDefault="00D76E81" w:rsidP="006A178F">
            <w:pPr>
              <w:spacing w:after="240" w:line="360" w:lineRule="auto"/>
              <w:rPr>
                <w:rFonts w:ascii="Arial" w:eastAsia="Times New Roman" w:hAnsi="Arial" w:cs="Arial"/>
                <w:b/>
                <w:bCs/>
                <w:lang w:eastAsia="en-GB"/>
              </w:rPr>
            </w:pPr>
            <w:r w:rsidRPr="00D76E81">
              <w:rPr>
                <w:rFonts w:ascii="Arial" w:eastAsia="Times New Roman" w:hAnsi="Arial" w:cs="Arial"/>
                <w:b/>
                <w:bCs/>
                <w:lang w:eastAsia="en-GB"/>
              </w:rPr>
              <w:lastRenderedPageBreak/>
              <w:t>4. Innovation in Treatment</w:t>
            </w:r>
          </w:p>
          <w:p w14:paraId="2A484799" w14:textId="77777777" w:rsidR="000307D2" w:rsidRPr="0086533B" w:rsidRDefault="000307D2" w:rsidP="006A178F">
            <w:pPr>
              <w:spacing w:line="360" w:lineRule="auto"/>
              <w:rPr>
                <w:rFonts w:ascii="Arial" w:eastAsia="Times New Roman" w:hAnsi="Arial" w:cs="Arial"/>
                <w:b/>
                <w:bCs/>
                <w:lang w:eastAsia="en-GB"/>
              </w:rPr>
            </w:pPr>
          </w:p>
        </w:tc>
        <w:tc>
          <w:tcPr>
            <w:tcW w:w="3005" w:type="dxa"/>
          </w:tcPr>
          <w:p w14:paraId="1CA7BDFD" w14:textId="77777777" w:rsidR="00F87D0A" w:rsidRPr="00F87D0A" w:rsidRDefault="00F87D0A" w:rsidP="006A178F">
            <w:pPr>
              <w:spacing w:line="360" w:lineRule="auto"/>
              <w:rPr>
                <w:rFonts w:ascii="Arial" w:eastAsia="Times New Roman" w:hAnsi="Arial" w:cs="Arial"/>
                <w:lang w:eastAsia="en-GB"/>
              </w:rPr>
            </w:pPr>
            <w:r w:rsidRPr="00F87D0A">
              <w:rPr>
                <w:rFonts w:ascii="Arial" w:eastAsia="Times New Roman" w:hAnsi="Arial" w:cs="Arial"/>
                <w:lang w:eastAsia="en-GB"/>
              </w:rPr>
              <w:t>Invest in more in transdiagnostic models designed for neurodivergent people, VR-supported exposure, and digital CBT.</w:t>
            </w:r>
          </w:p>
          <w:p w14:paraId="7FA2D13E" w14:textId="5C1AEF23" w:rsidR="004B1E64" w:rsidRPr="004B1E64" w:rsidRDefault="004B1E64" w:rsidP="006A178F">
            <w:pPr>
              <w:spacing w:after="240" w:line="360" w:lineRule="auto"/>
              <w:rPr>
                <w:rFonts w:ascii="Arial" w:eastAsia="Times New Roman" w:hAnsi="Arial" w:cs="Arial"/>
                <w:lang w:eastAsia="en-GB"/>
              </w:rPr>
            </w:pPr>
          </w:p>
          <w:p w14:paraId="31EF7ABF" w14:textId="77777777" w:rsidR="000307D2" w:rsidRPr="006A178F" w:rsidRDefault="000307D2" w:rsidP="006A178F">
            <w:pPr>
              <w:spacing w:line="360" w:lineRule="auto"/>
              <w:rPr>
                <w:rFonts w:ascii="Arial" w:eastAsia="Times New Roman" w:hAnsi="Arial" w:cs="Arial"/>
                <w:b/>
                <w:bCs/>
                <w:lang w:eastAsia="en-GB"/>
              </w:rPr>
            </w:pPr>
          </w:p>
        </w:tc>
        <w:tc>
          <w:tcPr>
            <w:tcW w:w="3006" w:type="dxa"/>
          </w:tcPr>
          <w:p w14:paraId="2245007E" w14:textId="78BDD931" w:rsidR="00DD41E8" w:rsidRPr="00DD41E8" w:rsidRDefault="00DD41E8" w:rsidP="006A178F">
            <w:pPr>
              <w:spacing w:line="360" w:lineRule="auto"/>
              <w:rPr>
                <w:rFonts w:ascii="Arial" w:eastAsia="Times New Roman" w:hAnsi="Arial" w:cs="Arial"/>
                <w:lang w:eastAsia="en-GB"/>
              </w:rPr>
            </w:pPr>
            <w:r w:rsidRPr="00DD41E8">
              <w:rPr>
                <w:rFonts w:ascii="Arial" w:eastAsia="Times New Roman" w:hAnsi="Arial" w:cs="Arial"/>
                <w:lang w:eastAsia="en-GB"/>
              </w:rPr>
              <w:t xml:space="preserve">Fills in treatment gaps, enhances accessibility, and </w:t>
            </w:r>
            <w:r w:rsidR="0086533B" w:rsidRPr="00DD41E8">
              <w:rPr>
                <w:rFonts w:ascii="Arial" w:eastAsia="Times New Roman" w:hAnsi="Arial" w:cs="Arial"/>
                <w:lang w:eastAsia="en-GB"/>
              </w:rPr>
              <w:t>considers</w:t>
            </w:r>
            <w:r w:rsidRPr="00DD41E8">
              <w:rPr>
                <w:rFonts w:ascii="Arial" w:eastAsia="Times New Roman" w:hAnsi="Arial" w:cs="Arial"/>
                <w:lang w:eastAsia="en-GB"/>
              </w:rPr>
              <w:t xml:space="preserve"> new research on tailored intervention techniques.</w:t>
            </w:r>
          </w:p>
          <w:p w14:paraId="4B44B3C6" w14:textId="77777777" w:rsidR="000307D2" w:rsidRPr="006A178F" w:rsidRDefault="000307D2" w:rsidP="006A178F">
            <w:pPr>
              <w:spacing w:line="360" w:lineRule="auto"/>
              <w:rPr>
                <w:rFonts w:ascii="Arial" w:eastAsia="Times New Roman" w:hAnsi="Arial" w:cs="Arial"/>
                <w:b/>
                <w:bCs/>
                <w:lang w:eastAsia="en-GB"/>
              </w:rPr>
            </w:pPr>
          </w:p>
        </w:tc>
      </w:tr>
      <w:tr w:rsidR="000307D2" w14:paraId="67AEE3FB" w14:textId="77777777">
        <w:tc>
          <w:tcPr>
            <w:tcW w:w="3005" w:type="dxa"/>
          </w:tcPr>
          <w:p w14:paraId="48909FAF" w14:textId="77777777" w:rsidR="00CC0BEE" w:rsidRPr="00CC0BEE" w:rsidRDefault="00CC0BEE" w:rsidP="006A178F">
            <w:pPr>
              <w:spacing w:line="360" w:lineRule="auto"/>
              <w:rPr>
                <w:rFonts w:ascii="Arial" w:eastAsia="Times New Roman" w:hAnsi="Arial" w:cs="Arial"/>
                <w:b/>
                <w:bCs/>
                <w:lang w:eastAsia="en-GB"/>
              </w:rPr>
            </w:pPr>
            <w:r w:rsidRPr="00CC0BEE">
              <w:rPr>
                <w:rFonts w:ascii="Arial" w:eastAsia="Times New Roman" w:hAnsi="Arial" w:cs="Arial"/>
                <w:b/>
                <w:bCs/>
                <w:lang w:eastAsia="en-GB"/>
              </w:rPr>
              <w:t>5. Ethical and Legal Protections</w:t>
            </w:r>
          </w:p>
          <w:p w14:paraId="271077A3" w14:textId="77777777" w:rsidR="000307D2" w:rsidRPr="0086533B" w:rsidRDefault="000307D2" w:rsidP="006A178F">
            <w:pPr>
              <w:spacing w:line="360" w:lineRule="auto"/>
              <w:rPr>
                <w:rFonts w:ascii="Arial" w:eastAsia="Times New Roman" w:hAnsi="Arial" w:cs="Arial"/>
                <w:b/>
                <w:bCs/>
                <w:lang w:eastAsia="en-GB"/>
              </w:rPr>
            </w:pPr>
          </w:p>
        </w:tc>
        <w:tc>
          <w:tcPr>
            <w:tcW w:w="3005" w:type="dxa"/>
          </w:tcPr>
          <w:p w14:paraId="633BA3BA" w14:textId="77777777" w:rsidR="00506072" w:rsidRPr="00506072" w:rsidRDefault="00506072" w:rsidP="006A178F">
            <w:pPr>
              <w:spacing w:line="360" w:lineRule="auto"/>
              <w:rPr>
                <w:rFonts w:ascii="Arial" w:eastAsia="Times New Roman" w:hAnsi="Arial" w:cs="Arial"/>
                <w:lang w:eastAsia="en-GB"/>
              </w:rPr>
            </w:pPr>
            <w:r w:rsidRPr="00506072">
              <w:rPr>
                <w:rFonts w:ascii="Arial" w:eastAsia="Times New Roman" w:hAnsi="Arial" w:cs="Arial"/>
                <w:lang w:eastAsia="en-GB"/>
              </w:rPr>
              <w:t>Examine local Mental Health Act (MHA) application procedures to guarantee patient advocacy and least-restrictive care.</w:t>
            </w:r>
          </w:p>
          <w:p w14:paraId="3DCA7444" w14:textId="77777777" w:rsidR="000307D2" w:rsidRPr="006A178F" w:rsidRDefault="000307D2" w:rsidP="006A178F">
            <w:pPr>
              <w:spacing w:line="360" w:lineRule="auto"/>
              <w:rPr>
                <w:rFonts w:ascii="Arial" w:eastAsia="Times New Roman" w:hAnsi="Arial" w:cs="Arial"/>
                <w:b/>
                <w:bCs/>
                <w:lang w:eastAsia="en-GB"/>
              </w:rPr>
            </w:pPr>
          </w:p>
        </w:tc>
        <w:tc>
          <w:tcPr>
            <w:tcW w:w="3006" w:type="dxa"/>
          </w:tcPr>
          <w:p w14:paraId="1331922A" w14:textId="77777777" w:rsidR="00A74D9E" w:rsidRPr="00A74D9E" w:rsidRDefault="00A74D9E" w:rsidP="006A178F">
            <w:pPr>
              <w:spacing w:line="360" w:lineRule="auto"/>
              <w:rPr>
                <w:rFonts w:ascii="Arial" w:eastAsia="Times New Roman" w:hAnsi="Arial" w:cs="Arial"/>
                <w:lang w:eastAsia="en-GB"/>
              </w:rPr>
            </w:pPr>
            <w:r w:rsidRPr="00A74D9E">
              <w:rPr>
                <w:rFonts w:ascii="Arial" w:eastAsia="Times New Roman" w:hAnsi="Arial" w:cs="Arial"/>
                <w:lang w:eastAsia="en-GB"/>
              </w:rPr>
              <w:t>Strengthens trust and protects rights by ensuring that mandatory treatment is appropriate and therapeutic.</w:t>
            </w:r>
          </w:p>
          <w:p w14:paraId="1ADB3C8E" w14:textId="77777777" w:rsidR="000307D2" w:rsidRPr="006A178F" w:rsidRDefault="000307D2" w:rsidP="006A178F">
            <w:pPr>
              <w:spacing w:line="360" w:lineRule="auto"/>
              <w:rPr>
                <w:rFonts w:ascii="Arial" w:eastAsia="Times New Roman" w:hAnsi="Arial" w:cs="Arial"/>
                <w:b/>
                <w:bCs/>
                <w:lang w:eastAsia="en-GB"/>
              </w:rPr>
            </w:pPr>
          </w:p>
        </w:tc>
      </w:tr>
      <w:tr w:rsidR="000307D2" w14:paraId="00A0FF32" w14:textId="77777777">
        <w:tc>
          <w:tcPr>
            <w:tcW w:w="3005" w:type="dxa"/>
          </w:tcPr>
          <w:p w14:paraId="1D40FA99" w14:textId="77777777" w:rsidR="00BB3D63" w:rsidRPr="00BB3D63" w:rsidRDefault="00BB3D63" w:rsidP="006A178F">
            <w:pPr>
              <w:spacing w:line="360" w:lineRule="auto"/>
              <w:rPr>
                <w:rFonts w:ascii="Arial" w:eastAsia="Times New Roman" w:hAnsi="Arial" w:cs="Arial"/>
                <w:b/>
                <w:bCs/>
                <w:lang w:eastAsia="en-GB"/>
              </w:rPr>
            </w:pPr>
            <w:r w:rsidRPr="00BB3D63">
              <w:rPr>
                <w:rFonts w:ascii="Arial" w:eastAsia="Times New Roman" w:hAnsi="Arial" w:cs="Arial"/>
                <w:b/>
                <w:bCs/>
                <w:lang w:eastAsia="en-GB"/>
              </w:rPr>
              <w:t>6. Cooperation with the Third Sector</w:t>
            </w:r>
          </w:p>
          <w:p w14:paraId="391A340E" w14:textId="42C4B911" w:rsidR="00130286" w:rsidRPr="00130286" w:rsidRDefault="00130286" w:rsidP="006A178F">
            <w:pPr>
              <w:spacing w:line="360" w:lineRule="auto"/>
              <w:rPr>
                <w:rFonts w:ascii="Arial" w:eastAsia="Times New Roman" w:hAnsi="Arial" w:cs="Arial"/>
                <w:b/>
                <w:bCs/>
                <w:lang w:eastAsia="en-GB"/>
              </w:rPr>
            </w:pPr>
          </w:p>
          <w:p w14:paraId="3B6D1091" w14:textId="77777777" w:rsidR="000307D2" w:rsidRPr="0086533B" w:rsidRDefault="000307D2" w:rsidP="006A178F">
            <w:pPr>
              <w:spacing w:line="360" w:lineRule="auto"/>
              <w:rPr>
                <w:rFonts w:ascii="Arial" w:eastAsia="Times New Roman" w:hAnsi="Arial" w:cs="Arial"/>
                <w:b/>
                <w:bCs/>
                <w:lang w:eastAsia="en-GB"/>
              </w:rPr>
            </w:pPr>
          </w:p>
        </w:tc>
        <w:tc>
          <w:tcPr>
            <w:tcW w:w="3005" w:type="dxa"/>
          </w:tcPr>
          <w:p w14:paraId="3512C91E" w14:textId="77777777" w:rsidR="00C25B98" w:rsidRPr="00C25B98" w:rsidRDefault="00C25B98" w:rsidP="006A178F">
            <w:pPr>
              <w:spacing w:line="360" w:lineRule="auto"/>
              <w:rPr>
                <w:rFonts w:ascii="Arial" w:eastAsia="Times New Roman" w:hAnsi="Arial" w:cs="Arial"/>
                <w:lang w:eastAsia="en-GB"/>
              </w:rPr>
            </w:pPr>
            <w:r w:rsidRPr="00C25B98">
              <w:rPr>
                <w:rFonts w:ascii="Arial" w:eastAsia="Times New Roman" w:hAnsi="Arial" w:cs="Arial"/>
                <w:lang w:eastAsia="en-GB"/>
              </w:rPr>
              <w:t>Increase commissioning collaborations for housing, peer support, and crisis care with Mind, Rethink Mental Illness, and Samaritans. </w:t>
            </w:r>
          </w:p>
          <w:p w14:paraId="6221523B" w14:textId="77777777" w:rsidR="000307D2" w:rsidRPr="006A178F" w:rsidRDefault="000307D2" w:rsidP="006A178F">
            <w:pPr>
              <w:spacing w:line="360" w:lineRule="auto"/>
              <w:rPr>
                <w:rFonts w:ascii="Arial" w:eastAsia="Times New Roman" w:hAnsi="Arial" w:cs="Arial"/>
                <w:b/>
                <w:bCs/>
                <w:lang w:eastAsia="en-GB"/>
              </w:rPr>
            </w:pPr>
          </w:p>
        </w:tc>
        <w:tc>
          <w:tcPr>
            <w:tcW w:w="3006" w:type="dxa"/>
          </w:tcPr>
          <w:p w14:paraId="4CABB726" w14:textId="77777777" w:rsidR="00675DD1" w:rsidRPr="00675DD1" w:rsidRDefault="00675DD1" w:rsidP="006A178F">
            <w:pPr>
              <w:spacing w:line="360" w:lineRule="auto"/>
              <w:rPr>
                <w:rFonts w:ascii="Arial" w:eastAsia="Times New Roman" w:hAnsi="Arial" w:cs="Arial"/>
                <w:lang w:eastAsia="en-GB"/>
              </w:rPr>
            </w:pPr>
            <w:r w:rsidRPr="00675DD1">
              <w:rPr>
                <w:rFonts w:ascii="Arial" w:eastAsia="Times New Roman" w:hAnsi="Arial" w:cs="Arial"/>
                <w:lang w:eastAsia="en-GB"/>
              </w:rPr>
              <w:t>Improves reintegration into the community, lessens isolation, and offers comprehensive support that goes beyond what the NHS can offer.</w:t>
            </w:r>
          </w:p>
          <w:p w14:paraId="335C8D2E" w14:textId="77777777" w:rsidR="000307D2" w:rsidRPr="006A178F" w:rsidRDefault="000307D2" w:rsidP="006A178F">
            <w:pPr>
              <w:spacing w:line="360" w:lineRule="auto"/>
              <w:rPr>
                <w:rFonts w:ascii="Arial" w:eastAsia="Times New Roman" w:hAnsi="Arial" w:cs="Arial"/>
                <w:b/>
                <w:bCs/>
                <w:lang w:eastAsia="en-GB"/>
              </w:rPr>
            </w:pPr>
          </w:p>
        </w:tc>
      </w:tr>
    </w:tbl>
    <w:p w14:paraId="686B1E3F" w14:textId="77777777" w:rsidR="0033638A" w:rsidRDefault="0033638A" w:rsidP="00002F93">
      <w:pPr>
        <w:spacing w:after="0" w:line="360" w:lineRule="auto"/>
        <w:rPr>
          <w:rFonts w:ascii="Arial" w:eastAsia="Times New Roman" w:hAnsi="Arial" w:cs="Arial"/>
          <w:b/>
          <w:bCs/>
          <w:lang w:eastAsia="en-GB"/>
        </w:rPr>
      </w:pPr>
    </w:p>
    <w:p w14:paraId="05BDDF81" w14:textId="77777777" w:rsidR="001D1CEB" w:rsidRDefault="001D1CEB" w:rsidP="00002F93">
      <w:pPr>
        <w:spacing w:after="0" w:line="360" w:lineRule="auto"/>
        <w:rPr>
          <w:rFonts w:ascii="Arial" w:eastAsia="Times New Roman" w:hAnsi="Arial" w:cs="Arial"/>
          <w:b/>
          <w:bCs/>
          <w:lang w:eastAsia="en-GB"/>
        </w:rPr>
      </w:pPr>
    </w:p>
    <w:p w14:paraId="5ED34001" w14:textId="5046EC78" w:rsidR="00E35204" w:rsidRPr="006A178F" w:rsidRDefault="00E35204" w:rsidP="00002F93">
      <w:pPr>
        <w:spacing w:after="0" w:line="360" w:lineRule="auto"/>
        <w:rPr>
          <w:rFonts w:ascii="Arial" w:eastAsia="Times New Roman" w:hAnsi="Arial" w:cs="Arial"/>
          <w:b/>
          <w:bCs/>
          <w:sz w:val="24"/>
          <w:szCs w:val="24"/>
          <w:u w:val="single"/>
          <w:lang w:eastAsia="en-GB"/>
        </w:rPr>
      </w:pPr>
      <w:r w:rsidRPr="006A178F">
        <w:rPr>
          <w:rFonts w:ascii="Arial" w:eastAsia="Times New Roman" w:hAnsi="Arial" w:cs="Arial"/>
          <w:b/>
          <w:bCs/>
          <w:sz w:val="24"/>
          <w:szCs w:val="24"/>
          <w:u w:val="single"/>
          <w:lang w:eastAsia="en-GB"/>
        </w:rPr>
        <w:t>Conclusion</w:t>
      </w:r>
    </w:p>
    <w:p w14:paraId="4220436B" w14:textId="77777777" w:rsidR="001F3859" w:rsidRDefault="001F3859" w:rsidP="00362C8A">
      <w:pPr>
        <w:spacing w:after="0" w:line="240" w:lineRule="auto"/>
        <w:rPr>
          <w:rFonts w:ascii="Times New Roman" w:eastAsia="Times New Roman" w:hAnsi="Times New Roman" w:cs="Times New Roman"/>
          <w:sz w:val="24"/>
          <w:szCs w:val="24"/>
          <w:lang w:eastAsia="en-GB"/>
        </w:rPr>
      </w:pPr>
    </w:p>
    <w:p w14:paraId="5A02B0EE" w14:textId="6A8D19B6" w:rsidR="00362C8A" w:rsidRPr="001F3859" w:rsidRDefault="00362C8A" w:rsidP="001F3859">
      <w:pPr>
        <w:spacing w:after="0" w:line="360" w:lineRule="auto"/>
        <w:rPr>
          <w:rFonts w:ascii="Arial" w:eastAsia="Times New Roman" w:hAnsi="Arial" w:cs="Arial"/>
          <w:lang w:eastAsia="en-GB"/>
        </w:rPr>
      </w:pPr>
      <w:r w:rsidRPr="00362C8A">
        <w:rPr>
          <w:rFonts w:ascii="Arial" w:eastAsia="Times New Roman" w:hAnsi="Arial" w:cs="Arial"/>
          <w:lang w:eastAsia="en-GB"/>
        </w:rPr>
        <w:t xml:space="preserve">In contrast to symptom-count diagnostic models, ICD-11's reinterpretation of anxiety and fear-related disorders places a strong emphasis on functional impairment, contextual factors, and person-centred assessment. The reviewed evidence indicates that although this approach improves clinical utility globally, it presents challenges for consistency, service adaptation, and research precision across UK healthcare settings. Although treatment pathways based on CBT, medication, and </w:t>
      </w:r>
      <w:r w:rsidRPr="001F3859">
        <w:rPr>
          <w:rFonts w:ascii="Arial" w:eastAsia="Times New Roman" w:hAnsi="Arial" w:cs="Arial"/>
          <w:lang w:eastAsia="en-GB"/>
        </w:rPr>
        <w:t>stepped care</w:t>
      </w:r>
      <w:r w:rsidRPr="00362C8A">
        <w:rPr>
          <w:rFonts w:ascii="Arial" w:eastAsia="Times New Roman" w:hAnsi="Arial" w:cs="Arial"/>
          <w:lang w:eastAsia="en-GB"/>
        </w:rPr>
        <w:t xml:space="preserve"> are still effective, their application is hampered by a lack of resources, workforce demands, and enduring obstacles to long-term </w:t>
      </w:r>
      <w:r w:rsidRPr="00362C8A">
        <w:rPr>
          <w:rFonts w:ascii="Arial" w:eastAsia="Times New Roman" w:hAnsi="Arial" w:cs="Arial"/>
          <w:lang w:eastAsia="en-GB"/>
        </w:rPr>
        <w:lastRenderedPageBreak/>
        <w:t>social reintegration. Models that emphasise rehabilitation and recovery, especially those supported by the NHS Long Term Plan, emphasise the necessity of coordinated multi-agency support that combines essential third-sector contributions with statutory provision.</w:t>
      </w:r>
    </w:p>
    <w:p w14:paraId="273E2F99" w14:textId="77777777" w:rsidR="00362C8A" w:rsidRPr="001F3859" w:rsidRDefault="00362C8A" w:rsidP="001F3859">
      <w:pPr>
        <w:spacing w:after="0" w:line="360" w:lineRule="auto"/>
        <w:rPr>
          <w:rFonts w:ascii="Arial" w:eastAsia="Times New Roman" w:hAnsi="Arial" w:cs="Arial"/>
          <w:lang w:eastAsia="en-GB"/>
        </w:rPr>
      </w:pPr>
    </w:p>
    <w:p w14:paraId="76B308F2" w14:textId="77777777" w:rsidR="00C00928" w:rsidRPr="00C00928" w:rsidRDefault="00C00928" w:rsidP="001F3859">
      <w:pPr>
        <w:spacing w:after="0" w:line="360" w:lineRule="auto"/>
        <w:rPr>
          <w:rFonts w:ascii="Arial" w:eastAsia="Times New Roman" w:hAnsi="Arial" w:cs="Arial"/>
          <w:lang w:eastAsia="en-GB"/>
        </w:rPr>
      </w:pPr>
      <w:r w:rsidRPr="00C00928">
        <w:rPr>
          <w:rFonts w:ascii="Arial" w:eastAsia="Times New Roman" w:hAnsi="Arial" w:cs="Arial"/>
          <w:lang w:eastAsia="en-GB"/>
        </w:rPr>
        <w:t>Current discussions further demonstrate that neurodiversity, socioeconomic disparities, and legal frameworks like the Mental Health Act of 1983 and the Equality Act of 2010, all of which shape rights, responsibilities, and access to care, cannot be understood or treated in isolation from anxiety. Opportunities for more comprehensive and inclusive practice are presented by ICD-11's reclassification, but achieving these advantages will call for consistent funding, thorough training, and improved coordination between diagnostic frameworks, policy requirements, and service delivery. Integrated, rights-based, and neurodiversity-sensitive strategies that span the clinical, social, and community domains are ultimately necessary to improve outcomes for people with anxiety.</w:t>
      </w:r>
    </w:p>
    <w:p w14:paraId="0B890852" w14:textId="77777777" w:rsidR="00362C8A" w:rsidRPr="00362C8A" w:rsidRDefault="00362C8A" w:rsidP="001F3859">
      <w:pPr>
        <w:spacing w:after="0" w:line="360" w:lineRule="auto"/>
        <w:rPr>
          <w:rFonts w:ascii="Arial" w:eastAsia="Times New Roman" w:hAnsi="Arial" w:cs="Arial"/>
          <w:lang w:eastAsia="en-GB"/>
        </w:rPr>
      </w:pPr>
    </w:p>
    <w:p w14:paraId="5F2C0F40" w14:textId="3470CD7E" w:rsidR="00ED043D" w:rsidRPr="001F3859" w:rsidRDefault="00ED043D" w:rsidP="00ED043D">
      <w:pPr>
        <w:spacing w:after="0" w:line="360" w:lineRule="auto"/>
        <w:rPr>
          <w:rFonts w:ascii="Arial" w:eastAsia="Times New Roman" w:hAnsi="Arial" w:cs="Arial"/>
          <w:b/>
          <w:bCs/>
          <w:sz w:val="24"/>
          <w:szCs w:val="24"/>
          <w:u w:val="single"/>
          <w:lang w:eastAsia="en-GB"/>
        </w:rPr>
      </w:pPr>
    </w:p>
    <w:p w14:paraId="1FF468D3" w14:textId="77777777" w:rsidR="00BD78F1" w:rsidRDefault="00BD78F1" w:rsidP="00ED043D">
      <w:pPr>
        <w:spacing w:after="0" w:line="360" w:lineRule="auto"/>
        <w:rPr>
          <w:rFonts w:ascii="avenir-regular-class" w:hAnsi="avenir-regular-class"/>
          <w:color w:val="333333"/>
          <w:sz w:val="23"/>
          <w:szCs w:val="23"/>
          <w:shd w:val="clear" w:color="auto" w:fill="FBFBFB"/>
        </w:rPr>
      </w:pPr>
    </w:p>
    <w:p w14:paraId="54BDC435"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0F1CF834"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656A9949"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458780C7"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7A642469"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6ED5D357"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1C19B2E9"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20F14354"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62B0A735"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2E0B9736" w14:textId="77777777" w:rsidR="005E3D09" w:rsidRDefault="005E3D09" w:rsidP="00ED043D">
      <w:pPr>
        <w:spacing w:after="0" w:line="360" w:lineRule="auto"/>
        <w:rPr>
          <w:rFonts w:ascii="avenir-regular-class" w:hAnsi="avenir-regular-class"/>
          <w:color w:val="333333"/>
          <w:sz w:val="23"/>
          <w:szCs w:val="23"/>
          <w:shd w:val="clear" w:color="auto" w:fill="FBFBFB"/>
        </w:rPr>
      </w:pPr>
    </w:p>
    <w:p w14:paraId="07D62D59" w14:textId="77777777" w:rsidR="00C13AD3" w:rsidRDefault="00C13AD3" w:rsidP="00ED043D">
      <w:pPr>
        <w:spacing w:after="0" w:line="360" w:lineRule="auto"/>
        <w:rPr>
          <w:rFonts w:ascii="Arial" w:hAnsi="Arial" w:cs="Arial"/>
          <w:b/>
          <w:bCs/>
          <w:color w:val="333333"/>
          <w:sz w:val="23"/>
          <w:szCs w:val="23"/>
          <w:u w:val="single"/>
          <w:shd w:val="clear" w:color="auto" w:fill="FBFBFB"/>
        </w:rPr>
      </w:pPr>
    </w:p>
    <w:p w14:paraId="250957E3" w14:textId="77777777" w:rsidR="00B46404" w:rsidRDefault="00B46404" w:rsidP="00ED043D">
      <w:pPr>
        <w:spacing w:after="0" w:line="360" w:lineRule="auto"/>
        <w:rPr>
          <w:rFonts w:ascii="Arial" w:hAnsi="Arial" w:cs="Arial"/>
          <w:b/>
          <w:bCs/>
          <w:color w:val="333333"/>
          <w:sz w:val="23"/>
          <w:szCs w:val="23"/>
          <w:u w:val="single"/>
          <w:shd w:val="clear" w:color="auto" w:fill="FBFBFB"/>
        </w:rPr>
      </w:pPr>
    </w:p>
    <w:p w14:paraId="514A8687" w14:textId="77777777" w:rsidR="00B46404" w:rsidRDefault="00B46404" w:rsidP="00ED043D">
      <w:pPr>
        <w:spacing w:after="0" w:line="360" w:lineRule="auto"/>
        <w:rPr>
          <w:rFonts w:ascii="Arial" w:hAnsi="Arial" w:cs="Arial"/>
          <w:b/>
          <w:bCs/>
          <w:color w:val="333333"/>
          <w:sz w:val="23"/>
          <w:szCs w:val="23"/>
          <w:u w:val="single"/>
          <w:shd w:val="clear" w:color="auto" w:fill="FBFBFB"/>
        </w:rPr>
      </w:pPr>
    </w:p>
    <w:p w14:paraId="30EFB189" w14:textId="77777777" w:rsidR="00B46404" w:rsidRDefault="00B46404" w:rsidP="00ED043D">
      <w:pPr>
        <w:spacing w:after="0" w:line="360" w:lineRule="auto"/>
        <w:rPr>
          <w:rFonts w:ascii="Arial" w:hAnsi="Arial" w:cs="Arial"/>
          <w:b/>
          <w:bCs/>
          <w:color w:val="333333"/>
          <w:sz w:val="23"/>
          <w:szCs w:val="23"/>
          <w:u w:val="single"/>
          <w:shd w:val="clear" w:color="auto" w:fill="FBFBFB"/>
        </w:rPr>
      </w:pPr>
    </w:p>
    <w:p w14:paraId="5847CDD9" w14:textId="77777777" w:rsidR="00B46404" w:rsidRDefault="00B46404" w:rsidP="00ED043D">
      <w:pPr>
        <w:spacing w:after="0" w:line="360" w:lineRule="auto"/>
        <w:rPr>
          <w:rFonts w:ascii="Arial" w:hAnsi="Arial" w:cs="Arial"/>
          <w:b/>
          <w:bCs/>
          <w:color w:val="333333"/>
          <w:sz w:val="23"/>
          <w:szCs w:val="23"/>
          <w:u w:val="single"/>
          <w:shd w:val="clear" w:color="auto" w:fill="FBFBFB"/>
        </w:rPr>
      </w:pPr>
    </w:p>
    <w:p w14:paraId="7D1DA9D7" w14:textId="77777777" w:rsidR="00B46404" w:rsidRDefault="00B46404" w:rsidP="00ED043D">
      <w:pPr>
        <w:spacing w:after="0" w:line="360" w:lineRule="auto"/>
        <w:rPr>
          <w:rFonts w:ascii="Arial" w:hAnsi="Arial" w:cs="Arial"/>
          <w:b/>
          <w:bCs/>
          <w:color w:val="333333"/>
          <w:sz w:val="23"/>
          <w:szCs w:val="23"/>
          <w:u w:val="single"/>
          <w:shd w:val="clear" w:color="auto" w:fill="FBFBFB"/>
        </w:rPr>
      </w:pPr>
    </w:p>
    <w:p w14:paraId="6B5A60A2" w14:textId="77777777" w:rsidR="00B46404" w:rsidRDefault="00B46404" w:rsidP="00ED043D">
      <w:pPr>
        <w:spacing w:after="0" w:line="360" w:lineRule="auto"/>
        <w:rPr>
          <w:rFonts w:ascii="Arial" w:hAnsi="Arial" w:cs="Arial"/>
          <w:b/>
          <w:bCs/>
          <w:color w:val="333333"/>
          <w:sz w:val="23"/>
          <w:szCs w:val="23"/>
          <w:u w:val="single"/>
          <w:shd w:val="clear" w:color="auto" w:fill="FBFBFB"/>
        </w:rPr>
      </w:pPr>
    </w:p>
    <w:p w14:paraId="4DCC86CE" w14:textId="77777777" w:rsidR="00B44C55" w:rsidRDefault="00B44C55" w:rsidP="00ED043D">
      <w:pPr>
        <w:spacing w:after="0" w:line="360" w:lineRule="auto"/>
        <w:rPr>
          <w:rFonts w:ascii="Arial" w:hAnsi="Arial" w:cs="Arial"/>
          <w:b/>
          <w:bCs/>
          <w:color w:val="333333"/>
          <w:sz w:val="23"/>
          <w:szCs w:val="23"/>
          <w:u w:val="single"/>
          <w:shd w:val="clear" w:color="auto" w:fill="FBFBFB"/>
        </w:rPr>
      </w:pPr>
    </w:p>
    <w:p w14:paraId="05C7AD6E" w14:textId="77777777" w:rsidR="00B44C55" w:rsidRDefault="00B44C55" w:rsidP="00ED043D">
      <w:pPr>
        <w:spacing w:after="0" w:line="360" w:lineRule="auto"/>
        <w:rPr>
          <w:rFonts w:ascii="Arial" w:hAnsi="Arial" w:cs="Arial"/>
          <w:b/>
          <w:bCs/>
          <w:color w:val="333333"/>
          <w:sz w:val="23"/>
          <w:szCs w:val="23"/>
          <w:u w:val="single"/>
          <w:shd w:val="clear" w:color="auto" w:fill="FBFBFB"/>
        </w:rPr>
      </w:pPr>
    </w:p>
    <w:p w14:paraId="0DB4CF3B" w14:textId="3A5C6627" w:rsidR="005E3D09" w:rsidRPr="00EF1B2B" w:rsidRDefault="005E3D09" w:rsidP="00ED043D">
      <w:pPr>
        <w:spacing w:after="0" w:line="360" w:lineRule="auto"/>
        <w:rPr>
          <w:rFonts w:ascii="Arial" w:hAnsi="Arial" w:cs="Arial"/>
          <w:b/>
          <w:bCs/>
          <w:color w:val="333333"/>
          <w:sz w:val="23"/>
          <w:szCs w:val="23"/>
          <w:u w:val="single"/>
          <w:shd w:val="clear" w:color="auto" w:fill="FBFBFB"/>
        </w:rPr>
      </w:pPr>
      <w:r w:rsidRPr="00EF1B2B">
        <w:rPr>
          <w:rFonts w:ascii="Arial" w:hAnsi="Arial" w:cs="Arial"/>
          <w:b/>
          <w:bCs/>
          <w:color w:val="333333"/>
          <w:sz w:val="23"/>
          <w:szCs w:val="23"/>
          <w:u w:val="single"/>
          <w:shd w:val="clear" w:color="auto" w:fill="FBFBFB"/>
        </w:rPr>
        <w:lastRenderedPageBreak/>
        <w:t>Refe</w:t>
      </w:r>
      <w:r w:rsidR="002317A8" w:rsidRPr="00EF1B2B">
        <w:rPr>
          <w:rFonts w:ascii="Arial" w:hAnsi="Arial" w:cs="Arial"/>
          <w:b/>
          <w:bCs/>
          <w:color w:val="333333"/>
          <w:sz w:val="23"/>
          <w:szCs w:val="23"/>
          <w:u w:val="single"/>
          <w:shd w:val="clear" w:color="auto" w:fill="FBFBFB"/>
        </w:rPr>
        <w:t>rences</w:t>
      </w:r>
    </w:p>
    <w:p w14:paraId="6C7ED163" w14:textId="77777777" w:rsidR="005E3D09" w:rsidRPr="00EF1B2B" w:rsidRDefault="005E3D09" w:rsidP="00ED043D">
      <w:pPr>
        <w:spacing w:after="0" w:line="360" w:lineRule="auto"/>
        <w:rPr>
          <w:rFonts w:ascii="Arial" w:hAnsi="Arial" w:cs="Arial"/>
          <w:b/>
          <w:bCs/>
          <w:color w:val="333333"/>
          <w:u w:val="single"/>
          <w:shd w:val="clear" w:color="auto" w:fill="FBFBFB"/>
        </w:rPr>
      </w:pPr>
    </w:p>
    <w:p w14:paraId="5833C3B1"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Acas (2022) </w:t>
      </w:r>
      <w:r>
        <w:rPr>
          <w:rFonts w:ascii="avenir-regular-class" w:hAnsi="avenir-regular-class"/>
          <w:i/>
          <w:iCs/>
          <w:color w:val="333333"/>
          <w:sz w:val="23"/>
          <w:szCs w:val="23"/>
          <w:shd w:val="clear" w:color="auto" w:fill="FBFBFB"/>
        </w:rPr>
        <w:t>Reasonable adjustments at work</w:t>
      </w:r>
      <w:r>
        <w:rPr>
          <w:rFonts w:ascii="avenir-regular-class" w:hAnsi="avenir-regular-class"/>
          <w:color w:val="333333"/>
          <w:sz w:val="23"/>
          <w:szCs w:val="23"/>
          <w:shd w:val="clear" w:color="auto" w:fill="FBFBFB"/>
        </w:rPr>
        <w:t>. Available at: www.acas.org.uk (Accessed: 1 November 2025).</w:t>
      </w:r>
    </w:p>
    <w:p w14:paraId="54E73989"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Bandelow, B, et, al. (2022) 'The German Guidelines for the treatment of anxiety disorders: first revision', </w:t>
      </w:r>
      <w:r>
        <w:rPr>
          <w:rFonts w:ascii="avenir-regular-class" w:hAnsi="avenir-regular-class"/>
          <w:i/>
          <w:iCs/>
          <w:color w:val="333333"/>
          <w:sz w:val="23"/>
          <w:szCs w:val="23"/>
          <w:shd w:val="clear" w:color="auto" w:fill="FBFBFB"/>
        </w:rPr>
        <w:t>Springer Nature</w:t>
      </w:r>
      <w:r>
        <w:rPr>
          <w:rFonts w:ascii="avenir-regular-class" w:hAnsi="avenir-regular-class"/>
          <w:color w:val="333333"/>
          <w:sz w:val="23"/>
          <w:szCs w:val="23"/>
          <w:shd w:val="clear" w:color="auto" w:fill="FBFBFB"/>
        </w:rPr>
        <w:t>, 272, pp</w:t>
      </w:r>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571-582.</w:t>
      </w:r>
    </w:p>
    <w:p w14:paraId="45972D9D"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Bonti, E. (2024) 'The high rates comorbidity among neurodevelopmental disorders: Reconsidering the clinical utility of distinct diagnostic categories', </w:t>
      </w:r>
      <w:r>
        <w:rPr>
          <w:rFonts w:ascii="avenir-regular-class" w:hAnsi="avenir-regular-class"/>
          <w:i/>
          <w:iCs/>
          <w:color w:val="333333"/>
          <w:sz w:val="23"/>
          <w:szCs w:val="23"/>
          <w:shd w:val="clear" w:color="auto" w:fill="FBFBFB"/>
        </w:rPr>
        <w:t>Journal of Personalised Medicine</w:t>
      </w:r>
      <w:r>
        <w:rPr>
          <w:rFonts w:ascii="avenir-regular-class" w:hAnsi="avenir-regular-class"/>
          <w:color w:val="333333"/>
          <w:sz w:val="23"/>
          <w:szCs w:val="23"/>
          <w:shd w:val="clear" w:color="auto" w:fill="FBFBFB"/>
        </w:rPr>
        <w:t>, 14(3), 300. Available at</w:t>
      </w:r>
      <w:r w:rsidRPr="00597D5D">
        <w:rPr>
          <w:rFonts w:ascii="Segoe UI" w:hAnsi="Segoe UI" w:cs="Segoe UI"/>
          <w:color w:val="333333"/>
          <w:sz w:val="23"/>
          <w:szCs w:val="23"/>
          <w:shd w:val="clear" w:color="auto" w:fill="FBFBFB"/>
        </w:rPr>
        <w:t>: </w:t>
      </w:r>
      <w:r w:rsidRPr="00597D5D">
        <w:rPr>
          <w:rFonts w:ascii="Segoe UI" w:hAnsi="Segoe UI" w:cs="Segoe UI"/>
          <w:color w:val="222222"/>
          <w:sz w:val="20"/>
          <w:szCs w:val="20"/>
          <w:shd w:val="clear" w:color="auto" w:fill="FFFFFF"/>
        </w:rPr>
        <w:t> </w:t>
      </w:r>
      <w:r w:rsidRPr="00597D5D">
        <w:rPr>
          <w:rFonts w:ascii="Segoe UI" w:hAnsi="Segoe UI" w:cs="Segoe UI"/>
        </w:rPr>
        <w:t xml:space="preserve">https://doi.org/ </w:t>
      </w:r>
      <w:r w:rsidRPr="00597D5D">
        <w:rPr>
          <w:rFonts w:ascii="Segoe UI" w:hAnsi="Segoe UI" w:cs="Segoe UI"/>
          <w:shd w:val="clear" w:color="auto" w:fill="FFFFFF"/>
        </w:rPr>
        <w:t>10.3390/jpm</w:t>
      </w:r>
      <w:r w:rsidRPr="00597D5D">
        <w:rPr>
          <w:rFonts w:ascii="Segoe UI" w:hAnsi="Segoe UI" w:cs="Segoe UI"/>
          <w:shd w:val="clear" w:color="auto" w:fill="FFFFFF"/>
        </w:rPr>
        <w:t>14030300</w:t>
      </w:r>
      <w:r>
        <w:rPr>
          <w:rFonts w:ascii="Helvetica" w:hAnsi="Helvetica"/>
          <w:color w:val="222222"/>
          <w:sz w:val="18"/>
          <w:szCs w:val="18"/>
          <w:shd w:val="clear" w:color="auto" w:fill="FFFFFF"/>
        </w:rPr>
        <w:t xml:space="preserve"> (</w:t>
      </w:r>
      <w:r>
        <w:rPr>
          <w:rFonts w:ascii="avenir-regular-class" w:hAnsi="avenir-regular-class"/>
          <w:color w:val="333333"/>
          <w:sz w:val="23"/>
          <w:szCs w:val="23"/>
          <w:shd w:val="clear" w:color="auto" w:fill="FBFBFB"/>
        </w:rPr>
        <w:t>Accessed: 11 November 2025).</w:t>
      </w:r>
    </w:p>
    <w:p w14:paraId="53BDA8A4"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Chin Wei Ooi, E, et, al. (2025) 'Facilitators and challenges to ICD-11 implementation: a qualitative study using the consolidated framework for implementation science', </w:t>
      </w:r>
      <w:r>
        <w:rPr>
          <w:rFonts w:ascii="avenir-regular-class" w:hAnsi="avenir-regular-class"/>
          <w:i/>
          <w:iCs/>
          <w:color w:val="333333"/>
          <w:sz w:val="23"/>
          <w:szCs w:val="23"/>
          <w:shd w:val="clear" w:color="auto" w:fill="FBFBFB"/>
        </w:rPr>
        <w:t xml:space="preserve">BMC Medical </w:t>
      </w:r>
      <w:r>
        <w:rPr>
          <w:rFonts w:ascii="avenir-regular-class" w:hAnsi="avenir-regular-class"/>
          <w:i/>
          <w:iCs/>
          <w:color w:val="333333"/>
          <w:sz w:val="23"/>
          <w:szCs w:val="23"/>
          <w:shd w:val="clear" w:color="auto" w:fill="FBFBFB"/>
        </w:rPr>
        <w:t>Informatics and</w:t>
      </w:r>
      <w:r>
        <w:rPr>
          <w:rFonts w:ascii="avenir-regular-class" w:hAnsi="avenir-regular-class"/>
          <w:i/>
          <w:iCs/>
          <w:color w:val="333333"/>
          <w:sz w:val="23"/>
          <w:szCs w:val="23"/>
          <w:shd w:val="clear" w:color="auto" w:fill="FBFBFB"/>
        </w:rPr>
        <w:t xml:space="preserve"> Decision Making</w:t>
      </w:r>
      <w:r>
        <w:rPr>
          <w:rFonts w:ascii="avenir-regular-class" w:hAnsi="avenir-regular-class"/>
          <w:color w:val="333333"/>
          <w:sz w:val="23"/>
          <w:szCs w:val="23"/>
          <w:shd w:val="clear" w:color="auto" w:fill="FBFBFB"/>
        </w:rPr>
        <w:t>, 25(314). Available at: </w:t>
      </w:r>
      <w:r w:rsidRPr="003823D1">
        <w:rPr>
          <w:rFonts w:ascii="Segoe UI" w:hAnsi="Segoe UI" w:cs="Segoe UI"/>
          <w:color w:val="333333"/>
          <w:shd w:val="clear" w:color="auto" w:fill="FFFFFF"/>
        </w:rPr>
        <w:t>https://doi.org/10.1186/s12911-025-03157-7</w:t>
      </w:r>
      <w:r>
        <w:rPr>
          <w:rFonts w:ascii="avenir-regular-class" w:hAnsi="avenir-regular-class"/>
          <w:color w:val="333333"/>
          <w:sz w:val="23"/>
          <w:szCs w:val="23"/>
          <w:shd w:val="clear" w:color="auto" w:fill="FBFBFB"/>
        </w:rPr>
        <w:t> </w:t>
      </w:r>
    </w:p>
    <w:p w14:paraId="2DFB75CB"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DWP (2025) </w:t>
      </w:r>
      <w:r>
        <w:rPr>
          <w:rFonts w:ascii="avenir-regular-class" w:hAnsi="avenir-regular-class"/>
          <w:i/>
          <w:iCs/>
          <w:color w:val="333333"/>
          <w:sz w:val="23"/>
          <w:szCs w:val="23"/>
          <w:shd w:val="clear" w:color="auto" w:fill="FBFBFB"/>
        </w:rPr>
        <w:t>The employment of disabled people 2024</w:t>
      </w:r>
      <w:r>
        <w:rPr>
          <w:rFonts w:ascii="avenir-regular-class" w:hAnsi="avenir-regular-class"/>
          <w:color w:val="333333"/>
          <w:sz w:val="23"/>
          <w:szCs w:val="23"/>
          <w:shd w:val="clear" w:color="auto" w:fill="FBFBFB"/>
        </w:rPr>
        <w:t>. Available at</w:t>
      </w:r>
      <w:r>
        <w:rPr>
          <w:rFonts w:ascii="avenir-regular-class" w:hAnsi="avenir-regular-class"/>
          <w:color w:val="333333"/>
          <w:sz w:val="23"/>
          <w:szCs w:val="23"/>
          <w:shd w:val="clear" w:color="auto" w:fill="FBFBFB"/>
        </w:rPr>
        <w:t xml:space="preserve">: </w:t>
      </w:r>
      <w:r w:rsidRPr="00DF0312">
        <w:rPr>
          <w:rFonts w:ascii="avenir-regular-class" w:hAnsi="avenir-regular-class"/>
          <w:color w:val="333333"/>
          <w:sz w:val="23"/>
          <w:szCs w:val="23"/>
          <w:shd w:val="clear" w:color="auto" w:fill="FBFBFB"/>
        </w:rPr>
        <w:t>https://www.gov.uk/government/statistics/the-employment-of-disabled-people-2024/the-employment-of-disabled-people-2024</w:t>
      </w:r>
      <w:r w:rsidRPr="00DF0312">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Accessed: 1 November 2025).</w:t>
      </w:r>
    </w:p>
    <w:p w14:paraId="22E2BAE6"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Hoyer, J, et al. (2014) 'The Diagnosis and Treatment Recommendations for Anxiety Disorders ', </w:t>
      </w:r>
      <w:r>
        <w:rPr>
          <w:rFonts w:ascii="avenir-regular-class" w:hAnsi="avenir-regular-class"/>
          <w:i/>
          <w:iCs/>
          <w:color w:val="333333"/>
          <w:sz w:val="23"/>
          <w:szCs w:val="23"/>
          <w:shd w:val="clear" w:color="auto" w:fill="FBFBFB"/>
        </w:rPr>
        <w:t>Deutsche Arz</w:t>
      </w:r>
      <w:r>
        <w:rPr>
          <w:rFonts w:ascii="avenir-regular-class" w:hAnsi="avenir-regular-class"/>
          <w:i/>
          <w:iCs/>
          <w:color w:val="333333"/>
          <w:sz w:val="23"/>
          <w:szCs w:val="23"/>
          <w:shd w:val="clear" w:color="auto" w:fill="FBFBFB"/>
        </w:rPr>
        <w:t>e</w:t>
      </w:r>
      <w:r>
        <w:rPr>
          <w:rFonts w:ascii="avenir-regular-class" w:hAnsi="avenir-regular-class"/>
          <w:i/>
          <w:iCs/>
          <w:color w:val="333333"/>
          <w:sz w:val="23"/>
          <w:szCs w:val="23"/>
          <w:shd w:val="clear" w:color="auto" w:fill="FBFBFB"/>
        </w:rPr>
        <w:t>teblatt International</w:t>
      </w:r>
      <w:r>
        <w:rPr>
          <w:rFonts w:ascii="avenir-regular-class" w:hAnsi="avenir-regular-class"/>
          <w:color w:val="333333"/>
          <w:sz w:val="23"/>
          <w:szCs w:val="23"/>
          <w:shd w:val="clear" w:color="auto" w:fill="FBFBFB"/>
        </w:rPr>
        <w:t>, 111(27-28), pp. 473-480.</w:t>
      </w:r>
    </w:p>
    <w:p w14:paraId="6F28CE56"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Legislation.gov.uk (</w:t>
      </w:r>
      <w:r>
        <w:rPr>
          <w:rFonts w:ascii="avenir-regular-class" w:hAnsi="avenir-regular-class"/>
          <w:color w:val="333333"/>
          <w:sz w:val="23"/>
          <w:szCs w:val="23"/>
          <w:shd w:val="clear" w:color="auto" w:fill="FBFBFB"/>
        </w:rPr>
        <w:t>2007) </w:t>
      </w:r>
      <w:r>
        <w:rPr>
          <w:rFonts w:ascii="avenir-regular-class" w:hAnsi="avenir-regular-class"/>
          <w:i/>
          <w:iCs/>
          <w:color w:val="333333"/>
          <w:sz w:val="23"/>
          <w:szCs w:val="23"/>
          <w:shd w:val="clear" w:color="auto" w:fill="FBFBFB"/>
        </w:rPr>
        <w:t>Mental Health Act 2007</w:t>
      </w:r>
      <w:r>
        <w:rPr>
          <w:rFonts w:ascii="avenir-regular-class" w:hAnsi="avenir-regular-class"/>
          <w:color w:val="333333"/>
          <w:sz w:val="23"/>
          <w:szCs w:val="23"/>
          <w:shd w:val="clear" w:color="auto" w:fill="FBFBFB"/>
        </w:rPr>
        <w:t xml:space="preserve">. Available at: </w:t>
      </w:r>
      <w:r>
        <w:rPr>
          <w:rFonts w:ascii="avenir-regular-class" w:hAnsi="avenir-regular-class"/>
          <w:color w:val="333333"/>
          <w:sz w:val="23"/>
          <w:szCs w:val="23"/>
          <w:shd w:val="clear" w:color="auto" w:fill="FBFBFB"/>
        </w:rPr>
        <w:t>www.legislation.gov.uk/ukpga/2007/12/contents (</w:t>
      </w:r>
      <w:r>
        <w:rPr>
          <w:rFonts w:ascii="avenir-regular-class" w:hAnsi="avenir-regular-class"/>
          <w:color w:val="333333"/>
          <w:sz w:val="23"/>
          <w:szCs w:val="23"/>
          <w:shd w:val="clear" w:color="auto" w:fill="FBFBFB"/>
        </w:rPr>
        <w:t>Accessed: 3 November 2025).</w:t>
      </w:r>
    </w:p>
    <w:p w14:paraId="0B80AFB5" w14:textId="77777777" w:rsidR="005E3D09" w:rsidRPr="00ED043D" w:rsidRDefault="005E3D09" w:rsidP="00ED043D">
      <w:pPr>
        <w:spacing w:after="0" w:line="360" w:lineRule="auto"/>
        <w:rPr>
          <w:rFonts w:ascii="Arial" w:eastAsia="Times New Roman" w:hAnsi="Arial" w:cs="Arial"/>
          <w:lang w:eastAsia="en-GB"/>
        </w:rPr>
      </w:pPr>
      <w:r>
        <w:rPr>
          <w:rFonts w:ascii="avenir-regular-class" w:hAnsi="avenir-regular-class"/>
          <w:color w:val="333333"/>
          <w:sz w:val="23"/>
          <w:szCs w:val="23"/>
          <w:shd w:val="clear" w:color="auto" w:fill="FBFBFB"/>
        </w:rPr>
        <w:t>Liubertiene, G, et, al. (2025) </w:t>
      </w:r>
      <w:r>
        <w:rPr>
          <w:rFonts w:ascii="avenir-regular-class" w:hAnsi="avenir-regular-class"/>
          <w:i/>
          <w:iCs/>
          <w:color w:val="333333"/>
          <w:sz w:val="23"/>
          <w:szCs w:val="23"/>
          <w:shd w:val="clear" w:color="auto" w:fill="FBFBFB"/>
        </w:rPr>
        <w:t>Adult Psychiatric Morbidity Survey: Survey of Mental Health and Wellbeing</w:t>
      </w:r>
      <w:r>
        <w:rPr>
          <w:rFonts w:ascii="avenir-regular-class" w:hAnsi="avenir-regular-class"/>
          <w:color w:val="333333"/>
          <w:sz w:val="23"/>
          <w:szCs w:val="23"/>
          <w:shd w:val="clear" w:color="auto" w:fill="FBFBFB"/>
        </w:rPr>
        <w:t>. Available at: https://digital.nhs.uk/data-and-information/publications/statistical/adult-psychiatric-morbidity-survey/survey-of-mental-health-and-wellbeing-england-2023-24/common-mental-health-conditions (Accessed: 1 November 2025).</w:t>
      </w:r>
    </w:p>
    <w:p w14:paraId="62E16CF9" w14:textId="77777777" w:rsidR="005E3D09" w:rsidRDefault="005E3D09" w:rsidP="00ED043D">
      <w:pPr>
        <w:spacing w:after="0" w:line="360" w:lineRule="auto"/>
        <w:rPr>
          <w:rFonts w:ascii="avenir-regular-class" w:hAnsi="avenir-regular-class"/>
          <w:color w:val="333333"/>
          <w:shd w:val="clear" w:color="auto" w:fill="FBFBFB"/>
        </w:rPr>
      </w:pPr>
      <w:r>
        <w:rPr>
          <w:rFonts w:ascii="avenir-regular-class" w:hAnsi="avenir-regular-class"/>
          <w:color w:val="333333"/>
          <w:sz w:val="23"/>
          <w:szCs w:val="23"/>
          <w:shd w:val="clear" w:color="auto" w:fill="FBFBFB"/>
        </w:rPr>
        <w:t>Nafarreh, K. (2024) '</w:t>
      </w:r>
      <w:r>
        <w:rPr>
          <w:rFonts w:ascii="avenir-regular-class" w:hAnsi="avenir-regular-class"/>
          <w:color w:val="333333"/>
          <w:sz w:val="23"/>
          <w:szCs w:val="23"/>
          <w:shd w:val="clear" w:color="auto" w:fill="FBFBFB"/>
        </w:rPr>
        <w:t>Prevalence</w:t>
      </w:r>
      <w:r>
        <w:rPr>
          <w:rFonts w:ascii="avenir-regular-class" w:hAnsi="avenir-regular-class"/>
          <w:color w:val="333333"/>
          <w:sz w:val="23"/>
          <w:szCs w:val="23"/>
          <w:shd w:val="clear" w:color="auto" w:fill="FBFBFB"/>
        </w:rPr>
        <w:t xml:space="preserve"> of mental, behavioural or neurodevelopmental disorders according to the national classification of Disease 11: a scoping review protocol', </w:t>
      </w:r>
      <w:r>
        <w:rPr>
          <w:rFonts w:ascii="avenir-regular-class" w:hAnsi="avenir-regular-class"/>
          <w:i/>
          <w:iCs/>
          <w:color w:val="333333"/>
          <w:sz w:val="23"/>
          <w:szCs w:val="23"/>
          <w:shd w:val="clear" w:color="auto" w:fill="FBFBFB"/>
        </w:rPr>
        <w:t>BMJ Open</w:t>
      </w:r>
      <w:r>
        <w:rPr>
          <w:rFonts w:ascii="avenir-regular-class" w:hAnsi="avenir-regular-class"/>
          <w:color w:val="333333"/>
          <w:sz w:val="23"/>
          <w:szCs w:val="23"/>
          <w:shd w:val="clear" w:color="auto" w:fill="FBFBFB"/>
        </w:rPr>
        <w:t xml:space="preserve">, 14(6), Available at: </w:t>
      </w:r>
      <w:r w:rsidRPr="00304C6C">
        <w:rPr>
          <w:rFonts w:ascii="Segoe UI" w:hAnsi="Segoe UI" w:cs="Segoe UI"/>
          <w:color w:val="333333"/>
          <w:shd w:val="clear" w:color="auto" w:fill="FBFBFB"/>
        </w:rPr>
        <w:t>https://doi.org/</w:t>
      </w:r>
      <w:r w:rsidRPr="00304C6C">
        <w:rPr>
          <w:rFonts w:ascii="Segoe UI" w:hAnsi="Segoe UI" w:cs="Segoe UI"/>
          <w:color w:val="333333"/>
          <w:shd w:val="clear" w:color="auto" w:fill="FFFFFF"/>
        </w:rPr>
        <w:t>10.1136/bmjopen-2023-081082</w:t>
      </w:r>
      <w:r w:rsidRPr="00304C6C">
        <w:rPr>
          <w:rFonts w:ascii="avenir-regular-class" w:hAnsi="avenir-regular-class"/>
          <w:color w:val="333333"/>
          <w:shd w:val="clear" w:color="auto" w:fill="FBFBFB"/>
        </w:rPr>
        <w:t>.</w:t>
      </w:r>
    </w:p>
    <w:p w14:paraId="7D1E6B76"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(2019) </w:t>
      </w:r>
      <w:r>
        <w:rPr>
          <w:rFonts w:ascii="avenir-regular-class" w:hAnsi="avenir-regular-class"/>
          <w:i/>
          <w:iCs/>
          <w:color w:val="333333"/>
          <w:sz w:val="23"/>
          <w:szCs w:val="23"/>
          <w:shd w:val="clear" w:color="auto" w:fill="FBFBFB"/>
        </w:rPr>
        <w:t>NHS Long Term Plan</w:t>
      </w:r>
      <w:r>
        <w:rPr>
          <w:rFonts w:ascii="avenir-regular-class" w:hAnsi="avenir-regular-class"/>
          <w:color w:val="333333"/>
          <w:sz w:val="23"/>
          <w:szCs w:val="23"/>
          <w:shd w:val="clear" w:color="auto" w:fill="FBFBFB"/>
        </w:rPr>
        <w:t>. Available at: www.longtermplan.nhs.uk (Accessed: 2 November 2025).</w:t>
      </w:r>
    </w:p>
    <w:p w14:paraId="130D9A5C"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NICE (2024) </w:t>
      </w:r>
      <w:r>
        <w:rPr>
          <w:rFonts w:ascii="avenir-regular-class" w:hAnsi="avenir-regular-class"/>
          <w:i/>
          <w:iCs/>
          <w:color w:val="333333"/>
          <w:sz w:val="23"/>
          <w:szCs w:val="23"/>
          <w:shd w:val="clear" w:color="auto" w:fill="FBFBFB"/>
        </w:rPr>
        <w:t>Generalised Anxiety Disorder and Panic Disorder in Adults: Management (2020).</w:t>
      </w:r>
      <w:r>
        <w:rPr>
          <w:rFonts w:ascii="avenir-regular-class" w:hAnsi="avenir-regular-class"/>
          <w:color w:val="333333"/>
          <w:sz w:val="23"/>
          <w:szCs w:val="23"/>
          <w:shd w:val="clear" w:color="auto" w:fill="FBFBFB"/>
        </w:rPr>
        <w:t> Available at: www.nice.org.uk/guidance/cg113</w:t>
      </w:r>
      <w:hyperlink r:id="rId6" w:history="1">
        <w:r>
          <w:rPr>
            <w:rStyle w:val="Hyperlink"/>
            <w:rFonts w:ascii="avenir-regular-class" w:hAnsi="avenir-regular-class"/>
            <w:color w:val="20366F"/>
            <w:sz w:val="23"/>
            <w:szCs w:val="23"/>
            <w:shd w:val="clear" w:color="auto" w:fill="FBFBFB"/>
          </w:rPr>
          <w:t> </w:t>
        </w:r>
      </w:hyperlink>
      <w:r>
        <w:rPr>
          <w:rFonts w:ascii="avenir-regular-class" w:hAnsi="avenir-regular-class"/>
          <w:color w:val="333333"/>
          <w:sz w:val="23"/>
          <w:szCs w:val="23"/>
          <w:shd w:val="clear" w:color="auto" w:fill="FBFBFB"/>
        </w:rPr>
        <w:t>(Accessed: 3 November 2025).</w:t>
      </w:r>
    </w:p>
    <w:p w14:paraId="0BE78514"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Reed, G, et, al. (2019) 'Innovations and changes in the ICD-11 classification of mental, behavioural and neurodevelopmental disorders', </w:t>
      </w:r>
      <w:r>
        <w:rPr>
          <w:rFonts w:ascii="avenir-regular-class" w:hAnsi="avenir-regular-class"/>
          <w:i/>
          <w:iCs/>
          <w:color w:val="333333"/>
          <w:sz w:val="23"/>
          <w:szCs w:val="23"/>
          <w:shd w:val="clear" w:color="auto" w:fill="FBFBFB"/>
        </w:rPr>
        <w:t>World Psychiatry</w:t>
      </w:r>
      <w:r>
        <w:rPr>
          <w:rFonts w:ascii="avenir-regular-class" w:hAnsi="avenir-regular-class"/>
          <w:color w:val="333333"/>
          <w:sz w:val="23"/>
          <w:szCs w:val="23"/>
          <w:shd w:val="clear" w:color="auto" w:fill="FBFBFB"/>
        </w:rPr>
        <w:t>, 18(1), pp</w:t>
      </w:r>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3-9.</w:t>
      </w:r>
    </w:p>
    <w:p w14:paraId="4BE918F2" w14:textId="77777777" w:rsidR="005E3D09" w:rsidRDefault="005E3D09" w:rsidP="00ED043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World Health Organisation (2024) </w:t>
      </w:r>
      <w:r>
        <w:rPr>
          <w:rFonts w:ascii="avenir-regular-class" w:hAnsi="avenir-regular-class"/>
          <w:i/>
          <w:iCs/>
          <w:color w:val="333333"/>
          <w:sz w:val="23"/>
          <w:szCs w:val="23"/>
          <w:shd w:val="clear" w:color="auto" w:fill="FBFBFB"/>
        </w:rPr>
        <w:t>Clinical descriptions and diagnostic requirements for ICD-11 mental behavioural and neurodevelopmental disorders</w:t>
      </w:r>
      <w:r>
        <w:rPr>
          <w:rFonts w:ascii="avenir-regular-class" w:hAnsi="avenir-regular-class"/>
          <w:color w:val="333333"/>
          <w:sz w:val="23"/>
          <w:szCs w:val="23"/>
          <w:shd w:val="clear" w:color="auto" w:fill="FBFBFB"/>
        </w:rPr>
        <w:t xml:space="preserve">. Available at: </w:t>
      </w:r>
      <w:r>
        <w:rPr>
          <w:rFonts w:ascii="avenir-regular-class" w:hAnsi="avenir-regular-class"/>
          <w:color w:val="333333"/>
          <w:sz w:val="23"/>
          <w:szCs w:val="23"/>
          <w:shd w:val="clear" w:color="auto" w:fill="FBFBFB"/>
        </w:rPr>
        <w:t>https://www.who.int/publications/i/item/9789240077263 (</w:t>
      </w:r>
      <w:r>
        <w:rPr>
          <w:rFonts w:ascii="avenir-regular-class" w:hAnsi="avenir-regular-class"/>
          <w:color w:val="333333"/>
          <w:sz w:val="23"/>
          <w:szCs w:val="23"/>
          <w:shd w:val="clear" w:color="auto" w:fill="FBFBFB"/>
        </w:rPr>
        <w:t>Accessed: 1 November 2025).</w:t>
      </w:r>
    </w:p>
    <w:sectPr w:rsidR="005E3D0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61529" w14:textId="77777777" w:rsidR="00190E31" w:rsidRDefault="00190E31" w:rsidP="00FB66B0">
      <w:pPr>
        <w:spacing w:after="0" w:line="240" w:lineRule="auto"/>
      </w:pPr>
      <w:r>
        <w:separator/>
      </w:r>
    </w:p>
  </w:endnote>
  <w:endnote w:type="continuationSeparator" w:id="0">
    <w:p w14:paraId="71406BE7" w14:textId="77777777" w:rsidR="00190E31" w:rsidRDefault="00190E31" w:rsidP="00FB6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8642006"/>
      <w:docPartObj>
        <w:docPartGallery w:val="Page Numbers (Bottom of Page)"/>
        <w:docPartUnique/>
      </w:docPartObj>
    </w:sdtPr>
    <w:sdtContent>
      <w:p w14:paraId="2B00DC10" w14:textId="38964BB8" w:rsidR="00FB66B0" w:rsidRDefault="00FB66B0">
        <w:pPr>
          <w:pStyle w:val="Footer"/>
          <w:jc w:val="center"/>
        </w:pPr>
        <w:r>
          <w:fldChar w:fldCharType="begin"/>
        </w:r>
        <w:r>
          <w:instrText>PAGE   \* MERGEFORMAT</w:instrText>
        </w:r>
        <w:r>
          <w:fldChar w:fldCharType="separate"/>
        </w:r>
        <w:r>
          <w:t>2</w:t>
        </w:r>
        <w:r>
          <w:fldChar w:fldCharType="end"/>
        </w:r>
      </w:p>
    </w:sdtContent>
  </w:sdt>
  <w:p w14:paraId="558AFC3D" w14:textId="77777777" w:rsidR="00FB66B0" w:rsidRDefault="00FB6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595D1E" w14:textId="77777777" w:rsidR="00190E31" w:rsidRDefault="00190E31" w:rsidP="00FB66B0">
      <w:pPr>
        <w:spacing w:after="0" w:line="240" w:lineRule="auto"/>
      </w:pPr>
      <w:r>
        <w:separator/>
      </w:r>
    </w:p>
  </w:footnote>
  <w:footnote w:type="continuationSeparator" w:id="0">
    <w:p w14:paraId="1E2E5A4B" w14:textId="77777777" w:rsidR="00190E31" w:rsidRDefault="00190E31" w:rsidP="00FB66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E41"/>
    <w:rsid w:val="00002F93"/>
    <w:rsid w:val="00014B09"/>
    <w:rsid w:val="000244CE"/>
    <w:rsid w:val="000307D2"/>
    <w:rsid w:val="000607A0"/>
    <w:rsid w:val="0007398B"/>
    <w:rsid w:val="000821E4"/>
    <w:rsid w:val="00084790"/>
    <w:rsid w:val="00090886"/>
    <w:rsid w:val="000D322B"/>
    <w:rsid w:val="000D42E7"/>
    <w:rsid w:val="000E70F8"/>
    <w:rsid w:val="00130286"/>
    <w:rsid w:val="0015510E"/>
    <w:rsid w:val="00162768"/>
    <w:rsid w:val="00180005"/>
    <w:rsid w:val="00190E31"/>
    <w:rsid w:val="001A04B8"/>
    <w:rsid w:val="001A5464"/>
    <w:rsid w:val="001A70E9"/>
    <w:rsid w:val="001B59E0"/>
    <w:rsid w:val="001B7403"/>
    <w:rsid w:val="001D1CEB"/>
    <w:rsid w:val="001F3859"/>
    <w:rsid w:val="0023069A"/>
    <w:rsid w:val="002317A8"/>
    <w:rsid w:val="00241EE5"/>
    <w:rsid w:val="00262082"/>
    <w:rsid w:val="0028051B"/>
    <w:rsid w:val="002872C8"/>
    <w:rsid w:val="002B0CC1"/>
    <w:rsid w:val="002B3FAF"/>
    <w:rsid w:val="002B544E"/>
    <w:rsid w:val="002E721C"/>
    <w:rsid w:val="00301F8E"/>
    <w:rsid w:val="003020E4"/>
    <w:rsid w:val="00304C6C"/>
    <w:rsid w:val="003166F7"/>
    <w:rsid w:val="0031684E"/>
    <w:rsid w:val="003214FD"/>
    <w:rsid w:val="00324967"/>
    <w:rsid w:val="0032695E"/>
    <w:rsid w:val="00334F9B"/>
    <w:rsid w:val="0033638A"/>
    <w:rsid w:val="00362C8A"/>
    <w:rsid w:val="003823D1"/>
    <w:rsid w:val="00397636"/>
    <w:rsid w:val="003A5865"/>
    <w:rsid w:val="003B0EC7"/>
    <w:rsid w:val="003B6D2A"/>
    <w:rsid w:val="003D4D3F"/>
    <w:rsid w:val="003E0755"/>
    <w:rsid w:val="003E3FBF"/>
    <w:rsid w:val="003F1630"/>
    <w:rsid w:val="00416A75"/>
    <w:rsid w:val="004330EC"/>
    <w:rsid w:val="004358E5"/>
    <w:rsid w:val="004567C8"/>
    <w:rsid w:val="00461DFC"/>
    <w:rsid w:val="00467370"/>
    <w:rsid w:val="00472A5D"/>
    <w:rsid w:val="00481AB7"/>
    <w:rsid w:val="004A316E"/>
    <w:rsid w:val="004A736C"/>
    <w:rsid w:val="004B1E64"/>
    <w:rsid w:val="004B30C6"/>
    <w:rsid w:val="004C2B5C"/>
    <w:rsid w:val="004C38B6"/>
    <w:rsid w:val="004D0219"/>
    <w:rsid w:val="004D3F8B"/>
    <w:rsid w:val="00506072"/>
    <w:rsid w:val="005170DB"/>
    <w:rsid w:val="005360FE"/>
    <w:rsid w:val="00561627"/>
    <w:rsid w:val="00572A67"/>
    <w:rsid w:val="00586915"/>
    <w:rsid w:val="00597D5D"/>
    <w:rsid w:val="005C4483"/>
    <w:rsid w:val="005C4DC9"/>
    <w:rsid w:val="005D5F92"/>
    <w:rsid w:val="005D5FE9"/>
    <w:rsid w:val="005D7381"/>
    <w:rsid w:val="005E3D09"/>
    <w:rsid w:val="005F3844"/>
    <w:rsid w:val="0061713C"/>
    <w:rsid w:val="006230CD"/>
    <w:rsid w:val="0062620E"/>
    <w:rsid w:val="0063316B"/>
    <w:rsid w:val="00644EEE"/>
    <w:rsid w:val="0066240B"/>
    <w:rsid w:val="0066251A"/>
    <w:rsid w:val="00667B73"/>
    <w:rsid w:val="00675161"/>
    <w:rsid w:val="00675DD1"/>
    <w:rsid w:val="00676B2A"/>
    <w:rsid w:val="00682F27"/>
    <w:rsid w:val="0069363A"/>
    <w:rsid w:val="006A178F"/>
    <w:rsid w:val="006A3B53"/>
    <w:rsid w:val="006A44CF"/>
    <w:rsid w:val="006B60A8"/>
    <w:rsid w:val="006C414C"/>
    <w:rsid w:val="006D6C0C"/>
    <w:rsid w:val="006E05E6"/>
    <w:rsid w:val="006E4390"/>
    <w:rsid w:val="006F56F0"/>
    <w:rsid w:val="007007DD"/>
    <w:rsid w:val="007008E3"/>
    <w:rsid w:val="00700BC8"/>
    <w:rsid w:val="00712954"/>
    <w:rsid w:val="0071492B"/>
    <w:rsid w:val="00720667"/>
    <w:rsid w:val="007558CB"/>
    <w:rsid w:val="00780414"/>
    <w:rsid w:val="007949FF"/>
    <w:rsid w:val="007A29DD"/>
    <w:rsid w:val="007A53F2"/>
    <w:rsid w:val="007B1A18"/>
    <w:rsid w:val="007C176E"/>
    <w:rsid w:val="007C5085"/>
    <w:rsid w:val="007D089A"/>
    <w:rsid w:val="00817D7E"/>
    <w:rsid w:val="00821F3E"/>
    <w:rsid w:val="00827F93"/>
    <w:rsid w:val="008509FF"/>
    <w:rsid w:val="008540A4"/>
    <w:rsid w:val="00860F6B"/>
    <w:rsid w:val="0086533B"/>
    <w:rsid w:val="0087499B"/>
    <w:rsid w:val="008870A8"/>
    <w:rsid w:val="0089536A"/>
    <w:rsid w:val="008C2020"/>
    <w:rsid w:val="008E0BC0"/>
    <w:rsid w:val="009143C5"/>
    <w:rsid w:val="00920BEA"/>
    <w:rsid w:val="00931B94"/>
    <w:rsid w:val="009421B7"/>
    <w:rsid w:val="00945273"/>
    <w:rsid w:val="00946C7A"/>
    <w:rsid w:val="00960B3F"/>
    <w:rsid w:val="009836F3"/>
    <w:rsid w:val="00995DE0"/>
    <w:rsid w:val="009A361A"/>
    <w:rsid w:val="009B0EE1"/>
    <w:rsid w:val="009B77C2"/>
    <w:rsid w:val="00A00124"/>
    <w:rsid w:val="00A101CF"/>
    <w:rsid w:val="00A12906"/>
    <w:rsid w:val="00A20F97"/>
    <w:rsid w:val="00A23134"/>
    <w:rsid w:val="00A34DCA"/>
    <w:rsid w:val="00A47B5F"/>
    <w:rsid w:val="00A567E8"/>
    <w:rsid w:val="00A7446B"/>
    <w:rsid w:val="00A74D9E"/>
    <w:rsid w:val="00A86C05"/>
    <w:rsid w:val="00AA5B67"/>
    <w:rsid w:val="00AB549F"/>
    <w:rsid w:val="00AD4715"/>
    <w:rsid w:val="00AD47E4"/>
    <w:rsid w:val="00AE3E78"/>
    <w:rsid w:val="00AE5F94"/>
    <w:rsid w:val="00B1017F"/>
    <w:rsid w:val="00B41E2A"/>
    <w:rsid w:val="00B44C55"/>
    <w:rsid w:val="00B46404"/>
    <w:rsid w:val="00B61844"/>
    <w:rsid w:val="00B63193"/>
    <w:rsid w:val="00B77BE6"/>
    <w:rsid w:val="00B8174E"/>
    <w:rsid w:val="00B819CE"/>
    <w:rsid w:val="00B81D9C"/>
    <w:rsid w:val="00B83F17"/>
    <w:rsid w:val="00BA1878"/>
    <w:rsid w:val="00BB3D63"/>
    <w:rsid w:val="00BD78F1"/>
    <w:rsid w:val="00C00928"/>
    <w:rsid w:val="00C02348"/>
    <w:rsid w:val="00C03E65"/>
    <w:rsid w:val="00C11852"/>
    <w:rsid w:val="00C12E41"/>
    <w:rsid w:val="00C13AD3"/>
    <w:rsid w:val="00C25B98"/>
    <w:rsid w:val="00C54E35"/>
    <w:rsid w:val="00C56DA2"/>
    <w:rsid w:val="00C56DE4"/>
    <w:rsid w:val="00C751A4"/>
    <w:rsid w:val="00CA1912"/>
    <w:rsid w:val="00CA658E"/>
    <w:rsid w:val="00CC0BEE"/>
    <w:rsid w:val="00CD71C5"/>
    <w:rsid w:val="00CE6A09"/>
    <w:rsid w:val="00CF4A08"/>
    <w:rsid w:val="00CF735E"/>
    <w:rsid w:val="00D13F08"/>
    <w:rsid w:val="00D207E2"/>
    <w:rsid w:val="00D34B4F"/>
    <w:rsid w:val="00D43578"/>
    <w:rsid w:val="00D458D5"/>
    <w:rsid w:val="00D54637"/>
    <w:rsid w:val="00D61CBE"/>
    <w:rsid w:val="00D76E81"/>
    <w:rsid w:val="00D826A7"/>
    <w:rsid w:val="00D91A1B"/>
    <w:rsid w:val="00DA5EBE"/>
    <w:rsid w:val="00DC08FC"/>
    <w:rsid w:val="00DD41E8"/>
    <w:rsid w:val="00DF0312"/>
    <w:rsid w:val="00DF1B65"/>
    <w:rsid w:val="00DF2056"/>
    <w:rsid w:val="00E17ECE"/>
    <w:rsid w:val="00E35204"/>
    <w:rsid w:val="00E5298E"/>
    <w:rsid w:val="00E675EC"/>
    <w:rsid w:val="00E80136"/>
    <w:rsid w:val="00EA26E2"/>
    <w:rsid w:val="00EA52FE"/>
    <w:rsid w:val="00EA7CE9"/>
    <w:rsid w:val="00EC66FA"/>
    <w:rsid w:val="00ED043D"/>
    <w:rsid w:val="00ED0D75"/>
    <w:rsid w:val="00ED3F6F"/>
    <w:rsid w:val="00EE20F0"/>
    <w:rsid w:val="00EF1B2B"/>
    <w:rsid w:val="00F0019B"/>
    <w:rsid w:val="00F026E2"/>
    <w:rsid w:val="00F27E84"/>
    <w:rsid w:val="00F31302"/>
    <w:rsid w:val="00F44135"/>
    <w:rsid w:val="00F87D0A"/>
    <w:rsid w:val="00FA3FAA"/>
    <w:rsid w:val="00FA6448"/>
    <w:rsid w:val="00FB66B0"/>
    <w:rsid w:val="00FF268C"/>
    <w:rsid w:val="00FF30B6"/>
    <w:rsid w:val="00FF7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99C23"/>
  <w15:chartTrackingRefBased/>
  <w15:docId w15:val="{FFFFB2AA-5FE3-4E96-A17B-5E8A11085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E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2E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2E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2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2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2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2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2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2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E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2E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2E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2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2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2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2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2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2E41"/>
    <w:rPr>
      <w:rFonts w:eastAsiaTheme="majorEastAsia" w:cstheme="majorBidi"/>
      <w:color w:val="272727" w:themeColor="text1" w:themeTint="D8"/>
    </w:rPr>
  </w:style>
  <w:style w:type="paragraph" w:styleId="Title">
    <w:name w:val="Title"/>
    <w:basedOn w:val="Normal"/>
    <w:next w:val="Normal"/>
    <w:link w:val="TitleChar"/>
    <w:uiPriority w:val="10"/>
    <w:qFormat/>
    <w:rsid w:val="00C12E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2E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2E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2E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2E41"/>
    <w:pPr>
      <w:spacing w:before="160"/>
      <w:jc w:val="center"/>
    </w:pPr>
    <w:rPr>
      <w:i/>
      <w:iCs/>
      <w:color w:val="404040" w:themeColor="text1" w:themeTint="BF"/>
    </w:rPr>
  </w:style>
  <w:style w:type="character" w:customStyle="1" w:styleId="QuoteChar">
    <w:name w:val="Quote Char"/>
    <w:basedOn w:val="DefaultParagraphFont"/>
    <w:link w:val="Quote"/>
    <w:uiPriority w:val="29"/>
    <w:rsid w:val="00C12E41"/>
    <w:rPr>
      <w:i/>
      <w:iCs/>
      <w:color w:val="404040" w:themeColor="text1" w:themeTint="BF"/>
    </w:rPr>
  </w:style>
  <w:style w:type="paragraph" w:styleId="ListParagraph">
    <w:name w:val="List Paragraph"/>
    <w:basedOn w:val="Normal"/>
    <w:uiPriority w:val="34"/>
    <w:qFormat/>
    <w:rsid w:val="00C12E41"/>
    <w:pPr>
      <w:ind w:left="720"/>
      <w:contextualSpacing/>
    </w:pPr>
  </w:style>
  <w:style w:type="character" w:styleId="IntenseEmphasis">
    <w:name w:val="Intense Emphasis"/>
    <w:basedOn w:val="DefaultParagraphFont"/>
    <w:uiPriority w:val="21"/>
    <w:qFormat/>
    <w:rsid w:val="00C12E41"/>
    <w:rPr>
      <w:i/>
      <w:iCs/>
      <w:color w:val="0F4761" w:themeColor="accent1" w:themeShade="BF"/>
    </w:rPr>
  </w:style>
  <w:style w:type="paragraph" w:styleId="IntenseQuote">
    <w:name w:val="Intense Quote"/>
    <w:basedOn w:val="Normal"/>
    <w:next w:val="Normal"/>
    <w:link w:val="IntenseQuoteChar"/>
    <w:uiPriority w:val="30"/>
    <w:qFormat/>
    <w:rsid w:val="00C12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2E41"/>
    <w:rPr>
      <w:i/>
      <w:iCs/>
      <w:color w:val="0F4761" w:themeColor="accent1" w:themeShade="BF"/>
    </w:rPr>
  </w:style>
  <w:style w:type="character" w:styleId="IntenseReference">
    <w:name w:val="Intense Reference"/>
    <w:basedOn w:val="DefaultParagraphFont"/>
    <w:uiPriority w:val="32"/>
    <w:qFormat/>
    <w:rsid w:val="00C12E41"/>
    <w:rPr>
      <w:b/>
      <w:bCs/>
      <w:smallCaps/>
      <w:color w:val="0F4761" w:themeColor="accent1" w:themeShade="BF"/>
      <w:spacing w:val="5"/>
    </w:rPr>
  </w:style>
  <w:style w:type="character" w:styleId="Strong">
    <w:name w:val="Strong"/>
    <w:basedOn w:val="DefaultParagraphFont"/>
    <w:uiPriority w:val="22"/>
    <w:qFormat/>
    <w:rsid w:val="0066240B"/>
    <w:rPr>
      <w:b/>
      <w:bCs/>
    </w:rPr>
  </w:style>
  <w:style w:type="character" w:customStyle="1" w:styleId="ms-1">
    <w:name w:val="ms-1"/>
    <w:basedOn w:val="DefaultParagraphFont"/>
    <w:rsid w:val="0066240B"/>
  </w:style>
  <w:style w:type="character" w:customStyle="1" w:styleId="max-w-15ch">
    <w:name w:val="max-w-[15ch]"/>
    <w:basedOn w:val="DefaultParagraphFont"/>
    <w:rsid w:val="0066240B"/>
  </w:style>
  <w:style w:type="character" w:customStyle="1" w:styleId="-me-1">
    <w:name w:val="-me-1"/>
    <w:basedOn w:val="DefaultParagraphFont"/>
    <w:rsid w:val="0066240B"/>
  </w:style>
  <w:style w:type="table" w:styleId="TableGrid">
    <w:name w:val="Table Grid"/>
    <w:basedOn w:val="TableNormal"/>
    <w:uiPriority w:val="39"/>
    <w:rsid w:val="006C41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316B"/>
    <w:rPr>
      <w:color w:val="0000FF"/>
      <w:u w:val="single"/>
    </w:rPr>
  </w:style>
  <w:style w:type="character" w:styleId="UnresolvedMention">
    <w:name w:val="Unresolved Mention"/>
    <w:basedOn w:val="DefaultParagraphFont"/>
    <w:uiPriority w:val="99"/>
    <w:semiHidden/>
    <w:unhideWhenUsed/>
    <w:rsid w:val="003214FD"/>
    <w:rPr>
      <w:color w:val="605E5C"/>
      <w:shd w:val="clear" w:color="auto" w:fill="E1DFDD"/>
    </w:rPr>
  </w:style>
  <w:style w:type="paragraph" w:styleId="Header">
    <w:name w:val="header"/>
    <w:basedOn w:val="Normal"/>
    <w:link w:val="HeaderChar"/>
    <w:uiPriority w:val="99"/>
    <w:unhideWhenUsed/>
    <w:rsid w:val="00FB6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6B0"/>
  </w:style>
  <w:style w:type="paragraph" w:styleId="Footer">
    <w:name w:val="footer"/>
    <w:basedOn w:val="Normal"/>
    <w:link w:val="FooterChar"/>
    <w:uiPriority w:val="99"/>
    <w:unhideWhenUsed/>
    <w:rsid w:val="00FB6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guidance/cg113"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4626</TotalTime>
  <Pages>13</Pages>
  <Words>2560</Words>
  <Characters>17437</Characters>
  <Application>Microsoft Office Word</Application>
  <DocSecurity>0</DocSecurity>
  <Lines>645</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Afiya Barakat</dc:creator>
  <cp:keywords/>
  <dc:description/>
  <cp:lastModifiedBy>Afiya Barakat</cp:lastModifiedBy>
  <cp:revision>229</cp:revision>
  <dcterms:created xsi:type="dcterms:W3CDTF">2025-11-12T13:37:00Z</dcterms:created>
  <dcterms:modified xsi:type="dcterms:W3CDTF">2025-11-15T18:43:00Z</dcterms:modified>
</cp:coreProperties>
</file>