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ascii="Times New Roman" w:hAnsi="Times New Roman" w:cs="Times New Roman"/>
          <w:color w:val="000000" w:themeColor="text1"/>
        </w:rPr>
        <w:id w:val="-911542587"/>
        <w:docPartObj>
          <w:docPartGallery w:val="Cover Pages"/>
          <w:docPartUnique/>
        </w:docPartObj>
      </w:sdtPr>
      <w:sdtContent>
        <w:p w14:paraId="682A3D15" w14:textId="1F12F544" w:rsidR="00EA3F67" w:rsidRPr="00F3304A" w:rsidRDefault="00EA3F67"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g">
                <w:drawing>
                  <wp:anchor distT="0" distB="0" distL="114300" distR="114300" simplePos="0" relativeHeight="251662336" behindDoc="0" locked="0" layoutInCell="1" allowOverlap="1" wp14:anchorId="37764B9C" wp14:editId="503F789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F3B42E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60288" behindDoc="0" locked="0" layoutInCell="1" allowOverlap="1" wp14:anchorId="2E02E9D1" wp14:editId="40D0B50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35CEC" w14:textId="12B3CCB0" w:rsidR="00EA3F67" w:rsidRDefault="00EA3F6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02E9D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p w14:paraId="0A035CEC" w14:textId="12B3CCB0" w:rsidR="00EA3F67" w:rsidRDefault="00EA3F67">
                          <w:pPr>
                            <w:pStyle w:val="NoSpacing"/>
                            <w:jc w:val="right"/>
                            <w:rPr>
                              <w:color w:val="595959" w:themeColor="text1" w:themeTint="A6"/>
                              <w:sz w:val="18"/>
                              <w:szCs w:val="18"/>
                            </w:rPr>
                          </w:pPr>
                        </w:p>
                      </w:txbxContent>
                    </v:textbox>
                    <w10:wrap type="square" anchorx="page" anchory="page"/>
                  </v:shape>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59264" behindDoc="0" locked="0" layoutInCell="1" allowOverlap="1" wp14:anchorId="3A9A8468" wp14:editId="49E0F44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9C087" w14:textId="625EDEDA" w:rsidR="00EA3F67" w:rsidRPr="00897CCD" w:rsidRDefault="00000000"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E35402" w:rsidRPr="00E35402">
                                      <w:rPr>
                                        <w:caps/>
                                        <w:color w:val="156082" w:themeColor="accent1"/>
                                        <w:sz w:val="64"/>
                                        <w:szCs w:val="64"/>
                                        <w:lang w:val="en-GB"/>
                                      </w:rPr>
                                      <w:t>Network and Cybersecurity Essentials</w:t>
                                    </w:r>
                                  </w:sdtContent>
                                </w:sdt>
                              </w:p>
                              <w:p w14:paraId="33FBF541" w14:textId="6B069424" w:rsidR="00EA3F67" w:rsidRPr="008C12FA" w:rsidRDefault="00EA3F67">
                                <w:pPr>
                                  <w:jc w:val="right"/>
                                  <w:rPr>
                                    <w:smallCaps/>
                                    <w:color w:val="404040" w:themeColor="text1" w:themeTint="BF"/>
                                    <w:sz w:val="36"/>
                                    <w:szCs w:val="3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9A8468"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6119C087" w14:textId="625EDEDA" w:rsidR="00EA3F67" w:rsidRPr="00897CCD" w:rsidRDefault="00000000"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E35402" w:rsidRPr="00E35402">
                                <w:rPr>
                                  <w:caps/>
                                  <w:color w:val="156082" w:themeColor="accent1"/>
                                  <w:sz w:val="64"/>
                                  <w:szCs w:val="64"/>
                                  <w:lang w:val="en-GB"/>
                                </w:rPr>
                                <w:t>Network and Cybersecurity Essentials</w:t>
                              </w:r>
                            </w:sdtContent>
                          </w:sdt>
                        </w:p>
                        <w:p w14:paraId="33FBF541" w14:textId="6B069424" w:rsidR="00EA3F67" w:rsidRPr="008C12FA" w:rsidRDefault="00EA3F67">
                          <w:pPr>
                            <w:jc w:val="right"/>
                            <w:rPr>
                              <w:smallCaps/>
                              <w:color w:val="404040" w:themeColor="text1" w:themeTint="BF"/>
                              <w:sz w:val="36"/>
                              <w:szCs w:val="36"/>
                              <w:lang w:val="en-GB"/>
                            </w:rPr>
                          </w:pPr>
                        </w:p>
                      </w:txbxContent>
                    </v:textbox>
                    <w10:wrap type="square" anchorx="page" anchory="page"/>
                  </v:shape>
                </w:pict>
              </mc:Fallback>
            </mc:AlternateContent>
          </w:r>
        </w:p>
        <w:p w14:paraId="6DDFDADC" w14:textId="3557E6D4" w:rsidR="00EA3F67" w:rsidRPr="00F3304A" w:rsidRDefault="007E0468"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s">
                <w:drawing>
                  <wp:anchor distT="0" distB="0" distL="114300" distR="114300" simplePos="0" relativeHeight="251661312" behindDoc="0" locked="0" layoutInCell="1" allowOverlap="1" wp14:anchorId="21BE30BA" wp14:editId="513277A0">
                    <wp:simplePos x="0" y="0"/>
                    <wp:positionH relativeFrom="page">
                      <wp:posOffset>381000</wp:posOffset>
                    </wp:positionH>
                    <wp:positionV relativeFrom="page">
                      <wp:posOffset>7482840</wp:posOffset>
                    </wp:positionV>
                    <wp:extent cx="6954520" cy="1652419"/>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6954520" cy="16524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E5F42" w14:textId="3CE0F695"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 xml:space="preserve">Module Name: </w:t>
                                </w:r>
                                <w:r w:rsidR="00E35402" w:rsidRPr="00E35402">
                                  <w:rPr>
                                    <w:rFonts w:eastAsiaTheme="minorHAnsi"/>
                                    <w:sz w:val="24"/>
                                    <w:szCs w:val="24"/>
                                    <w:lang w:val="en-GB"/>
                                  </w:rPr>
                                  <w:t>Network and Cybersecurity Essentials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sidR="00E35402">
                                  <w:rPr>
                                    <w:rFonts w:eastAsiaTheme="minorHAnsi"/>
                                    <w:sz w:val="24"/>
                                    <w:szCs w:val="24"/>
                                    <w:lang w:val="en-GB"/>
                                  </w:rPr>
                                  <w:t>24</w:t>
                                </w:r>
                                <w:r w:rsidRPr="00554D44">
                                  <w:rPr>
                                    <w:rFonts w:eastAsiaTheme="minorHAnsi"/>
                                    <w:sz w:val="24"/>
                                    <w:szCs w:val="24"/>
                                    <w:lang w:val="en-GB"/>
                                  </w:rPr>
                                  <w:br/>
                                  <w:t xml:space="preserve">Student Name: </w:t>
                                </w:r>
                                <w:r w:rsidR="00E35402">
                                  <w:rPr>
                                    <w:rFonts w:eastAsiaTheme="minorHAnsi"/>
                                    <w:sz w:val="24"/>
                                    <w:szCs w:val="24"/>
                                    <w:lang w:val="en-GB"/>
                                  </w:rPr>
                                  <w:t>Valerii Vdovin</w:t>
                                </w:r>
                                <w:r w:rsidRPr="00554D44">
                                  <w:rPr>
                                    <w:rFonts w:eastAsiaTheme="minorHAnsi"/>
                                    <w:sz w:val="24"/>
                                    <w:szCs w:val="24"/>
                                    <w:lang w:val="en-GB"/>
                                  </w:rPr>
                                  <w:br/>
                                  <w:t xml:space="preserve">Student ID: </w:t>
                                </w:r>
                                <w:r w:rsidR="00E35402">
                                  <w:rPr>
                                    <w:rFonts w:eastAsiaTheme="minorHAnsi"/>
                                    <w:sz w:val="24"/>
                                    <w:szCs w:val="24"/>
                                    <w:lang w:val="en-GB"/>
                                  </w:rPr>
                                  <w:t>2510682</w:t>
                                </w:r>
                                <w:r w:rsidRPr="00554D44">
                                  <w:rPr>
                                    <w:rFonts w:eastAsiaTheme="minorHAnsi"/>
                                    <w:sz w:val="24"/>
                                    <w:szCs w:val="24"/>
                                    <w:lang w:val="en-GB"/>
                                  </w:rPr>
                                  <w:br/>
                                  <w:t>Group:</w:t>
                                </w:r>
                                <w:r w:rsidR="00E35402">
                                  <w:rPr>
                                    <w:rFonts w:eastAsiaTheme="minorHAnsi"/>
                                    <w:sz w:val="24"/>
                                    <w:szCs w:val="24"/>
                                    <w:lang w:val="en-GB"/>
                                  </w:rPr>
                                  <w:t xml:space="preserve"> 4</w:t>
                                </w:r>
                              </w:p>
                              <w:p w14:paraId="74A53C54" w14:textId="2767E2E8"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E35402" w:rsidRPr="00E35402">
                                  <w:rPr>
                                    <w:rFonts w:eastAsiaTheme="minorHAnsi"/>
                                    <w:sz w:val="24"/>
                                    <w:szCs w:val="24"/>
                                    <w:lang w:val="en-GB"/>
                                  </w:rPr>
                                  <w:t>Dr Anum Paracha</w:t>
                                </w:r>
                              </w:p>
                              <w:p w14:paraId="1B8EBC0C" w14:textId="7B488F73" w:rsidR="00EA3F67" w:rsidRDefault="00EA3F67" w:rsidP="00FF3862">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1BE30BA" id="Text Box 161" o:spid="_x0000_s1028" type="#_x0000_t202" style="position:absolute;margin-left:30pt;margin-top:589.2pt;width:547.6pt;height:130.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" filled="f" stroked="f" strokeweight=".5pt">
                    <v:textbox inset="126pt,0,54pt,0">
                      <w:txbxContent>
                        <w:p w14:paraId="6CAE5F42" w14:textId="3CE0F695"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 xml:space="preserve">Module Name: </w:t>
                          </w:r>
                          <w:r w:rsidR="00E35402" w:rsidRPr="00E35402">
                            <w:rPr>
                              <w:rFonts w:eastAsiaTheme="minorHAnsi"/>
                              <w:sz w:val="24"/>
                              <w:szCs w:val="24"/>
                              <w:lang w:val="en-GB"/>
                            </w:rPr>
                            <w:t>Network and Cybersecurity Essentials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sidR="00E35402">
                            <w:rPr>
                              <w:rFonts w:eastAsiaTheme="minorHAnsi"/>
                              <w:sz w:val="24"/>
                              <w:szCs w:val="24"/>
                              <w:lang w:val="en-GB"/>
                            </w:rPr>
                            <w:t>24</w:t>
                          </w:r>
                          <w:r w:rsidRPr="00554D44">
                            <w:rPr>
                              <w:rFonts w:eastAsiaTheme="minorHAnsi"/>
                              <w:sz w:val="24"/>
                              <w:szCs w:val="24"/>
                              <w:lang w:val="en-GB"/>
                            </w:rPr>
                            <w:br/>
                            <w:t xml:space="preserve">Student Name: </w:t>
                          </w:r>
                          <w:r w:rsidR="00E35402">
                            <w:rPr>
                              <w:rFonts w:eastAsiaTheme="minorHAnsi"/>
                              <w:sz w:val="24"/>
                              <w:szCs w:val="24"/>
                              <w:lang w:val="en-GB"/>
                            </w:rPr>
                            <w:t>Valerii Vdovin</w:t>
                          </w:r>
                          <w:r w:rsidRPr="00554D44">
                            <w:rPr>
                              <w:rFonts w:eastAsiaTheme="minorHAnsi"/>
                              <w:sz w:val="24"/>
                              <w:szCs w:val="24"/>
                              <w:lang w:val="en-GB"/>
                            </w:rPr>
                            <w:br/>
                            <w:t xml:space="preserve">Student ID: </w:t>
                          </w:r>
                          <w:r w:rsidR="00E35402">
                            <w:rPr>
                              <w:rFonts w:eastAsiaTheme="minorHAnsi"/>
                              <w:sz w:val="24"/>
                              <w:szCs w:val="24"/>
                              <w:lang w:val="en-GB"/>
                            </w:rPr>
                            <w:t>2510682</w:t>
                          </w:r>
                          <w:r w:rsidRPr="00554D44">
                            <w:rPr>
                              <w:rFonts w:eastAsiaTheme="minorHAnsi"/>
                              <w:sz w:val="24"/>
                              <w:szCs w:val="24"/>
                              <w:lang w:val="en-GB"/>
                            </w:rPr>
                            <w:br/>
                            <w:t>Group:</w:t>
                          </w:r>
                          <w:r w:rsidR="00E35402">
                            <w:rPr>
                              <w:rFonts w:eastAsiaTheme="minorHAnsi"/>
                              <w:sz w:val="24"/>
                              <w:szCs w:val="24"/>
                              <w:lang w:val="en-GB"/>
                            </w:rPr>
                            <w:t xml:space="preserve"> 4</w:t>
                          </w:r>
                        </w:p>
                        <w:p w14:paraId="74A53C54" w14:textId="2767E2E8"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E35402" w:rsidRPr="00E35402">
                            <w:rPr>
                              <w:rFonts w:eastAsiaTheme="minorHAnsi"/>
                              <w:sz w:val="24"/>
                              <w:szCs w:val="24"/>
                              <w:lang w:val="en-GB"/>
                            </w:rPr>
                            <w:t>Dr Anum Paracha</w:t>
                          </w:r>
                        </w:p>
                        <w:p w14:paraId="1B8EBC0C" w14:textId="7B488F73" w:rsidR="00EA3F67" w:rsidRDefault="00EA3F67" w:rsidP="00FF3862">
                          <w:pPr>
                            <w:pStyle w:val="NoSpacing"/>
                            <w:rPr>
                              <w:color w:val="595959" w:themeColor="text1" w:themeTint="A6"/>
                              <w:sz w:val="20"/>
                              <w:szCs w:val="20"/>
                            </w:rPr>
                          </w:pPr>
                        </w:p>
                      </w:txbxContent>
                    </v:textbox>
                    <w10:wrap type="square" anchorx="page" anchory="page"/>
                  </v:shape>
                </w:pict>
              </mc:Fallback>
            </mc:AlternateContent>
          </w:r>
          <w:r w:rsidR="00EA3F67" w:rsidRPr="00F3304A">
            <w:rPr>
              <w:rFonts w:ascii="Times New Roman" w:hAnsi="Times New Roman" w:cs="Times New Roman"/>
              <w:color w:val="000000" w:themeColor="text1"/>
            </w:rPr>
            <w:br w:type="page"/>
          </w:r>
        </w:p>
      </w:sdtContent>
    </w:sdt>
    <w:bookmarkStart w:id="0" w:name="_Toc237432006" w:displacedByCustomXml="next"/>
    <w:sdt>
      <w:sdtPr>
        <w:rPr>
          <w:rFonts w:ascii="Times New Roman" w:eastAsiaTheme="minorHAnsi" w:hAnsi="Times New Roman" w:cs="Times New Roman"/>
          <w:color w:val="000000" w:themeColor="text1"/>
          <w:sz w:val="24"/>
          <w:szCs w:val="24"/>
        </w:rPr>
        <w:id w:val="1675535134"/>
        <w:docPartObj>
          <w:docPartGallery w:val="Table of Contents"/>
          <w:docPartUnique/>
        </w:docPartObj>
      </w:sdtPr>
      <w:sdtEndPr>
        <w:rPr>
          <w:b/>
          <w:bCs/>
          <w:noProof/>
        </w:rPr>
      </w:sdtEndPr>
      <w:sdtContent>
        <w:p w14:paraId="09FEEE7E" w14:textId="472D5A57" w:rsidR="00ED5E81" w:rsidRPr="00F3304A" w:rsidRDefault="00ED5E81" w:rsidP="0028520E">
          <w:pPr>
            <w:pStyle w:val="Heading1"/>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rPr>
            <w:t>Table of Contents</w:t>
          </w:r>
          <w:bookmarkEnd w:id="0"/>
        </w:p>
        <w:p w14:paraId="1E360517" w14:textId="28D95840" w:rsidR="00A20EC0" w:rsidRDefault="00ED5E81">
          <w:pPr>
            <w:pStyle w:val="TOC1"/>
            <w:tabs>
              <w:tab w:val="right" w:leader="dot" w:pos="9016"/>
            </w:tabs>
            <w:rPr>
              <w:rFonts w:eastAsiaTheme="minorEastAsia"/>
              <w:noProof/>
              <w:lang w:val="en-GB" w:eastAsia="en-GB"/>
            </w:rPr>
          </w:pPr>
          <w:r w:rsidRPr="00F3304A">
            <w:rPr>
              <w:rFonts w:ascii="Times New Roman" w:hAnsi="Times New Roman" w:cs="Times New Roman"/>
              <w:color w:val="000000" w:themeColor="text1"/>
            </w:rPr>
            <w:fldChar w:fldCharType="begin"/>
          </w:r>
          <w:r w:rsidRPr="00F3304A">
            <w:rPr>
              <w:rFonts w:ascii="Times New Roman" w:hAnsi="Times New Roman" w:cs="Times New Roman"/>
              <w:color w:val="000000" w:themeColor="text1"/>
              <w:lang w:val="en-GB"/>
            </w:rPr>
            <w:instrText xml:space="preserve"> TOC \o "1-3" \h \z \u </w:instrText>
          </w:r>
          <w:r w:rsidRPr="00F3304A">
            <w:rPr>
              <w:rFonts w:ascii="Times New Roman" w:hAnsi="Times New Roman" w:cs="Times New Roman"/>
              <w:color w:val="000000" w:themeColor="text1"/>
            </w:rPr>
            <w:fldChar w:fldCharType="separate"/>
          </w:r>
          <w:hyperlink w:anchor="_Toc237432006" w:history="1">
            <w:r w:rsidR="00A20EC0" w:rsidRPr="00326786">
              <w:rPr>
                <w:rStyle w:val="Hyperlink"/>
                <w:rFonts w:ascii="Times New Roman" w:hAnsi="Times New Roman" w:cs="Times New Roman"/>
                <w:noProof/>
              </w:rPr>
              <w:t>Table of Contents</w:t>
            </w:r>
            <w:r w:rsidR="00A20EC0">
              <w:rPr>
                <w:noProof/>
                <w:webHidden/>
              </w:rPr>
              <w:tab/>
            </w:r>
            <w:r w:rsidR="00A20EC0">
              <w:rPr>
                <w:noProof/>
                <w:webHidden/>
              </w:rPr>
              <w:fldChar w:fldCharType="begin"/>
            </w:r>
            <w:r w:rsidR="00A20EC0">
              <w:rPr>
                <w:noProof/>
                <w:webHidden/>
              </w:rPr>
              <w:instrText xml:space="preserve"> PAGEREF _Toc237432006 \h </w:instrText>
            </w:r>
            <w:r w:rsidR="00A20EC0">
              <w:rPr>
                <w:noProof/>
                <w:webHidden/>
              </w:rPr>
            </w:r>
            <w:r w:rsidR="00A20EC0">
              <w:rPr>
                <w:noProof/>
                <w:webHidden/>
              </w:rPr>
              <w:fldChar w:fldCharType="separate"/>
            </w:r>
            <w:r w:rsidR="00A20EC0">
              <w:rPr>
                <w:noProof/>
                <w:webHidden/>
              </w:rPr>
              <w:t>1</w:t>
            </w:r>
            <w:r w:rsidR="00A20EC0">
              <w:rPr>
                <w:noProof/>
                <w:webHidden/>
              </w:rPr>
              <w:fldChar w:fldCharType="end"/>
            </w:r>
          </w:hyperlink>
        </w:p>
        <w:p w14:paraId="196DFE1A" w14:textId="7279C420" w:rsidR="00A20EC0" w:rsidRDefault="00A20EC0">
          <w:pPr>
            <w:pStyle w:val="TOC1"/>
            <w:tabs>
              <w:tab w:val="right" w:leader="dot" w:pos="9016"/>
            </w:tabs>
            <w:rPr>
              <w:rFonts w:eastAsiaTheme="minorEastAsia"/>
              <w:noProof/>
              <w:lang w:val="en-GB" w:eastAsia="en-GB"/>
            </w:rPr>
          </w:pPr>
          <w:hyperlink w:anchor="_Toc237432007" w:history="1">
            <w:r w:rsidRPr="00326786">
              <w:rPr>
                <w:rStyle w:val="Hyperlink"/>
                <w:rFonts w:ascii="Times New Roman" w:hAnsi="Times New Roman" w:cs="Times New Roman"/>
                <w:b/>
                <w:bCs/>
                <w:noProof/>
                <w:lang w:val="en-GB"/>
              </w:rPr>
              <w:t>Annotation</w:t>
            </w:r>
            <w:r>
              <w:rPr>
                <w:noProof/>
                <w:webHidden/>
              </w:rPr>
              <w:tab/>
            </w:r>
            <w:r>
              <w:rPr>
                <w:noProof/>
                <w:webHidden/>
              </w:rPr>
              <w:fldChar w:fldCharType="begin"/>
            </w:r>
            <w:r>
              <w:rPr>
                <w:noProof/>
                <w:webHidden/>
              </w:rPr>
              <w:instrText xml:space="preserve"> PAGEREF _Toc237432007 \h </w:instrText>
            </w:r>
            <w:r>
              <w:rPr>
                <w:noProof/>
                <w:webHidden/>
              </w:rPr>
            </w:r>
            <w:r>
              <w:rPr>
                <w:noProof/>
                <w:webHidden/>
              </w:rPr>
              <w:fldChar w:fldCharType="separate"/>
            </w:r>
            <w:r>
              <w:rPr>
                <w:noProof/>
                <w:webHidden/>
              </w:rPr>
              <w:t>2</w:t>
            </w:r>
            <w:r>
              <w:rPr>
                <w:noProof/>
                <w:webHidden/>
              </w:rPr>
              <w:fldChar w:fldCharType="end"/>
            </w:r>
          </w:hyperlink>
        </w:p>
        <w:p w14:paraId="2BB9EE82" w14:textId="188A1463" w:rsidR="00A20EC0" w:rsidRDefault="00A20EC0">
          <w:pPr>
            <w:pStyle w:val="TOC1"/>
            <w:tabs>
              <w:tab w:val="left" w:pos="480"/>
              <w:tab w:val="right" w:leader="dot" w:pos="9016"/>
            </w:tabs>
            <w:rPr>
              <w:rFonts w:eastAsiaTheme="minorEastAsia"/>
              <w:noProof/>
              <w:lang w:val="en-GB" w:eastAsia="en-GB"/>
            </w:rPr>
          </w:pPr>
          <w:hyperlink w:anchor="_Toc237432008" w:history="1">
            <w:r w:rsidRPr="00326786">
              <w:rPr>
                <w:rStyle w:val="Hyperlink"/>
                <w:rFonts w:ascii="Times New Roman" w:hAnsi="Times New Roman" w:cs="Times New Roman"/>
                <w:b/>
                <w:bCs/>
                <w:noProof/>
                <w:lang w:val="en-GB"/>
              </w:rPr>
              <w:t>1.</w:t>
            </w:r>
            <w:r>
              <w:rPr>
                <w:rFonts w:eastAsiaTheme="minorEastAsia"/>
                <w:noProof/>
                <w:lang w:val="en-GB" w:eastAsia="en-GB"/>
              </w:rPr>
              <w:tab/>
            </w:r>
            <w:r w:rsidRPr="00326786">
              <w:rPr>
                <w:rStyle w:val="Hyperlink"/>
                <w:rFonts w:ascii="Times New Roman" w:hAnsi="Times New Roman" w:cs="Times New Roman"/>
                <w:b/>
                <w:bCs/>
                <w:noProof/>
                <w:lang w:val="en-GB"/>
              </w:rPr>
              <w:t>Introduction</w:t>
            </w:r>
            <w:r>
              <w:rPr>
                <w:noProof/>
                <w:webHidden/>
              </w:rPr>
              <w:tab/>
            </w:r>
            <w:r>
              <w:rPr>
                <w:noProof/>
                <w:webHidden/>
              </w:rPr>
              <w:fldChar w:fldCharType="begin"/>
            </w:r>
            <w:r>
              <w:rPr>
                <w:noProof/>
                <w:webHidden/>
              </w:rPr>
              <w:instrText xml:space="preserve"> PAGEREF _Toc237432008 \h </w:instrText>
            </w:r>
            <w:r>
              <w:rPr>
                <w:noProof/>
                <w:webHidden/>
              </w:rPr>
            </w:r>
            <w:r>
              <w:rPr>
                <w:noProof/>
                <w:webHidden/>
              </w:rPr>
              <w:fldChar w:fldCharType="separate"/>
            </w:r>
            <w:r>
              <w:rPr>
                <w:noProof/>
                <w:webHidden/>
              </w:rPr>
              <w:t>2</w:t>
            </w:r>
            <w:r>
              <w:rPr>
                <w:noProof/>
                <w:webHidden/>
              </w:rPr>
              <w:fldChar w:fldCharType="end"/>
            </w:r>
          </w:hyperlink>
        </w:p>
        <w:p w14:paraId="16FFBA82" w14:textId="2EFDB30E" w:rsidR="00A20EC0" w:rsidRDefault="00A20EC0">
          <w:pPr>
            <w:pStyle w:val="TOC1"/>
            <w:tabs>
              <w:tab w:val="left" w:pos="480"/>
              <w:tab w:val="right" w:leader="dot" w:pos="9016"/>
            </w:tabs>
            <w:rPr>
              <w:rFonts w:eastAsiaTheme="minorEastAsia"/>
              <w:noProof/>
              <w:lang w:val="en-GB" w:eastAsia="en-GB"/>
            </w:rPr>
          </w:pPr>
          <w:hyperlink w:anchor="_Toc237432009" w:history="1">
            <w:r w:rsidRPr="00326786">
              <w:rPr>
                <w:rStyle w:val="Hyperlink"/>
                <w:rFonts w:ascii="Times New Roman" w:hAnsi="Times New Roman" w:cs="Times New Roman"/>
                <w:b/>
                <w:bCs/>
                <w:noProof/>
                <w:lang w:val="en-GB"/>
              </w:rPr>
              <w:t>2.</w:t>
            </w:r>
            <w:r>
              <w:rPr>
                <w:rFonts w:eastAsiaTheme="minorEastAsia"/>
                <w:noProof/>
                <w:lang w:val="en-GB" w:eastAsia="en-GB"/>
              </w:rPr>
              <w:tab/>
            </w:r>
            <w:r w:rsidRPr="00326786">
              <w:rPr>
                <w:rStyle w:val="Hyperlink"/>
                <w:rFonts w:ascii="Times New Roman" w:hAnsi="Times New Roman" w:cs="Times New Roman"/>
                <w:b/>
                <w:bCs/>
                <w:noProof/>
                <w:lang w:val="en-GB"/>
              </w:rPr>
              <w:t>Identification of threats</w:t>
            </w:r>
            <w:r>
              <w:rPr>
                <w:noProof/>
                <w:webHidden/>
              </w:rPr>
              <w:tab/>
            </w:r>
            <w:r>
              <w:rPr>
                <w:noProof/>
                <w:webHidden/>
              </w:rPr>
              <w:fldChar w:fldCharType="begin"/>
            </w:r>
            <w:r>
              <w:rPr>
                <w:noProof/>
                <w:webHidden/>
              </w:rPr>
              <w:instrText xml:space="preserve"> PAGEREF _Toc237432009 \h </w:instrText>
            </w:r>
            <w:r>
              <w:rPr>
                <w:noProof/>
                <w:webHidden/>
              </w:rPr>
            </w:r>
            <w:r>
              <w:rPr>
                <w:noProof/>
                <w:webHidden/>
              </w:rPr>
              <w:fldChar w:fldCharType="separate"/>
            </w:r>
            <w:r>
              <w:rPr>
                <w:noProof/>
                <w:webHidden/>
              </w:rPr>
              <w:t>2</w:t>
            </w:r>
            <w:r>
              <w:rPr>
                <w:noProof/>
                <w:webHidden/>
              </w:rPr>
              <w:fldChar w:fldCharType="end"/>
            </w:r>
          </w:hyperlink>
        </w:p>
        <w:p w14:paraId="6BA2D96D" w14:textId="6622336F" w:rsidR="00A20EC0" w:rsidRDefault="00A20EC0">
          <w:pPr>
            <w:pStyle w:val="TOC2"/>
            <w:tabs>
              <w:tab w:val="right" w:leader="dot" w:pos="9016"/>
            </w:tabs>
            <w:rPr>
              <w:rFonts w:eastAsiaTheme="minorEastAsia"/>
              <w:noProof/>
              <w:lang w:val="en-GB" w:eastAsia="en-GB"/>
            </w:rPr>
          </w:pPr>
          <w:hyperlink w:anchor="_Toc237432010" w:history="1">
            <w:r w:rsidRPr="00326786">
              <w:rPr>
                <w:rStyle w:val="Hyperlink"/>
                <w:noProof/>
                <w:lang w:val="en-GB"/>
              </w:rPr>
              <w:t>2.1. Internal Threats</w:t>
            </w:r>
            <w:r>
              <w:rPr>
                <w:noProof/>
                <w:webHidden/>
              </w:rPr>
              <w:tab/>
            </w:r>
            <w:r>
              <w:rPr>
                <w:noProof/>
                <w:webHidden/>
              </w:rPr>
              <w:fldChar w:fldCharType="begin"/>
            </w:r>
            <w:r>
              <w:rPr>
                <w:noProof/>
                <w:webHidden/>
              </w:rPr>
              <w:instrText xml:space="preserve"> PAGEREF _Toc237432010 \h </w:instrText>
            </w:r>
            <w:r>
              <w:rPr>
                <w:noProof/>
                <w:webHidden/>
              </w:rPr>
            </w:r>
            <w:r>
              <w:rPr>
                <w:noProof/>
                <w:webHidden/>
              </w:rPr>
              <w:fldChar w:fldCharType="separate"/>
            </w:r>
            <w:r>
              <w:rPr>
                <w:noProof/>
                <w:webHidden/>
              </w:rPr>
              <w:t>2</w:t>
            </w:r>
            <w:r>
              <w:rPr>
                <w:noProof/>
                <w:webHidden/>
              </w:rPr>
              <w:fldChar w:fldCharType="end"/>
            </w:r>
          </w:hyperlink>
        </w:p>
        <w:p w14:paraId="617C2062" w14:textId="53C347A5" w:rsidR="00A20EC0" w:rsidRDefault="00A20EC0">
          <w:pPr>
            <w:pStyle w:val="TOC2"/>
            <w:tabs>
              <w:tab w:val="right" w:leader="dot" w:pos="9016"/>
            </w:tabs>
            <w:rPr>
              <w:rFonts w:eastAsiaTheme="minorEastAsia"/>
              <w:noProof/>
              <w:lang w:val="en-GB" w:eastAsia="en-GB"/>
            </w:rPr>
          </w:pPr>
          <w:hyperlink w:anchor="_Toc237432011" w:history="1">
            <w:r w:rsidRPr="00326786">
              <w:rPr>
                <w:rStyle w:val="Hyperlink"/>
                <w:noProof/>
                <w:lang w:val="en-GB"/>
              </w:rPr>
              <w:t>2.2. External threats</w:t>
            </w:r>
            <w:r>
              <w:rPr>
                <w:noProof/>
                <w:webHidden/>
              </w:rPr>
              <w:tab/>
            </w:r>
            <w:r>
              <w:rPr>
                <w:noProof/>
                <w:webHidden/>
              </w:rPr>
              <w:fldChar w:fldCharType="begin"/>
            </w:r>
            <w:r>
              <w:rPr>
                <w:noProof/>
                <w:webHidden/>
              </w:rPr>
              <w:instrText xml:space="preserve"> PAGEREF _Toc237432011 \h </w:instrText>
            </w:r>
            <w:r>
              <w:rPr>
                <w:noProof/>
                <w:webHidden/>
              </w:rPr>
            </w:r>
            <w:r>
              <w:rPr>
                <w:noProof/>
                <w:webHidden/>
              </w:rPr>
              <w:fldChar w:fldCharType="separate"/>
            </w:r>
            <w:r>
              <w:rPr>
                <w:noProof/>
                <w:webHidden/>
              </w:rPr>
              <w:t>3</w:t>
            </w:r>
            <w:r>
              <w:rPr>
                <w:noProof/>
                <w:webHidden/>
              </w:rPr>
              <w:fldChar w:fldCharType="end"/>
            </w:r>
          </w:hyperlink>
        </w:p>
        <w:p w14:paraId="71F33E1E" w14:textId="7321DEAE" w:rsidR="00A20EC0" w:rsidRDefault="00A20EC0">
          <w:pPr>
            <w:pStyle w:val="TOC2"/>
            <w:tabs>
              <w:tab w:val="right" w:leader="dot" w:pos="9016"/>
            </w:tabs>
            <w:rPr>
              <w:rFonts w:eastAsiaTheme="minorEastAsia"/>
              <w:noProof/>
              <w:lang w:val="en-GB" w:eastAsia="en-GB"/>
            </w:rPr>
          </w:pPr>
          <w:hyperlink w:anchor="_Toc237432012" w:history="1">
            <w:r w:rsidRPr="00326786">
              <w:rPr>
                <w:rStyle w:val="Hyperlink"/>
                <w:noProof/>
                <w:lang w:val="en-GB"/>
              </w:rPr>
              <w:t>2.3. Impact assessment using the CIA model and risk prioritisation</w:t>
            </w:r>
            <w:r>
              <w:rPr>
                <w:noProof/>
                <w:webHidden/>
              </w:rPr>
              <w:tab/>
            </w:r>
            <w:r>
              <w:rPr>
                <w:noProof/>
                <w:webHidden/>
              </w:rPr>
              <w:fldChar w:fldCharType="begin"/>
            </w:r>
            <w:r>
              <w:rPr>
                <w:noProof/>
                <w:webHidden/>
              </w:rPr>
              <w:instrText xml:space="preserve"> PAGEREF _Toc237432012 \h </w:instrText>
            </w:r>
            <w:r>
              <w:rPr>
                <w:noProof/>
                <w:webHidden/>
              </w:rPr>
            </w:r>
            <w:r>
              <w:rPr>
                <w:noProof/>
                <w:webHidden/>
              </w:rPr>
              <w:fldChar w:fldCharType="separate"/>
            </w:r>
            <w:r>
              <w:rPr>
                <w:noProof/>
                <w:webHidden/>
              </w:rPr>
              <w:t>4</w:t>
            </w:r>
            <w:r>
              <w:rPr>
                <w:noProof/>
                <w:webHidden/>
              </w:rPr>
              <w:fldChar w:fldCharType="end"/>
            </w:r>
          </w:hyperlink>
        </w:p>
        <w:p w14:paraId="1BA30208" w14:textId="4D1C8F00" w:rsidR="00A20EC0" w:rsidRDefault="00A20EC0">
          <w:pPr>
            <w:pStyle w:val="TOC1"/>
            <w:tabs>
              <w:tab w:val="left" w:pos="480"/>
              <w:tab w:val="right" w:leader="dot" w:pos="9016"/>
            </w:tabs>
            <w:rPr>
              <w:rFonts w:eastAsiaTheme="minorEastAsia"/>
              <w:noProof/>
              <w:lang w:val="en-GB" w:eastAsia="en-GB"/>
            </w:rPr>
          </w:pPr>
          <w:hyperlink w:anchor="_Toc237432013" w:history="1">
            <w:r w:rsidRPr="00326786">
              <w:rPr>
                <w:rStyle w:val="Hyperlink"/>
                <w:rFonts w:ascii="Times New Roman" w:hAnsi="Times New Roman" w:cs="Times New Roman"/>
                <w:b/>
                <w:bCs/>
                <w:noProof/>
                <w:lang w:val="en-GB"/>
              </w:rPr>
              <w:t>3.</w:t>
            </w:r>
            <w:r>
              <w:rPr>
                <w:rFonts w:eastAsiaTheme="minorEastAsia"/>
                <w:noProof/>
                <w:lang w:val="en-GB" w:eastAsia="en-GB"/>
              </w:rPr>
              <w:tab/>
            </w:r>
            <w:r w:rsidRPr="00326786">
              <w:rPr>
                <w:rStyle w:val="Hyperlink"/>
                <w:rFonts w:ascii="Times New Roman" w:hAnsi="Times New Roman" w:cs="Times New Roman"/>
                <w:b/>
                <w:bCs/>
                <w:noProof/>
                <w:lang w:val="en-GB"/>
              </w:rPr>
              <w:t>Security policies based on ISO/IEC 27001:2022</w:t>
            </w:r>
            <w:r>
              <w:rPr>
                <w:noProof/>
                <w:webHidden/>
              </w:rPr>
              <w:tab/>
            </w:r>
            <w:r>
              <w:rPr>
                <w:noProof/>
                <w:webHidden/>
              </w:rPr>
              <w:fldChar w:fldCharType="begin"/>
            </w:r>
            <w:r>
              <w:rPr>
                <w:noProof/>
                <w:webHidden/>
              </w:rPr>
              <w:instrText xml:space="preserve"> PAGEREF _Toc237432013 \h </w:instrText>
            </w:r>
            <w:r>
              <w:rPr>
                <w:noProof/>
                <w:webHidden/>
              </w:rPr>
            </w:r>
            <w:r>
              <w:rPr>
                <w:noProof/>
                <w:webHidden/>
              </w:rPr>
              <w:fldChar w:fldCharType="separate"/>
            </w:r>
            <w:r>
              <w:rPr>
                <w:noProof/>
                <w:webHidden/>
              </w:rPr>
              <w:t>4</w:t>
            </w:r>
            <w:r>
              <w:rPr>
                <w:noProof/>
                <w:webHidden/>
              </w:rPr>
              <w:fldChar w:fldCharType="end"/>
            </w:r>
          </w:hyperlink>
        </w:p>
        <w:p w14:paraId="5791AD6B" w14:textId="280A716B" w:rsidR="00A20EC0" w:rsidRDefault="00A20EC0">
          <w:pPr>
            <w:pStyle w:val="TOC2"/>
            <w:tabs>
              <w:tab w:val="right" w:leader="dot" w:pos="9016"/>
            </w:tabs>
            <w:rPr>
              <w:rFonts w:eastAsiaTheme="minorEastAsia"/>
              <w:noProof/>
              <w:lang w:val="en-GB" w:eastAsia="en-GB"/>
            </w:rPr>
          </w:pPr>
          <w:hyperlink w:anchor="_Toc237432014" w:history="1">
            <w:r w:rsidRPr="00326786">
              <w:rPr>
                <w:rStyle w:val="Hyperlink"/>
                <w:noProof/>
                <w:lang w:val="en-GB"/>
              </w:rPr>
              <w:t>3.1. Access Management and Authentication</w:t>
            </w:r>
            <w:r>
              <w:rPr>
                <w:noProof/>
                <w:webHidden/>
              </w:rPr>
              <w:tab/>
            </w:r>
            <w:r>
              <w:rPr>
                <w:noProof/>
                <w:webHidden/>
              </w:rPr>
              <w:fldChar w:fldCharType="begin"/>
            </w:r>
            <w:r>
              <w:rPr>
                <w:noProof/>
                <w:webHidden/>
              </w:rPr>
              <w:instrText xml:space="preserve"> PAGEREF _Toc237432014 \h </w:instrText>
            </w:r>
            <w:r>
              <w:rPr>
                <w:noProof/>
                <w:webHidden/>
              </w:rPr>
            </w:r>
            <w:r>
              <w:rPr>
                <w:noProof/>
                <w:webHidden/>
              </w:rPr>
              <w:fldChar w:fldCharType="separate"/>
            </w:r>
            <w:r>
              <w:rPr>
                <w:noProof/>
                <w:webHidden/>
              </w:rPr>
              <w:t>4</w:t>
            </w:r>
            <w:r>
              <w:rPr>
                <w:noProof/>
                <w:webHidden/>
              </w:rPr>
              <w:fldChar w:fldCharType="end"/>
            </w:r>
          </w:hyperlink>
        </w:p>
        <w:p w14:paraId="0AB6CAC6" w14:textId="30D8018D" w:rsidR="00A20EC0" w:rsidRDefault="00A20EC0">
          <w:pPr>
            <w:pStyle w:val="TOC2"/>
            <w:tabs>
              <w:tab w:val="right" w:leader="dot" w:pos="9016"/>
            </w:tabs>
            <w:rPr>
              <w:rFonts w:eastAsiaTheme="minorEastAsia"/>
              <w:noProof/>
              <w:lang w:val="en-GB" w:eastAsia="en-GB"/>
            </w:rPr>
          </w:pPr>
          <w:hyperlink w:anchor="_Toc237432015" w:history="1">
            <w:r w:rsidRPr="00326786">
              <w:rPr>
                <w:rStyle w:val="Hyperlink"/>
                <w:noProof/>
                <w:lang w:val="en-GB"/>
              </w:rPr>
              <w:t>3.2. Network security and network segmentation</w:t>
            </w:r>
            <w:r>
              <w:rPr>
                <w:noProof/>
                <w:webHidden/>
              </w:rPr>
              <w:tab/>
            </w:r>
            <w:r>
              <w:rPr>
                <w:noProof/>
                <w:webHidden/>
              </w:rPr>
              <w:fldChar w:fldCharType="begin"/>
            </w:r>
            <w:r>
              <w:rPr>
                <w:noProof/>
                <w:webHidden/>
              </w:rPr>
              <w:instrText xml:space="preserve"> PAGEREF _Toc237432015 \h </w:instrText>
            </w:r>
            <w:r>
              <w:rPr>
                <w:noProof/>
                <w:webHidden/>
              </w:rPr>
            </w:r>
            <w:r>
              <w:rPr>
                <w:noProof/>
                <w:webHidden/>
              </w:rPr>
              <w:fldChar w:fldCharType="separate"/>
            </w:r>
            <w:r>
              <w:rPr>
                <w:noProof/>
                <w:webHidden/>
              </w:rPr>
              <w:t>4</w:t>
            </w:r>
            <w:r>
              <w:rPr>
                <w:noProof/>
                <w:webHidden/>
              </w:rPr>
              <w:fldChar w:fldCharType="end"/>
            </w:r>
          </w:hyperlink>
        </w:p>
        <w:p w14:paraId="218DCCCC" w14:textId="1263F679" w:rsidR="00A20EC0" w:rsidRDefault="00A20EC0">
          <w:pPr>
            <w:pStyle w:val="TOC2"/>
            <w:tabs>
              <w:tab w:val="right" w:leader="dot" w:pos="9016"/>
            </w:tabs>
            <w:rPr>
              <w:rFonts w:eastAsiaTheme="minorEastAsia"/>
              <w:noProof/>
              <w:lang w:val="en-GB" w:eastAsia="en-GB"/>
            </w:rPr>
          </w:pPr>
          <w:hyperlink w:anchor="_Toc237432016" w:history="1">
            <w:r w:rsidRPr="00326786">
              <w:rPr>
                <w:rStyle w:val="Hyperlink"/>
                <w:noProof/>
                <w:lang w:val="en-GB"/>
              </w:rPr>
              <w:t>3.3. Malware protection and data backup</w:t>
            </w:r>
            <w:r>
              <w:rPr>
                <w:noProof/>
                <w:webHidden/>
              </w:rPr>
              <w:tab/>
            </w:r>
            <w:r>
              <w:rPr>
                <w:noProof/>
                <w:webHidden/>
              </w:rPr>
              <w:fldChar w:fldCharType="begin"/>
            </w:r>
            <w:r>
              <w:rPr>
                <w:noProof/>
                <w:webHidden/>
              </w:rPr>
              <w:instrText xml:space="preserve"> PAGEREF _Toc237432016 \h </w:instrText>
            </w:r>
            <w:r>
              <w:rPr>
                <w:noProof/>
                <w:webHidden/>
              </w:rPr>
            </w:r>
            <w:r>
              <w:rPr>
                <w:noProof/>
                <w:webHidden/>
              </w:rPr>
              <w:fldChar w:fldCharType="separate"/>
            </w:r>
            <w:r>
              <w:rPr>
                <w:noProof/>
                <w:webHidden/>
              </w:rPr>
              <w:t>5</w:t>
            </w:r>
            <w:r>
              <w:rPr>
                <w:noProof/>
                <w:webHidden/>
              </w:rPr>
              <w:fldChar w:fldCharType="end"/>
            </w:r>
          </w:hyperlink>
        </w:p>
        <w:p w14:paraId="57F670CB" w14:textId="4ED288F6" w:rsidR="00A20EC0" w:rsidRDefault="00A20EC0">
          <w:pPr>
            <w:pStyle w:val="TOC2"/>
            <w:tabs>
              <w:tab w:val="right" w:leader="dot" w:pos="9016"/>
            </w:tabs>
            <w:rPr>
              <w:rFonts w:eastAsiaTheme="minorEastAsia"/>
              <w:noProof/>
              <w:lang w:val="en-GB" w:eastAsia="en-GB"/>
            </w:rPr>
          </w:pPr>
          <w:hyperlink w:anchor="_Toc237432017" w:history="1">
            <w:r w:rsidRPr="00326786">
              <w:rPr>
                <w:rStyle w:val="Hyperlink"/>
                <w:noProof/>
                <w:lang w:val="en-GB"/>
              </w:rPr>
              <w:t>3.4. Supply chain and cloud service security</w:t>
            </w:r>
            <w:r>
              <w:rPr>
                <w:noProof/>
                <w:webHidden/>
              </w:rPr>
              <w:tab/>
            </w:r>
            <w:r>
              <w:rPr>
                <w:noProof/>
                <w:webHidden/>
              </w:rPr>
              <w:fldChar w:fldCharType="begin"/>
            </w:r>
            <w:r>
              <w:rPr>
                <w:noProof/>
                <w:webHidden/>
              </w:rPr>
              <w:instrText xml:space="preserve"> PAGEREF _Toc237432017 \h </w:instrText>
            </w:r>
            <w:r>
              <w:rPr>
                <w:noProof/>
                <w:webHidden/>
              </w:rPr>
            </w:r>
            <w:r>
              <w:rPr>
                <w:noProof/>
                <w:webHidden/>
              </w:rPr>
              <w:fldChar w:fldCharType="separate"/>
            </w:r>
            <w:r>
              <w:rPr>
                <w:noProof/>
                <w:webHidden/>
              </w:rPr>
              <w:t>5</w:t>
            </w:r>
            <w:r>
              <w:rPr>
                <w:noProof/>
                <w:webHidden/>
              </w:rPr>
              <w:fldChar w:fldCharType="end"/>
            </w:r>
          </w:hyperlink>
        </w:p>
        <w:p w14:paraId="24520EEA" w14:textId="2A671EDF" w:rsidR="00A20EC0" w:rsidRDefault="00A20EC0">
          <w:pPr>
            <w:pStyle w:val="TOC2"/>
            <w:tabs>
              <w:tab w:val="right" w:leader="dot" w:pos="9016"/>
            </w:tabs>
            <w:rPr>
              <w:rFonts w:eastAsiaTheme="minorEastAsia"/>
              <w:noProof/>
              <w:lang w:val="en-GB" w:eastAsia="en-GB"/>
            </w:rPr>
          </w:pPr>
          <w:hyperlink w:anchor="_Toc237432018" w:history="1">
            <w:r w:rsidRPr="00326786">
              <w:rPr>
                <w:rStyle w:val="Hyperlink"/>
                <w:noProof/>
                <w:lang w:val="en-GB"/>
              </w:rPr>
              <w:t>3.5. Classification of information and the use of IT assets</w:t>
            </w:r>
            <w:r>
              <w:rPr>
                <w:noProof/>
                <w:webHidden/>
              </w:rPr>
              <w:tab/>
            </w:r>
            <w:r>
              <w:rPr>
                <w:noProof/>
                <w:webHidden/>
              </w:rPr>
              <w:fldChar w:fldCharType="begin"/>
            </w:r>
            <w:r>
              <w:rPr>
                <w:noProof/>
                <w:webHidden/>
              </w:rPr>
              <w:instrText xml:space="preserve"> PAGEREF _Toc237432018 \h </w:instrText>
            </w:r>
            <w:r>
              <w:rPr>
                <w:noProof/>
                <w:webHidden/>
              </w:rPr>
            </w:r>
            <w:r>
              <w:rPr>
                <w:noProof/>
                <w:webHidden/>
              </w:rPr>
              <w:fldChar w:fldCharType="separate"/>
            </w:r>
            <w:r>
              <w:rPr>
                <w:noProof/>
                <w:webHidden/>
              </w:rPr>
              <w:t>5</w:t>
            </w:r>
            <w:r>
              <w:rPr>
                <w:noProof/>
                <w:webHidden/>
              </w:rPr>
              <w:fldChar w:fldCharType="end"/>
            </w:r>
          </w:hyperlink>
        </w:p>
        <w:p w14:paraId="7B12E173" w14:textId="2495DCDF" w:rsidR="00A20EC0" w:rsidRDefault="00A20EC0">
          <w:pPr>
            <w:pStyle w:val="TOC2"/>
            <w:tabs>
              <w:tab w:val="right" w:leader="dot" w:pos="9016"/>
            </w:tabs>
            <w:rPr>
              <w:rFonts w:eastAsiaTheme="minorEastAsia"/>
              <w:noProof/>
              <w:lang w:val="en-GB" w:eastAsia="en-GB"/>
            </w:rPr>
          </w:pPr>
          <w:hyperlink w:anchor="_Toc237432019" w:history="1">
            <w:r w:rsidRPr="00326786">
              <w:rPr>
                <w:rStyle w:val="Hyperlink"/>
                <w:noProof/>
                <w:lang w:val="en-GB"/>
              </w:rPr>
              <w:t>3.6. Data management and compliance</w:t>
            </w:r>
            <w:r>
              <w:rPr>
                <w:noProof/>
                <w:webHidden/>
              </w:rPr>
              <w:tab/>
            </w:r>
            <w:r>
              <w:rPr>
                <w:noProof/>
                <w:webHidden/>
              </w:rPr>
              <w:fldChar w:fldCharType="begin"/>
            </w:r>
            <w:r>
              <w:rPr>
                <w:noProof/>
                <w:webHidden/>
              </w:rPr>
              <w:instrText xml:space="preserve"> PAGEREF _Toc237432019 \h </w:instrText>
            </w:r>
            <w:r>
              <w:rPr>
                <w:noProof/>
                <w:webHidden/>
              </w:rPr>
            </w:r>
            <w:r>
              <w:rPr>
                <w:noProof/>
                <w:webHidden/>
              </w:rPr>
              <w:fldChar w:fldCharType="separate"/>
            </w:r>
            <w:r>
              <w:rPr>
                <w:noProof/>
                <w:webHidden/>
              </w:rPr>
              <w:t>5</w:t>
            </w:r>
            <w:r>
              <w:rPr>
                <w:noProof/>
                <w:webHidden/>
              </w:rPr>
              <w:fldChar w:fldCharType="end"/>
            </w:r>
          </w:hyperlink>
        </w:p>
        <w:p w14:paraId="1E5FECB2" w14:textId="59A5B2D1" w:rsidR="00A20EC0" w:rsidRDefault="00A20EC0">
          <w:pPr>
            <w:pStyle w:val="TOC1"/>
            <w:tabs>
              <w:tab w:val="left" w:pos="480"/>
              <w:tab w:val="right" w:leader="dot" w:pos="9016"/>
            </w:tabs>
            <w:rPr>
              <w:rFonts w:eastAsiaTheme="minorEastAsia"/>
              <w:noProof/>
              <w:lang w:val="en-GB" w:eastAsia="en-GB"/>
            </w:rPr>
          </w:pPr>
          <w:hyperlink w:anchor="_Toc237432020" w:history="1">
            <w:r w:rsidRPr="00326786">
              <w:rPr>
                <w:rStyle w:val="Hyperlink"/>
                <w:rFonts w:ascii="Times New Roman" w:hAnsi="Times New Roman" w:cs="Times New Roman"/>
                <w:b/>
                <w:bCs/>
                <w:noProof/>
                <w:lang w:val="en-GB"/>
              </w:rPr>
              <w:t>4.</w:t>
            </w:r>
            <w:r>
              <w:rPr>
                <w:rFonts w:eastAsiaTheme="minorEastAsia"/>
                <w:noProof/>
                <w:lang w:val="en-GB" w:eastAsia="en-GB"/>
              </w:rPr>
              <w:tab/>
            </w:r>
            <w:r w:rsidRPr="00326786">
              <w:rPr>
                <w:rStyle w:val="Hyperlink"/>
                <w:rFonts w:ascii="Times New Roman" w:hAnsi="Times New Roman" w:cs="Times New Roman"/>
                <w:b/>
                <w:bCs/>
                <w:noProof/>
                <w:lang w:val="en-GB"/>
              </w:rPr>
              <w:t>Monitoring network activity and responding to incidents</w:t>
            </w:r>
            <w:r>
              <w:rPr>
                <w:noProof/>
                <w:webHidden/>
              </w:rPr>
              <w:tab/>
            </w:r>
            <w:r>
              <w:rPr>
                <w:noProof/>
                <w:webHidden/>
              </w:rPr>
              <w:fldChar w:fldCharType="begin"/>
            </w:r>
            <w:r>
              <w:rPr>
                <w:noProof/>
                <w:webHidden/>
              </w:rPr>
              <w:instrText xml:space="preserve"> PAGEREF _Toc237432020 \h </w:instrText>
            </w:r>
            <w:r>
              <w:rPr>
                <w:noProof/>
                <w:webHidden/>
              </w:rPr>
            </w:r>
            <w:r>
              <w:rPr>
                <w:noProof/>
                <w:webHidden/>
              </w:rPr>
              <w:fldChar w:fldCharType="separate"/>
            </w:r>
            <w:r>
              <w:rPr>
                <w:noProof/>
                <w:webHidden/>
              </w:rPr>
              <w:t>6</w:t>
            </w:r>
            <w:r>
              <w:rPr>
                <w:noProof/>
                <w:webHidden/>
              </w:rPr>
              <w:fldChar w:fldCharType="end"/>
            </w:r>
          </w:hyperlink>
        </w:p>
        <w:p w14:paraId="61081C23" w14:textId="0DB31689" w:rsidR="00A20EC0" w:rsidRDefault="00A20EC0">
          <w:pPr>
            <w:pStyle w:val="TOC1"/>
            <w:tabs>
              <w:tab w:val="left" w:pos="480"/>
              <w:tab w:val="right" w:leader="dot" w:pos="9016"/>
            </w:tabs>
            <w:rPr>
              <w:rFonts w:eastAsiaTheme="minorEastAsia"/>
              <w:noProof/>
              <w:lang w:val="en-GB" w:eastAsia="en-GB"/>
            </w:rPr>
          </w:pPr>
          <w:hyperlink w:anchor="_Toc237432021" w:history="1">
            <w:r w:rsidRPr="00326786">
              <w:rPr>
                <w:rStyle w:val="Hyperlink"/>
                <w:rFonts w:ascii="Times New Roman" w:hAnsi="Times New Roman" w:cs="Times New Roman"/>
                <w:b/>
                <w:bCs/>
                <w:noProof/>
                <w:lang w:val="en-GB"/>
              </w:rPr>
              <w:t>5.</w:t>
            </w:r>
            <w:r>
              <w:rPr>
                <w:rFonts w:eastAsiaTheme="minorEastAsia"/>
                <w:noProof/>
                <w:lang w:val="en-GB" w:eastAsia="en-GB"/>
              </w:rPr>
              <w:tab/>
            </w:r>
            <w:r w:rsidRPr="00326786">
              <w:rPr>
                <w:rStyle w:val="Hyperlink"/>
                <w:rFonts w:ascii="Times New Roman" w:hAnsi="Times New Roman" w:cs="Times New Roman"/>
                <w:b/>
                <w:bCs/>
                <w:noProof/>
                <w:lang w:val="en-GB"/>
              </w:rPr>
              <w:t>Staff Training and Awareness Programme</w:t>
            </w:r>
            <w:r>
              <w:rPr>
                <w:noProof/>
                <w:webHidden/>
              </w:rPr>
              <w:tab/>
            </w:r>
            <w:r>
              <w:rPr>
                <w:noProof/>
                <w:webHidden/>
              </w:rPr>
              <w:fldChar w:fldCharType="begin"/>
            </w:r>
            <w:r>
              <w:rPr>
                <w:noProof/>
                <w:webHidden/>
              </w:rPr>
              <w:instrText xml:space="preserve"> PAGEREF _Toc237432021 \h </w:instrText>
            </w:r>
            <w:r>
              <w:rPr>
                <w:noProof/>
                <w:webHidden/>
              </w:rPr>
            </w:r>
            <w:r>
              <w:rPr>
                <w:noProof/>
                <w:webHidden/>
              </w:rPr>
              <w:fldChar w:fldCharType="separate"/>
            </w:r>
            <w:r>
              <w:rPr>
                <w:noProof/>
                <w:webHidden/>
              </w:rPr>
              <w:t>7</w:t>
            </w:r>
            <w:r>
              <w:rPr>
                <w:noProof/>
                <w:webHidden/>
              </w:rPr>
              <w:fldChar w:fldCharType="end"/>
            </w:r>
          </w:hyperlink>
        </w:p>
        <w:p w14:paraId="0F2C62C1" w14:textId="46F04121" w:rsidR="00A20EC0" w:rsidRDefault="00A20EC0">
          <w:pPr>
            <w:pStyle w:val="TOC1"/>
            <w:tabs>
              <w:tab w:val="left" w:pos="480"/>
              <w:tab w:val="right" w:leader="dot" w:pos="9016"/>
            </w:tabs>
            <w:rPr>
              <w:rFonts w:eastAsiaTheme="minorEastAsia"/>
              <w:noProof/>
              <w:lang w:val="en-GB" w:eastAsia="en-GB"/>
            </w:rPr>
          </w:pPr>
          <w:hyperlink w:anchor="_Toc237432022" w:history="1">
            <w:r w:rsidRPr="00326786">
              <w:rPr>
                <w:rStyle w:val="Hyperlink"/>
                <w:rFonts w:ascii="Times New Roman" w:hAnsi="Times New Roman" w:cs="Times New Roman"/>
                <w:b/>
                <w:bCs/>
                <w:noProof/>
              </w:rPr>
              <w:t>6.</w:t>
            </w:r>
            <w:r>
              <w:rPr>
                <w:rFonts w:eastAsiaTheme="minorEastAsia"/>
                <w:noProof/>
                <w:lang w:val="en-GB" w:eastAsia="en-GB"/>
              </w:rPr>
              <w:tab/>
            </w:r>
            <w:r w:rsidRPr="00326786">
              <w:rPr>
                <w:rStyle w:val="Hyperlink"/>
                <w:rFonts w:ascii="Times New Roman" w:hAnsi="Times New Roman" w:cs="Times New Roman"/>
                <w:b/>
                <w:bCs/>
                <w:noProof/>
                <w:lang w:val="en-GB"/>
              </w:rPr>
              <w:t>Conclusion</w:t>
            </w:r>
            <w:r>
              <w:rPr>
                <w:noProof/>
                <w:webHidden/>
              </w:rPr>
              <w:tab/>
            </w:r>
            <w:r>
              <w:rPr>
                <w:noProof/>
                <w:webHidden/>
              </w:rPr>
              <w:fldChar w:fldCharType="begin"/>
            </w:r>
            <w:r>
              <w:rPr>
                <w:noProof/>
                <w:webHidden/>
              </w:rPr>
              <w:instrText xml:space="preserve"> PAGEREF _Toc237432022 \h </w:instrText>
            </w:r>
            <w:r>
              <w:rPr>
                <w:noProof/>
                <w:webHidden/>
              </w:rPr>
            </w:r>
            <w:r>
              <w:rPr>
                <w:noProof/>
                <w:webHidden/>
              </w:rPr>
              <w:fldChar w:fldCharType="separate"/>
            </w:r>
            <w:r>
              <w:rPr>
                <w:noProof/>
                <w:webHidden/>
              </w:rPr>
              <w:t>7</w:t>
            </w:r>
            <w:r>
              <w:rPr>
                <w:noProof/>
                <w:webHidden/>
              </w:rPr>
              <w:fldChar w:fldCharType="end"/>
            </w:r>
          </w:hyperlink>
        </w:p>
        <w:p w14:paraId="34D53924" w14:textId="260962D4" w:rsidR="00A20EC0" w:rsidRDefault="00A20EC0">
          <w:pPr>
            <w:pStyle w:val="TOC2"/>
            <w:tabs>
              <w:tab w:val="right" w:leader="dot" w:pos="9016"/>
            </w:tabs>
            <w:rPr>
              <w:rFonts w:eastAsiaTheme="minorEastAsia"/>
              <w:noProof/>
              <w:lang w:val="en-GB" w:eastAsia="en-GB"/>
            </w:rPr>
          </w:pPr>
          <w:hyperlink w:anchor="_Toc237432023" w:history="1">
            <w:r w:rsidRPr="00326786">
              <w:rPr>
                <w:rStyle w:val="Hyperlink"/>
                <w:rFonts w:ascii="Times New Roman" w:hAnsi="Times New Roman" w:cs="Times New Roman"/>
                <w:bCs/>
                <w:noProof/>
              </w:rPr>
              <w:t>References</w:t>
            </w:r>
            <w:r>
              <w:rPr>
                <w:noProof/>
                <w:webHidden/>
              </w:rPr>
              <w:tab/>
            </w:r>
            <w:r>
              <w:rPr>
                <w:noProof/>
                <w:webHidden/>
              </w:rPr>
              <w:fldChar w:fldCharType="begin"/>
            </w:r>
            <w:r>
              <w:rPr>
                <w:noProof/>
                <w:webHidden/>
              </w:rPr>
              <w:instrText xml:space="preserve"> PAGEREF _Toc237432023 \h </w:instrText>
            </w:r>
            <w:r>
              <w:rPr>
                <w:noProof/>
                <w:webHidden/>
              </w:rPr>
            </w:r>
            <w:r>
              <w:rPr>
                <w:noProof/>
                <w:webHidden/>
              </w:rPr>
              <w:fldChar w:fldCharType="separate"/>
            </w:r>
            <w:r>
              <w:rPr>
                <w:noProof/>
                <w:webHidden/>
              </w:rPr>
              <w:t>8</w:t>
            </w:r>
            <w:r>
              <w:rPr>
                <w:noProof/>
                <w:webHidden/>
              </w:rPr>
              <w:fldChar w:fldCharType="end"/>
            </w:r>
          </w:hyperlink>
        </w:p>
        <w:p w14:paraId="72FDE84D" w14:textId="7F41E140" w:rsidR="00A20EC0" w:rsidRDefault="00A20EC0">
          <w:pPr>
            <w:pStyle w:val="TOC1"/>
            <w:tabs>
              <w:tab w:val="right" w:leader="dot" w:pos="9016"/>
            </w:tabs>
            <w:rPr>
              <w:rFonts w:eastAsiaTheme="minorEastAsia"/>
              <w:noProof/>
              <w:lang w:val="en-GB" w:eastAsia="en-GB"/>
            </w:rPr>
          </w:pPr>
          <w:hyperlink w:anchor="_Toc237432024" w:history="1">
            <w:r w:rsidRPr="00326786">
              <w:rPr>
                <w:rStyle w:val="Hyperlink"/>
                <w:rFonts w:ascii="Times New Roman" w:hAnsi="Times New Roman" w:cs="Times New Roman"/>
                <w:b/>
                <w:bCs/>
                <w:noProof/>
                <w:lang w:val="en-GB"/>
              </w:rPr>
              <w:t>Appendix</w:t>
            </w:r>
            <w:r>
              <w:rPr>
                <w:noProof/>
                <w:webHidden/>
              </w:rPr>
              <w:tab/>
            </w:r>
            <w:r>
              <w:rPr>
                <w:noProof/>
                <w:webHidden/>
              </w:rPr>
              <w:fldChar w:fldCharType="begin"/>
            </w:r>
            <w:r>
              <w:rPr>
                <w:noProof/>
                <w:webHidden/>
              </w:rPr>
              <w:instrText xml:space="preserve"> PAGEREF _Toc237432024 \h </w:instrText>
            </w:r>
            <w:r>
              <w:rPr>
                <w:noProof/>
                <w:webHidden/>
              </w:rPr>
            </w:r>
            <w:r>
              <w:rPr>
                <w:noProof/>
                <w:webHidden/>
              </w:rPr>
              <w:fldChar w:fldCharType="separate"/>
            </w:r>
            <w:r>
              <w:rPr>
                <w:noProof/>
                <w:webHidden/>
              </w:rPr>
              <w:t>9</w:t>
            </w:r>
            <w:r>
              <w:rPr>
                <w:noProof/>
                <w:webHidden/>
              </w:rPr>
              <w:fldChar w:fldCharType="end"/>
            </w:r>
          </w:hyperlink>
        </w:p>
        <w:p w14:paraId="14100BC7" w14:textId="11C5C417" w:rsidR="00ED5E81" w:rsidRPr="00F3304A" w:rsidRDefault="00ED5E81" w:rsidP="0028520E">
          <w:pPr>
            <w:spacing w:line="360" w:lineRule="auto"/>
            <w:rPr>
              <w:rFonts w:ascii="Times New Roman" w:hAnsi="Times New Roman" w:cs="Times New Roman"/>
              <w:color w:val="000000" w:themeColor="text1"/>
              <w:lang w:val="en-GB"/>
            </w:rPr>
          </w:pPr>
          <w:r w:rsidRPr="00F3304A">
            <w:rPr>
              <w:rFonts w:ascii="Times New Roman" w:hAnsi="Times New Roman" w:cs="Times New Roman"/>
              <w:b/>
              <w:bCs/>
              <w:noProof/>
              <w:color w:val="000000" w:themeColor="text1"/>
            </w:rPr>
            <w:fldChar w:fldCharType="end"/>
          </w:r>
        </w:p>
      </w:sdtContent>
    </w:sdt>
    <w:p w14:paraId="27322B3B" w14:textId="77777777" w:rsidR="008E3959" w:rsidRPr="00F3304A" w:rsidRDefault="008E3959" w:rsidP="0028520E">
      <w:pPr>
        <w:spacing w:line="360" w:lineRule="auto"/>
        <w:rPr>
          <w:rFonts w:ascii="Times New Roman" w:hAnsi="Times New Roman" w:cs="Times New Roman"/>
          <w:color w:val="000000" w:themeColor="text1"/>
          <w:lang w:val="en-GB"/>
        </w:rPr>
      </w:pPr>
    </w:p>
    <w:p w14:paraId="22622031" w14:textId="2979CE0C" w:rsidR="00ED5E81" w:rsidRPr="00F3304A" w:rsidRDefault="00ED5E81" w:rsidP="0028520E">
      <w:pPr>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lang w:val="en-GB"/>
        </w:rPr>
        <w:br w:type="page"/>
      </w:r>
    </w:p>
    <w:p w14:paraId="5EAECCE7" w14:textId="4E2B94A1" w:rsidR="004B3A7D" w:rsidRDefault="004B3A7D" w:rsidP="004B3A7D">
      <w:pPr>
        <w:pStyle w:val="Heading1"/>
        <w:rPr>
          <w:rFonts w:ascii="Times New Roman" w:hAnsi="Times New Roman" w:cs="Times New Roman"/>
          <w:b/>
          <w:bCs/>
          <w:color w:val="auto"/>
          <w:sz w:val="32"/>
          <w:szCs w:val="32"/>
          <w:lang w:val="en-GB"/>
        </w:rPr>
      </w:pPr>
      <w:bookmarkStart w:id="1" w:name="_Toc237432007"/>
      <w:r w:rsidRPr="004B3A7D">
        <w:rPr>
          <w:rFonts w:ascii="Times New Roman" w:hAnsi="Times New Roman" w:cs="Times New Roman"/>
          <w:b/>
          <w:bCs/>
          <w:color w:val="auto"/>
          <w:sz w:val="32"/>
          <w:szCs w:val="32"/>
          <w:lang w:val="en-GB"/>
        </w:rPr>
        <w:lastRenderedPageBreak/>
        <w:t>Annotation</w:t>
      </w:r>
      <w:bookmarkEnd w:id="1"/>
    </w:p>
    <w:p w14:paraId="33F59154" w14:textId="45AE53EB" w:rsidR="004B3A7D" w:rsidRPr="004B3A7D" w:rsidRDefault="00C94CCC" w:rsidP="004B3A7D">
      <w:pPr>
        <w:rPr>
          <w:lang w:val="en-GB"/>
        </w:rPr>
      </w:pPr>
      <w:r w:rsidRPr="00C94CCC">
        <w:rPr>
          <w:lang w:val="en-GB"/>
        </w:rPr>
        <w:t xml:space="preserve">This report assesses cyber risks arising from </w:t>
      </w:r>
      <w:proofErr w:type="spellStart"/>
      <w:r w:rsidRPr="00C94CCC">
        <w:rPr>
          <w:lang w:val="en-GB"/>
        </w:rPr>
        <w:t>SteelForm</w:t>
      </w:r>
      <w:proofErr w:type="spellEnd"/>
      <w:r w:rsidRPr="00C94CCC">
        <w:rPr>
          <w:lang w:val="en-GB"/>
        </w:rPr>
        <w:t xml:space="preserve"> Manufacturing </w:t>
      </w:r>
      <w:proofErr w:type="spellStart"/>
      <w:r w:rsidRPr="00C94CCC">
        <w:rPr>
          <w:lang w:val="en-GB"/>
        </w:rPr>
        <w:t>Ltd's</w:t>
      </w:r>
      <w:proofErr w:type="spellEnd"/>
      <w:r w:rsidRPr="00C94CCC">
        <w:rPr>
          <w:lang w:val="en-GB"/>
        </w:rPr>
        <w:t xml:space="preserve"> integration of corporate IT, production OT, IoT devices and a cloud MES. It distinguishes threats, vulnerabilities and control weaknesses, and evaluates effects on confidentiality, integrity, availability, safety and production continuity. The recommended strategy combines an ISO/IEC 27001:2022 risk-based ISMS, ISO/IEC 27002:2022 control guidance, NIST CSF 2.0 risk prioritisation and NIST SP 800-61 Rev. 3 incident response. Critical scenarios are IT-to-OT propagation, ransomware, and compromised remote or supplier access. Priority measures are controlled IT/OT segmentation, MFA, passive OT monitoring, immutable backups, data governance and role-based training. Controls are linked to accountable owners, dependencies and measurable outcomes so that residual risk can be reported to the Board. A phased implementation with recovery testing should reduce downtime, intellectual-property loss and unsafe restoration</w:t>
      </w:r>
      <w:r w:rsidR="004B3A7D" w:rsidRPr="004B3A7D">
        <w:rPr>
          <w:lang w:val="en-GB"/>
        </w:rPr>
        <w:t>.</w:t>
      </w:r>
    </w:p>
    <w:p w14:paraId="40E25875" w14:textId="448C8A9F" w:rsidR="00ED5E81" w:rsidRDefault="009F24B6" w:rsidP="009E031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2" w:name="_Toc237432008"/>
      <w:r w:rsidRPr="00F3304A">
        <w:rPr>
          <w:rFonts w:ascii="Times New Roman" w:hAnsi="Times New Roman" w:cs="Times New Roman"/>
          <w:b/>
          <w:bCs/>
          <w:color w:val="000000" w:themeColor="text1"/>
          <w:sz w:val="32"/>
          <w:szCs w:val="32"/>
          <w:lang w:val="en-GB"/>
        </w:rPr>
        <w:t>Introduction</w:t>
      </w:r>
      <w:bookmarkEnd w:id="2"/>
    </w:p>
    <w:p w14:paraId="11597EF8" w14:textId="6A0CD3E8" w:rsidR="008D22F3" w:rsidRPr="001262E4" w:rsidRDefault="008D22F3" w:rsidP="008D22F3">
      <w:pPr>
        <w:rPr>
          <w:lang w:val="en-GB"/>
        </w:rPr>
      </w:pPr>
      <w:r w:rsidRPr="008D22F3">
        <w:rPr>
          <w:lang w:val="en-GB"/>
        </w:rPr>
        <w:t xml:space="preserve">The digital transformation of manufacturing under Industry 4.0 has integrated physical production processes with information technology. </w:t>
      </w:r>
      <w:proofErr w:type="spellStart"/>
      <w:r w:rsidRPr="008D22F3">
        <w:rPr>
          <w:lang w:val="en-GB"/>
        </w:rPr>
        <w:t>SteelForm</w:t>
      </w:r>
      <w:proofErr w:type="spellEnd"/>
      <w:r w:rsidRPr="008D22F3">
        <w:rPr>
          <w:lang w:val="en-GB"/>
        </w:rPr>
        <w:t xml:space="preserve"> Manufacturing Ltd (SFM), which manufactures specialised components for the automotive and aerospace industries, is implementing IoT sensors, robotic systems and a cloud-based MES platform. However, the integration of IT and OT environments simultaneously increases the number of potential points of attack and creates new risks for critical infrastructure</w:t>
      </w:r>
      <w:r w:rsidR="001262E4" w:rsidRPr="001262E4">
        <w:rPr>
          <w:lang w:val="en-GB"/>
        </w:rPr>
        <w:t xml:space="preserve"> </w:t>
      </w:r>
      <w:sdt>
        <w:sdtPr>
          <w:rPr>
            <w:lang w:val="en-GB"/>
          </w:rPr>
          <w:id w:val="-243270563"/>
          <w:citation/>
        </w:sdtPr>
        <w:sdtContent>
          <w:r w:rsidR="001262E4">
            <w:rPr>
              <w:lang w:val="en-GB"/>
            </w:rPr>
            <w:fldChar w:fldCharType="begin"/>
          </w:r>
          <w:r w:rsidR="001262E4">
            <w:rPr>
              <w:lang w:val="en-GB"/>
            </w:rPr>
            <w:instrText xml:space="preserve"> CITATION Tha17 \l 2057 </w:instrText>
          </w:r>
          <w:r w:rsidR="001262E4">
            <w:rPr>
              <w:lang w:val="en-GB"/>
            </w:rPr>
            <w:fldChar w:fldCharType="separate"/>
          </w:r>
          <w:r w:rsidR="00A20EC0" w:rsidRPr="00A20EC0">
            <w:rPr>
              <w:noProof/>
              <w:lang w:val="en-GB"/>
            </w:rPr>
            <w:t>[1]</w:t>
          </w:r>
          <w:r w:rsidR="001262E4">
            <w:rPr>
              <w:lang w:val="en-GB"/>
            </w:rPr>
            <w:fldChar w:fldCharType="end"/>
          </w:r>
        </w:sdtContent>
      </w:sdt>
      <w:r w:rsidRPr="008D22F3">
        <w:rPr>
          <w:lang w:val="en-GB"/>
        </w:rPr>
        <w:t>.</w:t>
      </w:r>
    </w:p>
    <w:p w14:paraId="5C4EA9D7" w14:textId="673C7590" w:rsidR="00E35402" w:rsidRPr="00E35402" w:rsidRDefault="008D22F3" w:rsidP="008D22F3">
      <w:pPr>
        <w:rPr>
          <w:lang w:val="en-GB"/>
        </w:rPr>
      </w:pPr>
      <w:r w:rsidRPr="008D22F3">
        <w:rPr>
          <w:lang w:val="en-GB"/>
        </w:rPr>
        <w:t>Recent incidents, including the compromise of the procurement department’s email system and attempts to gain unauthorised access to the production network, highlight the need to strengthen security. The main risks are industrial espionage, theft of intellectual property and production downtime. The report proposes a comprehensive approach to SFM security based on ISO/IEC 27001 and ISO/IEC 27002</w:t>
      </w:r>
      <w:r w:rsidR="004265A2" w:rsidRPr="004265A2">
        <w:rPr>
          <w:lang w:val="en-GB"/>
        </w:rPr>
        <w:t>.</w:t>
      </w:r>
    </w:p>
    <w:p w14:paraId="66AC441D" w14:textId="704EDD20" w:rsidR="009E0311" w:rsidRDefault="00E35402" w:rsidP="009E031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3" w:name="_Toc237432009"/>
      <w:r w:rsidRPr="00E35402">
        <w:rPr>
          <w:rFonts w:ascii="Times New Roman" w:hAnsi="Times New Roman" w:cs="Times New Roman"/>
          <w:b/>
          <w:bCs/>
          <w:color w:val="000000" w:themeColor="text1"/>
          <w:sz w:val="32"/>
          <w:szCs w:val="32"/>
          <w:lang w:val="en-GB"/>
        </w:rPr>
        <w:t>Identification of threats</w:t>
      </w:r>
      <w:bookmarkEnd w:id="3"/>
    </w:p>
    <w:p w14:paraId="79BED95E" w14:textId="5CD9FEB9" w:rsidR="00E35402" w:rsidRPr="00E35402" w:rsidRDefault="00C94CCC" w:rsidP="00E35402">
      <w:pPr>
        <w:rPr>
          <w:lang w:val="en-GB"/>
        </w:rPr>
      </w:pPr>
      <w:r w:rsidRPr="00C94CCC">
        <w:rPr>
          <w:lang w:val="en-GB"/>
        </w:rPr>
        <w:t>A threat is a potentially harmful event or actor; a vulnerability is an exploitable weakness; and risk combines a threat scenario, likelihood and consequence. In OT, assessment must extend beyond the CIA triad to personnel safety, product quality, equipment integrity and production continuity</w:t>
      </w:r>
      <w:r w:rsidR="00E35402" w:rsidRPr="00E35402">
        <w:rPr>
          <w:lang w:val="en-GB"/>
        </w:rPr>
        <w:t>.</w:t>
      </w:r>
    </w:p>
    <w:p w14:paraId="29A5EFA0" w14:textId="77777777" w:rsidR="00E35402" w:rsidRPr="00E35402" w:rsidRDefault="00E35402" w:rsidP="00E35402">
      <w:pPr>
        <w:pStyle w:val="Heading2"/>
        <w:rPr>
          <w:lang w:val="en-GB"/>
        </w:rPr>
      </w:pPr>
      <w:bookmarkStart w:id="4" w:name="_Toc237432010"/>
      <w:r w:rsidRPr="00E35402">
        <w:rPr>
          <w:lang w:val="en-GB"/>
        </w:rPr>
        <w:t>2.1. Internal Threats</w:t>
      </w:r>
      <w:bookmarkEnd w:id="4"/>
    </w:p>
    <w:p w14:paraId="34C0B4DD" w14:textId="4EECDDDD" w:rsidR="00E35402" w:rsidRPr="00E35402" w:rsidRDefault="00C94CCC" w:rsidP="007E0975">
      <w:pPr>
        <w:rPr>
          <w:lang w:val="en-GB"/>
        </w:rPr>
      </w:pPr>
      <w:r w:rsidRPr="00C94CCC">
        <w:rPr>
          <w:lang w:val="en-GB"/>
        </w:rPr>
        <w:t xml:space="preserve">Internal exposure includes accidental phishing or credential disclosure, unsafe USB/BYOD use and deliberate misuse by privileged staff. Weakly secured </w:t>
      </w:r>
      <w:proofErr w:type="spellStart"/>
      <w:r w:rsidRPr="00C94CCC">
        <w:rPr>
          <w:lang w:val="en-GB"/>
        </w:rPr>
        <w:t>IIoT</w:t>
      </w:r>
      <w:proofErr w:type="spellEnd"/>
      <w:r w:rsidRPr="00C94CCC">
        <w:rPr>
          <w:lang w:val="en-GB"/>
        </w:rPr>
        <w:t xml:space="preserve"> devices, excessive permissions, delayed PLC/SCADA patching and flat IT/OT architecture amplify </w:t>
      </w:r>
      <w:r w:rsidRPr="00C94CCC">
        <w:rPr>
          <w:lang w:val="en-GB"/>
        </w:rPr>
        <w:lastRenderedPageBreak/>
        <w:t>these actions by creating paths to production systems. Deliberate insiders may understand where drawings and control assets are stored, while accidental actions occur more frequently; both therefore require prevention, monitoring and rapid revocation. Key controls are least privilege, managed devices, secure configuration, timely risk-based patching and network separation</w:t>
      </w:r>
      <w:r w:rsidR="004265A2" w:rsidRPr="004265A2">
        <w:rPr>
          <w:lang w:val="en-GB"/>
        </w:rPr>
        <w:t>.</w:t>
      </w:r>
    </w:p>
    <w:p w14:paraId="5FE756BA" w14:textId="3B772269" w:rsidR="00E35402" w:rsidRPr="00E35402" w:rsidRDefault="00E35402" w:rsidP="00E35402">
      <w:pPr>
        <w:pStyle w:val="Heading2"/>
        <w:rPr>
          <w:lang w:val="en-GB"/>
        </w:rPr>
      </w:pPr>
      <w:bookmarkStart w:id="5" w:name="_Toc237432011"/>
      <w:r w:rsidRPr="00E35402">
        <w:rPr>
          <w:lang w:val="en-GB"/>
        </w:rPr>
        <w:t>2.2. External threats</w:t>
      </w:r>
      <w:bookmarkEnd w:id="5"/>
    </w:p>
    <w:p w14:paraId="2769B617" w14:textId="02F5F09E" w:rsidR="00D4674E" w:rsidRPr="00C94CCC" w:rsidRDefault="00C94CCC" w:rsidP="007E0975">
      <w:pPr>
        <w:rPr>
          <w:lang w:val="en-GB"/>
        </w:rPr>
      </w:pPr>
      <w:r w:rsidRPr="00C94CCC">
        <w:rPr>
          <w:lang w:val="en-GB"/>
        </w:rPr>
        <w:t xml:space="preserve">External scenarios include ransomware and double extortion, targeted phishing, account theft, DDoS against the cloud MES, industrial espionage and supply-chain compromise </w:t>
      </w:r>
      <w:sdt>
        <w:sdtPr>
          <w:rPr>
            <w:lang w:val="en-GB"/>
          </w:rPr>
          <w:id w:val="-1305306110"/>
          <w:citation/>
        </w:sdtPr>
        <w:sdtContent>
          <w:r w:rsidR="001262E4">
            <w:rPr>
              <w:lang w:val="en-GB"/>
            </w:rPr>
            <w:fldChar w:fldCharType="begin"/>
          </w:r>
          <w:r w:rsidR="001262E4">
            <w:rPr>
              <w:lang w:val="en-GB"/>
            </w:rPr>
            <w:instrText xml:space="preserve"> CITATION Dra26 \l 2057 </w:instrText>
          </w:r>
          <w:r w:rsidR="001262E4">
            <w:rPr>
              <w:lang w:val="en-GB"/>
            </w:rPr>
            <w:fldChar w:fldCharType="separate"/>
          </w:r>
          <w:r w:rsidR="00A20EC0" w:rsidRPr="00A20EC0">
            <w:rPr>
              <w:noProof/>
              <w:lang w:val="en-GB"/>
            </w:rPr>
            <w:t>[2]</w:t>
          </w:r>
          <w:r w:rsidR="001262E4">
            <w:rPr>
              <w:lang w:val="en-GB"/>
            </w:rPr>
            <w:fldChar w:fldCharType="end"/>
          </w:r>
        </w:sdtContent>
      </w:sdt>
      <w:r w:rsidR="00A20EC0" w:rsidRPr="00A20EC0">
        <w:rPr>
          <w:lang w:val="en-GB"/>
        </w:rPr>
        <w:t xml:space="preserve"> </w:t>
      </w:r>
      <w:sdt>
        <w:sdtPr>
          <w:rPr>
            <w:lang w:val="en-GB"/>
          </w:rPr>
          <w:id w:val="1064754267"/>
          <w:citation/>
        </w:sdtPr>
        <w:sdtContent>
          <w:r w:rsidR="00A20EC0">
            <w:rPr>
              <w:lang w:val="en-GB"/>
            </w:rPr>
            <w:fldChar w:fldCharType="begin"/>
          </w:r>
          <w:r w:rsidR="00A20EC0" w:rsidRPr="00A20EC0">
            <w:rPr>
              <w:lang w:val="en-GB"/>
            </w:rPr>
            <w:instrText xml:space="preserve"> CITATION Mas23 \l 1049 </w:instrText>
          </w:r>
          <w:r w:rsidR="00A20EC0">
            <w:rPr>
              <w:lang w:val="en-GB"/>
            </w:rPr>
            <w:fldChar w:fldCharType="separate"/>
          </w:r>
          <w:r w:rsidR="00A20EC0" w:rsidRPr="00A20EC0">
            <w:rPr>
              <w:noProof/>
              <w:lang w:val="en-GB"/>
            </w:rPr>
            <w:t>[3]</w:t>
          </w:r>
          <w:r w:rsidR="00A20EC0">
            <w:rPr>
              <w:lang w:val="en-GB"/>
            </w:rPr>
            <w:fldChar w:fldCharType="end"/>
          </w:r>
        </w:sdtContent>
      </w:sdt>
      <w:r>
        <w:rPr>
          <w:lang w:val="en-GB"/>
        </w:rPr>
        <w:t xml:space="preserve">. </w:t>
      </w:r>
      <w:r w:rsidRPr="00C94CCC">
        <w:rPr>
          <w:lang w:val="en-GB"/>
        </w:rPr>
        <w:t>Attackers may exploit vendor/VPN credentials, legacy PLCs, engineering workstations, insecure firmware updates or cloud misconfiguration to steal drawings, disrupt production or create unsafe process conditions. A supplier account is particularly significant because trusted connectivity can bypass perimeter assumptions. Physical sabotage and environmental effects must also be considered where cyber compromise can influence machinery</w:t>
      </w:r>
      <w:r w:rsidRPr="004265A2">
        <w:rPr>
          <w:lang w:val="en-GB"/>
        </w:rPr>
        <w:t>.</w:t>
      </w:r>
    </w:p>
    <w:tbl>
      <w:tblPr>
        <w:tblStyle w:val="TableGrid"/>
        <w:tblpPr w:leftFromText="180" w:rightFromText="180" w:vertAnchor="text" w:tblpY="4"/>
        <w:tblW w:w="0" w:type="auto"/>
        <w:tblLook w:val="04A0" w:firstRow="1" w:lastRow="0" w:firstColumn="1" w:lastColumn="0" w:noHBand="0" w:noVBand="1"/>
      </w:tblPr>
      <w:tblGrid>
        <w:gridCol w:w="2342"/>
        <w:gridCol w:w="1904"/>
        <w:gridCol w:w="1523"/>
        <w:gridCol w:w="2096"/>
        <w:gridCol w:w="1151"/>
      </w:tblGrid>
      <w:tr w:rsidR="00A51713" w14:paraId="4CE18FFF" w14:textId="77777777" w:rsidTr="00A51713">
        <w:tc>
          <w:tcPr>
            <w:tcW w:w="2547" w:type="dxa"/>
          </w:tcPr>
          <w:p w14:paraId="4E9A3050" w14:textId="5020C791" w:rsidR="00A51713" w:rsidRPr="00CD5A64" w:rsidRDefault="00D4674E" w:rsidP="00A51713">
            <w:pPr>
              <w:rPr>
                <w:b/>
                <w:bCs/>
              </w:rPr>
            </w:pPr>
            <w:r w:rsidRPr="00D4674E">
              <w:rPr>
                <w:b/>
                <w:bCs/>
              </w:rPr>
              <w:t xml:space="preserve">Risk </w:t>
            </w:r>
            <w:proofErr w:type="spellStart"/>
            <w:r w:rsidRPr="00D4674E">
              <w:rPr>
                <w:b/>
                <w:bCs/>
              </w:rPr>
              <w:t>scenario</w:t>
            </w:r>
            <w:proofErr w:type="spellEnd"/>
          </w:p>
        </w:tc>
        <w:tc>
          <w:tcPr>
            <w:tcW w:w="1276" w:type="dxa"/>
          </w:tcPr>
          <w:p w14:paraId="0C3C3F90" w14:textId="3F172F8E" w:rsidR="00A51713" w:rsidRPr="00D4674E" w:rsidRDefault="00D4674E" w:rsidP="00A51713">
            <w:pPr>
              <w:rPr>
                <w:b/>
                <w:bCs/>
                <w:lang w:val="en-GB"/>
              </w:rPr>
            </w:pPr>
            <w:r>
              <w:rPr>
                <w:b/>
                <w:bCs/>
                <w:lang w:val="en-GB"/>
              </w:rPr>
              <w:t>Type</w:t>
            </w:r>
          </w:p>
        </w:tc>
        <w:tc>
          <w:tcPr>
            <w:tcW w:w="1586" w:type="dxa"/>
          </w:tcPr>
          <w:p w14:paraId="7E5F2A43" w14:textId="77777777" w:rsidR="00A51713" w:rsidRPr="00CD5A64" w:rsidRDefault="00A51713" w:rsidP="00A51713">
            <w:pPr>
              <w:rPr>
                <w:b/>
                <w:bCs/>
              </w:rPr>
            </w:pPr>
            <w:proofErr w:type="spellStart"/>
            <w:r w:rsidRPr="00CD5A64">
              <w:rPr>
                <w:b/>
                <w:bCs/>
              </w:rPr>
              <w:t>Probability</w:t>
            </w:r>
            <w:proofErr w:type="spellEnd"/>
          </w:p>
        </w:tc>
        <w:tc>
          <w:tcPr>
            <w:tcW w:w="2383" w:type="dxa"/>
          </w:tcPr>
          <w:p w14:paraId="23E539F6" w14:textId="77777777" w:rsidR="00A51713" w:rsidRPr="00CD5A64" w:rsidRDefault="00A51713" w:rsidP="00A51713">
            <w:pPr>
              <w:rPr>
                <w:b/>
                <w:bCs/>
              </w:rPr>
            </w:pPr>
            <w:proofErr w:type="spellStart"/>
            <w:r w:rsidRPr="00CD5A64">
              <w:rPr>
                <w:b/>
                <w:bCs/>
              </w:rPr>
              <w:t>Potential</w:t>
            </w:r>
            <w:proofErr w:type="spellEnd"/>
            <w:r w:rsidRPr="00CD5A64">
              <w:rPr>
                <w:b/>
                <w:bCs/>
              </w:rPr>
              <w:t xml:space="preserve"> </w:t>
            </w:r>
            <w:proofErr w:type="spellStart"/>
            <w:r w:rsidRPr="00CD5A64">
              <w:rPr>
                <w:b/>
                <w:bCs/>
              </w:rPr>
              <w:t>impact</w:t>
            </w:r>
            <w:proofErr w:type="spellEnd"/>
            <w:r w:rsidRPr="00CD5A64">
              <w:rPr>
                <w:b/>
                <w:bCs/>
              </w:rPr>
              <w:t xml:space="preserve"> (CIA)</w:t>
            </w:r>
          </w:p>
        </w:tc>
        <w:tc>
          <w:tcPr>
            <w:tcW w:w="1224" w:type="dxa"/>
          </w:tcPr>
          <w:p w14:paraId="2BED6251" w14:textId="77777777" w:rsidR="00A51713" w:rsidRPr="00CD5A64" w:rsidRDefault="00A51713" w:rsidP="00A51713">
            <w:pPr>
              <w:rPr>
                <w:b/>
                <w:bCs/>
              </w:rPr>
            </w:pPr>
            <w:proofErr w:type="spellStart"/>
            <w:r w:rsidRPr="00CD5A64">
              <w:rPr>
                <w:b/>
                <w:bCs/>
              </w:rPr>
              <w:t>Priority</w:t>
            </w:r>
            <w:proofErr w:type="spellEnd"/>
          </w:p>
        </w:tc>
      </w:tr>
      <w:tr w:rsidR="00A51713" w:rsidRPr="004265A2" w14:paraId="1C393EE8" w14:textId="77777777" w:rsidTr="00A51713">
        <w:tc>
          <w:tcPr>
            <w:tcW w:w="2547" w:type="dxa"/>
          </w:tcPr>
          <w:p w14:paraId="045E09EC" w14:textId="5D91600A" w:rsidR="00A51713" w:rsidRPr="004265A2" w:rsidRDefault="00D4674E" w:rsidP="00A51713">
            <w:pPr>
              <w:rPr>
                <w:lang w:val="en-GB"/>
              </w:rPr>
            </w:pPr>
            <w:r w:rsidRPr="00D4674E">
              <w:rPr>
                <w:lang w:val="en-GB"/>
              </w:rPr>
              <w:t>Phishing/BEC in procurement involving the theft of login credentials or the alteration of payment details</w:t>
            </w:r>
          </w:p>
        </w:tc>
        <w:tc>
          <w:tcPr>
            <w:tcW w:w="1276" w:type="dxa"/>
          </w:tcPr>
          <w:p w14:paraId="26AF65DF" w14:textId="2C3C3082" w:rsidR="00A51713" w:rsidRPr="004265A2" w:rsidRDefault="00D4674E" w:rsidP="00A51713">
            <w:pPr>
              <w:rPr>
                <w:lang w:val="en-GB"/>
              </w:rPr>
            </w:pPr>
            <w:r w:rsidRPr="00D4674E">
              <w:rPr>
                <w:lang w:val="en-GB"/>
              </w:rPr>
              <w:t>External threat + human vulnerability</w:t>
            </w:r>
          </w:p>
        </w:tc>
        <w:tc>
          <w:tcPr>
            <w:tcW w:w="1586" w:type="dxa"/>
          </w:tcPr>
          <w:p w14:paraId="31E3EC43" w14:textId="77777777" w:rsidR="00A51713" w:rsidRPr="004265A2" w:rsidRDefault="00A51713" w:rsidP="00A51713">
            <w:pPr>
              <w:rPr>
                <w:lang w:val="en-GB"/>
              </w:rPr>
            </w:pPr>
            <w:r>
              <w:rPr>
                <w:lang w:val="en-GB"/>
              </w:rPr>
              <w:t>High</w:t>
            </w:r>
          </w:p>
        </w:tc>
        <w:tc>
          <w:tcPr>
            <w:tcW w:w="2383" w:type="dxa"/>
          </w:tcPr>
          <w:p w14:paraId="0FEB8E6D" w14:textId="55500135" w:rsidR="00A51713" w:rsidRPr="004265A2" w:rsidRDefault="00D4674E" w:rsidP="00A51713">
            <w:pPr>
              <w:rPr>
                <w:lang w:val="en-GB"/>
              </w:rPr>
            </w:pPr>
            <w:r w:rsidRPr="00D4674E">
              <w:rPr>
                <w:lang w:val="en-GB"/>
              </w:rPr>
              <w:t>C/I; financial loss</w:t>
            </w:r>
          </w:p>
        </w:tc>
        <w:tc>
          <w:tcPr>
            <w:tcW w:w="1224" w:type="dxa"/>
          </w:tcPr>
          <w:p w14:paraId="5AC39508" w14:textId="77777777" w:rsidR="00A51713" w:rsidRPr="004265A2" w:rsidRDefault="00A51713" w:rsidP="00A51713">
            <w:pPr>
              <w:rPr>
                <w:lang w:val="en-GB"/>
              </w:rPr>
            </w:pPr>
            <w:r>
              <w:rPr>
                <w:lang w:val="en-GB"/>
              </w:rPr>
              <w:t>High</w:t>
            </w:r>
          </w:p>
        </w:tc>
      </w:tr>
      <w:tr w:rsidR="00A51713" w:rsidRPr="004265A2" w14:paraId="745E9344" w14:textId="77777777" w:rsidTr="00A51713">
        <w:tc>
          <w:tcPr>
            <w:tcW w:w="2547" w:type="dxa"/>
          </w:tcPr>
          <w:p w14:paraId="5B2F0C71" w14:textId="26CD843D" w:rsidR="00A51713" w:rsidRPr="008D22F3" w:rsidRDefault="00D4674E" w:rsidP="00A51713">
            <w:pPr>
              <w:rPr>
                <w:lang w:val="en-GB"/>
              </w:rPr>
            </w:pPr>
            <w:r w:rsidRPr="00D4674E">
              <w:rPr>
                <w:lang w:val="en-GB"/>
              </w:rPr>
              <w:t>IoT compromise via default credentials, weak encryption or outdated firmware</w:t>
            </w:r>
          </w:p>
        </w:tc>
        <w:tc>
          <w:tcPr>
            <w:tcW w:w="1276" w:type="dxa"/>
          </w:tcPr>
          <w:p w14:paraId="36FD33CD" w14:textId="626341AC" w:rsidR="00A51713" w:rsidRPr="004265A2" w:rsidRDefault="00D4674E" w:rsidP="00A51713">
            <w:pPr>
              <w:rPr>
                <w:lang w:val="en-GB"/>
              </w:rPr>
            </w:pPr>
            <w:r w:rsidRPr="00D4674E">
              <w:rPr>
                <w:lang w:val="en-GB"/>
              </w:rPr>
              <w:t>Technical vulnerability</w:t>
            </w:r>
          </w:p>
        </w:tc>
        <w:tc>
          <w:tcPr>
            <w:tcW w:w="1586" w:type="dxa"/>
          </w:tcPr>
          <w:p w14:paraId="2AB916C4" w14:textId="77777777" w:rsidR="00A51713" w:rsidRPr="004265A2" w:rsidRDefault="00A51713" w:rsidP="00A51713">
            <w:pPr>
              <w:rPr>
                <w:lang w:val="en-GB"/>
              </w:rPr>
            </w:pPr>
            <w:r>
              <w:rPr>
                <w:lang w:val="en-GB"/>
              </w:rPr>
              <w:t>Medium</w:t>
            </w:r>
          </w:p>
        </w:tc>
        <w:tc>
          <w:tcPr>
            <w:tcW w:w="2383" w:type="dxa"/>
          </w:tcPr>
          <w:p w14:paraId="19AB2822" w14:textId="17C6877B" w:rsidR="00A51713" w:rsidRPr="004265A2" w:rsidRDefault="00D4674E" w:rsidP="00A51713">
            <w:pPr>
              <w:rPr>
                <w:lang w:val="en-GB"/>
              </w:rPr>
            </w:pPr>
            <w:r w:rsidRPr="00D4674E">
              <w:rPr>
                <w:lang w:val="en-GB"/>
              </w:rPr>
              <w:t>I/A; quality and safety</w:t>
            </w:r>
          </w:p>
        </w:tc>
        <w:tc>
          <w:tcPr>
            <w:tcW w:w="1224" w:type="dxa"/>
          </w:tcPr>
          <w:p w14:paraId="562F6C67" w14:textId="50BE9AAA" w:rsidR="00A51713" w:rsidRPr="004265A2" w:rsidRDefault="00D4674E" w:rsidP="00A51713">
            <w:pPr>
              <w:rPr>
                <w:lang w:val="en-GB"/>
              </w:rPr>
            </w:pPr>
            <w:r>
              <w:rPr>
                <w:lang w:val="en-GB"/>
              </w:rPr>
              <w:t>High</w:t>
            </w:r>
          </w:p>
        </w:tc>
      </w:tr>
      <w:tr w:rsidR="00A51713" w:rsidRPr="004265A2" w14:paraId="1AB33026" w14:textId="77777777" w:rsidTr="00A51713">
        <w:tc>
          <w:tcPr>
            <w:tcW w:w="2547" w:type="dxa"/>
          </w:tcPr>
          <w:p w14:paraId="6B448E76" w14:textId="4BD40A5E" w:rsidR="00A51713" w:rsidRPr="004265A2" w:rsidRDefault="00D4674E" w:rsidP="00A51713">
            <w:pPr>
              <w:rPr>
                <w:lang w:val="en-GB"/>
              </w:rPr>
            </w:pPr>
            <w:r w:rsidRPr="00D4674E">
              <w:rPr>
                <w:lang w:val="en-GB"/>
              </w:rPr>
              <w:t>Unmanaged USB/BYOD devices create a way to bypass security gateways</w:t>
            </w:r>
          </w:p>
        </w:tc>
        <w:tc>
          <w:tcPr>
            <w:tcW w:w="1276" w:type="dxa"/>
          </w:tcPr>
          <w:p w14:paraId="401A4153" w14:textId="68926677" w:rsidR="00A51713" w:rsidRPr="004265A2" w:rsidRDefault="00D4674E" w:rsidP="00A51713">
            <w:pPr>
              <w:rPr>
                <w:lang w:val="en-GB"/>
              </w:rPr>
            </w:pPr>
            <w:r w:rsidRPr="00D4674E">
              <w:rPr>
                <w:lang w:val="en-GB"/>
              </w:rPr>
              <w:t>Lack of supervision</w:t>
            </w:r>
          </w:p>
        </w:tc>
        <w:tc>
          <w:tcPr>
            <w:tcW w:w="1586" w:type="dxa"/>
          </w:tcPr>
          <w:p w14:paraId="4A48DBC0" w14:textId="77777777" w:rsidR="00A51713" w:rsidRPr="004265A2" w:rsidRDefault="00A51713" w:rsidP="00A51713">
            <w:pPr>
              <w:rPr>
                <w:lang w:val="en-GB"/>
              </w:rPr>
            </w:pPr>
            <w:r>
              <w:rPr>
                <w:lang w:val="en-GB"/>
              </w:rPr>
              <w:t>Medium</w:t>
            </w:r>
          </w:p>
        </w:tc>
        <w:tc>
          <w:tcPr>
            <w:tcW w:w="2383" w:type="dxa"/>
          </w:tcPr>
          <w:p w14:paraId="68234358" w14:textId="68F2E449" w:rsidR="00A51713" w:rsidRPr="004265A2" w:rsidRDefault="00D4674E" w:rsidP="00A51713">
            <w:pPr>
              <w:rPr>
                <w:lang w:val="en-GB"/>
              </w:rPr>
            </w:pPr>
            <w:r w:rsidRPr="00D4674E">
              <w:rPr>
                <w:lang w:val="en-GB"/>
              </w:rPr>
              <w:t>I/A; the spread of malware</w:t>
            </w:r>
          </w:p>
        </w:tc>
        <w:tc>
          <w:tcPr>
            <w:tcW w:w="1224" w:type="dxa"/>
          </w:tcPr>
          <w:p w14:paraId="2BDB64B5" w14:textId="77777777" w:rsidR="00A51713" w:rsidRPr="004265A2" w:rsidRDefault="00A51713" w:rsidP="00A51713">
            <w:pPr>
              <w:rPr>
                <w:lang w:val="en-GB"/>
              </w:rPr>
            </w:pPr>
            <w:r>
              <w:rPr>
                <w:lang w:val="en-GB"/>
              </w:rPr>
              <w:t>High</w:t>
            </w:r>
          </w:p>
        </w:tc>
      </w:tr>
      <w:tr w:rsidR="00A51713" w:rsidRPr="004265A2" w14:paraId="737E1F63" w14:textId="77777777" w:rsidTr="00A51713">
        <w:tc>
          <w:tcPr>
            <w:tcW w:w="2547" w:type="dxa"/>
          </w:tcPr>
          <w:p w14:paraId="674AE4B7" w14:textId="1249785E" w:rsidR="00A51713" w:rsidRPr="004265A2" w:rsidRDefault="00D4674E" w:rsidP="00A51713">
            <w:pPr>
              <w:rPr>
                <w:lang w:val="en-GB"/>
              </w:rPr>
            </w:pPr>
            <w:r w:rsidRPr="00D4674E">
              <w:rPr>
                <w:lang w:val="en-GB"/>
              </w:rPr>
              <w:t>A compromised office account spreads across a flat IT/OT network</w:t>
            </w:r>
          </w:p>
        </w:tc>
        <w:tc>
          <w:tcPr>
            <w:tcW w:w="1276" w:type="dxa"/>
          </w:tcPr>
          <w:p w14:paraId="3F352230" w14:textId="142BC31C" w:rsidR="00A51713" w:rsidRPr="004265A2" w:rsidRDefault="00D4674E" w:rsidP="00A51713">
            <w:pPr>
              <w:rPr>
                <w:lang w:val="en-GB"/>
              </w:rPr>
            </w:pPr>
            <w:r w:rsidRPr="00D4674E">
              <w:rPr>
                <w:lang w:val="en-GB"/>
              </w:rPr>
              <w:t>Architectural flaw</w:t>
            </w:r>
          </w:p>
        </w:tc>
        <w:tc>
          <w:tcPr>
            <w:tcW w:w="1586" w:type="dxa"/>
          </w:tcPr>
          <w:p w14:paraId="746D5FE1" w14:textId="77777777" w:rsidR="00A51713" w:rsidRPr="004265A2" w:rsidRDefault="00A51713" w:rsidP="00A51713">
            <w:pPr>
              <w:rPr>
                <w:lang w:val="en-GB"/>
              </w:rPr>
            </w:pPr>
            <w:r>
              <w:rPr>
                <w:lang w:val="en-GB"/>
              </w:rPr>
              <w:t>High</w:t>
            </w:r>
          </w:p>
        </w:tc>
        <w:tc>
          <w:tcPr>
            <w:tcW w:w="2383" w:type="dxa"/>
          </w:tcPr>
          <w:p w14:paraId="23042FC7" w14:textId="42DB6ADE" w:rsidR="00A51713" w:rsidRPr="004265A2" w:rsidRDefault="00D4674E" w:rsidP="00A51713">
            <w:pPr>
              <w:rPr>
                <w:lang w:val="en-GB"/>
              </w:rPr>
            </w:pPr>
            <w:r w:rsidRPr="00D4674E">
              <w:rPr>
                <w:lang w:val="en-GB"/>
              </w:rPr>
              <w:t>C/I/A; stop and safety</w:t>
            </w:r>
          </w:p>
        </w:tc>
        <w:tc>
          <w:tcPr>
            <w:tcW w:w="1224" w:type="dxa"/>
          </w:tcPr>
          <w:p w14:paraId="72A9B47D" w14:textId="77777777" w:rsidR="00A51713" w:rsidRPr="004265A2" w:rsidRDefault="00A51713" w:rsidP="00A51713">
            <w:pPr>
              <w:rPr>
                <w:lang w:val="en-GB"/>
              </w:rPr>
            </w:pPr>
            <w:r>
              <w:rPr>
                <w:lang w:val="en-GB"/>
              </w:rPr>
              <w:t>Critical</w:t>
            </w:r>
          </w:p>
        </w:tc>
      </w:tr>
      <w:tr w:rsidR="00A51713" w:rsidRPr="004265A2" w14:paraId="0AC75107" w14:textId="77777777" w:rsidTr="00A51713">
        <w:tc>
          <w:tcPr>
            <w:tcW w:w="2547" w:type="dxa"/>
          </w:tcPr>
          <w:p w14:paraId="4886FC18" w14:textId="76ED477E" w:rsidR="00A51713" w:rsidRPr="004265A2" w:rsidRDefault="00D4674E" w:rsidP="00A51713">
            <w:pPr>
              <w:rPr>
                <w:lang w:val="en-GB"/>
              </w:rPr>
            </w:pPr>
            <w:r w:rsidRPr="00D4674E">
              <w:rPr>
                <w:lang w:val="en-GB"/>
              </w:rPr>
              <w:t>The theft of vendor/VPN credentials provides remote access to OT</w:t>
            </w:r>
          </w:p>
        </w:tc>
        <w:tc>
          <w:tcPr>
            <w:tcW w:w="1276" w:type="dxa"/>
          </w:tcPr>
          <w:p w14:paraId="7D820A8B" w14:textId="42D4123F" w:rsidR="00A51713" w:rsidRPr="004265A2" w:rsidRDefault="00D4674E" w:rsidP="00A51713">
            <w:pPr>
              <w:rPr>
                <w:lang w:val="en-GB"/>
              </w:rPr>
            </w:pPr>
            <w:r w:rsidRPr="00D4674E">
              <w:rPr>
                <w:lang w:val="en-GB"/>
              </w:rPr>
              <w:t>Supply-chain / external</w:t>
            </w:r>
          </w:p>
        </w:tc>
        <w:tc>
          <w:tcPr>
            <w:tcW w:w="1586" w:type="dxa"/>
          </w:tcPr>
          <w:p w14:paraId="00DB70EF" w14:textId="77777777" w:rsidR="00A51713" w:rsidRPr="004265A2" w:rsidRDefault="00A51713" w:rsidP="00A51713">
            <w:pPr>
              <w:rPr>
                <w:lang w:val="en-GB"/>
              </w:rPr>
            </w:pPr>
            <w:r>
              <w:rPr>
                <w:lang w:val="en-GB"/>
              </w:rPr>
              <w:t>High</w:t>
            </w:r>
          </w:p>
        </w:tc>
        <w:tc>
          <w:tcPr>
            <w:tcW w:w="2383" w:type="dxa"/>
          </w:tcPr>
          <w:p w14:paraId="7D882CA7" w14:textId="631FE766" w:rsidR="00A51713" w:rsidRPr="004265A2" w:rsidRDefault="00D4674E" w:rsidP="00A51713">
            <w:pPr>
              <w:rPr>
                <w:lang w:val="en-GB"/>
              </w:rPr>
            </w:pPr>
            <w:r w:rsidRPr="00D4674E">
              <w:rPr>
                <w:lang w:val="en-GB"/>
              </w:rPr>
              <w:t>C/I/A; covert presence</w:t>
            </w:r>
          </w:p>
        </w:tc>
        <w:tc>
          <w:tcPr>
            <w:tcW w:w="1224" w:type="dxa"/>
          </w:tcPr>
          <w:p w14:paraId="6C260CD6" w14:textId="42773985" w:rsidR="00A51713" w:rsidRPr="004265A2" w:rsidRDefault="00D4674E" w:rsidP="00A51713">
            <w:pPr>
              <w:rPr>
                <w:lang w:val="en-GB"/>
              </w:rPr>
            </w:pPr>
            <w:r>
              <w:rPr>
                <w:lang w:val="en-GB"/>
              </w:rPr>
              <w:t>Critical</w:t>
            </w:r>
          </w:p>
        </w:tc>
      </w:tr>
      <w:tr w:rsidR="00A51713" w:rsidRPr="004265A2" w14:paraId="6C77EC29" w14:textId="77777777" w:rsidTr="00A51713">
        <w:tc>
          <w:tcPr>
            <w:tcW w:w="2547" w:type="dxa"/>
          </w:tcPr>
          <w:p w14:paraId="1B7C2095" w14:textId="0C150251" w:rsidR="00A51713" w:rsidRPr="004265A2" w:rsidRDefault="00D4674E" w:rsidP="00A51713">
            <w:pPr>
              <w:rPr>
                <w:lang w:val="en-GB"/>
              </w:rPr>
            </w:pPr>
            <w:r w:rsidRPr="00D4674E">
              <w:rPr>
                <w:lang w:val="en-GB"/>
              </w:rPr>
              <w:t>Lateral malware infection via shared services and accounts</w:t>
            </w:r>
          </w:p>
        </w:tc>
        <w:tc>
          <w:tcPr>
            <w:tcW w:w="1276" w:type="dxa"/>
          </w:tcPr>
          <w:p w14:paraId="03FABFF6" w14:textId="77777777" w:rsidR="00A51713" w:rsidRPr="004265A2" w:rsidRDefault="00A51713" w:rsidP="00A51713">
            <w:pPr>
              <w:rPr>
                <w:lang w:val="en-GB"/>
              </w:rPr>
            </w:pPr>
            <w:r>
              <w:rPr>
                <w:lang w:val="en-GB"/>
              </w:rPr>
              <w:t>External</w:t>
            </w:r>
          </w:p>
        </w:tc>
        <w:tc>
          <w:tcPr>
            <w:tcW w:w="1586" w:type="dxa"/>
          </w:tcPr>
          <w:p w14:paraId="45A2ECF3" w14:textId="77777777" w:rsidR="00A51713" w:rsidRPr="004265A2" w:rsidRDefault="00A51713" w:rsidP="00A51713">
            <w:pPr>
              <w:rPr>
                <w:lang w:val="en-GB"/>
              </w:rPr>
            </w:pPr>
            <w:r>
              <w:rPr>
                <w:lang w:val="en-GB"/>
              </w:rPr>
              <w:t>High</w:t>
            </w:r>
          </w:p>
        </w:tc>
        <w:tc>
          <w:tcPr>
            <w:tcW w:w="2383" w:type="dxa"/>
          </w:tcPr>
          <w:p w14:paraId="1669030B" w14:textId="3374162B" w:rsidR="00A51713" w:rsidRPr="004265A2" w:rsidRDefault="00D4674E" w:rsidP="00A51713">
            <w:pPr>
              <w:rPr>
                <w:lang w:val="en-GB"/>
              </w:rPr>
            </w:pPr>
            <w:r w:rsidRPr="00D4674E">
              <w:rPr>
                <w:lang w:val="en-GB"/>
              </w:rPr>
              <w:t>I/A; rapid spread</w:t>
            </w:r>
          </w:p>
        </w:tc>
        <w:tc>
          <w:tcPr>
            <w:tcW w:w="1224" w:type="dxa"/>
          </w:tcPr>
          <w:p w14:paraId="55A66B87" w14:textId="77777777" w:rsidR="00A51713" w:rsidRPr="004265A2" w:rsidRDefault="00A51713" w:rsidP="00A51713">
            <w:pPr>
              <w:rPr>
                <w:lang w:val="en-GB"/>
              </w:rPr>
            </w:pPr>
            <w:r>
              <w:rPr>
                <w:lang w:val="en-GB"/>
              </w:rPr>
              <w:t>High</w:t>
            </w:r>
          </w:p>
        </w:tc>
      </w:tr>
      <w:tr w:rsidR="00A51713" w:rsidRPr="004265A2" w14:paraId="0765E0A6" w14:textId="77777777" w:rsidTr="00A51713">
        <w:tc>
          <w:tcPr>
            <w:tcW w:w="2547" w:type="dxa"/>
          </w:tcPr>
          <w:p w14:paraId="4FABE418" w14:textId="56C643C6" w:rsidR="00A51713" w:rsidRPr="004265A2" w:rsidRDefault="00D4674E" w:rsidP="00A51713">
            <w:pPr>
              <w:rPr>
                <w:lang w:val="en-GB"/>
              </w:rPr>
            </w:pPr>
            <w:r w:rsidRPr="00D4674E">
              <w:rPr>
                <w:lang w:val="en-GB"/>
              </w:rPr>
              <w:lastRenderedPageBreak/>
              <w:t>Ransomware involving double extortion and the encryption of MES/engineering assets</w:t>
            </w:r>
          </w:p>
        </w:tc>
        <w:tc>
          <w:tcPr>
            <w:tcW w:w="1276" w:type="dxa"/>
          </w:tcPr>
          <w:p w14:paraId="105A48A9" w14:textId="77777777" w:rsidR="00A51713" w:rsidRPr="004265A2" w:rsidRDefault="00A51713" w:rsidP="00A51713">
            <w:pPr>
              <w:rPr>
                <w:lang w:val="en-GB"/>
              </w:rPr>
            </w:pPr>
            <w:r>
              <w:rPr>
                <w:lang w:val="en-GB"/>
              </w:rPr>
              <w:t>External</w:t>
            </w:r>
          </w:p>
        </w:tc>
        <w:tc>
          <w:tcPr>
            <w:tcW w:w="1586" w:type="dxa"/>
          </w:tcPr>
          <w:p w14:paraId="72A229FF" w14:textId="5E4ED731" w:rsidR="00A51713" w:rsidRPr="004265A2" w:rsidRDefault="00A51713" w:rsidP="00A51713">
            <w:pPr>
              <w:rPr>
                <w:lang w:val="en-GB"/>
              </w:rPr>
            </w:pPr>
            <w:r>
              <w:rPr>
                <w:lang w:val="en-GB"/>
              </w:rPr>
              <w:t>Medium</w:t>
            </w:r>
            <w:r w:rsidR="00D4674E">
              <w:rPr>
                <w:lang w:val="en-GB"/>
              </w:rPr>
              <w:t>-high</w:t>
            </w:r>
          </w:p>
        </w:tc>
        <w:tc>
          <w:tcPr>
            <w:tcW w:w="2383" w:type="dxa"/>
          </w:tcPr>
          <w:p w14:paraId="52321B17" w14:textId="61E6F832" w:rsidR="00A51713" w:rsidRPr="004265A2" w:rsidRDefault="00D4674E" w:rsidP="00A51713">
            <w:pPr>
              <w:rPr>
                <w:lang w:val="en-GB"/>
              </w:rPr>
            </w:pPr>
            <w:r w:rsidRPr="00D4674E">
              <w:rPr>
                <w:lang w:val="en-GB"/>
              </w:rPr>
              <w:t>C/I/A; prolonged downtime</w:t>
            </w:r>
          </w:p>
        </w:tc>
        <w:tc>
          <w:tcPr>
            <w:tcW w:w="1224" w:type="dxa"/>
          </w:tcPr>
          <w:p w14:paraId="67461A25" w14:textId="77777777" w:rsidR="00A51713" w:rsidRPr="004265A2" w:rsidRDefault="00A51713" w:rsidP="00A51713">
            <w:pPr>
              <w:rPr>
                <w:lang w:val="en-GB"/>
              </w:rPr>
            </w:pPr>
            <w:r>
              <w:rPr>
                <w:lang w:val="en-GB"/>
              </w:rPr>
              <w:t>Critical</w:t>
            </w:r>
          </w:p>
        </w:tc>
      </w:tr>
      <w:tr w:rsidR="00A51713" w:rsidRPr="004265A2" w14:paraId="75396195" w14:textId="77777777" w:rsidTr="00A51713">
        <w:tc>
          <w:tcPr>
            <w:tcW w:w="2547" w:type="dxa"/>
          </w:tcPr>
          <w:p w14:paraId="6A6806A9" w14:textId="246AB7B2" w:rsidR="00A51713" w:rsidRPr="004265A2" w:rsidRDefault="00D4674E" w:rsidP="00A51713">
            <w:pPr>
              <w:rPr>
                <w:lang w:val="en-GB"/>
              </w:rPr>
            </w:pPr>
            <w:r w:rsidRPr="00D4674E">
              <w:rPr>
                <w:lang w:val="en-GB"/>
              </w:rPr>
              <w:t>DDoS or a cloud-based MES outage</w:t>
            </w:r>
          </w:p>
        </w:tc>
        <w:tc>
          <w:tcPr>
            <w:tcW w:w="1276" w:type="dxa"/>
          </w:tcPr>
          <w:p w14:paraId="33D470BD" w14:textId="0E975D67" w:rsidR="00A51713" w:rsidRPr="004265A2" w:rsidRDefault="00D4674E" w:rsidP="00A51713">
            <w:pPr>
              <w:rPr>
                <w:lang w:val="en-GB"/>
              </w:rPr>
            </w:pPr>
            <w:r w:rsidRPr="00D4674E">
              <w:rPr>
                <w:lang w:val="en-GB"/>
              </w:rPr>
              <w:t>External/Service</w:t>
            </w:r>
          </w:p>
        </w:tc>
        <w:tc>
          <w:tcPr>
            <w:tcW w:w="1586" w:type="dxa"/>
          </w:tcPr>
          <w:p w14:paraId="77F5D959" w14:textId="77777777" w:rsidR="00A51713" w:rsidRPr="004265A2" w:rsidRDefault="00A51713" w:rsidP="00A51713">
            <w:pPr>
              <w:rPr>
                <w:lang w:val="en-GB"/>
              </w:rPr>
            </w:pPr>
            <w:r>
              <w:rPr>
                <w:lang w:val="en-GB"/>
              </w:rPr>
              <w:t>Medium</w:t>
            </w:r>
          </w:p>
        </w:tc>
        <w:tc>
          <w:tcPr>
            <w:tcW w:w="2383" w:type="dxa"/>
          </w:tcPr>
          <w:p w14:paraId="2DA0319B" w14:textId="273CEB42" w:rsidR="00A51713" w:rsidRPr="004265A2" w:rsidRDefault="00D4674E" w:rsidP="00A51713">
            <w:pPr>
              <w:rPr>
                <w:lang w:val="en-GB"/>
              </w:rPr>
            </w:pPr>
            <w:r w:rsidRPr="00D4674E">
              <w:rPr>
                <w:lang w:val="en-GB"/>
              </w:rPr>
              <w:t>A; impaired coordination</w:t>
            </w:r>
          </w:p>
        </w:tc>
        <w:tc>
          <w:tcPr>
            <w:tcW w:w="1224" w:type="dxa"/>
          </w:tcPr>
          <w:p w14:paraId="759BCDF7" w14:textId="77777777" w:rsidR="00A51713" w:rsidRPr="004265A2" w:rsidRDefault="00A51713" w:rsidP="00A51713">
            <w:pPr>
              <w:rPr>
                <w:lang w:val="en-GB"/>
              </w:rPr>
            </w:pPr>
            <w:r>
              <w:rPr>
                <w:lang w:val="en-GB"/>
              </w:rPr>
              <w:t>High</w:t>
            </w:r>
          </w:p>
        </w:tc>
      </w:tr>
      <w:tr w:rsidR="00A51713" w:rsidRPr="004265A2" w14:paraId="3A286182" w14:textId="77777777" w:rsidTr="00A51713">
        <w:tc>
          <w:tcPr>
            <w:tcW w:w="2547" w:type="dxa"/>
          </w:tcPr>
          <w:p w14:paraId="35617DB3" w14:textId="50D32C04" w:rsidR="00A51713" w:rsidRPr="00D4674E" w:rsidRDefault="00D4674E" w:rsidP="00A51713">
            <w:pPr>
              <w:rPr>
                <w:lang w:val="en-GB"/>
              </w:rPr>
            </w:pPr>
            <w:r w:rsidRPr="00D4674E">
              <w:rPr>
                <w:lang w:val="en-GB"/>
              </w:rPr>
              <w:t>Compromise of software, updates or a trusted supplier’s channel</w:t>
            </w:r>
          </w:p>
        </w:tc>
        <w:tc>
          <w:tcPr>
            <w:tcW w:w="1276" w:type="dxa"/>
          </w:tcPr>
          <w:p w14:paraId="78201D82" w14:textId="4B3A99CE" w:rsidR="00A51713" w:rsidRPr="004265A2" w:rsidRDefault="00D4674E" w:rsidP="00A51713">
            <w:pPr>
              <w:rPr>
                <w:lang w:val="en-GB"/>
              </w:rPr>
            </w:pPr>
            <w:r w:rsidRPr="00D4674E">
              <w:rPr>
                <w:lang w:val="en-GB"/>
              </w:rPr>
              <w:t>Supply-chain</w:t>
            </w:r>
          </w:p>
        </w:tc>
        <w:tc>
          <w:tcPr>
            <w:tcW w:w="1586" w:type="dxa"/>
          </w:tcPr>
          <w:p w14:paraId="0318EA22" w14:textId="033A14B4" w:rsidR="00A51713" w:rsidRPr="004265A2" w:rsidRDefault="00A51713" w:rsidP="00A51713">
            <w:pPr>
              <w:rPr>
                <w:lang w:val="en-GB"/>
              </w:rPr>
            </w:pPr>
            <w:r w:rsidRPr="00CD5A64">
              <w:rPr>
                <w:lang w:val="en-GB"/>
              </w:rPr>
              <w:t>Medium</w:t>
            </w:r>
          </w:p>
        </w:tc>
        <w:tc>
          <w:tcPr>
            <w:tcW w:w="2383" w:type="dxa"/>
          </w:tcPr>
          <w:p w14:paraId="6DDACF06" w14:textId="3F7E6F44" w:rsidR="00A51713" w:rsidRPr="004265A2" w:rsidRDefault="00D4674E" w:rsidP="00A51713">
            <w:pPr>
              <w:rPr>
                <w:lang w:val="en-GB"/>
              </w:rPr>
            </w:pPr>
            <w:r w:rsidRPr="00D4674E">
              <w:rPr>
                <w:lang w:val="en-GB"/>
              </w:rPr>
              <w:t>C/I/A; trusted path</w:t>
            </w:r>
          </w:p>
        </w:tc>
        <w:tc>
          <w:tcPr>
            <w:tcW w:w="1224" w:type="dxa"/>
          </w:tcPr>
          <w:p w14:paraId="7E450D9E" w14:textId="7EFCD91D" w:rsidR="00A51713" w:rsidRPr="004265A2" w:rsidRDefault="00D4674E" w:rsidP="00A51713">
            <w:pPr>
              <w:rPr>
                <w:lang w:val="en-GB"/>
              </w:rPr>
            </w:pPr>
            <w:r>
              <w:rPr>
                <w:lang w:val="en-GB"/>
              </w:rPr>
              <w:t>High</w:t>
            </w:r>
          </w:p>
        </w:tc>
      </w:tr>
    </w:tbl>
    <w:p w14:paraId="5689E578" w14:textId="58E5211A" w:rsidR="00A51713" w:rsidRPr="00D4674E" w:rsidRDefault="00A51713" w:rsidP="00A51713">
      <w:pPr>
        <w:pStyle w:val="Caption"/>
        <w:keepNext/>
        <w:rPr>
          <w:lang w:val="en-GB"/>
        </w:rPr>
      </w:pPr>
      <w:r w:rsidRPr="00D4674E">
        <w:rPr>
          <w:lang w:val="en-GB"/>
        </w:rPr>
        <w:t xml:space="preserve">Table </w:t>
      </w:r>
      <w:r>
        <w:fldChar w:fldCharType="begin"/>
      </w:r>
      <w:r w:rsidRPr="00D4674E">
        <w:rPr>
          <w:lang w:val="en-GB"/>
        </w:rPr>
        <w:instrText xml:space="preserve"> SEQ Table \* ARABIC </w:instrText>
      </w:r>
      <w:r>
        <w:fldChar w:fldCharType="separate"/>
      </w:r>
      <w:r w:rsidR="00410C95">
        <w:rPr>
          <w:noProof/>
          <w:lang w:val="en-GB"/>
        </w:rPr>
        <w:t>1</w:t>
      </w:r>
      <w:r>
        <w:fldChar w:fldCharType="end"/>
      </w:r>
      <w:r>
        <w:rPr>
          <w:lang w:val="en-GB"/>
        </w:rPr>
        <w:t xml:space="preserve">: </w:t>
      </w:r>
      <w:r w:rsidR="00D4674E" w:rsidRPr="00D4674E">
        <w:rPr>
          <w:lang w:val="en-GB"/>
        </w:rPr>
        <w:t xml:space="preserve">SFM cyber risk scenario register, </w:t>
      </w:r>
      <w:proofErr w:type="gramStart"/>
      <w:r w:rsidR="00D4674E" w:rsidRPr="00D4674E">
        <w:rPr>
          <w:lang w:val="en-GB"/>
        </w:rPr>
        <w:t>taking into account</w:t>
      </w:r>
      <w:proofErr w:type="gramEnd"/>
      <w:r w:rsidR="00D4674E" w:rsidRPr="00D4674E">
        <w:rPr>
          <w:lang w:val="en-GB"/>
        </w:rPr>
        <w:t xml:space="preserve"> the CIA, safety and business impact</w:t>
      </w:r>
    </w:p>
    <w:p w14:paraId="3F180921" w14:textId="7E1DC134" w:rsidR="004265A2" w:rsidRPr="004265A2" w:rsidRDefault="004265A2" w:rsidP="004265A2">
      <w:pPr>
        <w:pStyle w:val="Heading2"/>
        <w:rPr>
          <w:lang w:val="en-GB"/>
        </w:rPr>
      </w:pPr>
      <w:bookmarkStart w:id="6" w:name="_Toc237432012"/>
      <w:r w:rsidRPr="004265A2">
        <w:rPr>
          <w:lang w:val="en-GB"/>
        </w:rPr>
        <w:t>2.3. Impact assessment using the CIA model and risk prioritisation</w:t>
      </w:r>
      <w:bookmarkEnd w:id="6"/>
    </w:p>
    <w:p w14:paraId="3BA5E257" w14:textId="67A7F6FE" w:rsidR="004265A2" w:rsidRPr="004265A2" w:rsidRDefault="00410C95" w:rsidP="004265A2">
      <w:pPr>
        <w:rPr>
          <w:lang w:val="en-GB"/>
        </w:rPr>
      </w:pPr>
      <w:r w:rsidRPr="00410C95">
        <w:rPr>
          <w:lang w:val="en-GB"/>
        </w:rPr>
        <w:t>Prioritisation is aligned with NIST CSF 2.0 ID.RA-04 and ID.RA-05: the SFM must determine the likelihood and impact scales, document the evidence and assumptions, assign an owner to each risk, and select a treatment — mitigate, transfer, avoid or accept. The final assessment is not a ‘matrix’ prescribed by NIST; it is an SFM-specific methodology that uses the recorded likelihood and impact to allocate resources</w:t>
      </w:r>
      <w:r>
        <w:rPr>
          <w:lang w:val="en-GB"/>
        </w:rPr>
        <w:t xml:space="preserve"> </w:t>
      </w:r>
      <w:sdt>
        <w:sdtPr>
          <w:rPr>
            <w:lang w:val="en-GB"/>
          </w:rPr>
          <w:id w:val="-109894214"/>
          <w:citation/>
        </w:sdtPr>
        <w:sdtContent>
          <w:r w:rsidR="001A491A">
            <w:rPr>
              <w:lang w:val="en-GB"/>
            </w:rPr>
            <w:fldChar w:fldCharType="begin"/>
          </w:r>
          <w:r w:rsidR="001A491A">
            <w:rPr>
              <w:lang w:val="en-GB"/>
            </w:rPr>
            <w:instrText xml:space="preserve"> CITATION Mas23 \l 2057 </w:instrText>
          </w:r>
          <w:r w:rsidR="001A491A">
            <w:rPr>
              <w:lang w:val="en-GB"/>
            </w:rPr>
            <w:fldChar w:fldCharType="separate"/>
          </w:r>
          <w:r w:rsidR="00A20EC0" w:rsidRPr="00A20EC0">
            <w:rPr>
              <w:noProof/>
              <w:lang w:val="en-GB"/>
            </w:rPr>
            <w:t>[3]</w:t>
          </w:r>
          <w:r w:rsidR="001A491A">
            <w:rPr>
              <w:lang w:val="en-GB"/>
            </w:rPr>
            <w:fldChar w:fldCharType="end"/>
          </w:r>
        </w:sdtContent>
      </w:sdt>
      <w:r w:rsidR="00C94CCC" w:rsidRPr="00C94CCC">
        <w:rPr>
          <w:lang w:val="en-GB"/>
        </w:rPr>
        <w:t xml:space="preserve"> </w:t>
      </w:r>
      <w:sdt>
        <w:sdtPr>
          <w:rPr>
            <w:lang w:val="en-GB"/>
          </w:rPr>
          <w:id w:val="-1301229107"/>
          <w:citation/>
        </w:sdtPr>
        <w:sdtContent>
          <w:r w:rsidR="00C94CCC">
            <w:rPr>
              <w:lang w:val="en-GB"/>
            </w:rPr>
            <w:fldChar w:fldCharType="begin"/>
          </w:r>
          <w:r w:rsidR="00C94CCC" w:rsidRPr="00C94CCC">
            <w:rPr>
              <w:lang w:val="en-GB"/>
            </w:rPr>
            <w:instrText xml:space="preserve"> CITATION Pas24 \l 1049 </w:instrText>
          </w:r>
          <w:r w:rsidR="00C94CCC">
            <w:rPr>
              <w:lang w:val="en-GB"/>
            </w:rPr>
            <w:fldChar w:fldCharType="separate"/>
          </w:r>
          <w:r w:rsidR="00A20EC0" w:rsidRPr="00A20EC0">
            <w:rPr>
              <w:noProof/>
              <w:lang w:val="en-GB"/>
            </w:rPr>
            <w:t>[4]</w:t>
          </w:r>
          <w:r w:rsidR="00C94CCC">
            <w:rPr>
              <w:lang w:val="en-GB"/>
            </w:rPr>
            <w:fldChar w:fldCharType="end"/>
          </w:r>
        </w:sdtContent>
      </w:sdt>
      <w:r w:rsidR="00C94CCC" w:rsidRPr="00C94CCC">
        <w:rPr>
          <w:lang w:val="en-GB"/>
        </w:rPr>
        <w:t xml:space="preserve"> </w:t>
      </w:r>
      <w:r w:rsidR="004265A2" w:rsidRPr="004265A2">
        <w:rPr>
          <w:lang w:val="en-GB"/>
        </w:rPr>
        <w:t>.</w:t>
      </w:r>
    </w:p>
    <w:p w14:paraId="756888FB" w14:textId="6D94B871" w:rsidR="003C4AC1" w:rsidRPr="00F3304A" w:rsidRDefault="00E35402" w:rsidP="003C4AC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7" w:name="_Toc237432013"/>
      <w:r w:rsidRPr="00E35402">
        <w:rPr>
          <w:rFonts w:ascii="Times New Roman" w:hAnsi="Times New Roman" w:cs="Times New Roman"/>
          <w:b/>
          <w:bCs/>
          <w:color w:val="000000" w:themeColor="text1"/>
          <w:sz w:val="32"/>
          <w:szCs w:val="32"/>
          <w:lang w:val="en-GB"/>
        </w:rPr>
        <w:t>Security policies based on ISO/IEC 27001:2022</w:t>
      </w:r>
      <w:bookmarkEnd w:id="7"/>
    </w:p>
    <w:p w14:paraId="72206EE7" w14:textId="4D9224C1" w:rsidR="00E35402" w:rsidRDefault="00474887" w:rsidP="00E35402">
      <w:pPr>
        <w:rPr>
          <w:lang w:val="en-GB"/>
        </w:rPr>
      </w:pPr>
      <w:r w:rsidRPr="00474887">
        <w:rPr>
          <w:lang w:val="en-GB"/>
        </w:rPr>
        <w:t>ISO/IEC 27001:2022 provides the requirements for establishing, implementing, maintaining and continually improving SFM’s information security management system. ISO/IEC 27002:2022 provides implementation guidance for the security controls selected through SFM’s risk assessment. The following policies translate these standards into practical rules for the company’s IT and OT environments</w:t>
      </w:r>
      <w:r w:rsidR="00C94CCC" w:rsidRPr="00C94CCC">
        <w:rPr>
          <w:lang w:val="en-GB"/>
        </w:rPr>
        <w:t xml:space="preserve">. </w:t>
      </w:r>
      <w:sdt>
        <w:sdtPr>
          <w:rPr>
            <w:lang w:val="en-GB"/>
          </w:rPr>
          <w:id w:val="320937040"/>
          <w:citation/>
        </w:sdtPr>
        <w:sdtContent>
          <w:r w:rsidR="001A491A">
            <w:rPr>
              <w:lang w:val="en-GB"/>
            </w:rPr>
            <w:fldChar w:fldCharType="begin"/>
          </w:r>
          <w:r w:rsidR="001A491A">
            <w:rPr>
              <w:lang w:val="en-GB"/>
            </w:rPr>
            <w:instrText xml:space="preserve"> CITATION Int22 \l 2057 </w:instrText>
          </w:r>
          <w:r w:rsidR="001A491A">
            <w:rPr>
              <w:lang w:val="en-GB"/>
            </w:rPr>
            <w:fldChar w:fldCharType="separate"/>
          </w:r>
          <w:r w:rsidR="00A20EC0" w:rsidRPr="00A20EC0">
            <w:rPr>
              <w:noProof/>
              <w:lang w:val="en-GB"/>
            </w:rPr>
            <w:t>[5]</w:t>
          </w:r>
          <w:r w:rsidR="001A491A">
            <w:rPr>
              <w:lang w:val="en-GB"/>
            </w:rPr>
            <w:fldChar w:fldCharType="end"/>
          </w:r>
        </w:sdtContent>
      </w:sdt>
      <w:r w:rsidR="001A491A">
        <w:rPr>
          <w:lang w:val="en-GB"/>
        </w:rPr>
        <w:t xml:space="preserve"> </w:t>
      </w:r>
      <w:sdt>
        <w:sdtPr>
          <w:rPr>
            <w:lang w:val="en-GB"/>
          </w:rPr>
          <w:id w:val="511733203"/>
          <w:citation/>
        </w:sdtPr>
        <w:sdtContent>
          <w:r w:rsidR="001A491A">
            <w:rPr>
              <w:lang w:val="en-GB"/>
            </w:rPr>
            <w:fldChar w:fldCharType="begin"/>
          </w:r>
          <w:r w:rsidR="001A491A">
            <w:rPr>
              <w:lang w:val="en-GB"/>
            </w:rPr>
            <w:instrText xml:space="preserve"> CITATION Int221 \l 2057 </w:instrText>
          </w:r>
          <w:r w:rsidR="001A491A">
            <w:rPr>
              <w:lang w:val="en-GB"/>
            </w:rPr>
            <w:fldChar w:fldCharType="separate"/>
          </w:r>
          <w:r w:rsidR="00A20EC0" w:rsidRPr="00A20EC0">
            <w:rPr>
              <w:noProof/>
              <w:lang w:val="en-GB"/>
            </w:rPr>
            <w:t>[6]</w:t>
          </w:r>
          <w:r w:rsidR="001A491A">
            <w:rPr>
              <w:lang w:val="en-GB"/>
            </w:rPr>
            <w:fldChar w:fldCharType="end"/>
          </w:r>
        </w:sdtContent>
      </w:sdt>
      <w:r w:rsidR="00CD5A64" w:rsidRPr="00CD5A64">
        <w:rPr>
          <w:lang w:val="en-GB"/>
        </w:rPr>
        <w:t>.</w:t>
      </w:r>
    </w:p>
    <w:p w14:paraId="614B759F" w14:textId="05A49B2E" w:rsidR="00E35402" w:rsidRPr="00C94CCC" w:rsidRDefault="00E35402" w:rsidP="00E35402">
      <w:pPr>
        <w:pStyle w:val="Heading2"/>
        <w:rPr>
          <w:lang w:val="en-GB"/>
        </w:rPr>
      </w:pPr>
      <w:bookmarkStart w:id="8" w:name="_Toc237432014"/>
      <w:r w:rsidRPr="00E35402">
        <w:rPr>
          <w:lang w:val="en-GB"/>
        </w:rPr>
        <w:t xml:space="preserve">3.1. </w:t>
      </w:r>
      <w:r w:rsidR="00625A36" w:rsidRPr="00625A36">
        <w:rPr>
          <w:lang w:val="en-GB"/>
        </w:rPr>
        <w:t>Access Management and Authentication</w:t>
      </w:r>
      <w:bookmarkEnd w:id="8"/>
    </w:p>
    <w:p w14:paraId="3916EB33" w14:textId="68D0E04D" w:rsidR="00410C95" w:rsidRDefault="00C94CCC" w:rsidP="00A20EC0">
      <w:pPr>
        <w:rPr>
          <w:b/>
          <w:lang w:val="en-GB"/>
        </w:rPr>
      </w:pPr>
      <w:r w:rsidRPr="00C94CCC">
        <w:rPr>
          <w:lang w:val="en-GB"/>
        </w:rPr>
        <w:t xml:space="preserve">Access must follow least privilege and RBAC; shared accounts are prohibited, rights are reviewed quarterly and leavers are revoked immediately (ISO/IEC 27002 controls 5.15, 5.18 and 6.5). Service and emergency accounts require named owners, vaulting and monitored use. MFA is mandatory for privileged, remote and cloud-MES access. SFM should adopt risk-based password rules aligned with NIST SP 800-63B-4: at least 15 characters for single-factor passwords or eight when used with MFA, plus weak-password blocklists, rate limiting and phishing-resistant MFA for critical access </w:t>
      </w:r>
      <w:sdt>
        <w:sdtPr>
          <w:rPr>
            <w:b/>
            <w:lang w:val="en-GB"/>
          </w:rPr>
          <w:id w:val="-1408375934"/>
          <w:citation/>
        </w:sdtPr>
        <w:sdtContent>
          <w:r w:rsidR="00A20EC0" w:rsidRPr="00A20EC0">
            <w:rPr>
              <w:b/>
              <w:lang w:val="en-GB"/>
            </w:rPr>
            <w:fldChar w:fldCharType="begin"/>
          </w:r>
          <w:r w:rsidR="00A20EC0" w:rsidRPr="00A20EC0">
            <w:rPr>
              <w:b/>
              <w:lang w:val="en-GB"/>
            </w:rPr>
            <w:instrText xml:space="preserve"> CITATION Tem25 \l 1049 </w:instrText>
          </w:r>
          <w:r w:rsidR="00A20EC0" w:rsidRPr="00A20EC0">
            <w:rPr>
              <w:b/>
              <w:lang w:val="en-GB"/>
            </w:rPr>
            <w:fldChar w:fldCharType="separate"/>
          </w:r>
          <w:r w:rsidR="00A20EC0" w:rsidRPr="00A20EC0">
            <w:rPr>
              <w:noProof/>
              <w:lang w:val="en-GB"/>
            </w:rPr>
            <w:t>[7]</w:t>
          </w:r>
          <w:r w:rsidR="00A20EC0" w:rsidRPr="00A20EC0">
            <w:rPr>
              <w:b/>
              <w:lang w:val="en-GB"/>
            </w:rPr>
            <w:fldChar w:fldCharType="end"/>
          </w:r>
        </w:sdtContent>
      </w:sdt>
      <w:r w:rsidR="00410C95" w:rsidRPr="00410C95">
        <w:rPr>
          <w:lang w:val="en-GB"/>
        </w:rPr>
        <w:t>.</w:t>
      </w:r>
    </w:p>
    <w:p w14:paraId="694A4DD3" w14:textId="21259020" w:rsidR="00E35402" w:rsidRPr="007E0975" w:rsidRDefault="00E35402" w:rsidP="00E35402">
      <w:pPr>
        <w:pStyle w:val="Heading2"/>
        <w:rPr>
          <w:lang w:val="en-GB"/>
        </w:rPr>
      </w:pPr>
      <w:bookmarkStart w:id="9" w:name="_Toc237432015"/>
      <w:r w:rsidRPr="00E35402">
        <w:rPr>
          <w:lang w:val="en-GB"/>
        </w:rPr>
        <w:t xml:space="preserve">3.2. </w:t>
      </w:r>
      <w:r w:rsidR="00625A36" w:rsidRPr="00625A36">
        <w:rPr>
          <w:lang w:val="en-GB"/>
        </w:rPr>
        <w:t>Network security and network segmentation</w:t>
      </w:r>
      <w:bookmarkEnd w:id="9"/>
    </w:p>
    <w:p w14:paraId="6233C125" w14:textId="04C8CA23" w:rsidR="007E0975" w:rsidRPr="007E0975" w:rsidRDefault="00C94CCC" w:rsidP="00410C95">
      <w:pPr>
        <w:rPr>
          <w:lang w:val="en-GB"/>
        </w:rPr>
      </w:pPr>
      <w:r w:rsidRPr="00C94CCC">
        <w:rPr>
          <w:lang w:val="en-GB"/>
        </w:rPr>
        <w:t xml:space="preserve">IT and OT should be divided into deny-by-default zones and controlled conduits. Approved flows traverse industrial firewalls and a DMZ; PLC/SCADA systems have no direct internet access, while administration uses hardened jump hosts, MFA and logged, time-limited sessions (controls 8.20-8.22). Asset and data-flow discovery, </w:t>
      </w:r>
      <w:r w:rsidRPr="00C94CCC">
        <w:rPr>
          <w:lang w:val="en-GB"/>
        </w:rPr>
        <w:lastRenderedPageBreak/>
        <w:t xml:space="preserve">vendor constraints and production/safety approval must precede changes; </w:t>
      </w:r>
      <w:proofErr w:type="spellStart"/>
      <w:r w:rsidRPr="00C94CCC">
        <w:rPr>
          <w:lang w:val="en-GB"/>
        </w:rPr>
        <w:t>IIoT</w:t>
      </w:r>
      <w:proofErr w:type="spellEnd"/>
      <w:r w:rsidRPr="00C94CCC">
        <w:rPr>
          <w:lang w:val="en-GB"/>
        </w:rPr>
        <w:t xml:space="preserve"> occupies a separate monitored zone. Firewall rules and exceptions are reviewed against documented operational flows.</w:t>
      </w:r>
    </w:p>
    <w:p w14:paraId="691AFA51" w14:textId="5A95E711" w:rsidR="00E35402" w:rsidRPr="007E0975" w:rsidRDefault="00E35402" w:rsidP="00E35402">
      <w:pPr>
        <w:pStyle w:val="Heading2"/>
        <w:rPr>
          <w:lang w:val="en-GB"/>
        </w:rPr>
      </w:pPr>
      <w:bookmarkStart w:id="10" w:name="_Toc237432016"/>
      <w:r w:rsidRPr="00E35402">
        <w:rPr>
          <w:lang w:val="en-GB"/>
        </w:rPr>
        <w:t xml:space="preserve">3.3. </w:t>
      </w:r>
      <w:r w:rsidR="00625A36" w:rsidRPr="00625A36">
        <w:rPr>
          <w:lang w:val="en-GB"/>
        </w:rPr>
        <w:t>Malware protection and data backup</w:t>
      </w:r>
      <w:bookmarkEnd w:id="10"/>
    </w:p>
    <w:p w14:paraId="6B9C8421" w14:textId="5E1229C7" w:rsidR="007E0975" w:rsidRPr="00C94CCC" w:rsidRDefault="00C94CCC" w:rsidP="00410C95">
      <w:pPr>
        <w:rPr>
          <w:lang w:val="en-GB"/>
        </w:rPr>
      </w:pPr>
      <w:r w:rsidRPr="00C94CCC">
        <w:rPr>
          <w:lang w:val="en-GB"/>
        </w:rPr>
        <w:t>Centralised EDR protects supported IT endpoints and servers. Agents on engineering stations or legacy OT require vendor approval and compatibility testing; passive monitoring and allowlisting are used where agents create operational risk. Backups include an immutable or offline copy, separate credentials, MES data, PLC logic, recipes and configurations. Service-specific RPO/RTO values are verified through safe restoration tests, not file-read checks alone</w:t>
      </w:r>
      <w:r w:rsidR="00410C95" w:rsidRPr="00410C95">
        <w:rPr>
          <w:lang w:val="en-GB"/>
        </w:rPr>
        <w:t>.</w:t>
      </w:r>
    </w:p>
    <w:p w14:paraId="41519A26" w14:textId="3216812A" w:rsidR="00E35402" w:rsidRPr="00625A36" w:rsidRDefault="00E35402" w:rsidP="00E35402">
      <w:pPr>
        <w:pStyle w:val="Heading2"/>
        <w:rPr>
          <w:lang w:val="en-GB"/>
        </w:rPr>
      </w:pPr>
      <w:bookmarkStart w:id="11" w:name="_Toc237432017"/>
      <w:r w:rsidRPr="00E35402">
        <w:rPr>
          <w:lang w:val="en-GB"/>
        </w:rPr>
        <w:t xml:space="preserve">3.4. </w:t>
      </w:r>
      <w:r w:rsidR="00625A36" w:rsidRPr="00625A36">
        <w:rPr>
          <w:lang w:val="en-GB"/>
        </w:rPr>
        <w:t>Supply chain and cloud service security</w:t>
      </w:r>
      <w:bookmarkEnd w:id="11"/>
    </w:p>
    <w:p w14:paraId="421F9153" w14:textId="2DBCC7D1" w:rsidR="00E35402" w:rsidRDefault="00C94CCC" w:rsidP="007E0975">
      <w:pPr>
        <w:rPr>
          <w:lang w:val="en-GB"/>
        </w:rPr>
      </w:pPr>
      <w:r w:rsidRPr="00C94CCC">
        <w:rPr>
          <w:lang w:val="en-GB"/>
        </w:rPr>
        <w:t>Suppliers are classified by criticality; contracts set out security requirements, breach notification procedures, audit rights, data location, return and deletion, and the procedure for terminating access. Vendor access is named, MFA-protected, time-limited and monitored. TLS 1.3 is used where supported; for legacy OT systems, TLS 1.2 or a documented compensating control is permitted. Changes to the cloud-based MES undergo a configuration review in accordance with ISO/IEC 27002 control 8.9</w:t>
      </w:r>
      <w:r w:rsidR="00E35402" w:rsidRPr="00E35402">
        <w:rPr>
          <w:lang w:val="en-GB"/>
        </w:rPr>
        <w:t>.</w:t>
      </w:r>
    </w:p>
    <w:p w14:paraId="6BD94E8E" w14:textId="7AD898B3" w:rsidR="00E35402" w:rsidRPr="00E35402" w:rsidRDefault="00E35402" w:rsidP="00E35402">
      <w:pPr>
        <w:pStyle w:val="Heading2"/>
        <w:rPr>
          <w:lang w:val="en-GB"/>
        </w:rPr>
      </w:pPr>
      <w:bookmarkStart w:id="12" w:name="_Toc237432018"/>
      <w:r w:rsidRPr="00E35402">
        <w:rPr>
          <w:lang w:val="en-GB"/>
        </w:rPr>
        <w:t xml:space="preserve">3.5. </w:t>
      </w:r>
      <w:r w:rsidR="00625A36" w:rsidRPr="00625A36">
        <w:rPr>
          <w:lang w:val="en-GB"/>
        </w:rPr>
        <w:t>Classification of information and the use of IT assets</w:t>
      </w:r>
      <w:bookmarkEnd w:id="12"/>
    </w:p>
    <w:p w14:paraId="483DAFB5" w14:textId="5BC8A73C" w:rsidR="00E35402" w:rsidRDefault="00C94CCC" w:rsidP="007E0975">
      <w:pPr>
        <w:rPr>
          <w:lang w:val="en-GB"/>
        </w:rPr>
      </w:pPr>
      <w:r w:rsidRPr="00C94CCC">
        <w:rPr>
          <w:lang w:val="en-GB"/>
        </w:rPr>
        <w:t>Information is classified as public, internal, confidential or trade secret under controls 5.10 and 5.12. Drawings, formulas and export-controlled data receive labels linked to DLP rules. USB/BYOD restrictions are piloted against CAD/</w:t>
      </w:r>
      <w:proofErr w:type="gramStart"/>
      <w:r w:rsidRPr="00C94CCC">
        <w:rPr>
          <w:lang w:val="en-GB"/>
        </w:rPr>
        <w:t>MES</w:t>
      </w:r>
      <w:proofErr w:type="gramEnd"/>
      <w:r w:rsidRPr="00C94CCC">
        <w:rPr>
          <w:lang w:val="en-GB"/>
        </w:rPr>
        <w:t xml:space="preserve"> workflows; removable media must be authorised, scanned on a dedicated station and logged, with OT-owner approval for exceptions</w:t>
      </w:r>
      <w:r w:rsidR="00410C95" w:rsidRPr="00410C95">
        <w:rPr>
          <w:lang w:val="en-GB"/>
        </w:rPr>
        <w:t>.</w:t>
      </w:r>
    </w:p>
    <w:p w14:paraId="069BB3E3" w14:textId="5FAEA5D7" w:rsidR="00410C95" w:rsidRDefault="00410C95" w:rsidP="00410C95">
      <w:pPr>
        <w:pStyle w:val="Heading2"/>
        <w:rPr>
          <w:lang w:val="en-GB"/>
        </w:rPr>
      </w:pPr>
      <w:bookmarkStart w:id="13" w:name="_Toc237432019"/>
      <w:r w:rsidRPr="00E35402">
        <w:rPr>
          <w:lang w:val="en-GB"/>
        </w:rPr>
        <w:t>3.</w:t>
      </w:r>
      <w:r>
        <w:rPr>
          <w:lang w:val="en-GB"/>
        </w:rPr>
        <w:t>6</w:t>
      </w:r>
      <w:r w:rsidRPr="00E35402">
        <w:rPr>
          <w:lang w:val="en-GB"/>
        </w:rPr>
        <w:t xml:space="preserve">. </w:t>
      </w:r>
      <w:r w:rsidRPr="00410C95">
        <w:rPr>
          <w:lang w:val="en-GB"/>
        </w:rPr>
        <w:t>Data management and compliance</w:t>
      </w:r>
      <w:bookmarkEnd w:id="13"/>
    </w:p>
    <w:p w14:paraId="772ED83A" w14:textId="5DD57264" w:rsidR="00410C95" w:rsidRDefault="00C94CCC" w:rsidP="007E0975">
      <w:pPr>
        <w:rPr>
          <w:lang w:val="en-GB"/>
        </w:rPr>
      </w:pPr>
      <w:r w:rsidRPr="00C94CCC">
        <w:rPr>
          <w:lang w:val="en-GB"/>
        </w:rPr>
        <w:t>The Board assigns Data Owners, while IT/OT custodians implement protection. SFM maintains a data and system inventory covering purpose, minimisation, quality, version control, retention and secure disposal. Trade secrets are encrypted in storage and transit, and access is reviewed. Supplier and cloud agreements govern location, sub-processors, return and verified deletion. Retention evidence and deletion confirmation allow owners to demonstrate that policy is operating. Under UK GDPR and the Data Protection Act 2018, the DPO records personal-data breaches and, where required, notifies the ICO within 72 hours and affected individuals when risk is high</w:t>
      </w:r>
      <w:r w:rsidR="00A20EC0" w:rsidRPr="00A20EC0">
        <w:rPr>
          <w:lang w:val="en-GB"/>
        </w:rPr>
        <w:t xml:space="preserve"> </w:t>
      </w:r>
      <w:sdt>
        <w:sdtPr>
          <w:rPr>
            <w:lang w:val="en-GB"/>
          </w:rPr>
          <w:id w:val="640310023"/>
          <w:citation/>
        </w:sdtPr>
        <w:sdtContent>
          <w:r w:rsidR="00A20EC0">
            <w:rPr>
              <w:lang w:val="en-GB"/>
            </w:rPr>
            <w:fldChar w:fldCharType="begin"/>
          </w:r>
          <w:r w:rsidR="00A20EC0" w:rsidRPr="00A20EC0">
            <w:rPr>
              <w:lang w:val="en-GB"/>
            </w:rPr>
            <w:instrText xml:space="preserve"> CITATION GOV26 \l 1049 </w:instrText>
          </w:r>
          <w:r w:rsidR="00A20EC0">
            <w:rPr>
              <w:lang w:val="en-GB"/>
            </w:rPr>
            <w:fldChar w:fldCharType="separate"/>
          </w:r>
          <w:r w:rsidR="00A20EC0" w:rsidRPr="00A20EC0">
            <w:rPr>
              <w:noProof/>
              <w:lang w:val="en-GB"/>
            </w:rPr>
            <w:t>[8]</w:t>
          </w:r>
          <w:r w:rsidR="00A20EC0">
            <w:rPr>
              <w:lang w:val="en-GB"/>
            </w:rPr>
            <w:fldChar w:fldCharType="end"/>
          </w:r>
        </w:sdtContent>
      </w:sdt>
      <w:r w:rsidR="00A20EC0" w:rsidRPr="00A20EC0">
        <w:rPr>
          <w:lang w:val="en-GB"/>
        </w:rPr>
        <w:t xml:space="preserve"> </w:t>
      </w:r>
      <w:sdt>
        <w:sdtPr>
          <w:id w:val="-1405136474"/>
          <w:citation/>
        </w:sdtPr>
        <w:sdtContent>
          <w:r w:rsidR="00A20EC0">
            <w:fldChar w:fldCharType="begin"/>
          </w:r>
          <w:r w:rsidR="00A20EC0">
            <w:rPr>
              <w:lang w:val="en-GB"/>
            </w:rPr>
            <w:instrText xml:space="preserve"> CITATION Inf25 \l 2057 </w:instrText>
          </w:r>
          <w:r w:rsidR="00A20EC0">
            <w:fldChar w:fldCharType="separate"/>
          </w:r>
          <w:r w:rsidR="00A20EC0" w:rsidRPr="00A20EC0">
            <w:rPr>
              <w:noProof/>
              <w:lang w:val="en-GB"/>
            </w:rPr>
            <w:t>[9]</w:t>
          </w:r>
          <w:r w:rsidR="00A20EC0">
            <w:fldChar w:fldCharType="end"/>
          </w:r>
        </w:sdtContent>
      </w:sdt>
      <w:r w:rsidRPr="00C94CCC">
        <w:rPr>
          <w:lang w:val="en-GB"/>
        </w:rPr>
        <w:t>.</w:t>
      </w:r>
    </w:p>
    <w:tbl>
      <w:tblPr>
        <w:tblStyle w:val="TableGrid"/>
        <w:tblpPr w:leftFromText="180" w:rightFromText="180" w:vertAnchor="text" w:horzAnchor="margin" w:tblpY="18"/>
        <w:tblW w:w="0" w:type="auto"/>
        <w:tblLook w:val="04A0" w:firstRow="1" w:lastRow="0" w:firstColumn="1" w:lastColumn="0" w:noHBand="0" w:noVBand="1"/>
      </w:tblPr>
      <w:tblGrid>
        <w:gridCol w:w="2254"/>
        <w:gridCol w:w="2254"/>
        <w:gridCol w:w="2254"/>
        <w:gridCol w:w="2254"/>
      </w:tblGrid>
      <w:tr w:rsidR="00410C95" w14:paraId="1BB57BF7" w14:textId="77777777" w:rsidTr="00410C95">
        <w:tc>
          <w:tcPr>
            <w:tcW w:w="2254" w:type="dxa"/>
          </w:tcPr>
          <w:p w14:paraId="74A4B15C" w14:textId="77777777" w:rsidR="00410C95" w:rsidRDefault="00410C95" w:rsidP="00410C95">
            <w:pPr>
              <w:pStyle w:val="NormalWeb"/>
              <w:rPr>
                <w:color w:val="000000"/>
              </w:rPr>
            </w:pPr>
            <w:proofErr w:type="spellStart"/>
            <w:r>
              <w:rPr>
                <w:color w:val="000000"/>
              </w:rPr>
              <w:t>Measure</w:t>
            </w:r>
            <w:proofErr w:type="spellEnd"/>
          </w:p>
          <w:p w14:paraId="6D35192B" w14:textId="77777777" w:rsidR="00410C95" w:rsidRDefault="00410C95" w:rsidP="00410C95">
            <w:pPr>
              <w:rPr>
                <w:lang w:val="en-GB"/>
              </w:rPr>
            </w:pPr>
          </w:p>
        </w:tc>
        <w:tc>
          <w:tcPr>
            <w:tcW w:w="2254" w:type="dxa"/>
          </w:tcPr>
          <w:p w14:paraId="2913857A" w14:textId="77777777" w:rsidR="00410C95" w:rsidRDefault="00410C95" w:rsidP="00410C95">
            <w:pPr>
              <w:rPr>
                <w:lang w:val="en-GB"/>
              </w:rPr>
            </w:pPr>
            <w:proofErr w:type="spellStart"/>
            <w:r w:rsidRPr="00410C95">
              <w:t>Owner</w:t>
            </w:r>
            <w:proofErr w:type="spellEnd"/>
            <w:r w:rsidRPr="00410C95">
              <w:t xml:space="preserve"> </w:t>
            </w:r>
            <w:proofErr w:type="spellStart"/>
            <w:r w:rsidRPr="00410C95">
              <w:t>and</w:t>
            </w:r>
            <w:proofErr w:type="spellEnd"/>
            <w:r w:rsidRPr="00410C95">
              <w:t xml:space="preserve"> </w:t>
            </w:r>
            <w:proofErr w:type="spellStart"/>
            <w:r w:rsidRPr="00410C95">
              <w:t>term</w:t>
            </w:r>
            <w:proofErr w:type="spellEnd"/>
          </w:p>
        </w:tc>
        <w:tc>
          <w:tcPr>
            <w:tcW w:w="2254" w:type="dxa"/>
          </w:tcPr>
          <w:p w14:paraId="6CF460B9" w14:textId="77777777" w:rsidR="00410C95" w:rsidRDefault="00410C95" w:rsidP="00410C95">
            <w:pPr>
              <w:rPr>
                <w:lang w:val="en-GB"/>
              </w:rPr>
            </w:pPr>
            <w:proofErr w:type="spellStart"/>
            <w:r w:rsidRPr="00410C95">
              <w:t>Dependency</w:t>
            </w:r>
            <w:proofErr w:type="spellEnd"/>
            <w:r w:rsidRPr="00410C95">
              <w:t xml:space="preserve"> / </w:t>
            </w:r>
            <w:proofErr w:type="spellStart"/>
            <w:r w:rsidRPr="00410C95">
              <w:t>cost</w:t>
            </w:r>
            <w:proofErr w:type="spellEnd"/>
          </w:p>
        </w:tc>
        <w:tc>
          <w:tcPr>
            <w:tcW w:w="2254" w:type="dxa"/>
          </w:tcPr>
          <w:p w14:paraId="762F9D61" w14:textId="77777777" w:rsidR="00410C95" w:rsidRDefault="00410C95" w:rsidP="00410C95">
            <w:pPr>
              <w:rPr>
                <w:lang w:val="en-GB"/>
              </w:rPr>
            </w:pPr>
            <w:proofErr w:type="spellStart"/>
            <w:r w:rsidRPr="00410C95">
              <w:t>Checking</w:t>
            </w:r>
            <w:proofErr w:type="spellEnd"/>
            <w:r w:rsidRPr="00410C95">
              <w:t xml:space="preserve"> </w:t>
            </w:r>
            <w:proofErr w:type="spellStart"/>
            <w:r w:rsidRPr="00410C95">
              <w:t>the</w:t>
            </w:r>
            <w:proofErr w:type="spellEnd"/>
            <w:r w:rsidRPr="00410C95">
              <w:t xml:space="preserve"> </w:t>
            </w:r>
            <w:proofErr w:type="spellStart"/>
            <w:r w:rsidRPr="00410C95">
              <w:t>result</w:t>
            </w:r>
            <w:proofErr w:type="spellEnd"/>
          </w:p>
        </w:tc>
      </w:tr>
      <w:tr w:rsidR="00410C95" w14:paraId="4497F30E" w14:textId="77777777" w:rsidTr="00410C95">
        <w:tc>
          <w:tcPr>
            <w:tcW w:w="2254" w:type="dxa"/>
          </w:tcPr>
          <w:p w14:paraId="1C617199" w14:textId="5E73C781" w:rsidR="00410C95" w:rsidRDefault="00410C95" w:rsidP="00410C95">
            <w:pPr>
              <w:rPr>
                <w:lang w:val="en-GB"/>
              </w:rPr>
            </w:pPr>
            <w:r w:rsidRPr="006C0BDE">
              <w:t xml:space="preserve">MFA </w:t>
            </w:r>
            <w:r w:rsidR="00474887">
              <w:rPr>
                <w:lang w:val="en-GB"/>
              </w:rPr>
              <w:t>and</w:t>
            </w:r>
            <w:r w:rsidRPr="006C0BDE">
              <w:t xml:space="preserve"> </w:t>
            </w:r>
            <w:proofErr w:type="spellStart"/>
            <w:r w:rsidRPr="006C0BDE">
              <w:t>privileged</w:t>
            </w:r>
            <w:proofErr w:type="spellEnd"/>
            <w:r w:rsidRPr="006C0BDE">
              <w:t xml:space="preserve"> </w:t>
            </w:r>
            <w:proofErr w:type="spellStart"/>
            <w:r w:rsidRPr="006C0BDE">
              <w:t>access</w:t>
            </w:r>
            <w:proofErr w:type="spellEnd"/>
          </w:p>
        </w:tc>
        <w:tc>
          <w:tcPr>
            <w:tcW w:w="2254" w:type="dxa"/>
          </w:tcPr>
          <w:p w14:paraId="614FBD44" w14:textId="77777777" w:rsidR="00410C95" w:rsidRPr="00410C95" w:rsidRDefault="00410C95" w:rsidP="00410C95">
            <w:pPr>
              <w:rPr>
                <w:lang w:val="en-GB"/>
              </w:rPr>
            </w:pPr>
            <w:r w:rsidRPr="006C0BDE">
              <w:t xml:space="preserve">IT Security Manager; 0–3 </w:t>
            </w:r>
            <w:r>
              <w:rPr>
                <w:lang w:val="en-GB"/>
              </w:rPr>
              <w:t>month</w:t>
            </w:r>
          </w:p>
        </w:tc>
        <w:tc>
          <w:tcPr>
            <w:tcW w:w="2254" w:type="dxa"/>
          </w:tcPr>
          <w:p w14:paraId="4B1CCCDE" w14:textId="77777777" w:rsidR="00410C95" w:rsidRPr="00410C95" w:rsidRDefault="00410C95" w:rsidP="00410C95">
            <w:pPr>
              <w:rPr>
                <w:lang w:val="en-GB"/>
              </w:rPr>
            </w:pPr>
            <w:proofErr w:type="spellStart"/>
            <w:r w:rsidRPr="006C0BDE">
              <w:t>Identity</w:t>
            </w:r>
            <w:proofErr w:type="spellEnd"/>
            <w:r w:rsidRPr="006C0BDE">
              <w:t xml:space="preserve"> </w:t>
            </w:r>
            <w:proofErr w:type="spellStart"/>
            <w:r w:rsidRPr="006C0BDE">
              <w:t>inventory</w:t>
            </w:r>
            <w:proofErr w:type="spellEnd"/>
            <w:r w:rsidRPr="006C0BDE">
              <w:t xml:space="preserve">; </w:t>
            </w:r>
            <w:r>
              <w:rPr>
                <w:lang w:val="en-GB"/>
              </w:rPr>
              <w:t>low</w:t>
            </w:r>
            <w:r w:rsidRPr="006C0BDE">
              <w:t>–</w:t>
            </w:r>
            <w:r>
              <w:rPr>
                <w:lang w:val="en-GB"/>
              </w:rPr>
              <w:t>mid</w:t>
            </w:r>
          </w:p>
        </w:tc>
        <w:tc>
          <w:tcPr>
            <w:tcW w:w="2254" w:type="dxa"/>
          </w:tcPr>
          <w:p w14:paraId="2AEC4175" w14:textId="77777777" w:rsidR="00410C95" w:rsidRPr="00410C95" w:rsidRDefault="00410C95" w:rsidP="00410C95">
            <w:pPr>
              <w:rPr>
                <w:lang w:val="en-GB"/>
              </w:rPr>
            </w:pPr>
            <w:r w:rsidRPr="00410C95">
              <w:rPr>
                <w:lang w:val="en-GB"/>
              </w:rPr>
              <w:t>100% of critical accounts; quarterly review</w:t>
            </w:r>
          </w:p>
        </w:tc>
      </w:tr>
      <w:tr w:rsidR="00410C95" w14:paraId="01E51CD2" w14:textId="77777777" w:rsidTr="00410C95">
        <w:tc>
          <w:tcPr>
            <w:tcW w:w="2254" w:type="dxa"/>
          </w:tcPr>
          <w:p w14:paraId="145439DA" w14:textId="77777777" w:rsidR="00410C95" w:rsidRDefault="00410C95" w:rsidP="00410C95">
            <w:pPr>
              <w:rPr>
                <w:lang w:val="en-GB"/>
              </w:rPr>
            </w:pPr>
            <w:r w:rsidRPr="00410C95">
              <w:rPr>
                <w:lang w:val="en-GB"/>
              </w:rPr>
              <w:lastRenderedPageBreak/>
              <w:t>IT/OT zones and conduits</w:t>
            </w:r>
          </w:p>
        </w:tc>
        <w:tc>
          <w:tcPr>
            <w:tcW w:w="2254" w:type="dxa"/>
          </w:tcPr>
          <w:p w14:paraId="7E3C2AE5" w14:textId="77777777" w:rsidR="00410C95" w:rsidRDefault="00410C95" w:rsidP="00410C95">
            <w:pPr>
              <w:rPr>
                <w:lang w:val="en-GB"/>
              </w:rPr>
            </w:pPr>
            <w:r w:rsidRPr="00410C95">
              <w:rPr>
                <w:lang w:val="en-GB"/>
              </w:rPr>
              <w:t xml:space="preserve">OT Manager + Network Lead; 0–6 </w:t>
            </w:r>
            <w:r>
              <w:rPr>
                <w:lang w:val="en-GB"/>
              </w:rPr>
              <w:t>month</w:t>
            </w:r>
          </w:p>
        </w:tc>
        <w:tc>
          <w:tcPr>
            <w:tcW w:w="2254" w:type="dxa"/>
          </w:tcPr>
          <w:p w14:paraId="65469710" w14:textId="77777777" w:rsidR="00410C95" w:rsidRPr="00410C95" w:rsidRDefault="00410C95" w:rsidP="00410C95">
            <w:pPr>
              <w:rPr>
                <w:lang w:val="en-GB"/>
              </w:rPr>
            </w:pPr>
            <w:r w:rsidRPr="00410C95">
              <w:rPr>
                <w:lang w:val="en-GB"/>
              </w:rPr>
              <w:t xml:space="preserve">Asset/data-flow discovery; </w:t>
            </w:r>
            <w:r>
              <w:rPr>
                <w:lang w:val="en-GB"/>
              </w:rPr>
              <w:t>mid</w:t>
            </w:r>
            <w:r w:rsidRPr="00410C95">
              <w:rPr>
                <w:lang w:val="en-GB"/>
              </w:rPr>
              <w:t>–</w:t>
            </w:r>
            <w:r>
              <w:rPr>
                <w:lang w:val="en-GB"/>
              </w:rPr>
              <w:t>high</w:t>
            </w:r>
          </w:p>
        </w:tc>
        <w:tc>
          <w:tcPr>
            <w:tcW w:w="2254" w:type="dxa"/>
          </w:tcPr>
          <w:p w14:paraId="601E3506" w14:textId="77777777" w:rsidR="00410C95" w:rsidRPr="00410C95" w:rsidRDefault="00410C95" w:rsidP="00410C95">
            <w:pPr>
              <w:rPr>
                <w:lang w:val="en-GB"/>
              </w:rPr>
            </w:pPr>
            <w:r w:rsidRPr="00410C95">
              <w:rPr>
                <w:lang w:val="en-GB"/>
              </w:rPr>
              <w:t>No direct internet-to-PLC connection; tested allowlists</w:t>
            </w:r>
          </w:p>
        </w:tc>
      </w:tr>
      <w:tr w:rsidR="00410C95" w14:paraId="6C27855B" w14:textId="77777777" w:rsidTr="00410C95">
        <w:tc>
          <w:tcPr>
            <w:tcW w:w="2254" w:type="dxa"/>
          </w:tcPr>
          <w:p w14:paraId="4D8F5E82" w14:textId="4ACC2094" w:rsidR="00410C95" w:rsidRDefault="00410C95" w:rsidP="00410C95">
            <w:pPr>
              <w:rPr>
                <w:lang w:val="en-GB"/>
              </w:rPr>
            </w:pPr>
            <w:proofErr w:type="spellStart"/>
            <w:r w:rsidRPr="006C0BDE">
              <w:t>Immutable</w:t>
            </w:r>
            <w:proofErr w:type="spellEnd"/>
            <w:r w:rsidRPr="006C0BDE">
              <w:t xml:space="preserve"> </w:t>
            </w:r>
            <w:proofErr w:type="spellStart"/>
            <w:r w:rsidRPr="006C0BDE">
              <w:t>backup</w:t>
            </w:r>
            <w:proofErr w:type="spellEnd"/>
            <w:r w:rsidRPr="006C0BDE">
              <w:t xml:space="preserve"> </w:t>
            </w:r>
            <w:r w:rsidR="00474887">
              <w:rPr>
                <w:lang w:val="en-GB"/>
              </w:rPr>
              <w:t>and</w:t>
            </w:r>
            <w:r w:rsidRPr="006C0BDE">
              <w:t xml:space="preserve"> </w:t>
            </w:r>
            <w:proofErr w:type="spellStart"/>
            <w:r w:rsidRPr="006C0BDE">
              <w:t>recovery</w:t>
            </w:r>
            <w:proofErr w:type="spellEnd"/>
          </w:p>
        </w:tc>
        <w:tc>
          <w:tcPr>
            <w:tcW w:w="2254" w:type="dxa"/>
          </w:tcPr>
          <w:p w14:paraId="1029803E" w14:textId="77777777" w:rsidR="00410C95" w:rsidRPr="00410C95" w:rsidRDefault="00410C95" w:rsidP="00410C95">
            <w:pPr>
              <w:rPr>
                <w:lang w:val="en-GB"/>
              </w:rPr>
            </w:pPr>
            <w:r w:rsidRPr="006C0BDE">
              <w:t xml:space="preserve">Infrastructure + OT </w:t>
            </w:r>
            <w:proofErr w:type="spellStart"/>
            <w:r w:rsidRPr="006C0BDE">
              <w:t>owners</w:t>
            </w:r>
            <w:proofErr w:type="spellEnd"/>
            <w:r w:rsidRPr="006C0BDE">
              <w:t>; 0–3</w:t>
            </w:r>
            <w:r>
              <w:rPr>
                <w:lang w:val="en-GB"/>
              </w:rPr>
              <w:t xml:space="preserve"> month</w:t>
            </w:r>
          </w:p>
        </w:tc>
        <w:tc>
          <w:tcPr>
            <w:tcW w:w="2254" w:type="dxa"/>
          </w:tcPr>
          <w:p w14:paraId="23297AEE" w14:textId="10D296CE" w:rsidR="00410C95" w:rsidRPr="00410C95" w:rsidRDefault="00410C95" w:rsidP="00410C95">
            <w:pPr>
              <w:rPr>
                <w:lang w:val="en-GB"/>
              </w:rPr>
            </w:pPr>
            <w:r w:rsidRPr="00410C95">
              <w:rPr>
                <w:lang w:val="en-GB"/>
              </w:rPr>
              <w:t xml:space="preserve">Storage </w:t>
            </w:r>
            <w:r w:rsidR="00474887">
              <w:rPr>
                <w:lang w:val="en-GB"/>
              </w:rPr>
              <w:t>and</w:t>
            </w:r>
            <w:r w:rsidRPr="00410C95">
              <w:rPr>
                <w:lang w:val="en-GB"/>
              </w:rPr>
              <w:t xml:space="preserve"> recovery environment; </w:t>
            </w:r>
            <w:r>
              <w:rPr>
                <w:lang w:val="en-GB"/>
              </w:rPr>
              <w:t>medium</w:t>
            </w:r>
          </w:p>
        </w:tc>
        <w:tc>
          <w:tcPr>
            <w:tcW w:w="2254" w:type="dxa"/>
          </w:tcPr>
          <w:p w14:paraId="095DBCFA" w14:textId="77777777" w:rsidR="00410C95" w:rsidRDefault="00410C95" w:rsidP="00410C95">
            <w:pPr>
              <w:rPr>
                <w:lang w:val="en-GB"/>
              </w:rPr>
            </w:pPr>
            <w:r w:rsidRPr="00410C95">
              <w:rPr>
                <w:lang w:val="en-GB"/>
              </w:rPr>
              <w:t>RPO/RTO met during the restore exercise</w:t>
            </w:r>
          </w:p>
        </w:tc>
      </w:tr>
      <w:tr w:rsidR="00410C95" w14:paraId="080321D7" w14:textId="77777777" w:rsidTr="00410C95">
        <w:tc>
          <w:tcPr>
            <w:tcW w:w="2254" w:type="dxa"/>
          </w:tcPr>
          <w:p w14:paraId="4333D949" w14:textId="77777777" w:rsidR="00410C95" w:rsidRDefault="00410C95" w:rsidP="00410C95">
            <w:pPr>
              <w:rPr>
                <w:lang w:val="en-GB"/>
              </w:rPr>
            </w:pPr>
            <w:r w:rsidRPr="006C0BDE">
              <w:t xml:space="preserve">SIEM + </w:t>
            </w:r>
            <w:proofErr w:type="spellStart"/>
            <w:r w:rsidRPr="006C0BDE">
              <w:t>passive</w:t>
            </w:r>
            <w:proofErr w:type="spellEnd"/>
            <w:r w:rsidRPr="006C0BDE">
              <w:t xml:space="preserve"> OT </w:t>
            </w:r>
            <w:proofErr w:type="spellStart"/>
            <w:r w:rsidRPr="006C0BDE">
              <w:t>monitoring</w:t>
            </w:r>
            <w:proofErr w:type="spellEnd"/>
          </w:p>
        </w:tc>
        <w:tc>
          <w:tcPr>
            <w:tcW w:w="2254" w:type="dxa"/>
          </w:tcPr>
          <w:p w14:paraId="3723AEA5" w14:textId="77777777" w:rsidR="00410C95" w:rsidRDefault="00410C95" w:rsidP="00410C95">
            <w:pPr>
              <w:rPr>
                <w:lang w:val="en-GB"/>
              </w:rPr>
            </w:pPr>
            <w:r w:rsidRPr="006C0BDE">
              <w:t xml:space="preserve">SOC/IT Security; 3–9 </w:t>
            </w:r>
            <w:r>
              <w:rPr>
                <w:lang w:val="en-GB"/>
              </w:rPr>
              <w:t>month</w:t>
            </w:r>
          </w:p>
        </w:tc>
        <w:tc>
          <w:tcPr>
            <w:tcW w:w="2254" w:type="dxa"/>
          </w:tcPr>
          <w:p w14:paraId="6EEFC3B5" w14:textId="77777777" w:rsidR="00410C95" w:rsidRDefault="00410C95" w:rsidP="00410C95">
            <w:pPr>
              <w:rPr>
                <w:lang w:val="en-GB"/>
              </w:rPr>
            </w:pPr>
            <w:r w:rsidRPr="00410C95">
              <w:rPr>
                <w:lang w:val="en-GB"/>
              </w:rPr>
              <w:t xml:space="preserve">Log onboarding, use cases; </w:t>
            </w:r>
            <w:r>
              <w:rPr>
                <w:lang w:val="en-GB"/>
              </w:rPr>
              <w:t>mid-high</w:t>
            </w:r>
          </w:p>
        </w:tc>
        <w:tc>
          <w:tcPr>
            <w:tcW w:w="2254" w:type="dxa"/>
          </w:tcPr>
          <w:p w14:paraId="7F33F9CD" w14:textId="0F82E64F" w:rsidR="00410C95" w:rsidRDefault="00410C95" w:rsidP="00410C95">
            <w:pPr>
              <w:rPr>
                <w:lang w:val="en-GB"/>
              </w:rPr>
            </w:pPr>
            <w:r w:rsidRPr="00410C95">
              <w:rPr>
                <w:lang w:val="en-GB"/>
              </w:rPr>
              <w:t xml:space="preserve">Coverage critical assets; alert SLA </w:t>
            </w:r>
            <w:r w:rsidR="00474887">
              <w:rPr>
                <w:lang w:val="en-GB"/>
              </w:rPr>
              <w:t>and</w:t>
            </w:r>
            <w:r w:rsidRPr="00410C95">
              <w:rPr>
                <w:lang w:val="en-GB"/>
              </w:rPr>
              <w:t xml:space="preserve"> false-positive trend</w:t>
            </w:r>
          </w:p>
        </w:tc>
      </w:tr>
      <w:tr w:rsidR="00410C95" w14:paraId="6DF1D650" w14:textId="77777777" w:rsidTr="00410C95">
        <w:tc>
          <w:tcPr>
            <w:tcW w:w="2254" w:type="dxa"/>
          </w:tcPr>
          <w:p w14:paraId="7B35EC06" w14:textId="77777777" w:rsidR="00410C95" w:rsidRDefault="00410C95" w:rsidP="00410C95">
            <w:pPr>
              <w:rPr>
                <w:lang w:val="en-GB"/>
              </w:rPr>
            </w:pPr>
            <w:r w:rsidRPr="006C0BDE">
              <w:t xml:space="preserve">Data </w:t>
            </w:r>
            <w:proofErr w:type="spellStart"/>
            <w:r w:rsidRPr="006C0BDE">
              <w:t>governance</w:t>
            </w:r>
            <w:proofErr w:type="spellEnd"/>
            <w:r w:rsidRPr="006C0BDE">
              <w:t>/DLP</w:t>
            </w:r>
          </w:p>
        </w:tc>
        <w:tc>
          <w:tcPr>
            <w:tcW w:w="2254" w:type="dxa"/>
          </w:tcPr>
          <w:p w14:paraId="5EACA7DA" w14:textId="77777777" w:rsidR="00410C95" w:rsidRDefault="00410C95" w:rsidP="00410C95">
            <w:pPr>
              <w:rPr>
                <w:lang w:val="en-GB"/>
              </w:rPr>
            </w:pPr>
            <w:r w:rsidRPr="006C0BDE">
              <w:t xml:space="preserve">DPO/Data </w:t>
            </w:r>
            <w:proofErr w:type="spellStart"/>
            <w:r w:rsidRPr="006C0BDE">
              <w:t>Owners</w:t>
            </w:r>
            <w:proofErr w:type="spellEnd"/>
            <w:r w:rsidRPr="006C0BDE">
              <w:t xml:space="preserve">; 3–9 </w:t>
            </w:r>
            <w:r>
              <w:rPr>
                <w:lang w:val="en-GB"/>
              </w:rPr>
              <w:t>month</w:t>
            </w:r>
          </w:p>
        </w:tc>
        <w:tc>
          <w:tcPr>
            <w:tcW w:w="2254" w:type="dxa"/>
          </w:tcPr>
          <w:p w14:paraId="20B031D6" w14:textId="73D79DEA" w:rsidR="00410C95" w:rsidRPr="00410C95" w:rsidRDefault="00410C95" w:rsidP="00410C95">
            <w:pPr>
              <w:rPr>
                <w:lang w:val="en-GB"/>
              </w:rPr>
            </w:pPr>
            <w:r w:rsidRPr="00410C95">
              <w:rPr>
                <w:lang w:val="en-GB"/>
              </w:rPr>
              <w:t xml:space="preserve">Inventory </w:t>
            </w:r>
            <w:r w:rsidR="00474887">
              <w:rPr>
                <w:lang w:val="en-GB"/>
              </w:rPr>
              <w:t xml:space="preserve">and </w:t>
            </w:r>
            <w:r w:rsidRPr="00410C95">
              <w:rPr>
                <w:lang w:val="en-GB"/>
              </w:rPr>
              <w:t xml:space="preserve">CAD/MES pilot; </w:t>
            </w:r>
            <w:r>
              <w:rPr>
                <w:lang w:val="en-GB"/>
              </w:rPr>
              <w:t>medium</w:t>
            </w:r>
          </w:p>
        </w:tc>
        <w:tc>
          <w:tcPr>
            <w:tcW w:w="2254" w:type="dxa"/>
          </w:tcPr>
          <w:p w14:paraId="227497D7" w14:textId="77777777" w:rsidR="00410C95" w:rsidRDefault="00410C95" w:rsidP="00410C95">
            <w:pPr>
              <w:rPr>
                <w:lang w:val="en-GB"/>
              </w:rPr>
            </w:pPr>
            <w:r w:rsidRPr="00410C95">
              <w:rPr>
                <w:lang w:val="en-GB"/>
              </w:rPr>
              <w:t>Retention, access reviews, confirmed deletion</w:t>
            </w:r>
          </w:p>
        </w:tc>
      </w:tr>
      <w:tr w:rsidR="00410C95" w14:paraId="54758530" w14:textId="77777777" w:rsidTr="00410C95">
        <w:tc>
          <w:tcPr>
            <w:tcW w:w="2254" w:type="dxa"/>
          </w:tcPr>
          <w:p w14:paraId="71B7B8A4" w14:textId="77777777" w:rsidR="00410C95" w:rsidRDefault="00410C95" w:rsidP="00410C95">
            <w:pPr>
              <w:rPr>
                <w:lang w:val="en-GB"/>
              </w:rPr>
            </w:pPr>
            <w:proofErr w:type="spellStart"/>
            <w:r w:rsidRPr="006C0BDE">
              <w:t>Role-based</w:t>
            </w:r>
            <w:proofErr w:type="spellEnd"/>
            <w:r w:rsidRPr="006C0BDE">
              <w:t xml:space="preserve"> </w:t>
            </w:r>
            <w:proofErr w:type="spellStart"/>
            <w:r w:rsidRPr="006C0BDE">
              <w:t>training</w:t>
            </w:r>
            <w:proofErr w:type="spellEnd"/>
          </w:p>
        </w:tc>
        <w:tc>
          <w:tcPr>
            <w:tcW w:w="2254" w:type="dxa"/>
          </w:tcPr>
          <w:p w14:paraId="303355E7" w14:textId="77777777" w:rsidR="00410C95" w:rsidRDefault="00410C95" w:rsidP="00410C95">
            <w:pPr>
              <w:rPr>
                <w:lang w:val="en-GB"/>
              </w:rPr>
            </w:pPr>
            <w:r w:rsidRPr="006C0BDE">
              <w:t xml:space="preserve">IT Security + HR; </w:t>
            </w:r>
            <w:proofErr w:type="spellStart"/>
            <w:r w:rsidRPr="006C0BDE">
              <w:t>ongoing</w:t>
            </w:r>
            <w:proofErr w:type="spellEnd"/>
          </w:p>
        </w:tc>
        <w:tc>
          <w:tcPr>
            <w:tcW w:w="2254" w:type="dxa"/>
          </w:tcPr>
          <w:p w14:paraId="3C734F2B" w14:textId="66668779" w:rsidR="00410C95" w:rsidRPr="00410C95" w:rsidRDefault="00410C95" w:rsidP="00410C95">
            <w:pPr>
              <w:rPr>
                <w:lang w:val="en-GB"/>
              </w:rPr>
            </w:pPr>
            <w:r w:rsidRPr="00410C95">
              <w:rPr>
                <w:lang w:val="en-GB"/>
              </w:rPr>
              <w:t xml:space="preserve">LMS </w:t>
            </w:r>
            <w:r w:rsidR="00474887">
              <w:rPr>
                <w:lang w:val="en-GB"/>
              </w:rPr>
              <w:t>and</w:t>
            </w:r>
            <w:r w:rsidRPr="00410C95">
              <w:rPr>
                <w:lang w:val="en-GB"/>
              </w:rPr>
              <w:t xml:space="preserve"> simulation platform; </w:t>
            </w:r>
            <w:r>
              <w:rPr>
                <w:lang w:val="en-GB"/>
              </w:rPr>
              <w:t>low</w:t>
            </w:r>
          </w:p>
        </w:tc>
        <w:tc>
          <w:tcPr>
            <w:tcW w:w="2254" w:type="dxa"/>
          </w:tcPr>
          <w:p w14:paraId="2EB0ECB4" w14:textId="77777777" w:rsidR="00410C95" w:rsidRDefault="00410C95" w:rsidP="00410C95">
            <w:pPr>
              <w:rPr>
                <w:lang w:val="en-GB"/>
              </w:rPr>
            </w:pPr>
            <w:r w:rsidRPr="006C0BDE">
              <w:t xml:space="preserve">&gt;95% </w:t>
            </w:r>
            <w:proofErr w:type="spellStart"/>
            <w:r w:rsidRPr="006C0BDE">
              <w:t>completion</w:t>
            </w:r>
            <w:proofErr w:type="spellEnd"/>
            <w:r w:rsidRPr="006C0BDE">
              <w:t xml:space="preserve">, &lt;5% </w:t>
            </w:r>
            <w:proofErr w:type="spellStart"/>
            <w:r w:rsidRPr="006C0BDE">
              <w:t>clicks</w:t>
            </w:r>
            <w:proofErr w:type="spellEnd"/>
            <w:r w:rsidRPr="006C0BDE">
              <w:t xml:space="preserve">, &lt;15 </w:t>
            </w:r>
            <w:proofErr w:type="spellStart"/>
            <w:r w:rsidRPr="006C0BDE">
              <w:t>min</w:t>
            </w:r>
            <w:proofErr w:type="spellEnd"/>
            <w:r w:rsidRPr="006C0BDE">
              <w:t xml:space="preserve"> </w:t>
            </w:r>
            <w:proofErr w:type="spellStart"/>
            <w:r w:rsidRPr="006C0BDE">
              <w:t>reporting</w:t>
            </w:r>
            <w:proofErr w:type="spellEnd"/>
          </w:p>
        </w:tc>
      </w:tr>
    </w:tbl>
    <w:p w14:paraId="6229B2D4" w14:textId="604E909A" w:rsidR="00410C95" w:rsidRDefault="00410C95" w:rsidP="00410C95">
      <w:pPr>
        <w:pStyle w:val="Caption"/>
        <w:keepNext/>
        <w:rPr>
          <w:lang w:val="en-GB"/>
        </w:rPr>
      </w:pPr>
      <w:proofErr w:type="spellStart"/>
      <w:r>
        <w:t>Table</w:t>
      </w:r>
      <w:proofErr w:type="spellEnd"/>
      <w:r>
        <w:t xml:space="preserve"> </w:t>
      </w:r>
      <w:r>
        <w:fldChar w:fldCharType="begin"/>
      </w:r>
      <w:r>
        <w:instrText xml:space="preserve"> SEQ Table \* ARABIC </w:instrText>
      </w:r>
      <w:r>
        <w:fldChar w:fldCharType="separate"/>
      </w:r>
      <w:r>
        <w:rPr>
          <w:noProof/>
        </w:rPr>
        <w:t>2</w:t>
      </w:r>
      <w:r>
        <w:fldChar w:fldCharType="end"/>
      </w:r>
      <w:r>
        <w:rPr>
          <w:lang w:val="en-GB"/>
        </w:rPr>
        <w:t xml:space="preserve">: </w:t>
      </w:r>
      <w:r w:rsidRPr="00A65DCD">
        <w:rPr>
          <w:lang w:val="en-GB"/>
        </w:rPr>
        <w:t>implementation plan</w:t>
      </w:r>
    </w:p>
    <w:p w14:paraId="028D2AA1" w14:textId="019E34B5" w:rsidR="00C94CCC" w:rsidRPr="00C94CCC" w:rsidRDefault="00C94CCC" w:rsidP="00C94CCC">
      <w:pPr>
        <w:rPr>
          <w:lang w:val="en-GB"/>
        </w:rPr>
      </w:pPr>
      <w:r w:rsidRPr="00C94CCC">
        <w:rPr>
          <w:lang w:val="en-GB"/>
        </w:rPr>
        <w:t>The implementation matrix gives early priority to identity controls and recoverability, then adds architectural separation, detection and sustained governance. Cost bands are indicative because final expenditure depends on asset discovery, vendor constraints and existing licences. Each owner must validate dependencies before approval and report the stated success measure at the end of the phase. Where a target is missed, the owner records residual risk, corrective action and a revised deadline for Board review</w:t>
      </w:r>
      <w:r>
        <w:rPr>
          <w:lang w:val="en-GB"/>
        </w:rPr>
        <w:t>.</w:t>
      </w:r>
    </w:p>
    <w:p w14:paraId="55699987" w14:textId="77777777" w:rsidR="00410C95" w:rsidRPr="00E35402" w:rsidRDefault="00410C95" w:rsidP="007E0975">
      <w:pPr>
        <w:rPr>
          <w:lang w:val="en-GB"/>
        </w:rPr>
      </w:pPr>
    </w:p>
    <w:p w14:paraId="79F7A678" w14:textId="55DDEAE7" w:rsidR="00E35402" w:rsidRPr="00F3304A" w:rsidRDefault="00625A36" w:rsidP="00E35402">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14" w:name="_Toc237432020"/>
      <w:r w:rsidRPr="00625A36">
        <w:rPr>
          <w:rFonts w:ascii="Times New Roman" w:hAnsi="Times New Roman" w:cs="Times New Roman"/>
          <w:b/>
          <w:bCs/>
          <w:color w:val="000000" w:themeColor="text1"/>
          <w:sz w:val="32"/>
          <w:szCs w:val="32"/>
          <w:lang w:val="en-GB"/>
        </w:rPr>
        <w:t>Monitoring network activity and responding to incidents</w:t>
      </w:r>
      <w:bookmarkEnd w:id="14"/>
    </w:p>
    <w:p w14:paraId="370B586D" w14:textId="2203535F" w:rsidR="00C94CCC" w:rsidRPr="00C94CCC" w:rsidRDefault="00C94CCC" w:rsidP="00C94CCC">
      <w:pPr>
        <w:rPr>
          <w:lang w:val="en-GB"/>
        </w:rPr>
      </w:pPr>
      <w:r w:rsidRPr="00C94CCC">
        <w:rPr>
          <w:lang w:val="en-GB"/>
        </w:rPr>
        <w:t xml:space="preserve">SFM should centralise relevant server, firewall, EDR, </w:t>
      </w:r>
      <w:proofErr w:type="spellStart"/>
      <w:r w:rsidRPr="00C94CCC">
        <w:rPr>
          <w:lang w:val="en-GB"/>
        </w:rPr>
        <w:t>IIoT</w:t>
      </w:r>
      <w:proofErr w:type="spellEnd"/>
      <w:r w:rsidRPr="00C94CCC">
        <w:rPr>
          <w:lang w:val="en-GB"/>
        </w:rPr>
        <w:t xml:space="preserve"> and critical-system logs in a SIEM under ISO/IEC 27002 control 8.15. Use cases must cover privileged access, IT/OT boundary activity, supplier sessions, malware and anomalous process communications, with coverage and alert-response time reviewed as KPIs.</w:t>
      </w:r>
    </w:p>
    <w:p w14:paraId="23347CE0" w14:textId="30902FFD" w:rsidR="00E35402" w:rsidRDefault="00C94CCC" w:rsidP="00C94CCC">
      <w:pPr>
        <w:rPr>
          <w:lang w:val="en-GB"/>
        </w:rPr>
      </w:pPr>
      <w:r w:rsidRPr="00C94CCC">
        <w:rPr>
          <w:lang w:val="en-GB"/>
        </w:rPr>
        <w:t>Incident response is integrated across NIST CSF 2.0 functions in accordance with NIST SP 800-61 Rev. 3</w:t>
      </w:r>
      <w:r w:rsidR="00FD6CA1" w:rsidRPr="00FD6CA1">
        <w:rPr>
          <w:lang w:val="en-GB"/>
        </w:rPr>
        <w:t xml:space="preserve"> </w:t>
      </w:r>
      <w:sdt>
        <w:sdtPr>
          <w:id w:val="-339702018"/>
          <w:citation/>
        </w:sdtPr>
        <w:sdtContent>
          <w:r w:rsidR="00FD6CA1">
            <w:fldChar w:fldCharType="begin"/>
          </w:r>
          <w:r w:rsidR="00FD6CA1" w:rsidRPr="00FD6CA1">
            <w:rPr>
              <w:lang w:val="en-GB"/>
            </w:rPr>
            <w:instrText xml:space="preserve"> CITATION Nel25 \l 1049 </w:instrText>
          </w:r>
          <w:r w:rsidR="00FD6CA1">
            <w:fldChar w:fldCharType="separate"/>
          </w:r>
          <w:r w:rsidR="00FD6CA1" w:rsidRPr="00FD6CA1">
            <w:rPr>
              <w:noProof/>
              <w:lang w:val="en-GB"/>
            </w:rPr>
            <w:t>[10]</w:t>
          </w:r>
          <w:r w:rsidR="00FD6CA1">
            <w:fldChar w:fldCharType="end"/>
          </w:r>
        </w:sdtContent>
      </w:sdt>
      <w:r w:rsidRPr="00C94CCC">
        <w:rPr>
          <w:lang w:val="en-GB"/>
        </w:rPr>
        <w:t xml:space="preserve">. Before an event, SFM defines CSIRT/RACI roles, severity levels, offline contacts, supplier escalation, evidence handling, OT-safe shutdown criteria and a notification decision tree. Exercises should test communications and decision authority as well as technical recovery. The SOC validates an alert; the Incident Commander coordinates IT, OT/Safety, Legal/DPO, Communications and the system owner. OT containment requires safety approval. Logs and forensic evidence retain chain of custody, while eradication and recovery use verified clean baselines and backups. Production resumes only after integrity, interlocks, PLC logic, MES data and </w:t>
      </w:r>
      <w:r w:rsidRPr="00C94CCC">
        <w:rPr>
          <w:lang w:val="en-GB"/>
        </w:rPr>
        <w:lastRenderedPageBreak/>
        <w:t xml:space="preserve">RTO/RPO are verified. Legal/DPO assesses reporting duties, and corrective actions receive owners, deadlines and retesting </w:t>
      </w:r>
      <w:sdt>
        <w:sdtPr>
          <w:rPr>
            <w:lang w:val="en-GB"/>
          </w:rPr>
          <w:id w:val="-283570830"/>
          <w:citation/>
        </w:sdtPr>
        <w:sdtContent>
          <w:r w:rsidR="001A491A">
            <w:rPr>
              <w:lang w:val="en-GB"/>
            </w:rPr>
            <w:fldChar w:fldCharType="begin"/>
          </w:r>
          <w:r w:rsidR="001A491A" w:rsidRPr="00410C95">
            <w:rPr>
              <w:lang w:val="en-GB"/>
            </w:rPr>
            <w:instrText xml:space="preserve"> CITATION Nel25 \l 1049 </w:instrText>
          </w:r>
          <w:r w:rsidR="001A491A">
            <w:rPr>
              <w:lang w:val="en-GB"/>
            </w:rPr>
            <w:fldChar w:fldCharType="separate"/>
          </w:r>
          <w:r w:rsidR="00A20EC0" w:rsidRPr="00A20EC0">
            <w:rPr>
              <w:noProof/>
              <w:lang w:val="en-GB"/>
            </w:rPr>
            <w:t>[10]</w:t>
          </w:r>
          <w:r w:rsidR="001A491A">
            <w:rPr>
              <w:lang w:val="en-GB"/>
            </w:rPr>
            <w:fldChar w:fldCharType="end"/>
          </w:r>
        </w:sdtContent>
      </w:sdt>
      <w:r w:rsidR="00A20EC0">
        <w:rPr>
          <w:lang w:val="en-GB"/>
        </w:rPr>
        <w:t xml:space="preserve"> </w:t>
      </w:r>
      <w:sdt>
        <w:sdtPr>
          <w:rPr>
            <w:lang w:val="en-GB"/>
          </w:rPr>
          <w:id w:val="1746908733"/>
          <w:citation/>
        </w:sdtPr>
        <w:sdtContent>
          <w:r w:rsidR="00A20EC0">
            <w:rPr>
              <w:lang w:val="en-GB"/>
            </w:rPr>
            <w:fldChar w:fldCharType="begin"/>
          </w:r>
          <w:r w:rsidR="00A20EC0">
            <w:rPr>
              <w:lang w:val="en-GB"/>
            </w:rPr>
            <w:instrText xml:space="preserve"> CITATION Inf25 \l 2057 </w:instrText>
          </w:r>
          <w:r w:rsidR="00A20EC0">
            <w:rPr>
              <w:lang w:val="en-GB"/>
            </w:rPr>
            <w:fldChar w:fldCharType="separate"/>
          </w:r>
          <w:r w:rsidR="00A20EC0" w:rsidRPr="00A20EC0">
            <w:rPr>
              <w:noProof/>
              <w:lang w:val="en-GB"/>
            </w:rPr>
            <w:t>[9]</w:t>
          </w:r>
          <w:r w:rsidR="00A20EC0">
            <w:rPr>
              <w:lang w:val="en-GB"/>
            </w:rPr>
            <w:fldChar w:fldCharType="end"/>
          </w:r>
        </w:sdtContent>
      </w:sdt>
      <w:r>
        <w:rPr>
          <w:lang w:val="en-GB"/>
        </w:rPr>
        <w:t>.</w:t>
      </w:r>
    </w:p>
    <w:tbl>
      <w:tblPr>
        <w:tblStyle w:val="TableGrid"/>
        <w:tblpPr w:leftFromText="180" w:rightFromText="180" w:vertAnchor="text" w:tblpY="2"/>
        <w:tblW w:w="0" w:type="auto"/>
        <w:tblLook w:val="04A0" w:firstRow="1" w:lastRow="0" w:firstColumn="1" w:lastColumn="0" w:noHBand="0" w:noVBand="1"/>
      </w:tblPr>
      <w:tblGrid>
        <w:gridCol w:w="1803"/>
        <w:gridCol w:w="1803"/>
        <w:gridCol w:w="1803"/>
        <w:gridCol w:w="1803"/>
        <w:gridCol w:w="1804"/>
      </w:tblGrid>
      <w:tr w:rsidR="00410C95" w14:paraId="7531794B" w14:textId="77777777" w:rsidTr="00410C95">
        <w:tc>
          <w:tcPr>
            <w:tcW w:w="1803" w:type="dxa"/>
          </w:tcPr>
          <w:p w14:paraId="51595571" w14:textId="77777777" w:rsidR="00410C95" w:rsidRPr="00410C95" w:rsidRDefault="00410C95" w:rsidP="00410C95">
            <w:pPr>
              <w:jc w:val="center"/>
              <w:rPr>
                <w:lang w:val="en-GB"/>
              </w:rPr>
            </w:pPr>
            <w:r w:rsidRPr="00410C95">
              <w:rPr>
                <w:lang w:val="en-GB"/>
              </w:rPr>
              <w:t>1. Preparation</w:t>
            </w:r>
          </w:p>
          <w:p w14:paraId="6B2FAD8F" w14:textId="77777777" w:rsidR="00410C95" w:rsidRDefault="00410C95" w:rsidP="00410C95">
            <w:pPr>
              <w:jc w:val="center"/>
              <w:rPr>
                <w:lang w:val="en-GB"/>
              </w:rPr>
            </w:pPr>
            <w:r w:rsidRPr="00410C95">
              <w:rPr>
                <w:lang w:val="en-GB"/>
              </w:rPr>
              <w:t>CSIRT, RACI, OT safety</w:t>
            </w:r>
          </w:p>
        </w:tc>
        <w:tc>
          <w:tcPr>
            <w:tcW w:w="1803" w:type="dxa"/>
          </w:tcPr>
          <w:p w14:paraId="1F223B2A" w14:textId="77777777" w:rsidR="00410C95" w:rsidRPr="00410C95" w:rsidRDefault="00410C95" w:rsidP="00410C95">
            <w:pPr>
              <w:jc w:val="center"/>
              <w:rPr>
                <w:lang w:val="en-GB"/>
              </w:rPr>
            </w:pPr>
            <w:r w:rsidRPr="00410C95">
              <w:rPr>
                <w:lang w:val="en-GB"/>
              </w:rPr>
              <w:t>2. Assessment</w:t>
            </w:r>
          </w:p>
          <w:p w14:paraId="7F44899A" w14:textId="77777777" w:rsidR="00410C95" w:rsidRDefault="00410C95" w:rsidP="00410C95">
            <w:pPr>
              <w:jc w:val="center"/>
              <w:rPr>
                <w:lang w:val="en-GB"/>
              </w:rPr>
            </w:pPr>
            <w:r w:rsidRPr="00410C95">
              <w:rPr>
                <w:lang w:val="en-GB"/>
              </w:rPr>
              <w:t>verification and severity</w:t>
            </w:r>
          </w:p>
        </w:tc>
        <w:tc>
          <w:tcPr>
            <w:tcW w:w="1803" w:type="dxa"/>
          </w:tcPr>
          <w:p w14:paraId="035FE6DD" w14:textId="77777777" w:rsidR="00410C95" w:rsidRPr="00410C95" w:rsidRDefault="00410C95" w:rsidP="00410C95">
            <w:pPr>
              <w:jc w:val="center"/>
              <w:rPr>
                <w:lang w:val="en-GB"/>
              </w:rPr>
            </w:pPr>
            <w:r w:rsidRPr="00410C95">
              <w:rPr>
                <w:lang w:val="en-GB"/>
              </w:rPr>
              <w:t>3. Containment</w:t>
            </w:r>
          </w:p>
          <w:p w14:paraId="112860D0" w14:textId="77777777" w:rsidR="00410C95" w:rsidRDefault="00410C95" w:rsidP="00410C95">
            <w:pPr>
              <w:jc w:val="center"/>
              <w:rPr>
                <w:lang w:val="en-GB"/>
              </w:rPr>
            </w:pPr>
            <w:r w:rsidRPr="00410C95">
              <w:rPr>
                <w:lang w:val="en-GB"/>
              </w:rPr>
              <w:t>IT/OT-safe isolation</w:t>
            </w:r>
          </w:p>
        </w:tc>
        <w:tc>
          <w:tcPr>
            <w:tcW w:w="1803" w:type="dxa"/>
          </w:tcPr>
          <w:p w14:paraId="5516CBB3" w14:textId="77777777" w:rsidR="00410C95" w:rsidRPr="00410C95" w:rsidRDefault="00410C95" w:rsidP="00410C95">
            <w:pPr>
              <w:jc w:val="center"/>
              <w:rPr>
                <w:lang w:val="en-GB"/>
              </w:rPr>
            </w:pPr>
            <w:r w:rsidRPr="00410C95">
              <w:rPr>
                <w:lang w:val="en-GB"/>
              </w:rPr>
              <w:t>4. Recovery</w:t>
            </w:r>
          </w:p>
          <w:p w14:paraId="66917E72" w14:textId="77777777" w:rsidR="00410C95" w:rsidRDefault="00410C95" w:rsidP="00410C95">
            <w:pPr>
              <w:jc w:val="center"/>
              <w:rPr>
                <w:lang w:val="en-GB"/>
              </w:rPr>
            </w:pPr>
            <w:r w:rsidRPr="00410C95">
              <w:rPr>
                <w:lang w:val="en-GB"/>
              </w:rPr>
              <w:t>clean baseline, RTO/RPO</w:t>
            </w:r>
          </w:p>
        </w:tc>
        <w:tc>
          <w:tcPr>
            <w:tcW w:w="1804" w:type="dxa"/>
          </w:tcPr>
          <w:p w14:paraId="76ACD53F" w14:textId="77777777" w:rsidR="00410C95" w:rsidRPr="00410C95" w:rsidRDefault="00410C95" w:rsidP="00410C95">
            <w:pPr>
              <w:jc w:val="center"/>
              <w:rPr>
                <w:lang w:val="en-GB"/>
              </w:rPr>
            </w:pPr>
            <w:r w:rsidRPr="00410C95">
              <w:rPr>
                <w:lang w:val="en-GB"/>
              </w:rPr>
              <w:t>5. Improvement</w:t>
            </w:r>
          </w:p>
          <w:p w14:paraId="5F7DB910" w14:textId="77777777" w:rsidR="00410C95" w:rsidRDefault="00410C95" w:rsidP="00410C95">
            <w:pPr>
              <w:jc w:val="center"/>
              <w:rPr>
                <w:lang w:val="en-GB"/>
              </w:rPr>
            </w:pPr>
            <w:r w:rsidRPr="00410C95">
              <w:rPr>
                <w:lang w:val="en-GB"/>
              </w:rPr>
              <w:t>owner, due date, retest</w:t>
            </w:r>
          </w:p>
        </w:tc>
      </w:tr>
    </w:tbl>
    <w:p w14:paraId="6370E08C" w14:textId="07D36FA0" w:rsidR="00410C95" w:rsidRDefault="00410C95" w:rsidP="00410C95">
      <w:pPr>
        <w:pStyle w:val="Caption"/>
        <w:keepNext/>
      </w:pPr>
      <w:proofErr w:type="spellStart"/>
      <w:r>
        <w:t>Table</w:t>
      </w:r>
      <w:proofErr w:type="spellEnd"/>
      <w:r>
        <w:t xml:space="preserve"> </w:t>
      </w:r>
      <w:r>
        <w:fldChar w:fldCharType="begin"/>
      </w:r>
      <w:r>
        <w:instrText xml:space="preserve"> SEQ Table \* ARABIC </w:instrText>
      </w:r>
      <w:r>
        <w:fldChar w:fldCharType="separate"/>
      </w:r>
      <w:r>
        <w:rPr>
          <w:noProof/>
        </w:rPr>
        <w:t>3</w:t>
      </w:r>
      <w:r>
        <w:fldChar w:fldCharType="end"/>
      </w:r>
      <w:r>
        <w:rPr>
          <w:lang w:val="en-GB"/>
        </w:rPr>
        <w:t>: Response plan</w:t>
      </w:r>
    </w:p>
    <w:p w14:paraId="3159921A" w14:textId="77777777" w:rsidR="00410C95" w:rsidRPr="001A491A" w:rsidRDefault="00410C95" w:rsidP="00410C95">
      <w:pPr>
        <w:rPr>
          <w:lang w:val="en-GB"/>
        </w:rPr>
      </w:pPr>
    </w:p>
    <w:p w14:paraId="0DBD7268" w14:textId="5A45CF99" w:rsidR="003C4AC1" w:rsidRDefault="00625A36" w:rsidP="00E35402">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15" w:name="_Toc237432021"/>
      <w:r w:rsidRPr="00625A36">
        <w:rPr>
          <w:rFonts w:ascii="Times New Roman" w:hAnsi="Times New Roman" w:cs="Times New Roman"/>
          <w:b/>
          <w:bCs/>
          <w:color w:val="000000" w:themeColor="text1"/>
          <w:sz w:val="32"/>
          <w:szCs w:val="32"/>
          <w:lang w:val="en-GB"/>
        </w:rPr>
        <w:t>Staff Training and Awareness Programme</w:t>
      </w:r>
      <w:bookmarkEnd w:id="15"/>
    </w:p>
    <w:p w14:paraId="40F5D58A" w14:textId="77777777" w:rsidR="00C94CCC" w:rsidRPr="00C94CCC" w:rsidRDefault="00C94CCC" w:rsidP="00C94CCC">
      <w:pPr>
        <w:rPr>
          <w:lang w:val="en-GB"/>
        </w:rPr>
      </w:pPr>
      <w:r w:rsidRPr="00C94CCC">
        <w:rPr>
          <w:lang w:val="en-GB"/>
        </w:rPr>
        <w:t xml:space="preserve">Under ISO/IEC 27002 control 6.3, all employees and </w:t>
      </w:r>
      <w:proofErr w:type="gramStart"/>
      <w:r w:rsidRPr="00C94CCC">
        <w:rPr>
          <w:lang w:val="en-GB"/>
        </w:rPr>
        <w:t>contractors</w:t>
      </w:r>
      <w:proofErr w:type="gramEnd"/>
      <w:r w:rsidRPr="00C94CCC">
        <w:rPr>
          <w:lang w:val="en-GB"/>
        </w:rPr>
        <w:t xml:space="preserve"> complete security induction before full access and an annual refresher. Content covers credentials, email, internet use, removable media and incident reporting. Procurement and accounts receive phishing/BEC training, while privileged IT/OT personnel practise secure administration and incident exercises. Quarterly phishing simulations trigger coaching rather than automatic punishment, supporting early reporting.</w:t>
      </w:r>
    </w:p>
    <w:p w14:paraId="4A569A03" w14:textId="5AF18727" w:rsidR="001E38DE" w:rsidRPr="008D22F3" w:rsidRDefault="00C94CCC" w:rsidP="00C94CCC">
      <w:pPr>
        <w:rPr>
          <w:lang w:val="en-GB"/>
        </w:rPr>
      </w:pPr>
      <w:r w:rsidRPr="00C94CCC">
        <w:rPr>
          <w:lang w:val="en-GB"/>
        </w:rPr>
        <w:t>The IT Security Manager and HR own the programme and retain completion evidence in the LMS. Managers monitor overdue activity and contractors receive equivalent training before access. Quarterly KPIs include more than 95% completion, fewer than 5% simulated-phishing clicks, median reporting below 15 minutes, confirmed reports and closure of remedial training. Results are compared with a documented baseline so improvement can be demonstrated. Repeated errors require targeted retraining; persistent non-compliance follows the HR process. Content is refreshed after incidents, material threat changes and the annual review.</w:t>
      </w:r>
    </w:p>
    <w:p w14:paraId="269D59F5" w14:textId="74D92D58" w:rsidR="00E35402" w:rsidRDefault="00E35402" w:rsidP="00E35402">
      <w:pPr>
        <w:pStyle w:val="Heading1"/>
        <w:numPr>
          <w:ilvl w:val="0"/>
          <w:numId w:val="20"/>
        </w:numPr>
        <w:spacing w:line="360" w:lineRule="auto"/>
        <w:rPr>
          <w:rFonts w:ascii="Times New Roman" w:hAnsi="Times New Roman" w:cs="Times New Roman"/>
          <w:b/>
          <w:bCs/>
          <w:color w:val="000000" w:themeColor="text1"/>
          <w:sz w:val="32"/>
          <w:szCs w:val="32"/>
        </w:rPr>
      </w:pPr>
      <w:bookmarkStart w:id="16" w:name="_Toc237432022"/>
      <w:r w:rsidRPr="00E35402">
        <w:rPr>
          <w:rFonts w:ascii="Times New Roman" w:hAnsi="Times New Roman" w:cs="Times New Roman"/>
          <w:b/>
          <w:bCs/>
          <w:color w:val="000000" w:themeColor="text1"/>
          <w:sz w:val="32"/>
          <w:szCs w:val="32"/>
          <w:lang w:val="en-GB"/>
        </w:rPr>
        <w:t>Conclusion</w:t>
      </w:r>
      <w:bookmarkEnd w:id="16"/>
    </w:p>
    <w:p w14:paraId="4E785D5D" w14:textId="77777777" w:rsidR="00C94CCC" w:rsidRPr="00C94CCC" w:rsidRDefault="00C94CCC" w:rsidP="00C94CCC">
      <w:pPr>
        <w:rPr>
          <w:lang w:val="en-GB"/>
        </w:rPr>
      </w:pPr>
      <w:r w:rsidRPr="00C94CCC">
        <w:rPr>
          <w:lang w:val="en-GB"/>
        </w:rPr>
        <w:t>SFM's smart-factory programme requires an ISMS that connects governance with practical IT/OT safeguards. ISO/IEC 27001 provides the management framework, ISO/IEC 27002 guides control selection, and NIST supports risk and incident decisions. Together, segmentation, strong access control, recoverable backups, monitoring, supplier assurance, data governance and training provide defence in depth without ignoring production safety.</w:t>
      </w:r>
    </w:p>
    <w:p w14:paraId="1C2894C7" w14:textId="7AA2A80D" w:rsidR="008D22F3" w:rsidRPr="008D22F3" w:rsidRDefault="00C94CCC" w:rsidP="00C94CCC">
      <w:pPr>
        <w:rPr>
          <w:lang w:val="en-GB"/>
        </w:rPr>
      </w:pPr>
      <w:r w:rsidRPr="00C94CCC">
        <w:rPr>
          <w:lang w:val="en-GB"/>
        </w:rPr>
        <w:t>During the first 30 days, SFM should confirm inventories, owners, critical services, risk criteria and budget. Months 0-3 prioritise MFA, privileged-account cleanup, immutable backup and emergency segmentation; months 3-9 complete zones and conduits, passive OT monitoring, SIEM use cases, supplier controls and training. The Board reviews residual risk, incidents, recovery tests, access reviews, training KPIs and overdue actions quarterly</w:t>
      </w:r>
      <w:r w:rsidR="008D22F3" w:rsidRPr="008D22F3">
        <w:rPr>
          <w:lang w:val="en-GB"/>
        </w:rPr>
        <w:t>.</w:t>
      </w:r>
    </w:p>
    <w:bookmarkStart w:id="17" w:name="_Toc237432023" w:displacedByCustomXml="next"/>
    <w:sdt>
      <w:sdtPr>
        <w:id w:val="1597743734"/>
        <w:docPartObj>
          <w:docPartGallery w:val="Bibliographies"/>
          <w:docPartUnique/>
        </w:docPartObj>
      </w:sdtPr>
      <w:sdtContent>
        <w:p w14:paraId="75625B15" w14:textId="77777777" w:rsidR="00A20EC0" w:rsidRDefault="001A491A" w:rsidP="002A68B8">
          <w:pPr>
            <w:pStyle w:val="Heading2"/>
            <w:rPr>
              <w:rFonts w:asciiTheme="minorHAnsi" w:eastAsiaTheme="minorHAnsi" w:hAnsiTheme="minorHAnsi" w:cstheme="minorBidi"/>
              <w:b w:val="0"/>
              <w:noProof/>
              <w:color w:val="auto"/>
              <w:sz w:val="24"/>
              <w:szCs w:val="24"/>
            </w:rPr>
          </w:pPr>
          <w:proofErr w:type="spellStart"/>
          <w:r w:rsidRPr="002A68B8">
            <w:rPr>
              <w:rFonts w:ascii="Times New Roman" w:hAnsi="Times New Roman" w:cs="Times New Roman"/>
              <w:b w:val="0"/>
              <w:bCs/>
              <w:color w:val="auto"/>
              <w:sz w:val="32"/>
            </w:rPr>
            <w:t>References</w:t>
          </w:r>
          <w:proofErr w:type="spellEnd"/>
        </w:p>
        <w:sdt>
          <w:sdtPr>
            <w:id w:val="111145805"/>
            <w:bibliography/>
          </w:sdtPr>
          <w:sdtContent>
            <w:bookmarkEnd w:id="17" w:displacedByCustomXml="prev"/>
            <w:p w14:paraId="75625B15" w14:textId="77777777" w:rsidR="00A20EC0" w:rsidRDefault="001A491A" w:rsidP="002A68B8">
              <w:pPr>
                <w:pStyle w:val="Heading2"/>
                <w:rPr>
                  <w:rFonts w:asciiTheme="minorHAnsi" w:eastAsiaTheme="minorHAnsi" w:hAnsiTheme="minorHAnsi" w:cstheme="minorBidi"/>
                  <w:b w:val="0"/>
                  <w:noProof/>
                  <w:color w:val="auto"/>
                  <w:sz w:val="24"/>
                  <w:szCs w:val="24"/>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A20EC0" w:rsidRPr="00A20EC0" w14:paraId="429A61C8" w14:textId="77777777">
                <w:trPr>
                  <w:divId w:val="860123644"/>
                  <w:tblCellSpacing w:w="15" w:type="dxa"/>
                </w:trPr>
                <w:tc>
                  <w:tcPr>
                    <w:tcW w:w="50" w:type="pct"/>
                    <w:hideMark/>
                  </w:tcPr>
                  <w:p w14:paraId="7549582D" w14:textId="05144331" w:rsidR="00A20EC0" w:rsidRDefault="00A20EC0">
                    <w:pPr>
                      <w:pStyle w:val="Bibliography"/>
                      <w:rPr>
                        <w:noProof/>
                        <w:kern w:val="0"/>
                        <w14:ligatures w14:val="none"/>
                      </w:rPr>
                    </w:pPr>
                    <w:r>
                      <w:rPr>
                        <w:noProof/>
                      </w:rPr>
                      <w:t xml:space="preserve">[1] </w:t>
                    </w:r>
                  </w:p>
                </w:tc>
                <w:tc>
                  <w:tcPr>
                    <w:tcW w:w="0" w:type="auto"/>
                    <w:hideMark/>
                  </w:tcPr>
                  <w:p w14:paraId="19C8ACD0" w14:textId="4402871F" w:rsidR="00A20EC0" w:rsidRPr="00A20EC0" w:rsidRDefault="00A20EC0">
                    <w:pPr>
                      <w:pStyle w:val="Bibliography"/>
                      <w:rPr>
                        <w:noProof/>
                        <w:lang w:val="en-GB"/>
                      </w:rPr>
                    </w:pPr>
                    <w:r w:rsidRPr="00A20EC0">
                      <w:rPr>
                        <w:noProof/>
                        <w:lang w:val="en-GB"/>
                      </w:rPr>
                      <w:t>L. Thames</w:t>
                    </w:r>
                    <w:r w:rsidR="00474887">
                      <w:rPr>
                        <w:noProof/>
                        <w:lang w:val="en-GB"/>
                      </w:rPr>
                      <w:t>,</w:t>
                    </w:r>
                    <w:r w:rsidRPr="00A20EC0">
                      <w:rPr>
                        <w:noProof/>
                        <w:lang w:val="en-GB"/>
                      </w:rPr>
                      <w:t xml:space="preserve"> D. Schaefer, «Industry 4.0: an overview of key benefits, technologies, and challenges,» </w:t>
                    </w:r>
                    <w:r w:rsidRPr="00A20EC0">
                      <w:rPr>
                        <w:i/>
                        <w:iCs/>
                        <w:noProof/>
                        <w:lang w:val="en-GB"/>
                      </w:rPr>
                      <w:t>Cybersecurity for Industry 4.0: Analysis for Design and Manufacturing</w:t>
                    </w:r>
                    <w:r w:rsidRPr="00A20EC0">
                      <w:rPr>
                        <w:noProof/>
                        <w:lang w:val="en-GB"/>
                      </w:rPr>
                      <w:t>, 2017, pp. 1-33.</w:t>
                    </w:r>
                  </w:p>
                </w:tc>
              </w:tr>
              <w:tr w:rsidR="00A20EC0" w:rsidRPr="00A20EC0" w14:paraId="6463050B" w14:textId="77777777">
                <w:trPr>
                  <w:divId w:val="860123644"/>
                  <w:tblCellSpacing w:w="15" w:type="dxa"/>
                </w:trPr>
                <w:tc>
                  <w:tcPr>
                    <w:tcW w:w="50" w:type="pct"/>
                    <w:hideMark/>
                  </w:tcPr>
                  <w:p w14:paraId="37A614AB" w14:textId="77777777" w:rsidR="00A20EC0" w:rsidRDefault="00A20EC0">
                    <w:pPr>
                      <w:pStyle w:val="Bibliography"/>
                      <w:rPr>
                        <w:noProof/>
                      </w:rPr>
                    </w:pPr>
                    <w:r>
                      <w:rPr>
                        <w:noProof/>
                      </w:rPr>
                      <w:t xml:space="preserve">[2] </w:t>
                    </w:r>
                  </w:p>
                </w:tc>
                <w:tc>
                  <w:tcPr>
                    <w:tcW w:w="0" w:type="auto"/>
                    <w:hideMark/>
                  </w:tcPr>
                  <w:p w14:paraId="7973A3E2" w14:textId="77777777" w:rsidR="00A20EC0" w:rsidRPr="00A20EC0" w:rsidRDefault="00A20EC0">
                    <w:pPr>
                      <w:pStyle w:val="Bibliography"/>
                      <w:rPr>
                        <w:noProof/>
                        <w:lang w:val="en-GB"/>
                      </w:rPr>
                    </w:pPr>
                    <w:r w:rsidRPr="00A20EC0">
                      <w:rPr>
                        <w:noProof/>
                        <w:lang w:val="en-GB"/>
                      </w:rPr>
                      <w:t>Dragos, Inc., «2026 OT Cybersecurity Report: A Year in Review,» Dragos, Inc., Hanover, 2026.</w:t>
                    </w:r>
                  </w:p>
                </w:tc>
              </w:tr>
              <w:tr w:rsidR="00A20EC0" w:rsidRPr="00A20EC0" w14:paraId="205B9A20" w14:textId="77777777">
                <w:trPr>
                  <w:divId w:val="860123644"/>
                  <w:tblCellSpacing w:w="15" w:type="dxa"/>
                </w:trPr>
                <w:tc>
                  <w:tcPr>
                    <w:tcW w:w="50" w:type="pct"/>
                    <w:hideMark/>
                  </w:tcPr>
                  <w:p w14:paraId="45C55F12" w14:textId="77777777" w:rsidR="00A20EC0" w:rsidRDefault="00A20EC0">
                    <w:pPr>
                      <w:pStyle w:val="Bibliography"/>
                      <w:rPr>
                        <w:noProof/>
                      </w:rPr>
                    </w:pPr>
                    <w:r>
                      <w:rPr>
                        <w:noProof/>
                      </w:rPr>
                      <w:t xml:space="preserve">[3] </w:t>
                    </w:r>
                  </w:p>
                </w:tc>
                <w:tc>
                  <w:tcPr>
                    <w:tcW w:w="0" w:type="auto"/>
                    <w:hideMark/>
                  </w:tcPr>
                  <w:p w14:paraId="3FDD1AD8" w14:textId="77777777" w:rsidR="00A20EC0" w:rsidRPr="00A20EC0" w:rsidRDefault="00A20EC0">
                    <w:pPr>
                      <w:pStyle w:val="Bibliography"/>
                      <w:rPr>
                        <w:noProof/>
                        <w:lang w:val="en-GB"/>
                      </w:rPr>
                    </w:pPr>
                    <w:r w:rsidRPr="00A20EC0">
                      <w:rPr>
                        <w:noProof/>
                        <w:lang w:val="en-GB"/>
                      </w:rPr>
                      <w:t xml:space="preserve">R. Masum, «Cyber Security in Smart Manufacturing (Threats, Landscapes &amp; Challenges),» </w:t>
                    </w:r>
                    <w:r w:rsidRPr="00A20EC0">
                      <w:rPr>
                        <w:i/>
                        <w:iCs/>
                        <w:noProof/>
                        <w:lang w:val="en-GB"/>
                      </w:rPr>
                      <w:t xml:space="preserve">arXiv, </w:t>
                    </w:r>
                    <w:r w:rsidRPr="00A20EC0">
                      <w:rPr>
                        <w:noProof/>
                        <w:lang w:val="en-GB"/>
                      </w:rPr>
                      <w:t xml:space="preserve">2023. </w:t>
                    </w:r>
                  </w:p>
                </w:tc>
              </w:tr>
              <w:tr w:rsidR="00A20EC0" w:rsidRPr="00A20EC0" w14:paraId="5FBE9B6B" w14:textId="77777777">
                <w:trPr>
                  <w:divId w:val="860123644"/>
                  <w:tblCellSpacing w:w="15" w:type="dxa"/>
                </w:trPr>
                <w:tc>
                  <w:tcPr>
                    <w:tcW w:w="50" w:type="pct"/>
                    <w:hideMark/>
                  </w:tcPr>
                  <w:p w14:paraId="7534864D" w14:textId="77777777" w:rsidR="00A20EC0" w:rsidRDefault="00A20EC0">
                    <w:pPr>
                      <w:pStyle w:val="Bibliography"/>
                      <w:rPr>
                        <w:noProof/>
                      </w:rPr>
                    </w:pPr>
                    <w:r>
                      <w:rPr>
                        <w:noProof/>
                      </w:rPr>
                      <w:t xml:space="preserve">[4] </w:t>
                    </w:r>
                  </w:p>
                </w:tc>
                <w:tc>
                  <w:tcPr>
                    <w:tcW w:w="0" w:type="auto"/>
                    <w:hideMark/>
                  </w:tcPr>
                  <w:p w14:paraId="7B113F84" w14:textId="3A451CA4" w:rsidR="00A20EC0" w:rsidRPr="00A20EC0" w:rsidRDefault="00A20EC0">
                    <w:pPr>
                      <w:pStyle w:val="Bibliography"/>
                      <w:rPr>
                        <w:noProof/>
                        <w:lang w:val="en-GB"/>
                      </w:rPr>
                    </w:pPr>
                    <w:r w:rsidRPr="00A20EC0">
                      <w:rPr>
                        <w:noProof/>
                        <w:lang w:val="en-GB"/>
                      </w:rPr>
                      <w:t>C. Pascoe, S. Quinn</w:t>
                    </w:r>
                    <w:r w:rsidR="006340F3">
                      <w:rPr>
                        <w:noProof/>
                        <w:lang w:val="en-GB"/>
                      </w:rPr>
                      <w:t xml:space="preserve">, </w:t>
                    </w:r>
                    <w:r w:rsidRPr="00A20EC0">
                      <w:rPr>
                        <w:noProof/>
                        <w:lang w:val="en-GB"/>
                      </w:rPr>
                      <w:t>K. Scarfone, «The NIST Cybersecurity Framework (CSF) 2.0,» National Institute of Standards and Technology, Gaithersburg, MD, 2024.</w:t>
                    </w:r>
                  </w:p>
                </w:tc>
              </w:tr>
              <w:tr w:rsidR="00A20EC0" w:rsidRPr="00A20EC0" w14:paraId="564272B1" w14:textId="77777777">
                <w:trPr>
                  <w:divId w:val="860123644"/>
                  <w:tblCellSpacing w:w="15" w:type="dxa"/>
                </w:trPr>
                <w:tc>
                  <w:tcPr>
                    <w:tcW w:w="50" w:type="pct"/>
                    <w:hideMark/>
                  </w:tcPr>
                  <w:p w14:paraId="2E5D4A70" w14:textId="77777777" w:rsidR="00A20EC0" w:rsidRDefault="00A20EC0">
                    <w:pPr>
                      <w:pStyle w:val="Bibliography"/>
                      <w:rPr>
                        <w:noProof/>
                      </w:rPr>
                    </w:pPr>
                    <w:r>
                      <w:rPr>
                        <w:noProof/>
                      </w:rPr>
                      <w:t xml:space="preserve">[5] </w:t>
                    </w:r>
                  </w:p>
                </w:tc>
                <w:tc>
                  <w:tcPr>
                    <w:tcW w:w="0" w:type="auto"/>
                    <w:hideMark/>
                  </w:tcPr>
                  <w:p w14:paraId="4BFD7A1C" w14:textId="77777777" w:rsidR="00A20EC0" w:rsidRPr="00A20EC0" w:rsidRDefault="00A20EC0">
                    <w:pPr>
                      <w:pStyle w:val="Bibliography"/>
                      <w:rPr>
                        <w:noProof/>
                        <w:lang w:val="en-GB"/>
                      </w:rPr>
                    </w:pPr>
                    <w:r w:rsidRPr="00A20EC0">
                      <w:rPr>
                        <w:noProof/>
                        <w:lang w:val="en-GB"/>
                      </w:rPr>
                      <w:t>International Organization for Standardization (ISO), «ISO/IEC 27001:2022 — Information security, cybersecurity and privacy protection — Information security management systems — Requirements,» International Organization for Standardization, Geneva, 2022.</w:t>
                    </w:r>
                  </w:p>
                </w:tc>
              </w:tr>
              <w:tr w:rsidR="00A20EC0" w:rsidRPr="00A20EC0" w14:paraId="0DAAE1A0" w14:textId="77777777">
                <w:trPr>
                  <w:divId w:val="860123644"/>
                  <w:tblCellSpacing w:w="15" w:type="dxa"/>
                </w:trPr>
                <w:tc>
                  <w:tcPr>
                    <w:tcW w:w="50" w:type="pct"/>
                    <w:hideMark/>
                  </w:tcPr>
                  <w:p w14:paraId="4E36C711" w14:textId="77777777" w:rsidR="00A20EC0" w:rsidRDefault="00A20EC0">
                    <w:pPr>
                      <w:pStyle w:val="Bibliography"/>
                      <w:rPr>
                        <w:noProof/>
                      </w:rPr>
                    </w:pPr>
                    <w:r>
                      <w:rPr>
                        <w:noProof/>
                      </w:rPr>
                      <w:t xml:space="preserve">[6] </w:t>
                    </w:r>
                  </w:p>
                </w:tc>
                <w:tc>
                  <w:tcPr>
                    <w:tcW w:w="0" w:type="auto"/>
                    <w:hideMark/>
                  </w:tcPr>
                  <w:p w14:paraId="267FBE0E" w14:textId="77777777" w:rsidR="00A20EC0" w:rsidRPr="00A20EC0" w:rsidRDefault="00A20EC0">
                    <w:pPr>
                      <w:pStyle w:val="Bibliography"/>
                      <w:rPr>
                        <w:noProof/>
                        <w:lang w:val="en-GB"/>
                      </w:rPr>
                    </w:pPr>
                    <w:r w:rsidRPr="00A20EC0">
                      <w:rPr>
                        <w:noProof/>
                        <w:lang w:val="en-GB"/>
                      </w:rPr>
                      <w:t>International Organization for Standardization (ISO), «ISO/IEC 27002:2022 — Information security, cybersecurity and privacy protection — Information security controls,» International Organization for Standardization, Geneva, 2022.</w:t>
                    </w:r>
                  </w:p>
                </w:tc>
              </w:tr>
              <w:tr w:rsidR="00A20EC0" w:rsidRPr="00A20EC0" w14:paraId="729ED12A" w14:textId="77777777">
                <w:trPr>
                  <w:divId w:val="860123644"/>
                  <w:tblCellSpacing w:w="15" w:type="dxa"/>
                </w:trPr>
                <w:tc>
                  <w:tcPr>
                    <w:tcW w:w="50" w:type="pct"/>
                    <w:hideMark/>
                  </w:tcPr>
                  <w:p w14:paraId="6F9E75FD" w14:textId="77777777" w:rsidR="00A20EC0" w:rsidRDefault="00A20EC0">
                    <w:pPr>
                      <w:pStyle w:val="Bibliography"/>
                      <w:rPr>
                        <w:noProof/>
                      </w:rPr>
                    </w:pPr>
                    <w:r>
                      <w:rPr>
                        <w:noProof/>
                      </w:rPr>
                      <w:t xml:space="preserve">[7] </w:t>
                    </w:r>
                  </w:p>
                </w:tc>
                <w:tc>
                  <w:tcPr>
                    <w:tcW w:w="0" w:type="auto"/>
                    <w:hideMark/>
                  </w:tcPr>
                  <w:p w14:paraId="2D2153F6" w14:textId="5E39F7EC" w:rsidR="00A20EC0" w:rsidRPr="00A20EC0" w:rsidRDefault="00A20EC0">
                    <w:pPr>
                      <w:pStyle w:val="Bibliography"/>
                      <w:rPr>
                        <w:noProof/>
                        <w:lang w:val="en-GB"/>
                      </w:rPr>
                    </w:pPr>
                    <w:r w:rsidRPr="00A20EC0">
                      <w:rPr>
                        <w:noProof/>
                        <w:lang w:val="en-GB"/>
                      </w:rPr>
                      <w:t>D. Temoshok, J. L. Fenton, Y.-Y. Choong, N. Lefkovitz, A. Regenscheid, R. Galluzzo</w:t>
                    </w:r>
                    <w:r w:rsidR="00474887">
                      <w:rPr>
                        <w:noProof/>
                        <w:lang w:val="en-GB"/>
                      </w:rPr>
                      <w:t>,</w:t>
                    </w:r>
                    <w:r w:rsidRPr="00A20EC0">
                      <w:rPr>
                        <w:noProof/>
                        <w:lang w:val="en-GB"/>
                      </w:rPr>
                      <w:t xml:space="preserve"> J. P. Richer, «Digital Identity Guidelines: Authentication and Authenticator Management,» National Institute of Standards and Technology, Gaithersburg, MD, 2025.</w:t>
                    </w:r>
                  </w:p>
                </w:tc>
              </w:tr>
              <w:tr w:rsidR="00A20EC0" w:rsidRPr="00474887" w14:paraId="14B1775B" w14:textId="77777777">
                <w:trPr>
                  <w:divId w:val="860123644"/>
                  <w:tblCellSpacing w:w="15" w:type="dxa"/>
                </w:trPr>
                <w:tc>
                  <w:tcPr>
                    <w:tcW w:w="50" w:type="pct"/>
                    <w:hideMark/>
                  </w:tcPr>
                  <w:p w14:paraId="51CB3F6D" w14:textId="77777777" w:rsidR="00A20EC0" w:rsidRDefault="00A20EC0">
                    <w:pPr>
                      <w:pStyle w:val="Bibliography"/>
                      <w:rPr>
                        <w:noProof/>
                      </w:rPr>
                    </w:pPr>
                    <w:r>
                      <w:rPr>
                        <w:noProof/>
                      </w:rPr>
                      <w:t xml:space="preserve">[8] </w:t>
                    </w:r>
                  </w:p>
                </w:tc>
                <w:tc>
                  <w:tcPr>
                    <w:tcW w:w="0" w:type="auto"/>
                    <w:hideMark/>
                  </w:tcPr>
                  <w:p w14:paraId="7D4D2C82" w14:textId="73FD9E37" w:rsidR="00A20EC0" w:rsidRPr="00474887" w:rsidRDefault="00A20EC0">
                    <w:pPr>
                      <w:pStyle w:val="Bibliography"/>
                      <w:rPr>
                        <w:noProof/>
                        <w:lang w:val="en-GB"/>
                      </w:rPr>
                    </w:pPr>
                    <w:r w:rsidRPr="00A20EC0">
                      <w:rPr>
                        <w:noProof/>
                        <w:lang w:val="en-GB"/>
                      </w:rPr>
                      <w:t xml:space="preserve">GOV.UK, «Data protection: The UK’s data protection legislation,» </w:t>
                    </w:r>
                    <w:r w:rsidR="00474887" w:rsidRPr="00474887">
                      <w:rPr>
                        <w:noProof/>
                        <w:lang w:val="en-GB"/>
                      </w:rPr>
                      <w:t>[Online]</w:t>
                    </w:r>
                    <w:r w:rsidRPr="00A20EC0">
                      <w:rPr>
                        <w:noProof/>
                        <w:lang w:val="en-GB"/>
                      </w:rPr>
                      <w:t xml:space="preserve">. </w:t>
                    </w:r>
                    <w:r w:rsidRPr="00474887">
                      <w:rPr>
                        <w:noProof/>
                        <w:lang w:val="en-GB"/>
                      </w:rPr>
                      <w:t xml:space="preserve">Available: https://www.gov.uk/data-protection. </w:t>
                    </w:r>
                    <w:r w:rsidR="00474887" w:rsidRPr="00474887">
                      <w:rPr>
                        <w:noProof/>
                        <w:lang w:val="en-GB"/>
                      </w:rPr>
                      <w:t>[Accessed: 11 Aug. 2026]</w:t>
                    </w:r>
                    <w:r w:rsidRPr="00474887">
                      <w:rPr>
                        <w:noProof/>
                        <w:lang w:val="en-GB"/>
                      </w:rPr>
                      <w:t>.</w:t>
                    </w:r>
                  </w:p>
                </w:tc>
              </w:tr>
              <w:tr w:rsidR="00A20EC0" w14:paraId="7750308B" w14:textId="77777777">
                <w:trPr>
                  <w:divId w:val="860123644"/>
                  <w:tblCellSpacing w:w="15" w:type="dxa"/>
                </w:trPr>
                <w:tc>
                  <w:tcPr>
                    <w:tcW w:w="50" w:type="pct"/>
                    <w:hideMark/>
                  </w:tcPr>
                  <w:p w14:paraId="773CA8C2" w14:textId="77777777" w:rsidR="00A20EC0" w:rsidRDefault="00A20EC0">
                    <w:pPr>
                      <w:pStyle w:val="Bibliography"/>
                      <w:rPr>
                        <w:noProof/>
                      </w:rPr>
                    </w:pPr>
                    <w:r>
                      <w:rPr>
                        <w:noProof/>
                      </w:rPr>
                      <w:t xml:space="preserve">[9] </w:t>
                    </w:r>
                  </w:p>
                </w:tc>
                <w:tc>
                  <w:tcPr>
                    <w:tcW w:w="0" w:type="auto"/>
                    <w:hideMark/>
                  </w:tcPr>
                  <w:p w14:paraId="6D231E59" w14:textId="4D70080E" w:rsidR="00A20EC0" w:rsidRDefault="00A20EC0">
                    <w:pPr>
                      <w:pStyle w:val="Bibliography"/>
                      <w:rPr>
                        <w:noProof/>
                      </w:rPr>
                    </w:pPr>
                    <w:r w:rsidRPr="00A20EC0">
                      <w:rPr>
                        <w:noProof/>
                        <w:lang w:val="en-GB"/>
                      </w:rPr>
                      <w:t xml:space="preserve">Information Commissioner’s Office, «Personal data breaches: a guide,» 20 August 2025. </w:t>
                    </w:r>
                    <w:r w:rsidR="00474887" w:rsidRPr="00474887">
                      <w:rPr>
                        <w:noProof/>
                        <w:lang w:val="en-GB"/>
                      </w:rPr>
                      <w:t>[Online]</w:t>
                    </w:r>
                    <w:r w:rsidRPr="00474887">
                      <w:rPr>
                        <w:noProof/>
                        <w:lang w:val="en-GB"/>
                      </w:rPr>
                      <w:t xml:space="preserve">. Available: https://ico.org.uk/for-organisations/report-a-breach/personal-data-breach/personal-data-breaches-a-guide/. </w:t>
                    </w:r>
                    <w:r w:rsidR="00474887" w:rsidRPr="00474887">
                      <w:rPr>
                        <w:noProof/>
                        <w:lang w:val="en-GB"/>
                      </w:rPr>
                      <w:t xml:space="preserve"> </w:t>
                    </w:r>
                    <w:r w:rsidR="00474887" w:rsidRPr="00474887">
                      <w:rPr>
                        <w:noProof/>
                      </w:rPr>
                      <w:t>[Accessed: 11 Aug. 2026]</w:t>
                    </w:r>
                    <w:r>
                      <w:rPr>
                        <w:noProof/>
                      </w:rPr>
                      <w:t>.</w:t>
                    </w:r>
                  </w:p>
                </w:tc>
              </w:tr>
              <w:tr w:rsidR="00A20EC0" w:rsidRPr="00A20EC0" w14:paraId="098B9B99" w14:textId="77777777">
                <w:trPr>
                  <w:divId w:val="860123644"/>
                  <w:tblCellSpacing w:w="15" w:type="dxa"/>
                </w:trPr>
                <w:tc>
                  <w:tcPr>
                    <w:tcW w:w="50" w:type="pct"/>
                    <w:hideMark/>
                  </w:tcPr>
                  <w:p w14:paraId="5A633A35" w14:textId="77777777" w:rsidR="00A20EC0" w:rsidRDefault="00A20EC0">
                    <w:pPr>
                      <w:pStyle w:val="Bibliography"/>
                      <w:rPr>
                        <w:noProof/>
                      </w:rPr>
                    </w:pPr>
                    <w:r>
                      <w:rPr>
                        <w:noProof/>
                      </w:rPr>
                      <w:t xml:space="preserve">[10] </w:t>
                    </w:r>
                  </w:p>
                </w:tc>
                <w:tc>
                  <w:tcPr>
                    <w:tcW w:w="0" w:type="auto"/>
                    <w:hideMark/>
                  </w:tcPr>
                  <w:p w14:paraId="2BBCEAE2" w14:textId="5CC3D224" w:rsidR="00A20EC0" w:rsidRPr="00A20EC0" w:rsidRDefault="00A20EC0">
                    <w:pPr>
                      <w:pStyle w:val="Bibliography"/>
                      <w:rPr>
                        <w:noProof/>
                        <w:lang w:val="en-GB"/>
                      </w:rPr>
                    </w:pPr>
                    <w:r w:rsidRPr="00A20EC0">
                      <w:rPr>
                        <w:noProof/>
                        <w:lang w:val="en-GB"/>
                      </w:rPr>
                      <w:t>A. Nelson, S. Rekhi, M. Souppaya</w:t>
                    </w:r>
                    <w:r w:rsidR="00FD6CA1">
                      <w:rPr>
                        <w:noProof/>
                        <w:lang w:val="en-GB"/>
                      </w:rPr>
                      <w:t>,</w:t>
                    </w:r>
                    <w:r w:rsidRPr="00A20EC0">
                      <w:rPr>
                        <w:noProof/>
                        <w:lang w:val="en-GB"/>
                      </w:rPr>
                      <w:t xml:space="preserve"> K. Scarfone, «Incident Response Recommendations and Considerations for Cybersecurity Risk Management: A CSF 2.0 Community Profile,» National Institute of Standards and Technology, Gaithersburg, MD, 2025.</w:t>
                    </w:r>
                  </w:p>
                </w:tc>
              </w:tr>
            </w:tbl>
            <w:p w14:paraId="4BDCF899" w14:textId="77777777" w:rsidR="00A20EC0" w:rsidRPr="00FD6CA1" w:rsidRDefault="00A20EC0">
              <w:pPr>
                <w:divId w:val="860123644"/>
                <w:rPr>
                  <w:rFonts w:eastAsia="Times New Roman"/>
                  <w:noProof/>
                  <w:lang w:val="en-GB"/>
                </w:rPr>
              </w:pPr>
            </w:p>
            <w:p w14:paraId="58F63AD2" w14:textId="77777777" w:rsidR="002A68B8" w:rsidRDefault="001A491A" w:rsidP="002A68B8">
              <w:pPr>
                <w:pStyle w:val="Heading2"/>
              </w:pPr>
              <w:r>
                <w:rPr>
                  <w:bCs/>
                  <w:noProof/>
                </w:rPr>
                <w:lastRenderedPageBreak/>
                <w:fldChar w:fldCharType="end"/>
              </w:r>
            </w:p>
          </w:sdtContent>
        </w:sdt>
      </w:sdtContent>
    </w:sdt>
    <w:p w14:paraId="3D0B0E70" w14:textId="6763F7D4" w:rsidR="00C70314" w:rsidRDefault="002A68B8" w:rsidP="002A68B8">
      <w:pPr>
        <w:pStyle w:val="Heading1"/>
        <w:rPr>
          <w:rFonts w:ascii="Times New Roman" w:hAnsi="Times New Roman" w:cs="Times New Roman"/>
          <w:b/>
          <w:bCs/>
          <w:color w:val="auto"/>
          <w:sz w:val="32"/>
          <w:szCs w:val="32"/>
          <w:lang w:val="en-GB"/>
        </w:rPr>
      </w:pPr>
      <w:bookmarkStart w:id="18" w:name="_Toc237432024"/>
      <w:r w:rsidRPr="002A68B8">
        <w:rPr>
          <w:rFonts w:ascii="Times New Roman" w:hAnsi="Times New Roman" w:cs="Times New Roman"/>
          <w:b/>
          <w:bCs/>
          <w:color w:val="auto"/>
          <w:sz w:val="32"/>
          <w:szCs w:val="32"/>
          <w:lang w:val="en-GB"/>
        </w:rPr>
        <w:t>Appendix</w:t>
      </w:r>
      <w:bookmarkEnd w:id="18"/>
    </w:p>
    <w:p w14:paraId="097174AC" w14:textId="77777777" w:rsidR="00A51713" w:rsidRDefault="002A68B8" w:rsidP="00A51713">
      <w:pPr>
        <w:keepNext/>
      </w:pPr>
      <w:r>
        <w:rPr>
          <w:noProof/>
          <w:lang w:val="en-GB"/>
        </w:rPr>
        <w:drawing>
          <wp:inline distT="0" distB="0" distL="0" distR="0" wp14:anchorId="38468993" wp14:editId="5960E8FE">
            <wp:extent cx="5731510" cy="3223895"/>
            <wp:effectExtent l="0" t="0" r="0" b="1905"/>
            <wp:docPr id="407900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90034" name="Picture 4079003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095A839" w14:textId="551E6169" w:rsidR="00A51713" w:rsidRDefault="00A51713" w:rsidP="00A51713">
      <w:pPr>
        <w:pStyle w:val="Caption"/>
      </w:pPr>
      <w:proofErr w:type="spellStart"/>
      <w:r>
        <w:t>Figure</w:t>
      </w:r>
      <w:proofErr w:type="spellEnd"/>
      <w:r>
        <w:t xml:space="preserve"> </w:t>
      </w:r>
      <w:r>
        <w:fldChar w:fldCharType="begin"/>
      </w:r>
      <w:r>
        <w:instrText xml:space="preserve"> SEQ Figure \* ARABIC </w:instrText>
      </w:r>
      <w:r>
        <w:fldChar w:fldCharType="separate"/>
      </w:r>
      <w:r>
        <w:rPr>
          <w:noProof/>
        </w:rPr>
        <w:t>1</w:t>
      </w:r>
      <w:r>
        <w:fldChar w:fldCharType="end"/>
      </w:r>
      <w:r>
        <w:rPr>
          <w:lang w:val="en-GB"/>
        </w:rPr>
        <w:t>: Slide 1</w:t>
      </w:r>
    </w:p>
    <w:p w14:paraId="2F98553C" w14:textId="77777777" w:rsidR="00A51713" w:rsidRDefault="002A68B8" w:rsidP="00A51713">
      <w:pPr>
        <w:keepNext/>
      </w:pPr>
      <w:r>
        <w:rPr>
          <w:noProof/>
          <w:lang w:val="en-GB"/>
        </w:rPr>
        <w:drawing>
          <wp:inline distT="0" distB="0" distL="0" distR="0" wp14:anchorId="429EEE08" wp14:editId="647E3916">
            <wp:extent cx="5731510" cy="3223895"/>
            <wp:effectExtent l="0" t="0" r="0" b="1905"/>
            <wp:docPr id="21454545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454559" name="Picture 214545455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20ABE8F" w14:textId="6B3FF9B5" w:rsidR="00A51713" w:rsidRDefault="00A51713" w:rsidP="00A51713">
      <w:pPr>
        <w:pStyle w:val="Caption"/>
      </w:pPr>
      <w:proofErr w:type="spellStart"/>
      <w:r>
        <w:t>Figure</w:t>
      </w:r>
      <w:proofErr w:type="spellEnd"/>
      <w:r>
        <w:t xml:space="preserve"> </w:t>
      </w:r>
      <w:r>
        <w:fldChar w:fldCharType="begin"/>
      </w:r>
      <w:r>
        <w:instrText xml:space="preserve"> SEQ Figure \* ARABIC </w:instrText>
      </w:r>
      <w:r>
        <w:fldChar w:fldCharType="separate"/>
      </w:r>
      <w:r>
        <w:rPr>
          <w:noProof/>
        </w:rPr>
        <w:t>2</w:t>
      </w:r>
      <w:r>
        <w:fldChar w:fldCharType="end"/>
      </w:r>
      <w:r>
        <w:rPr>
          <w:lang w:val="en-GB"/>
        </w:rPr>
        <w:t>: Slide 2</w:t>
      </w:r>
    </w:p>
    <w:p w14:paraId="1EB98E3F" w14:textId="77777777" w:rsidR="00A51713" w:rsidRDefault="002A68B8" w:rsidP="00A51713">
      <w:pPr>
        <w:keepNext/>
      </w:pPr>
      <w:r>
        <w:rPr>
          <w:noProof/>
          <w:lang w:val="en-GB"/>
        </w:rPr>
        <w:lastRenderedPageBreak/>
        <w:drawing>
          <wp:inline distT="0" distB="0" distL="0" distR="0" wp14:anchorId="19FEF893" wp14:editId="3AEB007B">
            <wp:extent cx="5731510" cy="3223895"/>
            <wp:effectExtent l="0" t="0" r="0" b="1905"/>
            <wp:docPr id="72929788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297881" name="Picture 72929788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F92D64F" w14:textId="648BF646" w:rsidR="00A51713" w:rsidRDefault="00A51713" w:rsidP="00A51713">
      <w:pPr>
        <w:pStyle w:val="Caption"/>
      </w:pPr>
      <w:proofErr w:type="spellStart"/>
      <w:r>
        <w:t>Figure</w:t>
      </w:r>
      <w:proofErr w:type="spellEnd"/>
      <w:r>
        <w:t xml:space="preserve"> </w:t>
      </w:r>
      <w:r>
        <w:fldChar w:fldCharType="begin"/>
      </w:r>
      <w:r>
        <w:instrText xml:space="preserve"> SEQ Figure \* ARABIC </w:instrText>
      </w:r>
      <w:r>
        <w:fldChar w:fldCharType="separate"/>
      </w:r>
      <w:r>
        <w:rPr>
          <w:noProof/>
        </w:rPr>
        <w:t>3</w:t>
      </w:r>
      <w:r>
        <w:fldChar w:fldCharType="end"/>
      </w:r>
      <w:r>
        <w:rPr>
          <w:lang w:val="en-GB"/>
        </w:rPr>
        <w:t>: Slide 3</w:t>
      </w:r>
    </w:p>
    <w:p w14:paraId="793B7E5D" w14:textId="77777777" w:rsidR="00A51713" w:rsidRDefault="002A68B8" w:rsidP="00A51713">
      <w:pPr>
        <w:keepNext/>
      </w:pPr>
      <w:r>
        <w:rPr>
          <w:noProof/>
          <w:lang w:val="en-GB"/>
        </w:rPr>
        <w:drawing>
          <wp:inline distT="0" distB="0" distL="0" distR="0" wp14:anchorId="2841D27D" wp14:editId="16364468">
            <wp:extent cx="5731510" cy="3223895"/>
            <wp:effectExtent l="0" t="0" r="0" b="1905"/>
            <wp:docPr id="10533026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302685" name="Picture 105330268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A6BA3B4" w14:textId="0199ED51" w:rsidR="00A51713" w:rsidRDefault="00A51713" w:rsidP="00A51713">
      <w:pPr>
        <w:pStyle w:val="Caption"/>
      </w:pPr>
      <w:proofErr w:type="spellStart"/>
      <w:r>
        <w:t>Figure</w:t>
      </w:r>
      <w:proofErr w:type="spellEnd"/>
      <w:r>
        <w:t xml:space="preserve"> </w:t>
      </w:r>
      <w:r>
        <w:fldChar w:fldCharType="begin"/>
      </w:r>
      <w:r>
        <w:instrText xml:space="preserve"> SEQ Figure \* ARABIC </w:instrText>
      </w:r>
      <w:r>
        <w:fldChar w:fldCharType="separate"/>
      </w:r>
      <w:r>
        <w:rPr>
          <w:noProof/>
        </w:rPr>
        <w:t>4</w:t>
      </w:r>
      <w:r>
        <w:fldChar w:fldCharType="end"/>
      </w:r>
      <w:r>
        <w:rPr>
          <w:lang w:val="en-GB"/>
        </w:rPr>
        <w:t xml:space="preserve">: </w:t>
      </w:r>
      <w:r w:rsidR="00761947">
        <w:rPr>
          <w:lang w:val="en-GB"/>
        </w:rPr>
        <w:t>Slide</w:t>
      </w:r>
      <w:r>
        <w:rPr>
          <w:lang w:val="en-GB"/>
        </w:rPr>
        <w:t xml:space="preserve"> 4</w:t>
      </w:r>
    </w:p>
    <w:p w14:paraId="0A3CDE24" w14:textId="77777777" w:rsidR="00A51713" w:rsidRDefault="002A68B8" w:rsidP="00A51713">
      <w:pPr>
        <w:keepNext/>
      </w:pPr>
      <w:r>
        <w:rPr>
          <w:noProof/>
          <w:lang w:val="en-GB"/>
        </w:rPr>
        <w:lastRenderedPageBreak/>
        <w:drawing>
          <wp:inline distT="0" distB="0" distL="0" distR="0" wp14:anchorId="560AC2A7" wp14:editId="4EDBE123">
            <wp:extent cx="5731368" cy="3223895"/>
            <wp:effectExtent l="0" t="0" r="0" b="1905"/>
            <wp:docPr id="73027015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270153" name="Picture 1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368" cy="3223895"/>
                    </a:xfrm>
                    <a:prstGeom prst="rect">
                      <a:avLst/>
                    </a:prstGeom>
                  </pic:spPr>
                </pic:pic>
              </a:graphicData>
            </a:graphic>
          </wp:inline>
        </w:drawing>
      </w:r>
    </w:p>
    <w:p w14:paraId="5C22C8E4" w14:textId="470392C4" w:rsidR="00A51713" w:rsidRDefault="00A51713" w:rsidP="00A51713">
      <w:pPr>
        <w:pStyle w:val="Caption"/>
      </w:pPr>
      <w:proofErr w:type="spellStart"/>
      <w:r>
        <w:t>Figure</w:t>
      </w:r>
      <w:proofErr w:type="spellEnd"/>
      <w:r>
        <w:t xml:space="preserve"> </w:t>
      </w:r>
      <w:r>
        <w:fldChar w:fldCharType="begin"/>
      </w:r>
      <w:r>
        <w:instrText xml:space="preserve"> SEQ Figure \* ARABIC </w:instrText>
      </w:r>
      <w:r>
        <w:fldChar w:fldCharType="separate"/>
      </w:r>
      <w:r>
        <w:rPr>
          <w:noProof/>
        </w:rPr>
        <w:t>5</w:t>
      </w:r>
      <w:r>
        <w:fldChar w:fldCharType="end"/>
      </w:r>
      <w:r>
        <w:rPr>
          <w:lang w:val="en-GB"/>
        </w:rPr>
        <w:t>: Slide 5</w:t>
      </w:r>
    </w:p>
    <w:p w14:paraId="63168158" w14:textId="77777777" w:rsidR="00A51713" w:rsidRDefault="002A68B8" w:rsidP="00A51713">
      <w:pPr>
        <w:keepNext/>
      </w:pPr>
      <w:r>
        <w:rPr>
          <w:noProof/>
          <w:lang w:val="en-GB"/>
        </w:rPr>
        <w:drawing>
          <wp:inline distT="0" distB="0" distL="0" distR="0" wp14:anchorId="067F3420" wp14:editId="75159C41">
            <wp:extent cx="5731510" cy="3223895"/>
            <wp:effectExtent l="0" t="0" r="0" b="1905"/>
            <wp:docPr id="25499025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990253" name="Picture 25499025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16D00BB" w14:textId="54107693" w:rsidR="00A51713" w:rsidRDefault="00A51713" w:rsidP="00A51713">
      <w:pPr>
        <w:pStyle w:val="Caption"/>
      </w:pPr>
      <w:proofErr w:type="spellStart"/>
      <w:r>
        <w:t>Figure</w:t>
      </w:r>
      <w:proofErr w:type="spellEnd"/>
      <w:r>
        <w:t xml:space="preserve"> </w:t>
      </w:r>
      <w:r>
        <w:fldChar w:fldCharType="begin"/>
      </w:r>
      <w:r>
        <w:instrText xml:space="preserve"> SEQ Figure \* ARABIC </w:instrText>
      </w:r>
      <w:r>
        <w:fldChar w:fldCharType="separate"/>
      </w:r>
      <w:r>
        <w:rPr>
          <w:noProof/>
        </w:rPr>
        <w:t>6</w:t>
      </w:r>
      <w:r>
        <w:fldChar w:fldCharType="end"/>
      </w:r>
      <w:r>
        <w:rPr>
          <w:lang w:val="en-GB"/>
        </w:rPr>
        <w:t>: Slide 6</w:t>
      </w:r>
    </w:p>
    <w:p w14:paraId="7F374830" w14:textId="77777777" w:rsidR="00A51713" w:rsidRDefault="002A68B8" w:rsidP="00A51713">
      <w:pPr>
        <w:keepNext/>
      </w:pPr>
      <w:r>
        <w:rPr>
          <w:noProof/>
          <w:lang w:val="en-GB"/>
        </w:rPr>
        <w:lastRenderedPageBreak/>
        <w:drawing>
          <wp:inline distT="0" distB="0" distL="0" distR="0" wp14:anchorId="1B17C166" wp14:editId="3BE5AC73">
            <wp:extent cx="5731510" cy="3223895"/>
            <wp:effectExtent l="0" t="0" r="0" b="1905"/>
            <wp:docPr id="177108735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087351" name="Picture 177108735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6D96449" w14:textId="012CE49C" w:rsidR="00A51713" w:rsidRDefault="00A51713" w:rsidP="00A51713">
      <w:pPr>
        <w:pStyle w:val="Caption"/>
      </w:pPr>
      <w:proofErr w:type="spellStart"/>
      <w:r>
        <w:t>Figure</w:t>
      </w:r>
      <w:proofErr w:type="spellEnd"/>
      <w:r>
        <w:t xml:space="preserve"> </w:t>
      </w:r>
      <w:r>
        <w:fldChar w:fldCharType="begin"/>
      </w:r>
      <w:r>
        <w:instrText xml:space="preserve"> SEQ Figure \* ARABIC </w:instrText>
      </w:r>
      <w:r>
        <w:fldChar w:fldCharType="separate"/>
      </w:r>
      <w:r>
        <w:rPr>
          <w:noProof/>
        </w:rPr>
        <w:t>7</w:t>
      </w:r>
      <w:r>
        <w:fldChar w:fldCharType="end"/>
      </w:r>
      <w:r>
        <w:rPr>
          <w:lang w:val="en-GB"/>
        </w:rPr>
        <w:t>: Slide 7</w:t>
      </w:r>
    </w:p>
    <w:p w14:paraId="22AB73D1" w14:textId="77777777" w:rsidR="00A51713" w:rsidRDefault="002A68B8" w:rsidP="00A51713">
      <w:pPr>
        <w:keepNext/>
      </w:pPr>
      <w:r>
        <w:rPr>
          <w:noProof/>
          <w:lang w:val="en-GB"/>
        </w:rPr>
        <w:drawing>
          <wp:inline distT="0" distB="0" distL="0" distR="0" wp14:anchorId="46D81142" wp14:editId="468D759C">
            <wp:extent cx="5731510" cy="3223895"/>
            <wp:effectExtent l="0" t="0" r="0" b="1905"/>
            <wp:docPr id="30245929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459297" name="Picture 30245929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686E235" w14:textId="50A426AF" w:rsidR="00A51713" w:rsidRDefault="00A51713" w:rsidP="00A51713">
      <w:pPr>
        <w:pStyle w:val="Caption"/>
      </w:pPr>
      <w:proofErr w:type="spellStart"/>
      <w:r>
        <w:t>Figure</w:t>
      </w:r>
      <w:proofErr w:type="spellEnd"/>
      <w:r>
        <w:t xml:space="preserve"> </w:t>
      </w:r>
      <w:r>
        <w:fldChar w:fldCharType="begin"/>
      </w:r>
      <w:r>
        <w:instrText xml:space="preserve"> SEQ Figure \* ARABIC </w:instrText>
      </w:r>
      <w:r>
        <w:fldChar w:fldCharType="separate"/>
      </w:r>
      <w:r>
        <w:rPr>
          <w:noProof/>
        </w:rPr>
        <w:t>8</w:t>
      </w:r>
      <w:r>
        <w:fldChar w:fldCharType="end"/>
      </w:r>
      <w:r>
        <w:rPr>
          <w:lang w:val="en-GB"/>
        </w:rPr>
        <w:t>: Slide 8</w:t>
      </w:r>
    </w:p>
    <w:p w14:paraId="1C3DEFA3" w14:textId="77777777" w:rsidR="00A51713" w:rsidRDefault="002A68B8" w:rsidP="00A51713">
      <w:pPr>
        <w:keepNext/>
      </w:pPr>
      <w:r>
        <w:rPr>
          <w:noProof/>
          <w:lang w:val="en-GB"/>
        </w:rPr>
        <w:lastRenderedPageBreak/>
        <w:drawing>
          <wp:inline distT="0" distB="0" distL="0" distR="0" wp14:anchorId="33B86DEC" wp14:editId="4CA08EA7">
            <wp:extent cx="5731510" cy="3223895"/>
            <wp:effectExtent l="0" t="0" r="0" b="1905"/>
            <wp:docPr id="214517011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170119" name="Picture 214517011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F1EFFFB" w14:textId="401C7ED1" w:rsidR="00A51713" w:rsidRDefault="00A51713" w:rsidP="00A51713">
      <w:pPr>
        <w:pStyle w:val="Caption"/>
      </w:pPr>
      <w:proofErr w:type="spellStart"/>
      <w:r>
        <w:t>Figure</w:t>
      </w:r>
      <w:proofErr w:type="spellEnd"/>
      <w:r>
        <w:t xml:space="preserve"> </w:t>
      </w:r>
      <w:r>
        <w:fldChar w:fldCharType="begin"/>
      </w:r>
      <w:r>
        <w:instrText xml:space="preserve"> SEQ Figure \* ARABIC </w:instrText>
      </w:r>
      <w:r>
        <w:fldChar w:fldCharType="separate"/>
      </w:r>
      <w:r>
        <w:rPr>
          <w:noProof/>
        </w:rPr>
        <w:t>9</w:t>
      </w:r>
      <w:r>
        <w:fldChar w:fldCharType="end"/>
      </w:r>
      <w:r>
        <w:rPr>
          <w:lang w:val="en-GB"/>
        </w:rPr>
        <w:t>: Slide 9</w:t>
      </w:r>
    </w:p>
    <w:p w14:paraId="457B490D" w14:textId="77777777" w:rsidR="00A51713" w:rsidRDefault="002A68B8" w:rsidP="00A51713">
      <w:pPr>
        <w:keepNext/>
      </w:pPr>
      <w:r>
        <w:rPr>
          <w:noProof/>
          <w:lang w:val="en-GB"/>
        </w:rPr>
        <w:drawing>
          <wp:inline distT="0" distB="0" distL="0" distR="0" wp14:anchorId="61497CCE" wp14:editId="2327E59D">
            <wp:extent cx="5731510" cy="3223895"/>
            <wp:effectExtent l="0" t="0" r="0" b="1905"/>
            <wp:docPr id="6938958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89587" name="Picture 6938958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E5A4B52" w14:textId="6BB58811" w:rsidR="002A68B8" w:rsidRPr="002A68B8" w:rsidRDefault="00A51713" w:rsidP="00A51713">
      <w:pPr>
        <w:pStyle w:val="Caption"/>
        <w:rPr>
          <w:lang w:val="en-GB"/>
        </w:rPr>
      </w:pPr>
      <w:proofErr w:type="spellStart"/>
      <w:r>
        <w:t>Figure</w:t>
      </w:r>
      <w:proofErr w:type="spellEnd"/>
      <w:r>
        <w:t xml:space="preserve"> </w:t>
      </w:r>
      <w:r>
        <w:fldChar w:fldCharType="begin"/>
      </w:r>
      <w:r>
        <w:instrText xml:space="preserve"> SEQ Figure \* ARABIC </w:instrText>
      </w:r>
      <w:r>
        <w:fldChar w:fldCharType="separate"/>
      </w:r>
      <w:r>
        <w:rPr>
          <w:noProof/>
        </w:rPr>
        <w:t>10</w:t>
      </w:r>
      <w:r>
        <w:fldChar w:fldCharType="end"/>
      </w:r>
      <w:r>
        <w:rPr>
          <w:lang w:val="en-GB"/>
        </w:rPr>
        <w:t>: Slide 10</w:t>
      </w:r>
    </w:p>
    <w:sectPr w:rsidR="002A68B8" w:rsidRPr="002A68B8" w:rsidSect="00EA3F67">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4DB32B2" w14:textId="77777777" w:rsidR="00CD08EF" w:rsidRDefault="00CD08EF" w:rsidP="00237AAC">
      <w:pPr>
        <w:spacing w:after="0" w:line="240" w:lineRule="auto"/>
      </w:pPr>
      <w:r>
        <w:separator/>
      </w:r>
    </w:p>
  </w:endnote>
  <w:endnote w:type="continuationSeparator" w:id="0">
    <w:p w14:paraId="07B4BE6E" w14:textId="77777777" w:rsidR="00CD08EF" w:rsidRDefault="00CD08EF" w:rsidP="0023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202863115"/>
      <w:docPartObj>
        <w:docPartGallery w:val="Page Numbers (Bottom of Page)"/>
        <w:docPartUnique/>
      </w:docPartObj>
    </w:sdtPr>
    <w:sdtEndPr>
      <w:rPr>
        <w:noProof/>
      </w:rPr>
    </w:sdtEndPr>
    <w:sdtContent>
      <w:p w14:paraId="13874661" w14:textId="64751DA5" w:rsidR="00237AAC" w:rsidRDefault="00237A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5DAF17" w14:textId="77777777" w:rsidR="00237AAC" w:rsidRDefault="00237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5312078" w14:textId="77777777" w:rsidR="00CD08EF" w:rsidRDefault="00CD08EF" w:rsidP="00237AAC">
      <w:pPr>
        <w:spacing w:after="0" w:line="240" w:lineRule="auto"/>
      </w:pPr>
      <w:r>
        <w:separator/>
      </w:r>
    </w:p>
  </w:footnote>
  <w:footnote w:type="continuationSeparator" w:id="0">
    <w:p w14:paraId="24E3E9AD" w14:textId="77777777" w:rsidR="00CD08EF" w:rsidRDefault="00CD08EF" w:rsidP="00237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E6B6297"/>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3171C74"/>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3C6413"/>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389754">
    <w:abstractNumId w:val="14"/>
  </w:num>
  <w:num w:numId="2" w16cid:durableId="986477931">
    <w:abstractNumId w:val="10"/>
  </w:num>
  <w:num w:numId="3" w16cid:durableId="109668438">
    <w:abstractNumId w:val="15"/>
  </w:num>
  <w:num w:numId="4" w16cid:durableId="816528024">
    <w:abstractNumId w:val="20"/>
  </w:num>
  <w:num w:numId="5" w16cid:durableId="1430393383">
    <w:abstractNumId w:val="19"/>
  </w:num>
  <w:num w:numId="6" w16cid:durableId="1824466593">
    <w:abstractNumId w:val="4"/>
  </w:num>
  <w:num w:numId="7" w16cid:durableId="872423946">
    <w:abstractNumId w:val="2"/>
  </w:num>
  <w:num w:numId="8" w16cid:durableId="1204249372">
    <w:abstractNumId w:val="9"/>
  </w:num>
  <w:num w:numId="9" w16cid:durableId="1108542330">
    <w:abstractNumId w:val="18"/>
  </w:num>
  <w:num w:numId="10" w16cid:durableId="139662970">
    <w:abstractNumId w:val="0"/>
  </w:num>
  <w:num w:numId="11" w16cid:durableId="2117362102">
    <w:abstractNumId w:val="8"/>
  </w:num>
  <w:num w:numId="12" w16cid:durableId="1886486162">
    <w:abstractNumId w:val="22"/>
  </w:num>
  <w:num w:numId="13" w16cid:durableId="2076928035">
    <w:abstractNumId w:val="1"/>
  </w:num>
  <w:num w:numId="14" w16cid:durableId="2081126105">
    <w:abstractNumId w:val="5"/>
  </w:num>
  <w:num w:numId="15" w16cid:durableId="171723733">
    <w:abstractNumId w:val="17"/>
  </w:num>
  <w:num w:numId="16" w16cid:durableId="593322404">
    <w:abstractNumId w:val="11"/>
  </w:num>
  <w:num w:numId="17" w16cid:durableId="1686251031">
    <w:abstractNumId w:val="6"/>
  </w:num>
  <w:num w:numId="18" w16cid:durableId="1498418867">
    <w:abstractNumId w:val="3"/>
  </w:num>
  <w:num w:numId="19" w16cid:durableId="1468358145">
    <w:abstractNumId w:val="7"/>
  </w:num>
  <w:num w:numId="20" w16cid:durableId="1249584957">
    <w:abstractNumId w:val="21"/>
  </w:num>
  <w:num w:numId="21" w16cid:durableId="335036797">
    <w:abstractNumId w:val="12"/>
  </w:num>
  <w:num w:numId="22" w16cid:durableId="1798839759">
    <w:abstractNumId w:val="16"/>
  </w:num>
  <w:num w:numId="23" w16cid:durableId="954016428">
    <w:abstractNumId w:val="1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4"/>
  <w:activeWritingStyle w:appName="MSWord" w:lang="ru-RU" w:vendorID="64" w:dllVersion="0" w:nlCheck="1" w:checkStyle="0"/>
  <w:activeWritingStyle w:appName="MSWord" w:lang="en-GB" w:vendorID="64" w:dllVersion="0"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C4"/>
    <w:rsid w:val="00007B1F"/>
    <w:rsid w:val="00014757"/>
    <w:rsid w:val="00030750"/>
    <w:rsid w:val="00031E83"/>
    <w:rsid w:val="00034390"/>
    <w:rsid w:val="00035DC8"/>
    <w:rsid w:val="00037E46"/>
    <w:rsid w:val="000417A6"/>
    <w:rsid w:val="000450BC"/>
    <w:rsid w:val="000515E4"/>
    <w:rsid w:val="000552AB"/>
    <w:rsid w:val="00062E69"/>
    <w:rsid w:val="00064C75"/>
    <w:rsid w:val="00081F11"/>
    <w:rsid w:val="00094078"/>
    <w:rsid w:val="0009539A"/>
    <w:rsid w:val="000A299B"/>
    <w:rsid w:val="000A58B4"/>
    <w:rsid w:val="000A782C"/>
    <w:rsid w:val="000A7A8E"/>
    <w:rsid w:val="000B56B7"/>
    <w:rsid w:val="000B6CDC"/>
    <w:rsid w:val="000C410C"/>
    <w:rsid w:val="000C72D5"/>
    <w:rsid w:val="000D2480"/>
    <w:rsid w:val="000D2539"/>
    <w:rsid w:val="000D63C7"/>
    <w:rsid w:val="000E05C2"/>
    <w:rsid w:val="000E3BEA"/>
    <w:rsid w:val="000E3DF9"/>
    <w:rsid w:val="000E3F2C"/>
    <w:rsid w:val="000E6002"/>
    <w:rsid w:val="000F7CA5"/>
    <w:rsid w:val="00101A54"/>
    <w:rsid w:val="00104D88"/>
    <w:rsid w:val="00115630"/>
    <w:rsid w:val="001164F9"/>
    <w:rsid w:val="00120B5D"/>
    <w:rsid w:val="00121ED1"/>
    <w:rsid w:val="00123151"/>
    <w:rsid w:val="00125FB7"/>
    <w:rsid w:val="001262E4"/>
    <w:rsid w:val="0012691A"/>
    <w:rsid w:val="00127E46"/>
    <w:rsid w:val="00130701"/>
    <w:rsid w:val="0013253F"/>
    <w:rsid w:val="00136086"/>
    <w:rsid w:val="001431F9"/>
    <w:rsid w:val="001445DE"/>
    <w:rsid w:val="0014496F"/>
    <w:rsid w:val="00146A97"/>
    <w:rsid w:val="00153B8A"/>
    <w:rsid w:val="0015505F"/>
    <w:rsid w:val="00162CFE"/>
    <w:rsid w:val="001702C1"/>
    <w:rsid w:val="00174879"/>
    <w:rsid w:val="0018271B"/>
    <w:rsid w:val="001835DA"/>
    <w:rsid w:val="00190F08"/>
    <w:rsid w:val="00195F28"/>
    <w:rsid w:val="001974D8"/>
    <w:rsid w:val="00197824"/>
    <w:rsid w:val="001A491A"/>
    <w:rsid w:val="001A4C82"/>
    <w:rsid w:val="001A6A1C"/>
    <w:rsid w:val="001A7558"/>
    <w:rsid w:val="001B0A67"/>
    <w:rsid w:val="001B3B94"/>
    <w:rsid w:val="001B6DC8"/>
    <w:rsid w:val="001C14E9"/>
    <w:rsid w:val="001C3963"/>
    <w:rsid w:val="001C693E"/>
    <w:rsid w:val="001C6E44"/>
    <w:rsid w:val="001D2E1A"/>
    <w:rsid w:val="001D6D28"/>
    <w:rsid w:val="001E38DE"/>
    <w:rsid w:val="001E7AEF"/>
    <w:rsid w:val="0020318C"/>
    <w:rsid w:val="00210515"/>
    <w:rsid w:val="00210971"/>
    <w:rsid w:val="00215A8B"/>
    <w:rsid w:val="00215D93"/>
    <w:rsid w:val="00220889"/>
    <w:rsid w:val="0022467B"/>
    <w:rsid w:val="002324C8"/>
    <w:rsid w:val="00236F4E"/>
    <w:rsid w:val="00237AAC"/>
    <w:rsid w:val="00237E3D"/>
    <w:rsid w:val="002409D2"/>
    <w:rsid w:val="00247576"/>
    <w:rsid w:val="00247772"/>
    <w:rsid w:val="00250AEC"/>
    <w:rsid w:val="0025194D"/>
    <w:rsid w:val="002559FD"/>
    <w:rsid w:val="00255DB3"/>
    <w:rsid w:val="0025729B"/>
    <w:rsid w:val="002575E6"/>
    <w:rsid w:val="0026013D"/>
    <w:rsid w:val="002636D2"/>
    <w:rsid w:val="00272F33"/>
    <w:rsid w:val="0027373A"/>
    <w:rsid w:val="002751EC"/>
    <w:rsid w:val="002765B0"/>
    <w:rsid w:val="002779E8"/>
    <w:rsid w:val="002846A6"/>
    <w:rsid w:val="0028520E"/>
    <w:rsid w:val="00292C18"/>
    <w:rsid w:val="00293DA2"/>
    <w:rsid w:val="002A0A36"/>
    <w:rsid w:val="002A2436"/>
    <w:rsid w:val="002A373C"/>
    <w:rsid w:val="002A61DA"/>
    <w:rsid w:val="002A67DE"/>
    <w:rsid w:val="002A68B8"/>
    <w:rsid w:val="002B1BC2"/>
    <w:rsid w:val="002B2DFD"/>
    <w:rsid w:val="002B34C1"/>
    <w:rsid w:val="002B47B5"/>
    <w:rsid w:val="002B7C59"/>
    <w:rsid w:val="002C43C8"/>
    <w:rsid w:val="002C47E8"/>
    <w:rsid w:val="002C4DE5"/>
    <w:rsid w:val="002C720F"/>
    <w:rsid w:val="002D0DF0"/>
    <w:rsid w:val="002D165F"/>
    <w:rsid w:val="002D7D62"/>
    <w:rsid w:val="002E0416"/>
    <w:rsid w:val="002E4922"/>
    <w:rsid w:val="00307FC1"/>
    <w:rsid w:val="00313079"/>
    <w:rsid w:val="00320393"/>
    <w:rsid w:val="0032529D"/>
    <w:rsid w:val="00331833"/>
    <w:rsid w:val="00340B85"/>
    <w:rsid w:val="00345C81"/>
    <w:rsid w:val="00345EEF"/>
    <w:rsid w:val="00347479"/>
    <w:rsid w:val="00350507"/>
    <w:rsid w:val="0035543C"/>
    <w:rsid w:val="003671A8"/>
    <w:rsid w:val="00367B31"/>
    <w:rsid w:val="003703BA"/>
    <w:rsid w:val="00371E8F"/>
    <w:rsid w:val="00382580"/>
    <w:rsid w:val="00382700"/>
    <w:rsid w:val="003849BD"/>
    <w:rsid w:val="00386559"/>
    <w:rsid w:val="00390BFD"/>
    <w:rsid w:val="003946F0"/>
    <w:rsid w:val="00395F07"/>
    <w:rsid w:val="003A0917"/>
    <w:rsid w:val="003A0D70"/>
    <w:rsid w:val="003A22C1"/>
    <w:rsid w:val="003A2818"/>
    <w:rsid w:val="003A6317"/>
    <w:rsid w:val="003B0710"/>
    <w:rsid w:val="003B2B3B"/>
    <w:rsid w:val="003B38F8"/>
    <w:rsid w:val="003B44A5"/>
    <w:rsid w:val="003C0434"/>
    <w:rsid w:val="003C2ACD"/>
    <w:rsid w:val="003C4AC1"/>
    <w:rsid w:val="003D50CF"/>
    <w:rsid w:val="003E0EFC"/>
    <w:rsid w:val="003E6506"/>
    <w:rsid w:val="003E6726"/>
    <w:rsid w:val="003F3185"/>
    <w:rsid w:val="003F7DE2"/>
    <w:rsid w:val="00400BE5"/>
    <w:rsid w:val="004011D0"/>
    <w:rsid w:val="00410C95"/>
    <w:rsid w:val="004135C8"/>
    <w:rsid w:val="004141DA"/>
    <w:rsid w:val="0041430E"/>
    <w:rsid w:val="004161BF"/>
    <w:rsid w:val="004200C5"/>
    <w:rsid w:val="0042374D"/>
    <w:rsid w:val="00424EFB"/>
    <w:rsid w:val="004265A2"/>
    <w:rsid w:val="00426842"/>
    <w:rsid w:val="00427BC4"/>
    <w:rsid w:val="00432FB3"/>
    <w:rsid w:val="004352BB"/>
    <w:rsid w:val="0043604C"/>
    <w:rsid w:val="004406E9"/>
    <w:rsid w:val="00441C21"/>
    <w:rsid w:val="00442011"/>
    <w:rsid w:val="0044301B"/>
    <w:rsid w:val="004450AE"/>
    <w:rsid w:val="00445614"/>
    <w:rsid w:val="004465DD"/>
    <w:rsid w:val="00447030"/>
    <w:rsid w:val="00450839"/>
    <w:rsid w:val="00452816"/>
    <w:rsid w:val="00452B0F"/>
    <w:rsid w:val="004542E4"/>
    <w:rsid w:val="00455236"/>
    <w:rsid w:val="00457801"/>
    <w:rsid w:val="004619CE"/>
    <w:rsid w:val="00461E4B"/>
    <w:rsid w:val="004625B1"/>
    <w:rsid w:val="00465FCE"/>
    <w:rsid w:val="00472E5F"/>
    <w:rsid w:val="00474887"/>
    <w:rsid w:val="004756E0"/>
    <w:rsid w:val="00475D65"/>
    <w:rsid w:val="00476677"/>
    <w:rsid w:val="004776AF"/>
    <w:rsid w:val="004777E8"/>
    <w:rsid w:val="0047795B"/>
    <w:rsid w:val="00477AC1"/>
    <w:rsid w:val="00480B77"/>
    <w:rsid w:val="00486484"/>
    <w:rsid w:val="00486B4F"/>
    <w:rsid w:val="004877C8"/>
    <w:rsid w:val="0049048C"/>
    <w:rsid w:val="0049091E"/>
    <w:rsid w:val="004945A6"/>
    <w:rsid w:val="004946EF"/>
    <w:rsid w:val="00495DFD"/>
    <w:rsid w:val="00496081"/>
    <w:rsid w:val="004973FE"/>
    <w:rsid w:val="004A012B"/>
    <w:rsid w:val="004A45B7"/>
    <w:rsid w:val="004B1672"/>
    <w:rsid w:val="004B3A7D"/>
    <w:rsid w:val="004C0C3A"/>
    <w:rsid w:val="004C131D"/>
    <w:rsid w:val="004D0335"/>
    <w:rsid w:val="004D0C29"/>
    <w:rsid w:val="004D1FB5"/>
    <w:rsid w:val="004D2F26"/>
    <w:rsid w:val="004D3AD2"/>
    <w:rsid w:val="004E2575"/>
    <w:rsid w:val="004F4035"/>
    <w:rsid w:val="004F4F83"/>
    <w:rsid w:val="004F51A1"/>
    <w:rsid w:val="004F6C03"/>
    <w:rsid w:val="00500ABD"/>
    <w:rsid w:val="0050286E"/>
    <w:rsid w:val="0050650F"/>
    <w:rsid w:val="00506E57"/>
    <w:rsid w:val="00512343"/>
    <w:rsid w:val="005260D4"/>
    <w:rsid w:val="0053181B"/>
    <w:rsid w:val="0054351C"/>
    <w:rsid w:val="005438B4"/>
    <w:rsid w:val="005521F9"/>
    <w:rsid w:val="00554D61"/>
    <w:rsid w:val="0056320E"/>
    <w:rsid w:val="0056667B"/>
    <w:rsid w:val="00571BE5"/>
    <w:rsid w:val="00573119"/>
    <w:rsid w:val="005738E3"/>
    <w:rsid w:val="005766BB"/>
    <w:rsid w:val="005766F9"/>
    <w:rsid w:val="00582B05"/>
    <w:rsid w:val="00590BBC"/>
    <w:rsid w:val="005A0A7F"/>
    <w:rsid w:val="005A0C91"/>
    <w:rsid w:val="005A49BB"/>
    <w:rsid w:val="005A5393"/>
    <w:rsid w:val="005B2616"/>
    <w:rsid w:val="005B2763"/>
    <w:rsid w:val="005B2CD1"/>
    <w:rsid w:val="005B469D"/>
    <w:rsid w:val="005C7738"/>
    <w:rsid w:val="005D43DC"/>
    <w:rsid w:val="005D5071"/>
    <w:rsid w:val="005D52D2"/>
    <w:rsid w:val="0060600B"/>
    <w:rsid w:val="00610933"/>
    <w:rsid w:val="00611821"/>
    <w:rsid w:val="00615E47"/>
    <w:rsid w:val="006164A0"/>
    <w:rsid w:val="006219E0"/>
    <w:rsid w:val="0062489E"/>
    <w:rsid w:val="00625A36"/>
    <w:rsid w:val="00625F4F"/>
    <w:rsid w:val="00633EAF"/>
    <w:rsid w:val="006340F3"/>
    <w:rsid w:val="0063492C"/>
    <w:rsid w:val="00636577"/>
    <w:rsid w:val="0064334D"/>
    <w:rsid w:val="00644442"/>
    <w:rsid w:val="006515BE"/>
    <w:rsid w:val="0066063F"/>
    <w:rsid w:val="00660E2C"/>
    <w:rsid w:val="00662366"/>
    <w:rsid w:val="0066670F"/>
    <w:rsid w:val="006748F0"/>
    <w:rsid w:val="0067644F"/>
    <w:rsid w:val="00681669"/>
    <w:rsid w:val="0068427A"/>
    <w:rsid w:val="006849BD"/>
    <w:rsid w:val="00685A3C"/>
    <w:rsid w:val="006862D4"/>
    <w:rsid w:val="0069070B"/>
    <w:rsid w:val="006940B7"/>
    <w:rsid w:val="006946C4"/>
    <w:rsid w:val="00694957"/>
    <w:rsid w:val="00694FA4"/>
    <w:rsid w:val="00696605"/>
    <w:rsid w:val="006A12AA"/>
    <w:rsid w:val="006B20BF"/>
    <w:rsid w:val="006B662B"/>
    <w:rsid w:val="006C2710"/>
    <w:rsid w:val="006C2E82"/>
    <w:rsid w:val="006C3859"/>
    <w:rsid w:val="006C7AA6"/>
    <w:rsid w:val="006D2CAA"/>
    <w:rsid w:val="006D48EF"/>
    <w:rsid w:val="006D5AC7"/>
    <w:rsid w:val="006D6B23"/>
    <w:rsid w:val="006F13E3"/>
    <w:rsid w:val="006F4F4E"/>
    <w:rsid w:val="00701CCA"/>
    <w:rsid w:val="0070723F"/>
    <w:rsid w:val="007105D6"/>
    <w:rsid w:val="00715D98"/>
    <w:rsid w:val="0071782A"/>
    <w:rsid w:val="00724C68"/>
    <w:rsid w:val="00730C8A"/>
    <w:rsid w:val="00733A9D"/>
    <w:rsid w:val="00734B22"/>
    <w:rsid w:val="00735945"/>
    <w:rsid w:val="00737A12"/>
    <w:rsid w:val="0074170A"/>
    <w:rsid w:val="00746611"/>
    <w:rsid w:val="00752EC0"/>
    <w:rsid w:val="00754606"/>
    <w:rsid w:val="00755A28"/>
    <w:rsid w:val="00761947"/>
    <w:rsid w:val="007630D4"/>
    <w:rsid w:val="00777643"/>
    <w:rsid w:val="00786CEC"/>
    <w:rsid w:val="00791CE9"/>
    <w:rsid w:val="00797274"/>
    <w:rsid w:val="007A331E"/>
    <w:rsid w:val="007A5649"/>
    <w:rsid w:val="007A7E10"/>
    <w:rsid w:val="007C2756"/>
    <w:rsid w:val="007C5DCE"/>
    <w:rsid w:val="007D294B"/>
    <w:rsid w:val="007E0468"/>
    <w:rsid w:val="007E0975"/>
    <w:rsid w:val="007E115E"/>
    <w:rsid w:val="007E2F0C"/>
    <w:rsid w:val="007E4723"/>
    <w:rsid w:val="007E582C"/>
    <w:rsid w:val="007F279E"/>
    <w:rsid w:val="007F3CAB"/>
    <w:rsid w:val="007F513D"/>
    <w:rsid w:val="0080147D"/>
    <w:rsid w:val="00803170"/>
    <w:rsid w:val="00806882"/>
    <w:rsid w:val="008112F7"/>
    <w:rsid w:val="00811659"/>
    <w:rsid w:val="00830DBB"/>
    <w:rsid w:val="00835E4A"/>
    <w:rsid w:val="00836A1A"/>
    <w:rsid w:val="00836F03"/>
    <w:rsid w:val="0083716A"/>
    <w:rsid w:val="0083782B"/>
    <w:rsid w:val="0084065F"/>
    <w:rsid w:val="00841403"/>
    <w:rsid w:val="00847273"/>
    <w:rsid w:val="008505DB"/>
    <w:rsid w:val="00851286"/>
    <w:rsid w:val="0085681F"/>
    <w:rsid w:val="00866C18"/>
    <w:rsid w:val="00871E87"/>
    <w:rsid w:val="008767F9"/>
    <w:rsid w:val="00881688"/>
    <w:rsid w:val="00885228"/>
    <w:rsid w:val="00891AC9"/>
    <w:rsid w:val="00892B46"/>
    <w:rsid w:val="008934F9"/>
    <w:rsid w:val="00894F49"/>
    <w:rsid w:val="00897CCD"/>
    <w:rsid w:val="008A268A"/>
    <w:rsid w:val="008A2C73"/>
    <w:rsid w:val="008A37E4"/>
    <w:rsid w:val="008A45AC"/>
    <w:rsid w:val="008A5809"/>
    <w:rsid w:val="008B044C"/>
    <w:rsid w:val="008B1684"/>
    <w:rsid w:val="008B3B99"/>
    <w:rsid w:val="008B56C4"/>
    <w:rsid w:val="008C12FA"/>
    <w:rsid w:val="008D0FF2"/>
    <w:rsid w:val="008D22F3"/>
    <w:rsid w:val="008D44E6"/>
    <w:rsid w:val="008E1385"/>
    <w:rsid w:val="008E1920"/>
    <w:rsid w:val="008E203F"/>
    <w:rsid w:val="008E3959"/>
    <w:rsid w:val="008E6B30"/>
    <w:rsid w:val="008F3A06"/>
    <w:rsid w:val="008F551C"/>
    <w:rsid w:val="00900246"/>
    <w:rsid w:val="00902C8C"/>
    <w:rsid w:val="009066CD"/>
    <w:rsid w:val="00907D59"/>
    <w:rsid w:val="00907EAE"/>
    <w:rsid w:val="009133C6"/>
    <w:rsid w:val="0091386F"/>
    <w:rsid w:val="00915072"/>
    <w:rsid w:val="009164EE"/>
    <w:rsid w:val="00917B66"/>
    <w:rsid w:val="00921CF2"/>
    <w:rsid w:val="00922086"/>
    <w:rsid w:val="00933236"/>
    <w:rsid w:val="009361A9"/>
    <w:rsid w:val="00936385"/>
    <w:rsid w:val="009428E4"/>
    <w:rsid w:val="009439B1"/>
    <w:rsid w:val="009458EB"/>
    <w:rsid w:val="00947569"/>
    <w:rsid w:val="0095062C"/>
    <w:rsid w:val="00960E08"/>
    <w:rsid w:val="009615EE"/>
    <w:rsid w:val="009619D2"/>
    <w:rsid w:val="00966711"/>
    <w:rsid w:val="009708E8"/>
    <w:rsid w:val="00983E56"/>
    <w:rsid w:val="0098612F"/>
    <w:rsid w:val="0099637D"/>
    <w:rsid w:val="009A002E"/>
    <w:rsid w:val="009A1984"/>
    <w:rsid w:val="009A1C12"/>
    <w:rsid w:val="009A3D77"/>
    <w:rsid w:val="009A56DD"/>
    <w:rsid w:val="009A709D"/>
    <w:rsid w:val="009A78CE"/>
    <w:rsid w:val="009B41EC"/>
    <w:rsid w:val="009B4312"/>
    <w:rsid w:val="009C2321"/>
    <w:rsid w:val="009C6112"/>
    <w:rsid w:val="009D231A"/>
    <w:rsid w:val="009D4C68"/>
    <w:rsid w:val="009D601A"/>
    <w:rsid w:val="009D6D80"/>
    <w:rsid w:val="009E0311"/>
    <w:rsid w:val="009E4FCC"/>
    <w:rsid w:val="009E6F7E"/>
    <w:rsid w:val="009F208E"/>
    <w:rsid w:val="009F24B6"/>
    <w:rsid w:val="00A0314F"/>
    <w:rsid w:val="00A0453A"/>
    <w:rsid w:val="00A07AA5"/>
    <w:rsid w:val="00A10EDC"/>
    <w:rsid w:val="00A152F8"/>
    <w:rsid w:val="00A16EF6"/>
    <w:rsid w:val="00A17CEE"/>
    <w:rsid w:val="00A20BB3"/>
    <w:rsid w:val="00A20EC0"/>
    <w:rsid w:val="00A21BEF"/>
    <w:rsid w:val="00A23A96"/>
    <w:rsid w:val="00A2441E"/>
    <w:rsid w:val="00A27EB6"/>
    <w:rsid w:val="00A31F36"/>
    <w:rsid w:val="00A419E2"/>
    <w:rsid w:val="00A41C89"/>
    <w:rsid w:val="00A43EF6"/>
    <w:rsid w:val="00A458EB"/>
    <w:rsid w:val="00A5158D"/>
    <w:rsid w:val="00A51713"/>
    <w:rsid w:val="00A628B5"/>
    <w:rsid w:val="00A65B3A"/>
    <w:rsid w:val="00A676AC"/>
    <w:rsid w:val="00A75636"/>
    <w:rsid w:val="00A81307"/>
    <w:rsid w:val="00A849D9"/>
    <w:rsid w:val="00A90BC0"/>
    <w:rsid w:val="00AB075C"/>
    <w:rsid w:val="00AB1E49"/>
    <w:rsid w:val="00AB35DB"/>
    <w:rsid w:val="00AC3903"/>
    <w:rsid w:val="00AC6776"/>
    <w:rsid w:val="00AC6C7C"/>
    <w:rsid w:val="00AC6FBE"/>
    <w:rsid w:val="00AD719D"/>
    <w:rsid w:val="00AD7263"/>
    <w:rsid w:val="00AE466A"/>
    <w:rsid w:val="00AF0ED6"/>
    <w:rsid w:val="00AF23AF"/>
    <w:rsid w:val="00AF4541"/>
    <w:rsid w:val="00AF72C1"/>
    <w:rsid w:val="00B02840"/>
    <w:rsid w:val="00B03D32"/>
    <w:rsid w:val="00B04B87"/>
    <w:rsid w:val="00B050E7"/>
    <w:rsid w:val="00B13B8D"/>
    <w:rsid w:val="00B22BD0"/>
    <w:rsid w:val="00B3205A"/>
    <w:rsid w:val="00B32CE2"/>
    <w:rsid w:val="00B34338"/>
    <w:rsid w:val="00B427A0"/>
    <w:rsid w:val="00B475F9"/>
    <w:rsid w:val="00B52065"/>
    <w:rsid w:val="00B55E6C"/>
    <w:rsid w:val="00B600DA"/>
    <w:rsid w:val="00B6196C"/>
    <w:rsid w:val="00B62A0F"/>
    <w:rsid w:val="00B669DB"/>
    <w:rsid w:val="00B67A66"/>
    <w:rsid w:val="00B70913"/>
    <w:rsid w:val="00B7112B"/>
    <w:rsid w:val="00B716F9"/>
    <w:rsid w:val="00B75AF5"/>
    <w:rsid w:val="00B80A53"/>
    <w:rsid w:val="00B930CA"/>
    <w:rsid w:val="00BA231A"/>
    <w:rsid w:val="00BA4F9C"/>
    <w:rsid w:val="00BA77FC"/>
    <w:rsid w:val="00BB1FDC"/>
    <w:rsid w:val="00BB2583"/>
    <w:rsid w:val="00BB6C83"/>
    <w:rsid w:val="00BC7110"/>
    <w:rsid w:val="00BD0F0C"/>
    <w:rsid w:val="00BD1FC8"/>
    <w:rsid w:val="00BD4B41"/>
    <w:rsid w:val="00BF4E08"/>
    <w:rsid w:val="00BF5A22"/>
    <w:rsid w:val="00C03A50"/>
    <w:rsid w:val="00C06DED"/>
    <w:rsid w:val="00C202F7"/>
    <w:rsid w:val="00C30DA4"/>
    <w:rsid w:val="00C32984"/>
    <w:rsid w:val="00C3553A"/>
    <w:rsid w:val="00C36BE2"/>
    <w:rsid w:val="00C410BE"/>
    <w:rsid w:val="00C42832"/>
    <w:rsid w:val="00C5278F"/>
    <w:rsid w:val="00C53058"/>
    <w:rsid w:val="00C53A9D"/>
    <w:rsid w:val="00C673E3"/>
    <w:rsid w:val="00C70314"/>
    <w:rsid w:val="00C704BE"/>
    <w:rsid w:val="00C733F0"/>
    <w:rsid w:val="00C774B9"/>
    <w:rsid w:val="00C81EF6"/>
    <w:rsid w:val="00C85167"/>
    <w:rsid w:val="00C85A07"/>
    <w:rsid w:val="00C86AF0"/>
    <w:rsid w:val="00C870E2"/>
    <w:rsid w:val="00C873B0"/>
    <w:rsid w:val="00C90581"/>
    <w:rsid w:val="00C91F85"/>
    <w:rsid w:val="00C93457"/>
    <w:rsid w:val="00C94CCC"/>
    <w:rsid w:val="00CA667E"/>
    <w:rsid w:val="00CB66C6"/>
    <w:rsid w:val="00CC1EB6"/>
    <w:rsid w:val="00CD08EF"/>
    <w:rsid w:val="00CD1F31"/>
    <w:rsid w:val="00CD4EAC"/>
    <w:rsid w:val="00CD5A64"/>
    <w:rsid w:val="00CD7A8A"/>
    <w:rsid w:val="00CD7DFE"/>
    <w:rsid w:val="00CE0A0B"/>
    <w:rsid w:val="00CE1217"/>
    <w:rsid w:val="00CE16C6"/>
    <w:rsid w:val="00CE22DD"/>
    <w:rsid w:val="00CE371B"/>
    <w:rsid w:val="00CF47B8"/>
    <w:rsid w:val="00CF58B7"/>
    <w:rsid w:val="00D003FD"/>
    <w:rsid w:val="00D12D0F"/>
    <w:rsid w:val="00D1549E"/>
    <w:rsid w:val="00D1654F"/>
    <w:rsid w:val="00D17CF8"/>
    <w:rsid w:val="00D24E7F"/>
    <w:rsid w:val="00D30556"/>
    <w:rsid w:val="00D3639C"/>
    <w:rsid w:val="00D36FAD"/>
    <w:rsid w:val="00D405E2"/>
    <w:rsid w:val="00D40D80"/>
    <w:rsid w:val="00D4219C"/>
    <w:rsid w:val="00D44F0F"/>
    <w:rsid w:val="00D4674E"/>
    <w:rsid w:val="00D54E8D"/>
    <w:rsid w:val="00D640B8"/>
    <w:rsid w:val="00D6508B"/>
    <w:rsid w:val="00D661CB"/>
    <w:rsid w:val="00D67E41"/>
    <w:rsid w:val="00D73441"/>
    <w:rsid w:val="00D76872"/>
    <w:rsid w:val="00D807C6"/>
    <w:rsid w:val="00D90140"/>
    <w:rsid w:val="00D93115"/>
    <w:rsid w:val="00DA1412"/>
    <w:rsid w:val="00DA62E7"/>
    <w:rsid w:val="00DA6A9C"/>
    <w:rsid w:val="00DA7A2B"/>
    <w:rsid w:val="00DB22FB"/>
    <w:rsid w:val="00DB2609"/>
    <w:rsid w:val="00DB50C3"/>
    <w:rsid w:val="00DB51D1"/>
    <w:rsid w:val="00DB57E9"/>
    <w:rsid w:val="00DC5282"/>
    <w:rsid w:val="00DC5A98"/>
    <w:rsid w:val="00DC6F39"/>
    <w:rsid w:val="00DD0126"/>
    <w:rsid w:val="00DD0B67"/>
    <w:rsid w:val="00DD31B0"/>
    <w:rsid w:val="00DD6310"/>
    <w:rsid w:val="00DE02F2"/>
    <w:rsid w:val="00DE0F6D"/>
    <w:rsid w:val="00DF4BC5"/>
    <w:rsid w:val="00DF6600"/>
    <w:rsid w:val="00E01985"/>
    <w:rsid w:val="00E04DAE"/>
    <w:rsid w:val="00E07A05"/>
    <w:rsid w:val="00E13C67"/>
    <w:rsid w:val="00E1616B"/>
    <w:rsid w:val="00E346FF"/>
    <w:rsid w:val="00E35402"/>
    <w:rsid w:val="00E42B14"/>
    <w:rsid w:val="00E45BF7"/>
    <w:rsid w:val="00E55CEA"/>
    <w:rsid w:val="00E56F77"/>
    <w:rsid w:val="00E63014"/>
    <w:rsid w:val="00E66CDF"/>
    <w:rsid w:val="00E70477"/>
    <w:rsid w:val="00E707E6"/>
    <w:rsid w:val="00E73895"/>
    <w:rsid w:val="00E738AF"/>
    <w:rsid w:val="00E766A6"/>
    <w:rsid w:val="00E7739A"/>
    <w:rsid w:val="00E80EF3"/>
    <w:rsid w:val="00E87BC2"/>
    <w:rsid w:val="00E87BD4"/>
    <w:rsid w:val="00E91592"/>
    <w:rsid w:val="00E94A13"/>
    <w:rsid w:val="00E94BA2"/>
    <w:rsid w:val="00E94F6A"/>
    <w:rsid w:val="00E959C0"/>
    <w:rsid w:val="00E9724A"/>
    <w:rsid w:val="00E97C72"/>
    <w:rsid w:val="00EA1603"/>
    <w:rsid w:val="00EA1838"/>
    <w:rsid w:val="00EA3A28"/>
    <w:rsid w:val="00EA3F67"/>
    <w:rsid w:val="00EA49BC"/>
    <w:rsid w:val="00EB4654"/>
    <w:rsid w:val="00EC3D9A"/>
    <w:rsid w:val="00EC4E11"/>
    <w:rsid w:val="00EC62ED"/>
    <w:rsid w:val="00EC7EF5"/>
    <w:rsid w:val="00ED3612"/>
    <w:rsid w:val="00ED5E81"/>
    <w:rsid w:val="00ED7161"/>
    <w:rsid w:val="00ED7FCE"/>
    <w:rsid w:val="00EE02E2"/>
    <w:rsid w:val="00EE32FE"/>
    <w:rsid w:val="00EE3AAD"/>
    <w:rsid w:val="00EE618A"/>
    <w:rsid w:val="00EE750F"/>
    <w:rsid w:val="00EE755B"/>
    <w:rsid w:val="00EF12A6"/>
    <w:rsid w:val="00EF3E9E"/>
    <w:rsid w:val="00EF72F4"/>
    <w:rsid w:val="00EF7850"/>
    <w:rsid w:val="00F038D9"/>
    <w:rsid w:val="00F10D8E"/>
    <w:rsid w:val="00F1170E"/>
    <w:rsid w:val="00F13CB7"/>
    <w:rsid w:val="00F14476"/>
    <w:rsid w:val="00F15B0C"/>
    <w:rsid w:val="00F1698E"/>
    <w:rsid w:val="00F175DF"/>
    <w:rsid w:val="00F24C7B"/>
    <w:rsid w:val="00F264A0"/>
    <w:rsid w:val="00F274F3"/>
    <w:rsid w:val="00F3304A"/>
    <w:rsid w:val="00F34E7E"/>
    <w:rsid w:val="00F41AFF"/>
    <w:rsid w:val="00F4716B"/>
    <w:rsid w:val="00F538B2"/>
    <w:rsid w:val="00F543C6"/>
    <w:rsid w:val="00F62291"/>
    <w:rsid w:val="00F65D1C"/>
    <w:rsid w:val="00F66384"/>
    <w:rsid w:val="00F7721D"/>
    <w:rsid w:val="00F82F81"/>
    <w:rsid w:val="00F834EC"/>
    <w:rsid w:val="00F85C05"/>
    <w:rsid w:val="00F90023"/>
    <w:rsid w:val="00F96655"/>
    <w:rsid w:val="00FA122D"/>
    <w:rsid w:val="00FA37FD"/>
    <w:rsid w:val="00FA6153"/>
    <w:rsid w:val="00FA7F67"/>
    <w:rsid w:val="00FB18DF"/>
    <w:rsid w:val="00FC1BA5"/>
    <w:rsid w:val="00FC76DE"/>
    <w:rsid w:val="00FD0362"/>
    <w:rsid w:val="00FD3AEA"/>
    <w:rsid w:val="00FD65D6"/>
    <w:rsid w:val="00FD6CA1"/>
    <w:rsid w:val="00FE0DD6"/>
    <w:rsid w:val="00FE16F7"/>
    <w:rsid w:val="00FE4524"/>
    <w:rsid w:val="00FE5D72"/>
    <w:rsid w:val="00FF24F0"/>
    <w:rsid w:val="00FF38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E1FE"/>
  <w15:chartTrackingRefBased/>
  <w15:docId w15:val="{BD4A6077-BC7D-4F53-ADEC-1402FDB83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04A"/>
    <w:rPr>
      <w:rFonts w:asciiTheme="majorBidi" w:eastAsiaTheme="majorEastAsia" w:hAnsiTheme="majorBidi" w:cstheme="majorBidi"/>
      <w:b/>
      <w:color w:val="000000" w:themeColor="text1"/>
      <w:sz w:val="28"/>
      <w:szCs w:val="32"/>
    </w:rPr>
  </w:style>
  <w:style w:type="character" w:customStyle="1" w:styleId="Heading3Char">
    <w:name w:val="Heading 3 Char"/>
    <w:basedOn w:val="DefaultParagraphFont"/>
    <w:link w:val="Heading3"/>
    <w:uiPriority w:val="9"/>
    <w:semiHidden/>
    <w:rsid w:val="008B5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name w:val="Title"/>
    <w:basedOn w:val="Normal"/>
    <w:next w:val="Normal"/>
    <w:link w:val="Title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C4"/>
    <w:pPr>
      <w:spacing w:before="160"/>
      <w:jc w:val="center"/>
    </w:pPr>
    <w:rPr>
      <w:i/>
      <w:iCs/>
      <w:color w:val="404040" w:themeColor="text1" w:themeTint="BF"/>
    </w:rPr>
  </w:style>
  <w:style w:type="character" w:customStyle="1" w:styleId="QuoteChar">
    <w:name w:val="Quote Char"/>
    <w:basedOn w:val="DefaultParagraphFont"/>
    <w:link w:val="Quote"/>
    <w:uiPriority w:val="29"/>
    <w:rsid w:val="008B56C4"/>
    <w:rPr>
      <w:i/>
      <w:iCs/>
      <w:color w:val="404040" w:themeColor="text1" w:themeTint="BF"/>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name w:val="Intense Quote"/>
    <w:basedOn w:val="Normal"/>
    <w:next w:val="Normal"/>
    <w:link w:val="IntenseQuote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0C410C"/>
    <w:pPr>
      <w:spacing w:after="100"/>
    </w:pPr>
  </w:style>
  <w:style w:type="character" w:styleId="Hyperlink">
    <w:name w:val="Hyperlink"/>
    <w:basedOn w:val="DefaultParagraphFont"/>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 w:type="paragraph" w:styleId="Bibliography">
    <w:name w:val="Bibliography"/>
    <w:basedOn w:val="Normal"/>
    <w:next w:val="Normal"/>
    <w:uiPriority w:val="37"/>
    <w:unhideWhenUsed/>
    <w:rsid w:val="001A491A"/>
  </w:style>
  <w:style w:type="paragraph" w:styleId="Caption">
    <w:name w:val="caption"/>
    <w:basedOn w:val="Normal"/>
    <w:next w:val="Normal"/>
    <w:uiPriority w:val="35"/>
    <w:unhideWhenUsed/>
    <w:qFormat/>
    <w:rsid w:val="00A51713"/>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6704186">
      <w:bodyDiv w:val="1"/>
      <w:marLeft w:val="0"/>
      <w:marRight w:val="0"/>
      <w:marTop w:val="0"/>
      <w:marBottom w:val="0"/>
      <w:divBdr>
        <w:top w:val="none" w:sz="0" w:space="0" w:color="auto"/>
        <w:left w:val="none" w:sz="0" w:space="0" w:color="auto"/>
        <w:bottom w:val="none" w:sz="0" w:space="0" w:color="auto"/>
        <w:right w:val="none" w:sz="0" w:space="0" w:color="auto"/>
      </w:divBdr>
    </w:div>
    <w:div w:id="182282366">
      <w:bodyDiv w:val="1"/>
      <w:marLeft w:val="0"/>
      <w:marRight w:val="0"/>
      <w:marTop w:val="0"/>
      <w:marBottom w:val="0"/>
      <w:divBdr>
        <w:top w:val="none" w:sz="0" w:space="0" w:color="auto"/>
        <w:left w:val="none" w:sz="0" w:space="0" w:color="auto"/>
        <w:bottom w:val="none" w:sz="0" w:space="0" w:color="auto"/>
        <w:right w:val="none" w:sz="0" w:space="0" w:color="auto"/>
      </w:divBdr>
    </w:div>
    <w:div w:id="325865086">
      <w:bodyDiv w:val="1"/>
      <w:marLeft w:val="0"/>
      <w:marRight w:val="0"/>
      <w:marTop w:val="0"/>
      <w:marBottom w:val="0"/>
      <w:divBdr>
        <w:top w:val="none" w:sz="0" w:space="0" w:color="auto"/>
        <w:left w:val="none" w:sz="0" w:space="0" w:color="auto"/>
        <w:bottom w:val="none" w:sz="0" w:space="0" w:color="auto"/>
        <w:right w:val="none" w:sz="0" w:space="0" w:color="auto"/>
      </w:divBdr>
    </w:div>
    <w:div w:id="328869732">
      <w:bodyDiv w:val="1"/>
      <w:marLeft w:val="0"/>
      <w:marRight w:val="0"/>
      <w:marTop w:val="0"/>
      <w:marBottom w:val="0"/>
      <w:divBdr>
        <w:top w:val="none" w:sz="0" w:space="0" w:color="auto"/>
        <w:left w:val="none" w:sz="0" w:space="0" w:color="auto"/>
        <w:bottom w:val="none" w:sz="0" w:space="0" w:color="auto"/>
        <w:right w:val="none" w:sz="0" w:space="0" w:color="auto"/>
      </w:divBdr>
    </w:div>
    <w:div w:id="343216633">
      <w:bodyDiv w:val="1"/>
      <w:marLeft w:val="0"/>
      <w:marRight w:val="0"/>
      <w:marTop w:val="0"/>
      <w:marBottom w:val="0"/>
      <w:divBdr>
        <w:top w:val="none" w:sz="0" w:space="0" w:color="auto"/>
        <w:left w:val="none" w:sz="0" w:space="0" w:color="auto"/>
        <w:bottom w:val="none" w:sz="0" w:space="0" w:color="auto"/>
        <w:right w:val="none" w:sz="0" w:space="0" w:color="auto"/>
      </w:divBdr>
    </w:div>
    <w:div w:id="382603767">
      <w:bodyDiv w:val="1"/>
      <w:marLeft w:val="0"/>
      <w:marRight w:val="0"/>
      <w:marTop w:val="0"/>
      <w:marBottom w:val="0"/>
      <w:divBdr>
        <w:top w:val="none" w:sz="0" w:space="0" w:color="auto"/>
        <w:left w:val="none" w:sz="0" w:space="0" w:color="auto"/>
        <w:bottom w:val="none" w:sz="0" w:space="0" w:color="auto"/>
        <w:right w:val="none" w:sz="0" w:space="0" w:color="auto"/>
      </w:divBdr>
    </w:div>
    <w:div w:id="414595688">
      <w:bodyDiv w:val="1"/>
      <w:marLeft w:val="0"/>
      <w:marRight w:val="0"/>
      <w:marTop w:val="0"/>
      <w:marBottom w:val="0"/>
      <w:divBdr>
        <w:top w:val="none" w:sz="0" w:space="0" w:color="auto"/>
        <w:left w:val="none" w:sz="0" w:space="0" w:color="auto"/>
        <w:bottom w:val="none" w:sz="0" w:space="0" w:color="auto"/>
        <w:right w:val="none" w:sz="0" w:space="0" w:color="auto"/>
      </w:divBdr>
    </w:div>
    <w:div w:id="471948928">
      <w:bodyDiv w:val="1"/>
      <w:marLeft w:val="0"/>
      <w:marRight w:val="0"/>
      <w:marTop w:val="0"/>
      <w:marBottom w:val="0"/>
      <w:divBdr>
        <w:top w:val="none" w:sz="0" w:space="0" w:color="auto"/>
        <w:left w:val="none" w:sz="0" w:space="0" w:color="auto"/>
        <w:bottom w:val="none" w:sz="0" w:space="0" w:color="auto"/>
        <w:right w:val="none" w:sz="0" w:space="0" w:color="auto"/>
      </w:divBdr>
    </w:div>
    <w:div w:id="485515983">
      <w:bodyDiv w:val="1"/>
      <w:marLeft w:val="0"/>
      <w:marRight w:val="0"/>
      <w:marTop w:val="0"/>
      <w:marBottom w:val="0"/>
      <w:divBdr>
        <w:top w:val="none" w:sz="0" w:space="0" w:color="auto"/>
        <w:left w:val="none" w:sz="0" w:space="0" w:color="auto"/>
        <w:bottom w:val="none" w:sz="0" w:space="0" w:color="auto"/>
        <w:right w:val="none" w:sz="0" w:space="0" w:color="auto"/>
      </w:divBdr>
    </w:div>
    <w:div w:id="498889420">
      <w:bodyDiv w:val="1"/>
      <w:marLeft w:val="0"/>
      <w:marRight w:val="0"/>
      <w:marTop w:val="0"/>
      <w:marBottom w:val="0"/>
      <w:divBdr>
        <w:top w:val="none" w:sz="0" w:space="0" w:color="auto"/>
        <w:left w:val="none" w:sz="0" w:space="0" w:color="auto"/>
        <w:bottom w:val="none" w:sz="0" w:space="0" w:color="auto"/>
        <w:right w:val="none" w:sz="0" w:space="0" w:color="auto"/>
      </w:divBdr>
    </w:div>
    <w:div w:id="525486846">
      <w:bodyDiv w:val="1"/>
      <w:marLeft w:val="0"/>
      <w:marRight w:val="0"/>
      <w:marTop w:val="0"/>
      <w:marBottom w:val="0"/>
      <w:divBdr>
        <w:top w:val="none" w:sz="0" w:space="0" w:color="auto"/>
        <w:left w:val="none" w:sz="0" w:space="0" w:color="auto"/>
        <w:bottom w:val="none" w:sz="0" w:space="0" w:color="auto"/>
        <w:right w:val="none" w:sz="0" w:space="0" w:color="auto"/>
      </w:divBdr>
    </w:div>
    <w:div w:id="583615367">
      <w:bodyDiv w:val="1"/>
      <w:marLeft w:val="0"/>
      <w:marRight w:val="0"/>
      <w:marTop w:val="0"/>
      <w:marBottom w:val="0"/>
      <w:divBdr>
        <w:top w:val="none" w:sz="0" w:space="0" w:color="auto"/>
        <w:left w:val="none" w:sz="0" w:space="0" w:color="auto"/>
        <w:bottom w:val="none" w:sz="0" w:space="0" w:color="auto"/>
        <w:right w:val="none" w:sz="0" w:space="0" w:color="auto"/>
      </w:divBdr>
    </w:div>
    <w:div w:id="591939876">
      <w:bodyDiv w:val="1"/>
      <w:marLeft w:val="0"/>
      <w:marRight w:val="0"/>
      <w:marTop w:val="0"/>
      <w:marBottom w:val="0"/>
      <w:divBdr>
        <w:top w:val="none" w:sz="0" w:space="0" w:color="auto"/>
        <w:left w:val="none" w:sz="0" w:space="0" w:color="auto"/>
        <w:bottom w:val="none" w:sz="0" w:space="0" w:color="auto"/>
        <w:right w:val="none" w:sz="0" w:space="0" w:color="auto"/>
      </w:divBdr>
    </w:div>
    <w:div w:id="614294372">
      <w:bodyDiv w:val="1"/>
      <w:marLeft w:val="0"/>
      <w:marRight w:val="0"/>
      <w:marTop w:val="0"/>
      <w:marBottom w:val="0"/>
      <w:divBdr>
        <w:top w:val="none" w:sz="0" w:space="0" w:color="auto"/>
        <w:left w:val="none" w:sz="0" w:space="0" w:color="auto"/>
        <w:bottom w:val="none" w:sz="0" w:space="0" w:color="auto"/>
        <w:right w:val="none" w:sz="0" w:space="0" w:color="auto"/>
      </w:divBdr>
    </w:div>
    <w:div w:id="692996438">
      <w:bodyDiv w:val="1"/>
      <w:marLeft w:val="0"/>
      <w:marRight w:val="0"/>
      <w:marTop w:val="0"/>
      <w:marBottom w:val="0"/>
      <w:divBdr>
        <w:top w:val="none" w:sz="0" w:space="0" w:color="auto"/>
        <w:left w:val="none" w:sz="0" w:space="0" w:color="auto"/>
        <w:bottom w:val="none" w:sz="0" w:space="0" w:color="auto"/>
        <w:right w:val="none" w:sz="0" w:space="0" w:color="auto"/>
      </w:divBdr>
    </w:div>
    <w:div w:id="727922812">
      <w:bodyDiv w:val="1"/>
      <w:marLeft w:val="0"/>
      <w:marRight w:val="0"/>
      <w:marTop w:val="0"/>
      <w:marBottom w:val="0"/>
      <w:divBdr>
        <w:top w:val="none" w:sz="0" w:space="0" w:color="auto"/>
        <w:left w:val="none" w:sz="0" w:space="0" w:color="auto"/>
        <w:bottom w:val="none" w:sz="0" w:space="0" w:color="auto"/>
        <w:right w:val="none" w:sz="0" w:space="0" w:color="auto"/>
      </w:divBdr>
    </w:div>
    <w:div w:id="803543179">
      <w:bodyDiv w:val="1"/>
      <w:marLeft w:val="0"/>
      <w:marRight w:val="0"/>
      <w:marTop w:val="0"/>
      <w:marBottom w:val="0"/>
      <w:divBdr>
        <w:top w:val="none" w:sz="0" w:space="0" w:color="auto"/>
        <w:left w:val="none" w:sz="0" w:space="0" w:color="auto"/>
        <w:bottom w:val="none" w:sz="0" w:space="0" w:color="auto"/>
        <w:right w:val="none" w:sz="0" w:space="0" w:color="auto"/>
      </w:divBdr>
    </w:div>
    <w:div w:id="807014754">
      <w:bodyDiv w:val="1"/>
      <w:marLeft w:val="0"/>
      <w:marRight w:val="0"/>
      <w:marTop w:val="0"/>
      <w:marBottom w:val="0"/>
      <w:divBdr>
        <w:top w:val="none" w:sz="0" w:space="0" w:color="auto"/>
        <w:left w:val="none" w:sz="0" w:space="0" w:color="auto"/>
        <w:bottom w:val="none" w:sz="0" w:space="0" w:color="auto"/>
        <w:right w:val="none" w:sz="0" w:space="0" w:color="auto"/>
      </w:divBdr>
    </w:div>
    <w:div w:id="860123644">
      <w:bodyDiv w:val="1"/>
      <w:marLeft w:val="0"/>
      <w:marRight w:val="0"/>
      <w:marTop w:val="0"/>
      <w:marBottom w:val="0"/>
      <w:divBdr>
        <w:top w:val="none" w:sz="0" w:space="0" w:color="auto"/>
        <w:left w:val="none" w:sz="0" w:space="0" w:color="auto"/>
        <w:bottom w:val="none" w:sz="0" w:space="0" w:color="auto"/>
        <w:right w:val="none" w:sz="0" w:space="0" w:color="auto"/>
      </w:divBdr>
    </w:div>
    <w:div w:id="873619942">
      <w:bodyDiv w:val="1"/>
      <w:marLeft w:val="0"/>
      <w:marRight w:val="0"/>
      <w:marTop w:val="0"/>
      <w:marBottom w:val="0"/>
      <w:divBdr>
        <w:top w:val="none" w:sz="0" w:space="0" w:color="auto"/>
        <w:left w:val="none" w:sz="0" w:space="0" w:color="auto"/>
        <w:bottom w:val="none" w:sz="0" w:space="0" w:color="auto"/>
        <w:right w:val="none" w:sz="0" w:space="0" w:color="auto"/>
      </w:divBdr>
    </w:div>
    <w:div w:id="1061518157">
      <w:bodyDiv w:val="1"/>
      <w:marLeft w:val="0"/>
      <w:marRight w:val="0"/>
      <w:marTop w:val="0"/>
      <w:marBottom w:val="0"/>
      <w:divBdr>
        <w:top w:val="none" w:sz="0" w:space="0" w:color="auto"/>
        <w:left w:val="none" w:sz="0" w:space="0" w:color="auto"/>
        <w:bottom w:val="none" w:sz="0" w:space="0" w:color="auto"/>
        <w:right w:val="none" w:sz="0" w:space="0" w:color="auto"/>
      </w:divBdr>
    </w:div>
    <w:div w:id="1084642212">
      <w:bodyDiv w:val="1"/>
      <w:marLeft w:val="0"/>
      <w:marRight w:val="0"/>
      <w:marTop w:val="0"/>
      <w:marBottom w:val="0"/>
      <w:divBdr>
        <w:top w:val="none" w:sz="0" w:space="0" w:color="auto"/>
        <w:left w:val="none" w:sz="0" w:space="0" w:color="auto"/>
        <w:bottom w:val="none" w:sz="0" w:space="0" w:color="auto"/>
        <w:right w:val="none" w:sz="0" w:space="0" w:color="auto"/>
      </w:divBdr>
    </w:div>
    <w:div w:id="1113279583">
      <w:bodyDiv w:val="1"/>
      <w:marLeft w:val="0"/>
      <w:marRight w:val="0"/>
      <w:marTop w:val="0"/>
      <w:marBottom w:val="0"/>
      <w:divBdr>
        <w:top w:val="none" w:sz="0" w:space="0" w:color="auto"/>
        <w:left w:val="none" w:sz="0" w:space="0" w:color="auto"/>
        <w:bottom w:val="none" w:sz="0" w:space="0" w:color="auto"/>
        <w:right w:val="none" w:sz="0" w:space="0" w:color="auto"/>
      </w:divBdr>
    </w:div>
    <w:div w:id="1235554096">
      <w:bodyDiv w:val="1"/>
      <w:marLeft w:val="0"/>
      <w:marRight w:val="0"/>
      <w:marTop w:val="0"/>
      <w:marBottom w:val="0"/>
      <w:divBdr>
        <w:top w:val="none" w:sz="0" w:space="0" w:color="auto"/>
        <w:left w:val="none" w:sz="0" w:space="0" w:color="auto"/>
        <w:bottom w:val="none" w:sz="0" w:space="0" w:color="auto"/>
        <w:right w:val="none" w:sz="0" w:space="0" w:color="auto"/>
      </w:divBdr>
    </w:div>
    <w:div w:id="1467041502">
      <w:bodyDiv w:val="1"/>
      <w:marLeft w:val="0"/>
      <w:marRight w:val="0"/>
      <w:marTop w:val="0"/>
      <w:marBottom w:val="0"/>
      <w:divBdr>
        <w:top w:val="none" w:sz="0" w:space="0" w:color="auto"/>
        <w:left w:val="none" w:sz="0" w:space="0" w:color="auto"/>
        <w:bottom w:val="none" w:sz="0" w:space="0" w:color="auto"/>
        <w:right w:val="none" w:sz="0" w:space="0" w:color="auto"/>
      </w:divBdr>
    </w:div>
    <w:div w:id="1476022318">
      <w:bodyDiv w:val="1"/>
      <w:marLeft w:val="0"/>
      <w:marRight w:val="0"/>
      <w:marTop w:val="0"/>
      <w:marBottom w:val="0"/>
      <w:divBdr>
        <w:top w:val="none" w:sz="0" w:space="0" w:color="auto"/>
        <w:left w:val="none" w:sz="0" w:space="0" w:color="auto"/>
        <w:bottom w:val="none" w:sz="0" w:space="0" w:color="auto"/>
        <w:right w:val="none" w:sz="0" w:space="0" w:color="auto"/>
      </w:divBdr>
    </w:div>
    <w:div w:id="1494026614">
      <w:bodyDiv w:val="1"/>
      <w:marLeft w:val="0"/>
      <w:marRight w:val="0"/>
      <w:marTop w:val="0"/>
      <w:marBottom w:val="0"/>
      <w:divBdr>
        <w:top w:val="none" w:sz="0" w:space="0" w:color="auto"/>
        <w:left w:val="none" w:sz="0" w:space="0" w:color="auto"/>
        <w:bottom w:val="none" w:sz="0" w:space="0" w:color="auto"/>
        <w:right w:val="none" w:sz="0" w:space="0" w:color="auto"/>
      </w:divBdr>
    </w:div>
    <w:div w:id="1535728859">
      <w:bodyDiv w:val="1"/>
      <w:marLeft w:val="0"/>
      <w:marRight w:val="0"/>
      <w:marTop w:val="0"/>
      <w:marBottom w:val="0"/>
      <w:divBdr>
        <w:top w:val="none" w:sz="0" w:space="0" w:color="auto"/>
        <w:left w:val="none" w:sz="0" w:space="0" w:color="auto"/>
        <w:bottom w:val="none" w:sz="0" w:space="0" w:color="auto"/>
        <w:right w:val="none" w:sz="0" w:space="0" w:color="auto"/>
      </w:divBdr>
    </w:div>
    <w:div w:id="1569341002">
      <w:bodyDiv w:val="1"/>
      <w:marLeft w:val="0"/>
      <w:marRight w:val="0"/>
      <w:marTop w:val="0"/>
      <w:marBottom w:val="0"/>
      <w:divBdr>
        <w:top w:val="none" w:sz="0" w:space="0" w:color="auto"/>
        <w:left w:val="none" w:sz="0" w:space="0" w:color="auto"/>
        <w:bottom w:val="none" w:sz="0" w:space="0" w:color="auto"/>
        <w:right w:val="none" w:sz="0" w:space="0" w:color="auto"/>
      </w:divBdr>
    </w:div>
    <w:div w:id="1594976834">
      <w:bodyDiv w:val="1"/>
      <w:marLeft w:val="0"/>
      <w:marRight w:val="0"/>
      <w:marTop w:val="0"/>
      <w:marBottom w:val="0"/>
      <w:divBdr>
        <w:top w:val="none" w:sz="0" w:space="0" w:color="auto"/>
        <w:left w:val="none" w:sz="0" w:space="0" w:color="auto"/>
        <w:bottom w:val="none" w:sz="0" w:space="0" w:color="auto"/>
        <w:right w:val="none" w:sz="0" w:space="0" w:color="auto"/>
      </w:divBdr>
    </w:div>
    <w:div w:id="1739205526">
      <w:bodyDiv w:val="1"/>
      <w:marLeft w:val="0"/>
      <w:marRight w:val="0"/>
      <w:marTop w:val="0"/>
      <w:marBottom w:val="0"/>
      <w:divBdr>
        <w:top w:val="none" w:sz="0" w:space="0" w:color="auto"/>
        <w:left w:val="none" w:sz="0" w:space="0" w:color="auto"/>
        <w:bottom w:val="none" w:sz="0" w:space="0" w:color="auto"/>
        <w:right w:val="none" w:sz="0" w:space="0" w:color="auto"/>
      </w:divBdr>
    </w:div>
    <w:div w:id="1747922319">
      <w:bodyDiv w:val="1"/>
      <w:marLeft w:val="0"/>
      <w:marRight w:val="0"/>
      <w:marTop w:val="0"/>
      <w:marBottom w:val="0"/>
      <w:divBdr>
        <w:top w:val="none" w:sz="0" w:space="0" w:color="auto"/>
        <w:left w:val="none" w:sz="0" w:space="0" w:color="auto"/>
        <w:bottom w:val="none" w:sz="0" w:space="0" w:color="auto"/>
        <w:right w:val="none" w:sz="0" w:space="0" w:color="auto"/>
      </w:divBdr>
    </w:div>
    <w:div w:id="1771969968">
      <w:bodyDiv w:val="1"/>
      <w:marLeft w:val="0"/>
      <w:marRight w:val="0"/>
      <w:marTop w:val="0"/>
      <w:marBottom w:val="0"/>
      <w:divBdr>
        <w:top w:val="none" w:sz="0" w:space="0" w:color="auto"/>
        <w:left w:val="none" w:sz="0" w:space="0" w:color="auto"/>
        <w:bottom w:val="none" w:sz="0" w:space="0" w:color="auto"/>
        <w:right w:val="none" w:sz="0" w:space="0" w:color="auto"/>
      </w:divBdr>
    </w:div>
    <w:div w:id="1896508366">
      <w:bodyDiv w:val="1"/>
      <w:marLeft w:val="0"/>
      <w:marRight w:val="0"/>
      <w:marTop w:val="0"/>
      <w:marBottom w:val="0"/>
      <w:divBdr>
        <w:top w:val="none" w:sz="0" w:space="0" w:color="auto"/>
        <w:left w:val="none" w:sz="0" w:space="0" w:color="auto"/>
        <w:bottom w:val="none" w:sz="0" w:space="0" w:color="auto"/>
        <w:right w:val="none" w:sz="0" w:space="0" w:color="auto"/>
      </w:divBdr>
    </w:div>
    <w:div w:id="1919292493">
      <w:bodyDiv w:val="1"/>
      <w:marLeft w:val="0"/>
      <w:marRight w:val="0"/>
      <w:marTop w:val="0"/>
      <w:marBottom w:val="0"/>
      <w:divBdr>
        <w:top w:val="none" w:sz="0" w:space="0" w:color="auto"/>
        <w:left w:val="none" w:sz="0" w:space="0" w:color="auto"/>
        <w:bottom w:val="none" w:sz="0" w:space="0" w:color="auto"/>
        <w:right w:val="none" w:sz="0" w:space="0" w:color="auto"/>
      </w:divBdr>
    </w:div>
    <w:div w:id="1986735680">
      <w:bodyDiv w:val="1"/>
      <w:marLeft w:val="0"/>
      <w:marRight w:val="0"/>
      <w:marTop w:val="0"/>
      <w:marBottom w:val="0"/>
      <w:divBdr>
        <w:top w:val="none" w:sz="0" w:space="0" w:color="auto"/>
        <w:left w:val="none" w:sz="0" w:space="0" w:color="auto"/>
        <w:bottom w:val="none" w:sz="0" w:space="0" w:color="auto"/>
        <w:right w:val="none" w:sz="0" w:space="0" w:color="auto"/>
      </w:divBdr>
    </w:div>
    <w:div w:id="201773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Tha17</b:Tag>
    <b:SourceType>BookSection</b:SourceType>
    <b:Guid>{F2EE6A37-242C-C541-B2E7-E14B0725D84F}</b:Guid>
    <b:Title>Industry 4.0: an overview of key benefits, technologies, and challenges</b:Title>
    <b:BookTitle>Cybersecurity for Industry 4.0: Analysis for Design and Manufacturing</b:BookTitle>
    <b:Year>2017</b:Year>
    <b:Pages>1-33</b:Pages>
    <b:Author>
      <b:Author>
        <b:NameList>
          <b:Person>
            <b:Last>Thames</b:Last>
            <b:First>Lane</b:First>
          </b:Person>
          <b:Person>
            <b:Last>Schaefer</b:Last>
            <b:First>Dirk</b:First>
          </b:Person>
        </b:NameList>
      </b:Author>
    </b:Author>
    <b:RefOrder>1</b:RefOrder>
  </b:Source>
  <b:Source>
    <b:Tag>Dra26</b:Tag>
    <b:SourceType>Report</b:SourceType>
    <b:Guid>{B94AF359-419A-3846-9E05-E87734750EF6}</b:Guid>
    <b:Author>
      <b:Author>
        <b:Corporate>Dragos, Inc.</b:Corporate>
      </b:Author>
    </b:Author>
    <b:Title>2026 OT Cybersecurity Report: A Year in Review</b:Title>
    <b:City>Hanover</b:City>
    <b:Publisher>Dragos, Inc.</b:Publisher>
    <b:Year>2026</b:Year>
    <b:RefOrder>2</b:RefOrder>
  </b:Source>
  <b:Source>
    <b:Tag>Mas23</b:Tag>
    <b:SourceType>JournalArticle</b:SourceType>
    <b:Guid>{945408B6-5957-364A-BFB7-F087541E852C}</b:Guid>
    <b:Title>Cyber Security in Smart Manufacturing (Threats, Landscapes &amp; Challenges)</b:Title>
    <b:Year>2023</b:Year>
    <b:JournalName>arXiv</b:JournalName>
    <b:Author>
      <b:Author>
        <b:NameList>
          <b:Person>
            <b:Last>Masum</b:Last>
            <b:First>Rahat</b:First>
          </b:Person>
        </b:NameList>
      </b:Author>
    </b:Author>
    <b:RefOrder>3</b:RefOrder>
  </b:Source>
  <b:Source>
    <b:Tag>Int22</b:Tag>
    <b:SourceType>Report</b:SourceType>
    <b:Guid>{A7B44116-3A69-7540-AA10-C6FF6C44F290}</b:Guid>
    <b:Title>ISO/IEC 27001:2022 — Information security, cybersecurity and privacy protection — Information security management systems — Requirements</b:Title>
    <b:Year>2022</b:Year>
    <b:Author>
      <b:Author>
        <b:Corporate>International Organization for Standardization (ISO)</b:Corporate>
      </b:Author>
    </b:Author>
    <b:Publisher>International Organization for Standardization</b:Publisher>
    <b:City>Geneva</b:City>
    <b:StandardNumber>ISO/IEC 27001:2022</b:StandardNumber>
    <b:RefOrder>5</b:RefOrder>
  </b:Source>
  <b:Source>
    <b:Tag>Int221</b:Tag>
    <b:SourceType>Report</b:SourceType>
    <b:Guid>{31E7EB82-D2AE-EE40-9B2B-02B42321CD11}</b:Guid>
    <b:Author>
      <b:Author>
        <b:Corporate>International Organization for Standardization (ISO)</b:Corporate>
      </b:Author>
    </b:Author>
    <b:Title>ISO/IEC 27002:2022 — Information security, cybersecurity and privacy protection — Information security controls</b:Title>
    <b:Publisher>International Organization for Standardization</b:Publisher>
    <b:City>Geneva</b:City>
    <b:Year>2022</b:Year>
    <b:StandardNumber>ISO/IEC 27002:2022</b:StandardNumber>
    <b:RefOrder>6</b:RefOrder>
  </b:Source>
  <b:Source>
    <b:Tag>Nel25</b:Tag>
    <b:SourceType>Report</b:SourceType>
    <b:Guid>{EC455532-B566-2147-94C1-911FB73DDCC3}</b:Guid>
    <b:Title>Incident Response Recommendations and Considerations for Cybersecurity Risk Management: A CSF 2.0 Community Profile</b:Title>
    <b:Publisher>National Institute of Standards and Technology</b:Publisher>
    <b:City>Gaithersburg, MD</b:City>
    <b:Year>2025</b:Year>
    <b:Author>
      <b:Author>
        <b:NameList>
          <b:Person>
            <b:Last>Nelson</b:Last>
            <b:First>Alexander</b:First>
          </b:Person>
          <b:Person>
            <b:Last>Rekhi</b:Last>
            <b:First>Sanjay</b:First>
          </b:Person>
          <b:Person>
            <b:Last>Souppaya</b:Last>
            <b:First>Murugiah</b:First>
          </b:Person>
          <b:Person>
            <b:Last>Scarfone</b:Last>
            <b:First>Karen</b:First>
          </b:Person>
        </b:NameList>
      </b:Author>
    </b:Author>
    <b:StandardNumber>NIST SP 800-61 Rev. 3</b:StandardNumber>
    <b:RefOrder>10</b:RefOrder>
  </b:Source>
  <b:Source>
    <b:Tag>Pas24</b:Tag>
    <b:SourceType>Report</b:SourceType>
    <b:Guid>{D359B29B-4C5B-3049-BBB5-7E9079922715}</b:Guid>
    <b:Title>The NIST Cybersecurity Framework (CSF) 2.0</b:Title>
    <b:Publisher>National Institute of Standards and Technology</b:Publisher>
    <b:City>Gaithersburg, MD</b:City>
    <b:Year>2024</b:Year>
    <b:Author>
      <b:Author>
        <b:NameList>
          <b:Person>
            <b:Last>Pascoe</b:Last>
            <b:First>Cherilyn</b:First>
          </b:Person>
          <b:Person>
            <b:Last>Quinn</b:Last>
            <b:First>Stephen</b:First>
          </b:Person>
          <b:Person>
            <b:Last>Scarfone</b:Last>
            <b:First>Karen</b:First>
          </b:Person>
        </b:NameList>
      </b:Author>
    </b:Author>
    <b:StandardNumber>NIST CSWP 29</b:StandardNumber>
    <b:RefOrder>4</b:RefOrder>
  </b:Source>
  <b:Source>
    <b:Tag>Tem25</b:Tag>
    <b:SourceType>Report</b:SourceType>
    <b:Guid>{4A0BF78C-5AD7-0E42-BF79-861EE6A8BBA6}</b:Guid>
    <b:Title>Digital Identity Guidelines: Authentication and Authenticator Management</b:Title>
    <b:Publisher>National Institute of Standards and Technology</b:Publisher>
    <b:City>Gaithersburg, MD</b:City>
    <b:Year>2025</b:Year>
    <b:Author>
      <b:Author>
        <b:NameList>
          <b:Person>
            <b:Last>Temoshok</b:Last>
            <b:First>David</b:First>
          </b:Person>
          <b:Person>
            <b:Last>Fenton</b:Last>
            <b:First>James L</b:First>
          </b:Person>
          <b:Person>
            <b:Last>Choong</b:Last>
            <b:First>Yee-Yin</b:First>
          </b:Person>
          <b:Person>
            <b:Last>Lefkovitz</b:Last>
            <b:First>Naomi</b:First>
          </b:Person>
          <b:Person>
            <b:Last>Regenscheid</b:Last>
            <b:First>Andrew</b:First>
          </b:Person>
          <b:Person>
            <b:Last>Galluzzo</b:Last>
            <b:First>Ryan</b:First>
          </b:Person>
          <b:Person>
            <b:Last>Richer</b:Last>
            <b:First>Justin P.</b:First>
          </b:Person>
        </b:NameList>
      </b:Author>
    </b:Author>
    <b:StandardNumber>NIST SP 800-63B-4</b:StandardNumber>
    <b:RefOrder>7</b:RefOrder>
  </b:Source>
  <b:Source>
    <b:Tag>GOV26</b:Tag>
    <b:SourceType>InternetSite</b:SourceType>
    <b:Guid>{E4CEFC0C-C1EF-474A-8154-4DADA296EA0C}</b:Guid>
    <b:Title>Data protection: The UK’s data protection legislation</b:Title>
    <b:Author>
      <b:Author>
        <b:Corporate>GOV.UK</b:Corporate>
      </b:Author>
    </b:Author>
    <b:URL>https://www.gov.uk/data-protection</b:URL>
    <b:YearAccessed>2026</b:YearAccessed>
    <b:MonthAccessed>08</b:MonthAccessed>
    <b:DayAccessed>11</b:DayAccessed>
    <b:RefOrder>8</b:RefOrder>
  </b:Source>
  <b:Source>
    <b:Tag>Inf25</b:Tag>
    <b:SourceType>InternetSite</b:SourceType>
    <b:Guid>{17FEAFDC-0368-2C44-8402-88FED01F6C84}</b:Guid>
    <b:Author>
      <b:Author>
        <b:Corporate>Information Commissioner’s Office</b:Corporate>
      </b:Author>
    </b:Author>
    <b:Title>Personal data breaches: a guide</b:Title>
    <b:URL>https://ico.org.uk/for-organisations/report-a-breach/personal-data-breach/personal-data-breaches-a-guide/</b:URL>
    <b:Year>2025</b:Year>
    <b:Month>August</b:Month>
    <b:Day>20</b:Day>
    <b:YearAccessed>2026</b:YearAccessed>
    <b:MonthAccessed>08</b:MonthAccessed>
    <b:DayAccessed>11</b:DayAccessed>
    <b:RefOrder>9</b:RefOrder>
  </b:Source>
</b:Sources>
</file>

<file path=customXml/itemProps1.xml><?xml version="1.0" encoding="utf-8"?>
<ds:datastoreItem xmlns:ds="http://schemas.openxmlformats.org/officeDocument/2006/customXml" ds:itemID="{F550D3B4-9747-5445-AB23-DF76DD72F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14</Pages>
  <Words>2825</Words>
  <Characters>16103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Network and Cybersecurity Essentials</vt:lpstr>
    </vt:vector>
  </TitlesOfParts>
  <Company/>
  <LinksUpToDate>false</LinksUpToDate>
  <CharactersWithSpaces>18891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and Cybersecurity Essentials</dc:title>
  <dc:subject/>
  <dc:creator>Maria Golovko</dc:creator>
  <cp:keywords/>
  <dc:description/>
  <cp:lastModifiedBy>Valerii Vdovin</cp:lastModifiedBy>
  <cp:revision>7</cp:revision>
  <dcterms:created xsi:type="dcterms:W3CDTF">2026-08-12T11:29:00Z</dcterms:created>
  <dcterms:modified xsi:type="dcterms:W3CDTF">2026-08-12T12:19:00Z</dcterms:modified>
</cp:coreProperties>
</file>