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D8E59" w14:textId="77777777" w:rsidR="00B942D2" w:rsidRDefault="00B942D2" w:rsidP="00B942D2">
      <w:pPr>
        <w:spacing w:line="360" w:lineRule="auto"/>
        <w:jc w:val="center"/>
        <w:rPr>
          <w:rFonts w:ascii="Times New Roman" w:eastAsia="Times New Roman" w:hAnsi="Times New Roman" w:cs="Times New Roman"/>
          <w:sz w:val="24"/>
          <w:szCs w:val="24"/>
        </w:rPr>
      </w:pPr>
    </w:p>
    <w:p w14:paraId="2E52B7FD" w14:textId="77777777" w:rsidR="00B942D2" w:rsidRDefault="00B942D2" w:rsidP="00B942D2">
      <w:pPr>
        <w:spacing w:line="360" w:lineRule="auto"/>
        <w:jc w:val="center"/>
        <w:rPr>
          <w:rFonts w:ascii="Times New Roman" w:eastAsia="Times New Roman" w:hAnsi="Times New Roman" w:cs="Times New Roman"/>
          <w:sz w:val="24"/>
          <w:szCs w:val="24"/>
        </w:rPr>
      </w:pPr>
    </w:p>
    <w:p w14:paraId="7DB327C4" w14:textId="77777777" w:rsidR="00B942D2" w:rsidRDefault="00B942D2" w:rsidP="00B942D2">
      <w:pPr>
        <w:spacing w:line="360" w:lineRule="auto"/>
        <w:jc w:val="center"/>
        <w:rPr>
          <w:rFonts w:ascii="Times New Roman" w:eastAsia="Times New Roman" w:hAnsi="Times New Roman" w:cs="Times New Roman"/>
          <w:sz w:val="24"/>
          <w:szCs w:val="24"/>
        </w:rPr>
      </w:pPr>
    </w:p>
    <w:p w14:paraId="4FA86534" w14:textId="77777777" w:rsidR="00B942D2" w:rsidRDefault="00B942D2" w:rsidP="00B942D2">
      <w:pPr>
        <w:spacing w:line="360" w:lineRule="auto"/>
        <w:jc w:val="center"/>
        <w:rPr>
          <w:rFonts w:ascii="Times New Roman" w:eastAsia="Times New Roman" w:hAnsi="Times New Roman" w:cs="Times New Roman"/>
          <w:sz w:val="24"/>
          <w:szCs w:val="24"/>
        </w:rPr>
      </w:pPr>
    </w:p>
    <w:p w14:paraId="3BB18E21" w14:textId="77777777" w:rsidR="00B942D2" w:rsidRDefault="00B942D2" w:rsidP="00B942D2">
      <w:pPr>
        <w:spacing w:line="360" w:lineRule="auto"/>
        <w:jc w:val="center"/>
        <w:rPr>
          <w:rFonts w:ascii="Times New Roman" w:eastAsia="Times New Roman" w:hAnsi="Times New Roman" w:cs="Times New Roman"/>
          <w:sz w:val="24"/>
          <w:szCs w:val="24"/>
        </w:rPr>
      </w:pPr>
    </w:p>
    <w:p w14:paraId="7CAA60AC" w14:textId="77777777" w:rsidR="00B942D2" w:rsidRDefault="00B942D2" w:rsidP="00B942D2">
      <w:pPr>
        <w:spacing w:line="360" w:lineRule="auto"/>
        <w:jc w:val="center"/>
        <w:rPr>
          <w:rFonts w:ascii="Times New Roman" w:eastAsia="Times New Roman" w:hAnsi="Times New Roman" w:cs="Times New Roman"/>
          <w:sz w:val="24"/>
          <w:szCs w:val="24"/>
        </w:rPr>
      </w:pPr>
    </w:p>
    <w:p w14:paraId="52F05BBB" w14:textId="25A66CD8" w:rsidR="00B27EE0" w:rsidRDefault="53042E35" w:rsidP="00B942D2">
      <w:pPr>
        <w:spacing w:line="360" w:lineRule="auto"/>
        <w:jc w:val="center"/>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Managing People</w:t>
      </w:r>
    </w:p>
    <w:p w14:paraId="1200EA1C" w14:textId="17E3422E" w:rsidR="00B27EE0" w:rsidRPr="00FE7294" w:rsidRDefault="53042E35" w:rsidP="00B942D2">
      <w:pPr>
        <w:spacing w:line="360" w:lineRule="auto"/>
        <w:jc w:val="center"/>
        <w:rPr>
          <w:rFonts w:ascii="Times New Roman" w:eastAsia="Times New Roman" w:hAnsi="Times New Roman" w:cs="Times New Roman"/>
          <w:sz w:val="24"/>
          <w:szCs w:val="24"/>
          <w:lang w:val="nl-NL"/>
        </w:rPr>
      </w:pPr>
      <w:r w:rsidRPr="00FE7294">
        <w:rPr>
          <w:rFonts w:ascii="Times New Roman" w:eastAsia="Times New Roman" w:hAnsi="Times New Roman" w:cs="Times New Roman"/>
          <w:sz w:val="24"/>
          <w:szCs w:val="24"/>
          <w:lang w:val="nl-NL"/>
        </w:rPr>
        <w:t>Student name</w:t>
      </w:r>
      <w:r w:rsidR="00FE7294" w:rsidRPr="00FE7294">
        <w:rPr>
          <w:rFonts w:ascii="Times New Roman" w:eastAsia="Times New Roman" w:hAnsi="Times New Roman" w:cs="Times New Roman"/>
          <w:sz w:val="24"/>
          <w:szCs w:val="24"/>
          <w:lang w:val="nl-NL"/>
        </w:rPr>
        <w:t xml:space="preserve">: George </w:t>
      </w:r>
      <w:proofErr w:type="spellStart"/>
      <w:r w:rsidR="00FE7294" w:rsidRPr="00FE7294">
        <w:rPr>
          <w:rFonts w:ascii="Times New Roman" w:eastAsia="Times New Roman" w:hAnsi="Times New Roman" w:cs="Times New Roman"/>
          <w:sz w:val="24"/>
          <w:szCs w:val="24"/>
          <w:lang w:val="nl-NL"/>
        </w:rPr>
        <w:t>Nitulescu</w:t>
      </w:r>
      <w:proofErr w:type="spellEnd"/>
    </w:p>
    <w:p w14:paraId="70A7F64D" w14:textId="1CF89C46" w:rsidR="00B27EE0" w:rsidRPr="008D1BA7" w:rsidRDefault="53042E35" w:rsidP="00B942D2">
      <w:pPr>
        <w:spacing w:line="360" w:lineRule="auto"/>
        <w:jc w:val="center"/>
        <w:rPr>
          <w:rFonts w:ascii="Times New Roman" w:eastAsia="Times New Roman" w:hAnsi="Times New Roman" w:cs="Times New Roman"/>
          <w:sz w:val="24"/>
          <w:szCs w:val="24"/>
        </w:rPr>
      </w:pPr>
      <w:r w:rsidRPr="008D1BA7">
        <w:rPr>
          <w:rFonts w:ascii="Times New Roman" w:eastAsia="Times New Roman" w:hAnsi="Times New Roman" w:cs="Times New Roman"/>
          <w:sz w:val="24"/>
          <w:szCs w:val="24"/>
        </w:rPr>
        <w:t>Student id</w:t>
      </w:r>
      <w:r w:rsidR="00FE7294" w:rsidRPr="008D1BA7">
        <w:rPr>
          <w:rFonts w:ascii="Times New Roman" w:eastAsia="Times New Roman" w:hAnsi="Times New Roman" w:cs="Times New Roman"/>
          <w:sz w:val="24"/>
          <w:szCs w:val="24"/>
        </w:rPr>
        <w:t>:</w:t>
      </w:r>
      <w:r w:rsidR="0043045D" w:rsidRPr="008D1BA7">
        <w:rPr>
          <w:rFonts w:ascii="Times New Roman" w:eastAsia="Times New Roman" w:hAnsi="Times New Roman" w:cs="Times New Roman"/>
          <w:sz w:val="24"/>
          <w:szCs w:val="24"/>
        </w:rPr>
        <w:t xml:space="preserve"> </w:t>
      </w:r>
      <w:r w:rsidR="00FE7294" w:rsidRPr="008D1BA7">
        <w:rPr>
          <w:rFonts w:ascii="Times New Roman" w:eastAsia="Times New Roman" w:hAnsi="Times New Roman" w:cs="Times New Roman"/>
          <w:sz w:val="24"/>
          <w:szCs w:val="24"/>
        </w:rPr>
        <w:t>2123688</w:t>
      </w:r>
    </w:p>
    <w:p w14:paraId="64FB96C6" w14:textId="77A97A6E" w:rsidR="00B27EE0" w:rsidRDefault="53042E35" w:rsidP="00B942D2">
      <w:pPr>
        <w:spacing w:line="360" w:lineRule="auto"/>
        <w:jc w:val="center"/>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Module id</w:t>
      </w:r>
      <w:r w:rsidR="00CC691E">
        <w:rPr>
          <w:rFonts w:ascii="Times New Roman" w:eastAsia="Times New Roman" w:hAnsi="Times New Roman" w:cs="Times New Roman"/>
          <w:sz w:val="24"/>
          <w:szCs w:val="24"/>
        </w:rPr>
        <w:t>:</w:t>
      </w:r>
      <w:r w:rsidR="00D94A70">
        <w:rPr>
          <w:rFonts w:ascii="Times New Roman" w:eastAsia="Times New Roman" w:hAnsi="Times New Roman" w:cs="Times New Roman"/>
          <w:sz w:val="24"/>
          <w:szCs w:val="24"/>
        </w:rPr>
        <w:t xml:space="preserve"> </w:t>
      </w:r>
      <w:r w:rsidR="00CC691E">
        <w:rPr>
          <w:rFonts w:ascii="Times New Roman" w:eastAsia="Times New Roman" w:hAnsi="Times New Roman" w:cs="Times New Roman"/>
          <w:sz w:val="24"/>
          <w:szCs w:val="24"/>
        </w:rPr>
        <w:t>L</w:t>
      </w:r>
      <w:r w:rsidR="00D94A70">
        <w:rPr>
          <w:rFonts w:ascii="Times New Roman" w:eastAsia="Times New Roman" w:hAnsi="Times New Roman" w:cs="Times New Roman"/>
          <w:sz w:val="24"/>
          <w:szCs w:val="24"/>
        </w:rPr>
        <w:t>C</w:t>
      </w:r>
      <w:r w:rsidR="00CC691E">
        <w:rPr>
          <w:rFonts w:ascii="Times New Roman" w:eastAsia="Times New Roman" w:hAnsi="Times New Roman" w:cs="Times New Roman"/>
          <w:sz w:val="24"/>
          <w:szCs w:val="24"/>
        </w:rPr>
        <w:t>BB</w:t>
      </w:r>
      <w:r w:rsidR="00D94A70">
        <w:rPr>
          <w:rFonts w:ascii="Times New Roman" w:eastAsia="Times New Roman" w:hAnsi="Times New Roman" w:cs="Times New Roman"/>
          <w:sz w:val="24"/>
          <w:szCs w:val="24"/>
        </w:rPr>
        <w:t>5004</w:t>
      </w:r>
    </w:p>
    <w:p w14:paraId="369CA3DE" w14:textId="691BBD38" w:rsidR="00B27EE0" w:rsidRDefault="53042E35" w:rsidP="00B942D2">
      <w:pPr>
        <w:spacing w:line="360" w:lineRule="auto"/>
        <w:jc w:val="center"/>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Module name</w:t>
      </w:r>
      <w:r w:rsidR="0077373F">
        <w:rPr>
          <w:rFonts w:ascii="Times New Roman" w:eastAsia="Times New Roman" w:hAnsi="Times New Roman" w:cs="Times New Roman"/>
          <w:sz w:val="24"/>
          <w:szCs w:val="24"/>
        </w:rPr>
        <w:t xml:space="preserve"> </w:t>
      </w:r>
      <w:r w:rsidR="008D1BA7">
        <w:rPr>
          <w:rFonts w:ascii="Times New Roman" w:eastAsia="Times New Roman" w:hAnsi="Times New Roman" w:cs="Times New Roman"/>
          <w:sz w:val="24"/>
          <w:szCs w:val="24"/>
        </w:rPr>
        <w:t>:Managing People</w:t>
      </w:r>
    </w:p>
    <w:p w14:paraId="0751F20B" w14:textId="6836E9CE" w:rsidR="00B27EE0" w:rsidRDefault="53042E35" w:rsidP="00B942D2">
      <w:pPr>
        <w:spacing w:line="360" w:lineRule="auto"/>
        <w:jc w:val="center"/>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Lecturer</w:t>
      </w:r>
      <w:r w:rsidR="008D1BA7">
        <w:rPr>
          <w:rFonts w:ascii="Times New Roman" w:eastAsia="Times New Roman" w:hAnsi="Times New Roman" w:cs="Times New Roman"/>
          <w:sz w:val="24"/>
          <w:szCs w:val="24"/>
        </w:rPr>
        <w:t>:</w:t>
      </w:r>
      <w:r w:rsidR="0077373F">
        <w:rPr>
          <w:rFonts w:ascii="Times New Roman" w:eastAsia="Times New Roman" w:hAnsi="Times New Roman" w:cs="Times New Roman"/>
          <w:sz w:val="24"/>
          <w:szCs w:val="24"/>
        </w:rPr>
        <w:t xml:space="preserve"> </w:t>
      </w:r>
      <w:proofErr w:type="spellStart"/>
      <w:r w:rsidR="00192177">
        <w:rPr>
          <w:rFonts w:ascii="Times New Roman" w:eastAsia="Times New Roman" w:hAnsi="Times New Roman" w:cs="Times New Roman"/>
          <w:sz w:val="24"/>
          <w:szCs w:val="24"/>
        </w:rPr>
        <w:t>P</w:t>
      </w:r>
      <w:r w:rsidR="00BA2435">
        <w:rPr>
          <w:rFonts w:ascii="Times New Roman" w:eastAsia="Times New Roman" w:hAnsi="Times New Roman" w:cs="Times New Roman"/>
          <w:sz w:val="24"/>
          <w:szCs w:val="24"/>
        </w:rPr>
        <w:t>iyumika</w:t>
      </w:r>
      <w:proofErr w:type="spellEnd"/>
      <w:r w:rsidR="00BA2435">
        <w:rPr>
          <w:rFonts w:ascii="Times New Roman" w:eastAsia="Times New Roman" w:hAnsi="Times New Roman" w:cs="Times New Roman"/>
          <w:sz w:val="24"/>
          <w:szCs w:val="24"/>
        </w:rPr>
        <w:t xml:space="preserve"> </w:t>
      </w:r>
      <w:proofErr w:type="spellStart"/>
      <w:r w:rsidR="00BA2435">
        <w:rPr>
          <w:rFonts w:ascii="Times New Roman" w:eastAsia="Times New Roman" w:hAnsi="Times New Roman" w:cs="Times New Roman"/>
          <w:sz w:val="24"/>
          <w:szCs w:val="24"/>
        </w:rPr>
        <w:t>Kit</w:t>
      </w:r>
      <w:r w:rsidR="0077373F">
        <w:rPr>
          <w:rFonts w:ascii="Times New Roman" w:eastAsia="Times New Roman" w:hAnsi="Times New Roman" w:cs="Times New Roman"/>
          <w:sz w:val="24"/>
          <w:szCs w:val="24"/>
        </w:rPr>
        <w:t>hulgoda</w:t>
      </w:r>
      <w:proofErr w:type="spellEnd"/>
      <w:r w:rsidR="0077373F">
        <w:rPr>
          <w:rFonts w:ascii="Times New Roman" w:eastAsia="Times New Roman" w:hAnsi="Times New Roman" w:cs="Times New Roman"/>
          <w:sz w:val="24"/>
          <w:szCs w:val="24"/>
        </w:rPr>
        <w:t xml:space="preserve"> Gamage</w:t>
      </w:r>
    </w:p>
    <w:p w14:paraId="010E7D19" w14:textId="7BE0BB62" w:rsidR="00B27EE0" w:rsidRDefault="00B27EE0" w:rsidP="00B942D2">
      <w:pPr>
        <w:spacing w:line="360" w:lineRule="auto"/>
        <w:jc w:val="center"/>
        <w:rPr>
          <w:rFonts w:ascii="Times New Roman" w:eastAsia="Times New Roman" w:hAnsi="Times New Roman" w:cs="Times New Roman"/>
          <w:sz w:val="24"/>
          <w:szCs w:val="24"/>
        </w:rPr>
      </w:pPr>
    </w:p>
    <w:p w14:paraId="49498EFF" w14:textId="789D2CA7" w:rsidR="00B942D2" w:rsidRDefault="00B942D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68244380"/>
        <w:docPartObj>
          <w:docPartGallery w:val="Table of Contents"/>
          <w:docPartUnique/>
        </w:docPartObj>
      </w:sdtPr>
      <w:sdtEndPr>
        <w:rPr>
          <w:noProof/>
        </w:rPr>
      </w:sdtEndPr>
      <w:sdtContent>
        <w:p w14:paraId="5CFC1B05" w14:textId="1515D7EA" w:rsidR="00B942D2" w:rsidRPr="00B942D2" w:rsidRDefault="00B942D2">
          <w:pPr>
            <w:pStyle w:val="TOCHeading"/>
            <w:rPr>
              <w:rFonts w:ascii="Times New Roman" w:hAnsi="Times New Roman" w:cs="Times New Roman"/>
              <w:b/>
              <w:bCs/>
              <w:color w:val="auto"/>
              <w:sz w:val="24"/>
              <w:szCs w:val="24"/>
            </w:rPr>
          </w:pPr>
          <w:r w:rsidRPr="00B942D2">
            <w:rPr>
              <w:rFonts w:ascii="Times New Roman" w:hAnsi="Times New Roman" w:cs="Times New Roman"/>
              <w:b/>
              <w:bCs/>
              <w:color w:val="auto"/>
              <w:sz w:val="24"/>
              <w:szCs w:val="24"/>
            </w:rPr>
            <w:t>Table of Contents</w:t>
          </w:r>
        </w:p>
        <w:p w14:paraId="12979C0E" w14:textId="70F4832E" w:rsidR="00B942D2" w:rsidRPr="00B942D2" w:rsidRDefault="00B942D2">
          <w:pPr>
            <w:pStyle w:val="TOC1"/>
            <w:tabs>
              <w:tab w:val="right" w:leader="dot" w:pos="9350"/>
            </w:tabs>
            <w:rPr>
              <w:rFonts w:ascii="Times New Roman" w:eastAsiaTheme="minorEastAsia" w:hAnsi="Times New Roman" w:cs="Times New Roman"/>
              <w:noProof/>
              <w:sz w:val="24"/>
              <w:szCs w:val="24"/>
              <w:lang/>
            </w:rPr>
          </w:pPr>
          <w:r w:rsidRPr="00B942D2">
            <w:rPr>
              <w:rFonts w:ascii="Times New Roman" w:hAnsi="Times New Roman" w:cs="Times New Roman"/>
              <w:sz w:val="24"/>
              <w:szCs w:val="24"/>
            </w:rPr>
            <w:fldChar w:fldCharType="begin"/>
          </w:r>
          <w:r w:rsidRPr="00B942D2">
            <w:rPr>
              <w:rFonts w:ascii="Times New Roman" w:hAnsi="Times New Roman" w:cs="Times New Roman"/>
              <w:sz w:val="24"/>
              <w:szCs w:val="24"/>
            </w:rPr>
            <w:instrText xml:space="preserve"> TOC \o "1-3" \h \z \u </w:instrText>
          </w:r>
          <w:r w:rsidRPr="00B942D2">
            <w:rPr>
              <w:rFonts w:ascii="Times New Roman" w:hAnsi="Times New Roman" w:cs="Times New Roman"/>
              <w:sz w:val="24"/>
              <w:szCs w:val="24"/>
            </w:rPr>
            <w:fldChar w:fldCharType="separate"/>
          </w:r>
          <w:hyperlink w:anchor="_Toc132702146" w:history="1">
            <w:r w:rsidRPr="00B942D2">
              <w:rPr>
                <w:rStyle w:val="Hyperlink"/>
                <w:rFonts w:ascii="Times New Roman" w:eastAsia="Times New Roman" w:hAnsi="Times New Roman" w:cs="Times New Roman"/>
                <w:noProof/>
                <w:color w:val="auto"/>
                <w:sz w:val="24"/>
                <w:szCs w:val="24"/>
              </w:rPr>
              <w:t>Introduction</w:t>
            </w:r>
            <w:r w:rsidRPr="00B942D2">
              <w:rPr>
                <w:rFonts w:ascii="Times New Roman" w:hAnsi="Times New Roman" w:cs="Times New Roman"/>
                <w:noProof/>
                <w:webHidden/>
                <w:sz w:val="24"/>
                <w:szCs w:val="24"/>
              </w:rPr>
              <w:tab/>
            </w:r>
            <w:r w:rsidRPr="00B942D2">
              <w:rPr>
                <w:rFonts w:ascii="Times New Roman" w:hAnsi="Times New Roman" w:cs="Times New Roman"/>
                <w:noProof/>
                <w:webHidden/>
                <w:sz w:val="24"/>
                <w:szCs w:val="24"/>
              </w:rPr>
              <w:fldChar w:fldCharType="begin"/>
            </w:r>
            <w:r w:rsidRPr="00B942D2">
              <w:rPr>
                <w:rFonts w:ascii="Times New Roman" w:hAnsi="Times New Roman" w:cs="Times New Roman"/>
                <w:noProof/>
                <w:webHidden/>
                <w:sz w:val="24"/>
                <w:szCs w:val="24"/>
              </w:rPr>
              <w:instrText xml:space="preserve"> PAGEREF _Toc132702146 \h </w:instrText>
            </w:r>
            <w:r w:rsidRPr="00B942D2">
              <w:rPr>
                <w:rFonts w:ascii="Times New Roman" w:hAnsi="Times New Roman" w:cs="Times New Roman"/>
                <w:noProof/>
                <w:webHidden/>
                <w:sz w:val="24"/>
                <w:szCs w:val="24"/>
              </w:rPr>
            </w:r>
            <w:r w:rsidRPr="00B942D2">
              <w:rPr>
                <w:rFonts w:ascii="Times New Roman" w:hAnsi="Times New Roman" w:cs="Times New Roman"/>
                <w:noProof/>
                <w:webHidden/>
                <w:sz w:val="24"/>
                <w:szCs w:val="24"/>
              </w:rPr>
              <w:fldChar w:fldCharType="separate"/>
            </w:r>
            <w:r w:rsidRPr="00B942D2">
              <w:rPr>
                <w:rFonts w:ascii="Times New Roman" w:hAnsi="Times New Roman" w:cs="Times New Roman"/>
                <w:noProof/>
                <w:webHidden/>
                <w:sz w:val="24"/>
                <w:szCs w:val="24"/>
              </w:rPr>
              <w:t>3</w:t>
            </w:r>
            <w:r w:rsidRPr="00B942D2">
              <w:rPr>
                <w:rFonts w:ascii="Times New Roman" w:hAnsi="Times New Roman" w:cs="Times New Roman"/>
                <w:noProof/>
                <w:webHidden/>
                <w:sz w:val="24"/>
                <w:szCs w:val="24"/>
              </w:rPr>
              <w:fldChar w:fldCharType="end"/>
            </w:r>
          </w:hyperlink>
        </w:p>
        <w:p w14:paraId="5D4A6F6B" w14:textId="103C4012" w:rsidR="00B942D2" w:rsidRPr="00B942D2" w:rsidRDefault="00000000">
          <w:pPr>
            <w:pStyle w:val="TOC1"/>
            <w:tabs>
              <w:tab w:val="right" w:leader="dot" w:pos="9350"/>
            </w:tabs>
            <w:rPr>
              <w:rFonts w:ascii="Times New Roman" w:eastAsiaTheme="minorEastAsia" w:hAnsi="Times New Roman" w:cs="Times New Roman"/>
              <w:noProof/>
              <w:sz w:val="24"/>
              <w:szCs w:val="24"/>
              <w:lang/>
            </w:rPr>
          </w:pPr>
          <w:hyperlink w:anchor="_Toc132702147" w:history="1">
            <w:r w:rsidR="00B942D2" w:rsidRPr="00B942D2">
              <w:rPr>
                <w:rStyle w:val="Hyperlink"/>
                <w:rFonts w:ascii="Times New Roman" w:eastAsia="Times New Roman" w:hAnsi="Times New Roman" w:cs="Times New Roman"/>
                <w:noProof/>
                <w:color w:val="auto"/>
                <w:sz w:val="24"/>
                <w:szCs w:val="24"/>
              </w:rPr>
              <w:t>Causes and effects of employee attrition within the Nursing Industry in the UK.</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_Toc132702147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3</w:t>
            </w:r>
            <w:r w:rsidR="00B942D2" w:rsidRPr="00B942D2">
              <w:rPr>
                <w:rFonts w:ascii="Times New Roman" w:hAnsi="Times New Roman" w:cs="Times New Roman"/>
                <w:noProof/>
                <w:webHidden/>
                <w:sz w:val="24"/>
                <w:szCs w:val="24"/>
              </w:rPr>
              <w:fldChar w:fldCharType="end"/>
            </w:r>
          </w:hyperlink>
        </w:p>
        <w:p w14:paraId="0BA14DC4" w14:textId="25BA74D4" w:rsidR="00B942D2" w:rsidRPr="00B942D2" w:rsidRDefault="00000000">
          <w:pPr>
            <w:pStyle w:val="TOC1"/>
            <w:tabs>
              <w:tab w:val="right" w:leader="dot" w:pos="9350"/>
            </w:tabs>
            <w:rPr>
              <w:rFonts w:ascii="Times New Roman" w:eastAsiaTheme="minorEastAsia" w:hAnsi="Times New Roman" w:cs="Times New Roman"/>
              <w:noProof/>
              <w:sz w:val="24"/>
              <w:szCs w:val="24"/>
              <w:lang/>
            </w:rPr>
          </w:pPr>
          <w:hyperlink w:anchor="_Toc132702148" w:history="1">
            <w:r w:rsidR="00B942D2" w:rsidRPr="00B942D2">
              <w:rPr>
                <w:rStyle w:val="Hyperlink"/>
                <w:rFonts w:ascii="Times New Roman" w:hAnsi="Times New Roman" w:cs="Times New Roman"/>
                <w:noProof/>
                <w:color w:val="auto"/>
                <w:sz w:val="24"/>
                <w:szCs w:val="24"/>
              </w:rPr>
              <w:t>Monetary</w:t>
            </w:r>
            <w:r w:rsidR="00B942D2" w:rsidRPr="00B942D2">
              <w:rPr>
                <w:rStyle w:val="Hyperlink"/>
                <w:rFonts w:ascii="Times New Roman" w:eastAsia="Times New Roman" w:hAnsi="Times New Roman" w:cs="Times New Roman"/>
                <w:noProof/>
                <w:color w:val="auto"/>
                <w:sz w:val="24"/>
                <w:szCs w:val="24"/>
              </w:rPr>
              <w:t xml:space="preserve"> and five non-monetary existing retention schemes used by NHS for Nursing professionals through your research and critically evaluate them</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_Toc132702148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4</w:t>
            </w:r>
            <w:r w:rsidR="00B942D2" w:rsidRPr="00B942D2">
              <w:rPr>
                <w:rFonts w:ascii="Times New Roman" w:hAnsi="Times New Roman" w:cs="Times New Roman"/>
                <w:noProof/>
                <w:webHidden/>
                <w:sz w:val="24"/>
                <w:szCs w:val="24"/>
              </w:rPr>
              <w:fldChar w:fldCharType="end"/>
            </w:r>
          </w:hyperlink>
        </w:p>
        <w:p w14:paraId="46310F46" w14:textId="0293D25A" w:rsidR="00B942D2" w:rsidRPr="00B942D2" w:rsidRDefault="00000000">
          <w:pPr>
            <w:pStyle w:val="TOC2"/>
            <w:tabs>
              <w:tab w:val="right" w:leader="dot" w:pos="9350"/>
            </w:tabs>
            <w:rPr>
              <w:rFonts w:ascii="Times New Roman" w:eastAsiaTheme="minorEastAsia" w:hAnsi="Times New Roman" w:cs="Times New Roman"/>
              <w:noProof/>
              <w:sz w:val="24"/>
              <w:szCs w:val="24"/>
              <w:lang/>
            </w:rPr>
          </w:pPr>
          <w:hyperlink w:anchor="_Toc132702149" w:history="1">
            <w:r w:rsidR="00B942D2" w:rsidRPr="00B942D2">
              <w:rPr>
                <w:rStyle w:val="Hyperlink"/>
                <w:rFonts w:ascii="Times New Roman" w:eastAsia="Times New Roman" w:hAnsi="Times New Roman" w:cs="Times New Roman"/>
                <w:noProof/>
                <w:color w:val="auto"/>
                <w:sz w:val="24"/>
                <w:szCs w:val="24"/>
              </w:rPr>
              <w:t>Monetary retention schemes</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_Toc132702149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5</w:t>
            </w:r>
            <w:r w:rsidR="00B942D2" w:rsidRPr="00B942D2">
              <w:rPr>
                <w:rFonts w:ascii="Times New Roman" w:hAnsi="Times New Roman" w:cs="Times New Roman"/>
                <w:noProof/>
                <w:webHidden/>
                <w:sz w:val="24"/>
                <w:szCs w:val="24"/>
              </w:rPr>
              <w:fldChar w:fldCharType="end"/>
            </w:r>
          </w:hyperlink>
        </w:p>
        <w:p w14:paraId="6323DDAC" w14:textId="11A49372" w:rsidR="00B942D2" w:rsidRPr="00B942D2" w:rsidRDefault="00000000">
          <w:pPr>
            <w:pStyle w:val="TOC2"/>
            <w:tabs>
              <w:tab w:val="right" w:leader="dot" w:pos="9350"/>
            </w:tabs>
            <w:rPr>
              <w:rFonts w:ascii="Times New Roman" w:eastAsiaTheme="minorEastAsia" w:hAnsi="Times New Roman" w:cs="Times New Roman"/>
              <w:noProof/>
              <w:sz w:val="24"/>
              <w:szCs w:val="24"/>
              <w:lang/>
            </w:rPr>
          </w:pPr>
          <w:hyperlink w:anchor="_Toc132702150" w:history="1">
            <w:r w:rsidR="00B942D2" w:rsidRPr="00B942D2">
              <w:rPr>
                <w:rStyle w:val="Hyperlink"/>
                <w:rFonts w:ascii="Times New Roman" w:eastAsia="Times New Roman" w:hAnsi="Times New Roman" w:cs="Times New Roman"/>
                <w:noProof/>
                <w:color w:val="auto"/>
                <w:sz w:val="24"/>
                <w:szCs w:val="24"/>
              </w:rPr>
              <w:t>Non-monetary retention schemes</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_Toc132702150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5</w:t>
            </w:r>
            <w:r w:rsidR="00B942D2" w:rsidRPr="00B942D2">
              <w:rPr>
                <w:rFonts w:ascii="Times New Roman" w:hAnsi="Times New Roman" w:cs="Times New Roman"/>
                <w:noProof/>
                <w:webHidden/>
                <w:sz w:val="24"/>
                <w:szCs w:val="24"/>
              </w:rPr>
              <w:fldChar w:fldCharType="end"/>
            </w:r>
          </w:hyperlink>
        </w:p>
        <w:p w14:paraId="71FC093D" w14:textId="2513A3AC" w:rsidR="00B942D2" w:rsidRPr="00B942D2" w:rsidRDefault="00000000">
          <w:pPr>
            <w:pStyle w:val="TOC1"/>
            <w:tabs>
              <w:tab w:val="right" w:leader="dot" w:pos="9350"/>
            </w:tabs>
            <w:rPr>
              <w:rFonts w:ascii="Times New Roman" w:eastAsiaTheme="minorEastAsia" w:hAnsi="Times New Roman" w:cs="Times New Roman"/>
              <w:noProof/>
              <w:sz w:val="24"/>
              <w:szCs w:val="24"/>
              <w:lang/>
            </w:rPr>
          </w:pPr>
          <w:hyperlink w:anchor="_Toc132702151" w:history="1">
            <w:r w:rsidR="00B942D2" w:rsidRPr="00B942D2">
              <w:rPr>
                <w:rStyle w:val="Hyperlink"/>
                <w:rFonts w:ascii="Times New Roman" w:hAnsi="Times New Roman" w:cs="Times New Roman"/>
                <w:noProof/>
                <w:color w:val="auto"/>
                <w:sz w:val="24"/>
                <w:szCs w:val="24"/>
              </w:rPr>
              <w:t>Recommendations</w:t>
            </w:r>
            <w:r w:rsidR="00B942D2" w:rsidRPr="00B942D2">
              <w:rPr>
                <w:rStyle w:val="Hyperlink"/>
                <w:rFonts w:ascii="Times New Roman" w:eastAsia="Times New Roman" w:hAnsi="Times New Roman" w:cs="Times New Roman"/>
                <w:noProof/>
                <w:color w:val="auto"/>
                <w:sz w:val="24"/>
                <w:szCs w:val="24"/>
              </w:rPr>
              <w:t>, both in the short term and in the longer term to improve nurse retention to lower nurse attrition rate in the UK</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_Toc132702151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6</w:t>
            </w:r>
            <w:r w:rsidR="00B942D2" w:rsidRPr="00B942D2">
              <w:rPr>
                <w:rFonts w:ascii="Times New Roman" w:hAnsi="Times New Roman" w:cs="Times New Roman"/>
                <w:noProof/>
                <w:webHidden/>
                <w:sz w:val="24"/>
                <w:szCs w:val="24"/>
              </w:rPr>
              <w:fldChar w:fldCharType="end"/>
            </w:r>
          </w:hyperlink>
        </w:p>
        <w:p w14:paraId="6CFB6FBB" w14:textId="23314269" w:rsidR="00B942D2" w:rsidRPr="00B942D2" w:rsidRDefault="00000000">
          <w:pPr>
            <w:pStyle w:val="TOC1"/>
            <w:tabs>
              <w:tab w:val="right" w:leader="dot" w:pos="9350"/>
            </w:tabs>
            <w:rPr>
              <w:rFonts w:ascii="Times New Roman" w:eastAsiaTheme="minorEastAsia" w:hAnsi="Times New Roman" w:cs="Times New Roman"/>
              <w:noProof/>
              <w:sz w:val="24"/>
              <w:szCs w:val="24"/>
              <w:lang/>
            </w:rPr>
          </w:pPr>
          <w:hyperlink w:anchor="_Toc132702152" w:history="1">
            <w:r w:rsidR="00B942D2" w:rsidRPr="00B942D2">
              <w:rPr>
                <w:rStyle w:val="Hyperlink"/>
                <w:rFonts w:ascii="Times New Roman" w:eastAsia="Times New Roman" w:hAnsi="Times New Roman" w:cs="Times New Roman"/>
                <w:noProof/>
                <w:color w:val="auto"/>
                <w:sz w:val="24"/>
                <w:szCs w:val="24"/>
              </w:rPr>
              <w:t>Conclusion</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_Toc132702152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8</w:t>
            </w:r>
            <w:r w:rsidR="00B942D2" w:rsidRPr="00B942D2">
              <w:rPr>
                <w:rFonts w:ascii="Times New Roman" w:hAnsi="Times New Roman" w:cs="Times New Roman"/>
                <w:noProof/>
                <w:webHidden/>
                <w:sz w:val="24"/>
                <w:szCs w:val="24"/>
              </w:rPr>
              <w:fldChar w:fldCharType="end"/>
            </w:r>
          </w:hyperlink>
        </w:p>
        <w:p w14:paraId="04FA3B78" w14:textId="79AE09E0" w:rsidR="00B942D2" w:rsidRPr="00B942D2" w:rsidRDefault="00000000">
          <w:pPr>
            <w:pStyle w:val="TOC1"/>
            <w:tabs>
              <w:tab w:val="right" w:leader="dot" w:pos="9350"/>
            </w:tabs>
            <w:rPr>
              <w:rFonts w:ascii="Times New Roman" w:eastAsiaTheme="minorEastAsia" w:hAnsi="Times New Roman" w:cs="Times New Roman"/>
              <w:noProof/>
              <w:sz w:val="24"/>
              <w:szCs w:val="24"/>
              <w:lang/>
            </w:rPr>
          </w:pPr>
          <w:hyperlink w:anchor="_Toc132702153" w:history="1">
            <w:r w:rsidR="00B942D2" w:rsidRPr="00B942D2">
              <w:rPr>
                <w:rStyle w:val="Hyperlink"/>
                <w:rFonts w:ascii="Times New Roman" w:eastAsia="Times New Roman" w:hAnsi="Times New Roman" w:cs="Times New Roman"/>
                <w:noProof/>
                <w:color w:val="auto"/>
                <w:sz w:val="24"/>
                <w:szCs w:val="24"/>
              </w:rPr>
              <w:t>References</w:t>
            </w:r>
            <w:r w:rsidR="00B942D2" w:rsidRPr="00B942D2">
              <w:rPr>
                <w:rFonts w:ascii="Times New Roman" w:hAnsi="Times New Roman" w:cs="Times New Roman"/>
                <w:noProof/>
                <w:webHidden/>
                <w:sz w:val="24"/>
                <w:szCs w:val="24"/>
              </w:rPr>
              <w:tab/>
            </w:r>
            <w:r w:rsidR="00B942D2" w:rsidRPr="00B942D2">
              <w:rPr>
                <w:rFonts w:ascii="Times New Roman" w:hAnsi="Times New Roman" w:cs="Times New Roman"/>
                <w:noProof/>
                <w:webHidden/>
                <w:sz w:val="24"/>
                <w:szCs w:val="24"/>
              </w:rPr>
              <w:fldChar w:fldCharType="begin"/>
            </w:r>
            <w:r w:rsidR="00B942D2" w:rsidRPr="00B942D2">
              <w:rPr>
                <w:rFonts w:ascii="Times New Roman" w:hAnsi="Times New Roman" w:cs="Times New Roman"/>
                <w:noProof/>
                <w:webHidden/>
                <w:sz w:val="24"/>
                <w:szCs w:val="24"/>
              </w:rPr>
              <w:instrText xml:space="preserve"> PAGEREF _Toc132702153 \h </w:instrText>
            </w:r>
            <w:r w:rsidR="00B942D2" w:rsidRPr="00B942D2">
              <w:rPr>
                <w:rFonts w:ascii="Times New Roman" w:hAnsi="Times New Roman" w:cs="Times New Roman"/>
                <w:noProof/>
                <w:webHidden/>
                <w:sz w:val="24"/>
                <w:szCs w:val="24"/>
              </w:rPr>
            </w:r>
            <w:r w:rsidR="00B942D2" w:rsidRPr="00B942D2">
              <w:rPr>
                <w:rFonts w:ascii="Times New Roman" w:hAnsi="Times New Roman" w:cs="Times New Roman"/>
                <w:noProof/>
                <w:webHidden/>
                <w:sz w:val="24"/>
                <w:szCs w:val="24"/>
              </w:rPr>
              <w:fldChar w:fldCharType="separate"/>
            </w:r>
            <w:r w:rsidR="00B942D2" w:rsidRPr="00B942D2">
              <w:rPr>
                <w:rFonts w:ascii="Times New Roman" w:hAnsi="Times New Roman" w:cs="Times New Roman"/>
                <w:noProof/>
                <w:webHidden/>
                <w:sz w:val="24"/>
                <w:szCs w:val="24"/>
              </w:rPr>
              <w:t>9</w:t>
            </w:r>
            <w:r w:rsidR="00B942D2" w:rsidRPr="00B942D2">
              <w:rPr>
                <w:rFonts w:ascii="Times New Roman" w:hAnsi="Times New Roman" w:cs="Times New Roman"/>
                <w:noProof/>
                <w:webHidden/>
                <w:sz w:val="24"/>
                <w:szCs w:val="24"/>
              </w:rPr>
              <w:fldChar w:fldCharType="end"/>
            </w:r>
          </w:hyperlink>
        </w:p>
        <w:p w14:paraId="4EA5758B" w14:textId="0EC818AE" w:rsidR="00B942D2" w:rsidRDefault="00B942D2">
          <w:r w:rsidRPr="00B942D2">
            <w:rPr>
              <w:rFonts w:ascii="Times New Roman" w:hAnsi="Times New Roman" w:cs="Times New Roman"/>
              <w:noProof/>
              <w:sz w:val="24"/>
              <w:szCs w:val="24"/>
            </w:rPr>
            <w:fldChar w:fldCharType="end"/>
          </w:r>
        </w:p>
      </w:sdtContent>
    </w:sdt>
    <w:p w14:paraId="664BF3D0" w14:textId="5D82E455" w:rsidR="00B27EE0" w:rsidRDefault="00B27EE0" w:rsidP="53042E35">
      <w:pPr>
        <w:spacing w:line="360" w:lineRule="auto"/>
        <w:rPr>
          <w:rFonts w:ascii="Times New Roman" w:eastAsia="Times New Roman" w:hAnsi="Times New Roman" w:cs="Times New Roman"/>
          <w:sz w:val="24"/>
          <w:szCs w:val="24"/>
        </w:rPr>
      </w:pPr>
    </w:p>
    <w:p w14:paraId="0F395102" w14:textId="50FD82E5" w:rsidR="00B27EE0" w:rsidRDefault="00000000"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br w:type="page"/>
      </w:r>
    </w:p>
    <w:p w14:paraId="33946782" w14:textId="12A511D9" w:rsidR="00B27EE0" w:rsidRPr="00B942D2" w:rsidRDefault="53042E35" w:rsidP="00B942D2">
      <w:pPr>
        <w:pStyle w:val="Heading1"/>
        <w:rPr>
          <w:rFonts w:ascii="Times New Roman" w:hAnsi="Times New Roman" w:cs="Times New Roman"/>
          <w:b/>
          <w:bCs/>
          <w:sz w:val="24"/>
          <w:szCs w:val="24"/>
        </w:rPr>
      </w:pPr>
      <w:bookmarkStart w:id="0" w:name="_Toc132702146"/>
      <w:r w:rsidRPr="00B942D2">
        <w:rPr>
          <w:rStyle w:val="Heading1Char"/>
          <w:rFonts w:ascii="Times New Roman" w:eastAsia="Times New Roman" w:hAnsi="Times New Roman" w:cs="Times New Roman"/>
          <w:b/>
          <w:bCs/>
          <w:color w:val="auto"/>
          <w:sz w:val="24"/>
          <w:szCs w:val="24"/>
        </w:rPr>
        <w:lastRenderedPageBreak/>
        <w:t>Introduction</w:t>
      </w:r>
      <w:bookmarkEnd w:id="0"/>
    </w:p>
    <w:p w14:paraId="75EF49E6" w14:textId="1BBF956D"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One of the most key areas of the healthcare sector is the nursing profession. The main employer of nurses in the UK is the National Health Service (NHS). However, the NHS has recently had severe issues with nurse retention. There is a severe lack of certified and seasoned nurses in the healthcare industry because of an elevated turnover rate of nurses, which has been a significant worry for the NHS. This report, written by a human resources consultant with expertise in employee retention, examines the reasons for and effects of nursing staff attrition in the UK nursing industry. It also critically assesses the current retention strategies employed by the NHS and offers suggestions for short- and long-term improvements in nurse retention. (</w:t>
      </w:r>
      <w:proofErr w:type="spellStart"/>
      <w:r w:rsidRPr="53042E35">
        <w:rPr>
          <w:rFonts w:ascii="Times New Roman" w:eastAsia="Times New Roman" w:hAnsi="Times New Roman" w:cs="Times New Roman"/>
          <w:sz w:val="24"/>
          <w:szCs w:val="24"/>
        </w:rPr>
        <w:t>Aikenet</w:t>
      </w:r>
      <w:proofErr w:type="spellEnd"/>
      <w:r w:rsidRPr="53042E35">
        <w:rPr>
          <w:rFonts w:ascii="Times New Roman" w:eastAsia="Times New Roman" w:hAnsi="Times New Roman" w:cs="Times New Roman"/>
          <w:sz w:val="24"/>
          <w:szCs w:val="24"/>
        </w:rPr>
        <w:t xml:space="preserve"> et al., 2014). The first section of this paper will look at nurse attrition's causes and effects on the healthcare sector. Then, it will examine the current financial and non-financial nurse retention strategies employed by the NHS and assess how well they work to keep nurses. Finally, this research will offer suggestions to enhance nurse retention in the UK over the medium and long term (Aiken et al., 2014).</w:t>
      </w:r>
    </w:p>
    <w:p w14:paraId="644730C6" w14:textId="016900AE" w:rsidR="00B27EE0" w:rsidRPr="00B942D2" w:rsidRDefault="00B942D2" w:rsidP="00B942D2">
      <w:pPr>
        <w:pStyle w:val="Heading1"/>
        <w:rPr>
          <w:rFonts w:ascii="Times New Roman" w:eastAsia="Times New Roman" w:hAnsi="Times New Roman" w:cs="Times New Roman"/>
          <w:b/>
          <w:bCs/>
          <w:color w:val="auto"/>
          <w:sz w:val="24"/>
          <w:szCs w:val="24"/>
        </w:rPr>
      </w:pPr>
      <w:bookmarkStart w:id="1" w:name="_Toc132702147"/>
      <w:r w:rsidRPr="00B942D2">
        <w:rPr>
          <w:rFonts w:ascii="Times New Roman" w:eastAsia="Times New Roman" w:hAnsi="Times New Roman" w:cs="Times New Roman"/>
          <w:b/>
          <w:bCs/>
          <w:color w:val="auto"/>
          <w:sz w:val="24"/>
          <w:szCs w:val="24"/>
        </w:rPr>
        <w:t>C</w:t>
      </w:r>
      <w:r w:rsidR="53042E35" w:rsidRPr="00B942D2">
        <w:rPr>
          <w:rFonts w:ascii="Times New Roman" w:eastAsia="Times New Roman" w:hAnsi="Times New Roman" w:cs="Times New Roman"/>
          <w:b/>
          <w:bCs/>
          <w:color w:val="auto"/>
          <w:sz w:val="24"/>
          <w:szCs w:val="24"/>
        </w:rPr>
        <w:t>auses and effects of employee attrition within the Nursing Industry in the UK.</w:t>
      </w:r>
      <w:bookmarkEnd w:id="1"/>
    </w:p>
    <w:p w14:paraId="545115CA" w14:textId="2A43326A"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In the UK's healthcare business, staff turnover is a severe problem, especially in the nursing profession. To address this issue, it is necessary to examine the many factors that contribute to staff retention within the field of nursing.</w:t>
      </w:r>
    </w:p>
    <w:p w14:paraId="257B8284" w14:textId="4D6C0D12"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 xml:space="preserve">Causes of Employee Attrition: The UK nursing sector has significant attrition rates due to several issues. Lack of employees is one of the main factors. While there are fewer nurses available, the demand for healthcare services is rising. The need for healthcare services is rising as the population ages, but there has not been a corresponding rise in the number of nurses. This results in a severe burden for nurses, who then get stressed and burn out. (Buchan et al., 2019). </w:t>
      </w:r>
    </w:p>
    <w:p w14:paraId="59881BA4" w14:textId="4604A44A"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The absence of professional growth possibilities is another reason behind the high attrition rates. Nurses are demotivated and disengaged at work because they believe their abilities and talents are underutilised or underappreciated. High turnover rates might result from low productivity and morale caused by a lack of work satisfaction.</w:t>
      </w:r>
    </w:p>
    <w:p w14:paraId="712B5A8E" w14:textId="41DDD7AD"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 xml:space="preserve">In the nursing sector, inadequate compensation and benefits play a significant role in employee turnover. Overworked and underpaid nurses frequently experience low morale and unhappiness </w:t>
      </w:r>
      <w:r w:rsidRPr="53042E35">
        <w:rPr>
          <w:rFonts w:ascii="Times New Roman" w:eastAsia="Times New Roman" w:hAnsi="Times New Roman" w:cs="Times New Roman"/>
          <w:sz w:val="24"/>
          <w:szCs w:val="24"/>
        </w:rPr>
        <w:lastRenderedPageBreak/>
        <w:t>at work. Poor working conditions, insufficient benefits, and a lack of job stability make the issue even worse. (Drennan et al., 2016).</w:t>
      </w:r>
    </w:p>
    <w:p w14:paraId="77130142" w14:textId="72D3F660"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Impacts of staff attrition: In the nursing sector, staff attrition has far-reaching impacts that may have a significant impact on patient care and healthcare services. First off, a lack of nursing personnel caused by high attrition rates puts a tremendous amount of pressure on the remaining staff. Long work hours are frequently expected of nurses, which can cause stress, weariness, and burnout. This may lead to mistakes, lower productivity, and more absenteeism.</w:t>
      </w:r>
    </w:p>
    <w:p w14:paraId="68BD48C8" w14:textId="602A6154"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High attrition rates influence patient care as well since a lack of nurses might result in a decline in the standard of treatment. (Jones et al., 2015). Patients can have longer wait times, less focus, and increased stress. Patients may become dissatisfied as a result, and patient results may suffer.</w:t>
      </w:r>
    </w:p>
    <w:p w14:paraId="759CB6CB" w14:textId="37DCC327"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Furthermore, high attrition rates drive up the cost of recruiting and training new hires, which reduces output and profits. The time and money spent on recruiting and instructing new nurses may be a significant financial burden for healthcare organisations. If healthcare businesses want to solve the problem of employee attrition in the field of nursing, they must boost worker retention. One of the most crucial objectives is to improve nurse pay and working conditions. Nurses must receive appropriate compensation and benefits in line with their training and experience. Therefore, there will be an increase in morale and productivity, as well as in worker retention and satisfaction with work. (</w:t>
      </w:r>
      <w:proofErr w:type="spellStart"/>
      <w:r w:rsidRPr="53042E35">
        <w:rPr>
          <w:rFonts w:ascii="Times New Roman" w:eastAsia="Times New Roman" w:hAnsi="Times New Roman" w:cs="Times New Roman"/>
          <w:sz w:val="24"/>
          <w:szCs w:val="24"/>
        </w:rPr>
        <w:t>Lankshear</w:t>
      </w:r>
      <w:proofErr w:type="spellEnd"/>
      <w:r w:rsidRPr="53042E35">
        <w:rPr>
          <w:rFonts w:ascii="Times New Roman" w:eastAsia="Times New Roman" w:hAnsi="Times New Roman" w:cs="Times New Roman"/>
          <w:sz w:val="24"/>
          <w:szCs w:val="24"/>
        </w:rPr>
        <w:t xml:space="preserve"> et al., 2015).</w:t>
      </w:r>
    </w:p>
    <w:p w14:paraId="44EEC934" w14:textId="56A8F31B"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Healthcare institutions must also offer nurses chances for professional growth and promotion. This may involve leadership chances, mentoring relationships, and training initiatives. Giving nurses a clear career path will increase their motivation and job satisfaction, which will improve staff retention.</w:t>
      </w:r>
    </w:p>
    <w:p w14:paraId="02033A3F" w14:textId="4B741FA1" w:rsidR="00B27EE0"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Finally, healthcare institutions need to deal with workload and staffing issues. This may be accomplished by putting into practise innovative tactics like telemedicine, which can lessen the stress on nurses and enhance patient outcomes. (</w:t>
      </w:r>
      <w:proofErr w:type="spellStart"/>
      <w:r w:rsidRPr="53042E35">
        <w:rPr>
          <w:rFonts w:ascii="Times New Roman" w:eastAsia="Times New Roman" w:hAnsi="Times New Roman" w:cs="Times New Roman"/>
          <w:sz w:val="24"/>
          <w:szCs w:val="24"/>
        </w:rPr>
        <w:t>Laschinger</w:t>
      </w:r>
      <w:proofErr w:type="spellEnd"/>
      <w:r w:rsidRPr="53042E35">
        <w:rPr>
          <w:rFonts w:ascii="Times New Roman" w:eastAsia="Times New Roman" w:hAnsi="Times New Roman" w:cs="Times New Roman"/>
          <w:sz w:val="24"/>
          <w:szCs w:val="24"/>
        </w:rPr>
        <w:t xml:space="preserve"> et al., 2008).</w:t>
      </w:r>
    </w:p>
    <w:p w14:paraId="2C078E63" w14:textId="074B4F40" w:rsidR="00B27EE0" w:rsidRPr="00B942D2" w:rsidRDefault="00B942D2" w:rsidP="00B942D2">
      <w:pPr>
        <w:pStyle w:val="Heading1"/>
        <w:rPr>
          <w:rFonts w:ascii="Times New Roman" w:eastAsia="Times New Roman" w:hAnsi="Times New Roman" w:cs="Times New Roman"/>
          <w:b/>
          <w:bCs/>
          <w:color w:val="auto"/>
          <w:sz w:val="24"/>
          <w:szCs w:val="24"/>
        </w:rPr>
      </w:pPr>
      <w:bookmarkStart w:id="2" w:name="_Toc132702148"/>
      <w:r w:rsidRPr="00B942D2">
        <w:rPr>
          <w:rFonts w:ascii="Times New Roman" w:hAnsi="Times New Roman" w:cs="Times New Roman"/>
          <w:b/>
          <w:bCs/>
          <w:color w:val="auto"/>
          <w:sz w:val="24"/>
          <w:szCs w:val="24"/>
        </w:rPr>
        <w:t>M</w:t>
      </w:r>
      <w:r w:rsidR="53042E35" w:rsidRPr="00B942D2">
        <w:rPr>
          <w:rFonts w:ascii="Times New Roman" w:hAnsi="Times New Roman" w:cs="Times New Roman"/>
          <w:b/>
          <w:bCs/>
          <w:color w:val="auto"/>
          <w:sz w:val="24"/>
          <w:szCs w:val="24"/>
        </w:rPr>
        <w:t>onetary</w:t>
      </w:r>
      <w:r w:rsidR="53042E35" w:rsidRPr="00B942D2">
        <w:rPr>
          <w:rFonts w:ascii="Times New Roman" w:eastAsia="Times New Roman" w:hAnsi="Times New Roman" w:cs="Times New Roman"/>
          <w:b/>
          <w:bCs/>
          <w:color w:val="auto"/>
          <w:sz w:val="24"/>
          <w:szCs w:val="24"/>
        </w:rPr>
        <w:t xml:space="preserve"> and five non-monetary existing retention schemes used by NHS for Nursing professionals through your research and critically evaluate them</w:t>
      </w:r>
      <w:bookmarkEnd w:id="2"/>
    </w:p>
    <w:p w14:paraId="4C18F218" w14:textId="1D7C8A30"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 xml:space="preserve">A variety of retention programmes are offered by the National Health Service (NHS) in the UK to help nursing workers stay in their positions. These plans may be divided into two groups: </w:t>
      </w:r>
      <w:r w:rsidRPr="53042E35">
        <w:rPr>
          <w:rFonts w:ascii="Times New Roman" w:eastAsia="Times New Roman" w:hAnsi="Times New Roman" w:cs="Times New Roman"/>
          <w:sz w:val="24"/>
          <w:szCs w:val="24"/>
        </w:rPr>
        <w:lastRenderedPageBreak/>
        <w:t>monetary retention plans and non-monetary retention plans. In this part, we will list and assess five financial and five non-financial nursing professional retention programmes employed by the NHS. (</w:t>
      </w:r>
      <w:proofErr w:type="spellStart"/>
      <w:r w:rsidRPr="53042E35">
        <w:rPr>
          <w:rFonts w:ascii="Times New Roman" w:eastAsia="Times New Roman" w:hAnsi="Times New Roman" w:cs="Times New Roman"/>
          <w:sz w:val="24"/>
          <w:szCs w:val="24"/>
        </w:rPr>
        <w:t>Laschinger</w:t>
      </w:r>
      <w:proofErr w:type="spellEnd"/>
      <w:r w:rsidRPr="53042E35">
        <w:rPr>
          <w:rFonts w:ascii="Times New Roman" w:eastAsia="Times New Roman" w:hAnsi="Times New Roman" w:cs="Times New Roman"/>
          <w:sz w:val="24"/>
          <w:szCs w:val="24"/>
        </w:rPr>
        <w:t xml:space="preserve"> et al., 2008)</w:t>
      </w:r>
    </w:p>
    <w:p w14:paraId="634479F6" w14:textId="19A5B5DB" w:rsidR="53042E35" w:rsidRPr="00B942D2" w:rsidRDefault="53042E35" w:rsidP="00B942D2">
      <w:pPr>
        <w:pStyle w:val="Heading2"/>
        <w:rPr>
          <w:rFonts w:ascii="Times New Roman" w:hAnsi="Times New Roman" w:cs="Times New Roman"/>
          <w:b/>
          <w:bCs/>
          <w:color w:val="auto"/>
          <w:sz w:val="24"/>
          <w:szCs w:val="24"/>
        </w:rPr>
      </w:pPr>
      <w:bookmarkStart w:id="3" w:name="_Toc132702149"/>
      <w:r w:rsidRPr="00B942D2">
        <w:rPr>
          <w:rFonts w:ascii="Times New Roman" w:eastAsia="Times New Roman" w:hAnsi="Times New Roman" w:cs="Times New Roman"/>
          <w:b/>
          <w:bCs/>
          <w:color w:val="auto"/>
          <w:sz w:val="24"/>
          <w:szCs w:val="24"/>
        </w:rPr>
        <w:t>Monetary retention schemes</w:t>
      </w:r>
      <w:bookmarkEnd w:id="3"/>
    </w:p>
    <w:p w14:paraId="5B62ADF8" w14:textId="66B9861A" w:rsidR="53042E35" w:rsidRDefault="53042E35" w:rsidP="53042E35">
      <w:pPr>
        <w:pStyle w:val="ListParagraph"/>
        <w:numPr>
          <w:ilvl w:val="0"/>
          <w:numId w:val="4"/>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Competitive salaries</w:t>
      </w:r>
      <w:r w:rsidRPr="53042E35">
        <w:rPr>
          <w:rFonts w:ascii="Times New Roman" w:eastAsia="Times New Roman" w:hAnsi="Times New Roman" w:cs="Times New Roman"/>
          <w:sz w:val="24"/>
          <w:szCs w:val="24"/>
        </w:rPr>
        <w:t>: Depending on their expertise and credentials, NHS nursing staff are compensated competitively. With the help of this programme, nurses should be compensated properly and competitively compared to other industries. But this could prove to be insufficient to keep nurses around since they might depart for better-paying positions outside the NHS. (Jones et al., 2015).</w:t>
      </w:r>
    </w:p>
    <w:p w14:paraId="0244B065" w14:textId="6195C7C8" w:rsidR="53042E35" w:rsidRDefault="53042E35" w:rsidP="53042E35">
      <w:pPr>
        <w:pStyle w:val="ListParagraph"/>
        <w:numPr>
          <w:ilvl w:val="0"/>
          <w:numId w:val="4"/>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Performance-related bonuses</w:t>
      </w:r>
      <w:r w:rsidRPr="53042E35">
        <w:rPr>
          <w:rFonts w:ascii="Times New Roman" w:eastAsia="Times New Roman" w:hAnsi="Times New Roman" w:cs="Times New Roman"/>
          <w:sz w:val="24"/>
          <w:szCs w:val="24"/>
        </w:rPr>
        <w:t>: Based on their performance, attendance, and other factors, nurses may be eligible for performance-related incentives. Long-term nurse retention may not be achieved by this plan, though, since nurses may still depart for positions with greater salaries.</w:t>
      </w:r>
    </w:p>
    <w:p w14:paraId="6C0CD673" w14:textId="4D5A3F81" w:rsidR="53042E35" w:rsidRDefault="53042E35" w:rsidP="53042E35">
      <w:pPr>
        <w:pStyle w:val="ListParagraph"/>
        <w:numPr>
          <w:ilvl w:val="0"/>
          <w:numId w:val="4"/>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Pension schemes</w:t>
      </w:r>
      <w:r w:rsidRPr="53042E35">
        <w:rPr>
          <w:rFonts w:ascii="Times New Roman" w:eastAsia="Times New Roman" w:hAnsi="Times New Roman" w:cs="Times New Roman"/>
          <w:sz w:val="24"/>
          <w:szCs w:val="24"/>
        </w:rPr>
        <w:t>: The NHS provides its nursing employees with a variety of pension plans. The purpose of this programme is to give nurses long-term stability and financial security. However, given that nurses may still quit for other reasons like workload or lack of professional advancement, such a programme may not have a major impact on retention. (</w:t>
      </w:r>
      <w:proofErr w:type="spellStart"/>
      <w:r w:rsidRPr="53042E35">
        <w:rPr>
          <w:rFonts w:ascii="Times New Roman" w:eastAsia="Times New Roman" w:hAnsi="Times New Roman" w:cs="Times New Roman"/>
          <w:sz w:val="24"/>
          <w:szCs w:val="24"/>
        </w:rPr>
        <w:t>Laschinger</w:t>
      </w:r>
      <w:proofErr w:type="spellEnd"/>
      <w:r w:rsidRPr="53042E35">
        <w:rPr>
          <w:rFonts w:ascii="Times New Roman" w:eastAsia="Times New Roman" w:hAnsi="Times New Roman" w:cs="Times New Roman"/>
          <w:sz w:val="24"/>
          <w:szCs w:val="24"/>
        </w:rPr>
        <w:t xml:space="preserve"> et al., 2008).</w:t>
      </w:r>
    </w:p>
    <w:p w14:paraId="5F34C657" w14:textId="357A27B2" w:rsidR="53042E35" w:rsidRDefault="53042E35" w:rsidP="53042E35">
      <w:pPr>
        <w:pStyle w:val="ListParagraph"/>
        <w:numPr>
          <w:ilvl w:val="0"/>
          <w:numId w:val="4"/>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Relocation packages:</w:t>
      </w:r>
      <w:r w:rsidRPr="53042E35">
        <w:rPr>
          <w:rFonts w:ascii="Times New Roman" w:eastAsia="Times New Roman" w:hAnsi="Times New Roman" w:cs="Times New Roman"/>
          <w:sz w:val="24"/>
          <w:szCs w:val="24"/>
        </w:rPr>
        <w:t xml:space="preserve"> For nurses willing to relocate to a new area to work, NHS offers relocation packages. The goal of this plan is to help nurses move more easily and affordably. Long-term nurse retention may not be impacted by this, though, as nurses may still depart for other reasons.</w:t>
      </w:r>
    </w:p>
    <w:p w14:paraId="2F0620EF" w14:textId="73A3474C" w:rsidR="53042E35" w:rsidRDefault="53042E35" w:rsidP="53042E35">
      <w:pPr>
        <w:pStyle w:val="ListParagraph"/>
        <w:numPr>
          <w:ilvl w:val="0"/>
          <w:numId w:val="4"/>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Education and training opportunities</w:t>
      </w:r>
      <w:r w:rsidRPr="53042E35">
        <w:rPr>
          <w:rFonts w:ascii="Times New Roman" w:eastAsia="Times New Roman" w:hAnsi="Times New Roman" w:cs="Times New Roman"/>
          <w:sz w:val="24"/>
          <w:szCs w:val="24"/>
        </w:rPr>
        <w:t>: The NHS offers its nursing personnel a variety of educational and training possibilities. This programme seeks to give nurses chances for professional growth and career advancement. (Buchan et al., 2019). The workload or a lack of work-life balance may still cause nurses to quit, so this tactic might not be sufficient to keep them.</w:t>
      </w:r>
    </w:p>
    <w:p w14:paraId="0EF81C2F" w14:textId="226FDEFD" w:rsidR="53042E35" w:rsidRPr="00B942D2" w:rsidRDefault="53042E35" w:rsidP="00B942D2">
      <w:pPr>
        <w:pStyle w:val="Heading2"/>
        <w:rPr>
          <w:rFonts w:ascii="Times New Roman" w:hAnsi="Times New Roman" w:cs="Times New Roman"/>
          <w:b/>
          <w:bCs/>
          <w:color w:val="auto"/>
          <w:sz w:val="24"/>
          <w:szCs w:val="24"/>
        </w:rPr>
      </w:pPr>
      <w:bookmarkStart w:id="4" w:name="_Toc132702150"/>
      <w:r w:rsidRPr="00B942D2">
        <w:rPr>
          <w:rFonts w:ascii="Times New Roman" w:eastAsia="Times New Roman" w:hAnsi="Times New Roman" w:cs="Times New Roman"/>
          <w:b/>
          <w:bCs/>
          <w:color w:val="auto"/>
          <w:sz w:val="24"/>
          <w:szCs w:val="24"/>
        </w:rPr>
        <w:t>Non-monetary retention schemes</w:t>
      </w:r>
      <w:bookmarkEnd w:id="4"/>
    </w:p>
    <w:p w14:paraId="4C963830" w14:textId="6E6D8B8B" w:rsidR="53042E35" w:rsidRDefault="53042E35" w:rsidP="53042E35">
      <w:pPr>
        <w:pStyle w:val="ListParagraph"/>
        <w:numPr>
          <w:ilvl w:val="0"/>
          <w:numId w:val="3"/>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Flexible working hours:</w:t>
      </w:r>
      <w:r w:rsidRPr="53042E35">
        <w:rPr>
          <w:rFonts w:ascii="Times New Roman" w:eastAsia="Times New Roman" w:hAnsi="Times New Roman" w:cs="Times New Roman"/>
          <w:sz w:val="24"/>
          <w:szCs w:val="24"/>
        </w:rPr>
        <w:t xml:space="preserve"> The NHS provides its nursing staff with flexible work schedules. This programme attempts to provide nurses with a better work-life balance </w:t>
      </w:r>
      <w:r w:rsidRPr="53042E35">
        <w:rPr>
          <w:rFonts w:ascii="Times New Roman" w:eastAsia="Times New Roman" w:hAnsi="Times New Roman" w:cs="Times New Roman"/>
          <w:sz w:val="24"/>
          <w:szCs w:val="24"/>
        </w:rPr>
        <w:lastRenderedPageBreak/>
        <w:t>and more job satisfaction. Long-term nurse retention may not be achieved by this plan, though, as nurses may still depart for unrelated reasons.</w:t>
      </w:r>
    </w:p>
    <w:p w14:paraId="247B4ABD" w14:textId="6C8DA21A" w:rsidR="53042E35" w:rsidRDefault="53042E35" w:rsidP="53042E35">
      <w:pPr>
        <w:pStyle w:val="ListParagraph"/>
        <w:numPr>
          <w:ilvl w:val="0"/>
          <w:numId w:val="3"/>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 xml:space="preserve">Career progression opportunities: </w:t>
      </w:r>
      <w:r w:rsidRPr="53042E35">
        <w:rPr>
          <w:rFonts w:ascii="Times New Roman" w:eastAsia="Times New Roman" w:hAnsi="Times New Roman" w:cs="Times New Roman"/>
          <w:sz w:val="24"/>
          <w:szCs w:val="24"/>
        </w:rPr>
        <w:t>The NHS provides its nursing staff with flexible work schedules. This programme attempts to provide nurses with greater work-life balance and more job satisfaction. Long-term nurse retention may not be achieved by this plan, though, as nurses may still depart for unrelated reasons.</w:t>
      </w:r>
    </w:p>
    <w:p w14:paraId="0B3AB32F" w14:textId="19225DC6" w:rsidR="53042E35" w:rsidRDefault="53042E35" w:rsidP="53042E35">
      <w:pPr>
        <w:pStyle w:val="ListParagraph"/>
        <w:numPr>
          <w:ilvl w:val="0"/>
          <w:numId w:val="3"/>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Employee recognition programs:</w:t>
      </w:r>
      <w:r w:rsidRPr="53042E35">
        <w:rPr>
          <w:rFonts w:ascii="Times New Roman" w:eastAsia="Times New Roman" w:hAnsi="Times New Roman" w:cs="Times New Roman"/>
          <w:sz w:val="24"/>
          <w:szCs w:val="24"/>
        </w:rPr>
        <w:t xml:space="preserve"> The NHS provides employee appreciation programmes to honour the contributions and accomplishments of nurses. This programme attempts to boost nurses' motivation and job happiness. Long-term nurse retention may not be impacted by this, though, as nurses may still depart for other reasons.</w:t>
      </w:r>
    </w:p>
    <w:p w14:paraId="5B2FBEC8" w14:textId="4ABA5DA0" w:rsidR="53042E35" w:rsidRDefault="53042E35" w:rsidP="53042E35">
      <w:pPr>
        <w:pStyle w:val="ListParagraph"/>
        <w:numPr>
          <w:ilvl w:val="0"/>
          <w:numId w:val="3"/>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Mentorship programs</w:t>
      </w:r>
      <w:r w:rsidRPr="53042E35">
        <w:rPr>
          <w:rFonts w:ascii="Times New Roman" w:eastAsia="Times New Roman" w:hAnsi="Times New Roman" w:cs="Times New Roman"/>
          <w:sz w:val="24"/>
          <w:szCs w:val="24"/>
        </w:rPr>
        <w:t>: The NHS provides its nursing professionals with mentoring programmes. This programme seeks to offer assistance and direction to nurses, especially those who are new to the field. But this would not be sufficient to keep nurses around, as they might still quit for other reasons like workload or a lack of work-life balance. NICE, 2018; National Institute for Health and Care Excellence.</w:t>
      </w:r>
    </w:p>
    <w:p w14:paraId="4C571B1F" w14:textId="430C1EE8" w:rsidR="53042E35" w:rsidRPr="00B942D2" w:rsidRDefault="53042E35" w:rsidP="53042E35">
      <w:pPr>
        <w:pStyle w:val="ListParagraph"/>
        <w:numPr>
          <w:ilvl w:val="0"/>
          <w:numId w:val="3"/>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 xml:space="preserve">Workload management: </w:t>
      </w:r>
      <w:r w:rsidRPr="53042E35">
        <w:rPr>
          <w:rFonts w:ascii="Times New Roman" w:eastAsia="Times New Roman" w:hAnsi="Times New Roman" w:cs="Times New Roman"/>
          <w:sz w:val="24"/>
          <w:szCs w:val="24"/>
        </w:rPr>
        <w:t>The NHS offers its nurses workload management programmes. The National Health Service (NHS), 2022, states that this programme intends to lessen the workload and stress levels of nurses. Nursing staff could still leave for other reasons, so this might not be sufficient to keep them on board.</w:t>
      </w:r>
    </w:p>
    <w:p w14:paraId="32F49DCA" w14:textId="573BDE16" w:rsidR="53042E35" w:rsidRPr="00B942D2" w:rsidRDefault="00B942D2" w:rsidP="00B942D2">
      <w:pPr>
        <w:pStyle w:val="Heading1"/>
        <w:rPr>
          <w:rFonts w:ascii="Times New Roman" w:eastAsia="Times New Roman" w:hAnsi="Times New Roman" w:cs="Times New Roman"/>
          <w:b/>
          <w:bCs/>
          <w:color w:val="auto"/>
          <w:sz w:val="24"/>
          <w:szCs w:val="24"/>
        </w:rPr>
      </w:pPr>
      <w:bookmarkStart w:id="5" w:name="_Toc132702151"/>
      <w:r w:rsidRPr="00B942D2">
        <w:rPr>
          <w:rFonts w:ascii="Times New Roman" w:hAnsi="Times New Roman" w:cs="Times New Roman"/>
          <w:b/>
          <w:bCs/>
          <w:color w:val="auto"/>
          <w:sz w:val="24"/>
          <w:szCs w:val="24"/>
        </w:rPr>
        <w:t>R</w:t>
      </w:r>
      <w:r w:rsidR="53042E35" w:rsidRPr="00B942D2">
        <w:rPr>
          <w:rFonts w:ascii="Times New Roman" w:hAnsi="Times New Roman" w:cs="Times New Roman"/>
          <w:b/>
          <w:bCs/>
          <w:color w:val="auto"/>
          <w:sz w:val="24"/>
          <w:szCs w:val="24"/>
        </w:rPr>
        <w:t>ecommendations</w:t>
      </w:r>
      <w:r w:rsidR="53042E35" w:rsidRPr="00B942D2">
        <w:rPr>
          <w:rFonts w:ascii="Times New Roman" w:eastAsia="Times New Roman" w:hAnsi="Times New Roman" w:cs="Times New Roman"/>
          <w:b/>
          <w:bCs/>
          <w:color w:val="auto"/>
          <w:sz w:val="24"/>
          <w:szCs w:val="24"/>
        </w:rPr>
        <w:t>, both in the short term and in the longer term to improve nurse retention to lower nurse attrition rate in the UK</w:t>
      </w:r>
      <w:bookmarkEnd w:id="5"/>
    </w:p>
    <w:p w14:paraId="192F55D2" w14:textId="30FB6E09" w:rsidR="53042E35" w:rsidRDefault="53042E35" w:rsidP="53042E35">
      <w:pPr>
        <w:pStyle w:val="ListParagraph"/>
        <w:numPr>
          <w:ilvl w:val="0"/>
          <w:numId w:val="2"/>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Improve Work-Life Balance</w:t>
      </w:r>
      <w:r w:rsidRPr="53042E35">
        <w:rPr>
          <w:rFonts w:ascii="Times New Roman" w:eastAsia="Times New Roman" w:hAnsi="Times New Roman" w:cs="Times New Roman"/>
          <w:sz w:val="24"/>
          <w:szCs w:val="24"/>
        </w:rPr>
        <w:t>: Burnout brought on by excessive workloads and lengthy hours is one of the main causes of nurse turnover. Offering nurses times that are convenient for them, job sharing, and part-time employment can aid them in striking a better work-life balance. This may be accomplished by creating a more accommodating work environment, which will allow for the reduction of responsibilities and the provision of the necessary tools. (NHS Employers, 2019). Nurses are more inclined to be pleased with their employment and less likely to quit if the stress of the job are reduced.</w:t>
      </w:r>
    </w:p>
    <w:p w14:paraId="4189BD8E" w14:textId="5975B7ED" w:rsidR="53042E35" w:rsidRDefault="53042E35" w:rsidP="53042E35">
      <w:pPr>
        <w:pStyle w:val="ListParagraph"/>
        <w:numPr>
          <w:ilvl w:val="0"/>
          <w:numId w:val="2"/>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Enhance Career Development Opportunities:</w:t>
      </w:r>
      <w:r w:rsidRPr="53042E35">
        <w:rPr>
          <w:rFonts w:ascii="Times New Roman" w:eastAsia="Times New Roman" w:hAnsi="Times New Roman" w:cs="Times New Roman"/>
          <w:sz w:val="24"/>
          <w:szCs w:val="24"/>
        </w:rPr>
        <w:t xml:space="preserve"> The ability to advance in their professions needs to be felt by nurses. A clear career development strategy should be </w:t>
      </w:r>
      <w:r w:rsidRPr="53042E35">
        <w:rPr>
          <w:rFonts w:ascii="Times New Roman" w:eastAsia="Times New Roman" w:hAnsi="Times New Roman" w:cs="Times New Roman"/>
          <w:sz w:val="24"/>
          <w:szCs w:val="24"/>
        </w:rPr>
        <w:lastRenderedPageBreak/>
        <w:t>created, giving employees access to additional education and training to help them hone their talents and areas of expertise. This may be accomplished through coaching and mentorship programmes that assist nurses in learning new skills and boosting their self-confidence (Nursing and Midwifery Council (NMC)). (2018). Nurses are more likely to feel appreciated and devoted to their profession if you engage in their development.</w:t>
      </w:r>
    </w:p>
    <w:p w14:paraId="42DCB55C" w14:textId="0A84C402" w:rsidR="53042E35" w:rsidRDefault="53042E35" w:rsidP="53042E35">
      <w:pPr>
        <w:pStyle w:val="ListParagraph"/>
        <w:numPr>
          <w:ilvl w:val="0"/>
          <w:numId w:val="2"/>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Provide Competitive Remuneration and Benefits:</w:t>
      </w:r>
      <w:r w:rsidRPr="53042E35">
        <w:rPr>
          <w:rFonts w:ascii="Times New Roman" w:eastAsia="Times New Roman" w:hAnsi="Times New Roman" w:cs="Times New Roman"/>
          <w:sz w:val="24"/>
          <w:szCs w:val="24"/>
        </w:rPr>
        <w:t xml:space="preserve"> The NHS must provide attractive compensation and benefits packages to recruit and keep qualified nurses. This may involve access to healthcare, retirement plans, and paid time off (World Health Organisation). (WHO). (2022). It may encourage dedication and loyalty among nurses by making sure they receive the greatest possible compensation for their qualifications and expertise. Competitive pay can also show that the NHS appreciates their work and is concerned about their wellbeing. (NHS Employers, 2019).</w:t>
      </w:r>
    </w:p>
    <w:p w14:paraId="0AF597CD" w14:textId="23B00C6B" w:rsidR="53042E35" w:rsidRDefault="53042E35" w:rsidP="53042E35">
      <w:pPr>
        <w:pStyle w:val="ListParagraph"/>
        <w:numPr>
          <w:ilvl w:val="0"/>
          <w:numId w:val="2"/>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Foster a Positive Work Environment</w:t>
      </w:r>
      <w:r w:rsidRPr="53042E35">
        <w:rPr>
          <w:rFonts w:ascii="Times New Roman" w:eastAsia="Times New Roman" w:hAnsi="Times New Roman" w:cs="Times New Roman"/>
          <w:sz w:val="24"/>
          <w:szCs w:val="24"/>
        </w:rPr>
        <w:t>: To lower nurse turnover, a supportive workplace environment that encourages collaboration, open communication, and employee involvement is crucial. A contented employee has a higher likelihood of sticking with the company, which lowers turnover and boosts retention. The NHS may do this by putting in place programmes like staff recognition schemes, frequent employee feedback meetings, and team-building exercises. (</w:t>
      </w:r>
      <w:proofErr w:type="spellStart"/>
      <w:r w:rsidRPr="53042E35">
        <w:rPr>
          <w:rFonts w:ascii="Times New Roman" w:eastAsia="Times New Roman" w:hAnsi="Times New Roman" w:cs="Times New Roman"/>
          <w:sz w:val="24"/>
          <w:szCs w:val="24"/>
        </w:rPr>
        <w:t>Rimmer</w:t>
      </w:r>
      <w:proofErr w:type="spellEnd"/>
      <w:r w:rsidRPr="53042E35">
        <w:rPr>
          <w:rFonts w:ascii="Times New Roman" w:eastAsia="Times New Roman" w:hAnsi="Times New Roman" w:cs="Times New Roman"/>
          <w:sz w:val="24"/>
          <w:szCs w:val="24"/>
        </w:rPr>
        <w:t xml:space="preserve"> et al., 2020). Nurses are more likely to feel inspired and devoted to their profession when an environment of optimism and support is present.</w:t>
      </w:r>
    </w:p>
    <w:p w14:paraId="3AE238C7" w14:textId="54D661C3" w:rsidR="53042E35" w:rsidRPr="00B942D2" w:rsidRDefault="53042E35" w:rsidP="53042E35">
      <w:pPr>
        <w:pStyle w:val="ListParagraph"/>
        <w:numPr>
          <w:ilvl w:val="0"/>
          <w:numId w:val="2"/>
        </w:num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b/>
          <w:bCs/>
          <w:sz w:val="24"/>
          <w:szCs w:val="24"/>
        </w:rPr>
        <w:t>Provide Adequate Support and Recognition</w:t>
      </w:r>
      <w:r w:rsidRPr="53042E35">
        <w:rPr>
          <w:rFonts w:ascii="Times New Roman" w:eastAsia="Times New Roman" w:hAnsi="Times New Roman" w:cs="Times New Roman"/>
          <w:sz w:val="24"/>
          <w:szCs w:val="24"/>
        </w:rPr>
        <w:t>: The NHS should give nurses the necessary resources, such as emotional and psychological support, to enable them to handle the demands of their jobs. High turnover rates might be caused by burnout and stress; thus, the NHS must offer resources like counselling services and mental health assistance. In addition, the NHS may identify and reward exceptional achievement through incentives, bonuses, and awards. (</w:t>
      </w:r>
      <w:proofErr w:type="spellStart"/>
      <w:r w:rsidRPr="53042E35">
        <w:rPr>
          <w:rFonts w:ascii="Times New Roman" w:eastAsia="Times New Roman" w:hAnsi="Times New Roman" w:cs="Times New Roman"/>
          <w:sz w:val="24"/>
          <w:szCs w:val="24"/>
        </w:rPr>
        <w:t>Rimmer</w:t>
      </w:r>
      <w:proofErr w:type="spellEnd"/>
      <w:r w:rsidRPr="53042E35">
        <w:rPr>
          <w:rFonts w:ascii="Times New Roman" w:eastAsia="Times New Roman" w:hAnsi="Times New Roman" w:cs="Times New Roman"/>
          <w:sz w:val="24"/>
          <w:szCs w:val="24"/>
        </w:rPr>
        <w:t xml:space="preserve"> et al., 2020). Nurses are more likely to feel appreciated and inspired to stay with the company if their efforts and devotion are recognised.</w:t>
      </w:r>
    </w:p>
    <w:p w14:paraId="182185BB" w14:textId="3157265A"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 xml:space="preserve">The NHS should put emphasis on creating flexible work schedules, increasing workloads and work-life balance, and offering emotional and psychological assistance soon, according to the Royal College of Nursing. (RCN). (2021). These may be accomplished through establishing a </w:t>
      </w:r>
      <w:r w:rsidRPr="53042E35">
        <w:rPr>
          <w:rFonts w:ascii="Times New Roman" w:eastAsia="Times New Roman" w:hAnsi="Times New Roman" w:cs="Times New Roman"/>
          <w:sz w:val="24"/>
          <w:szCs w:val="24"/>
        </w:rPr>
        <w:lastRenderedPageBreak/>
        <w:t xml:space="preserve">welcoming work atmosphere, engaging in open dialogue and collaboration, and creating an open career development plan. </w:t>
      </w:r>
    </w:p>
    <w:p w14:paraId="0937E874" w14:textId="3292AA90"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Longer term, the NHS should concentrate on creating all-encompassing strategies for nurse retention that include a variety of actions including enhancing professional development possibilities, offering competitive compensation packages, and cultivating a happy work environment. (</w:t>
      </w:r>
      <w:proofErr w:type="spellStart"/>
      <w:r w:rsidRPr="53042E35">
        <w:rPr>
          <w:rFonts w:ascii="Times New Roman" w:eastAsia="Times New Roman" w:hAnsi="Times New Roman" w:cs="Times New Roman"/>
          <w:sz w:val="24"/>
          <w:szCs w:val="24"/>
        </w:rPr>
        <w:t>Sarantakos</w:t>
      </w:r>
      <w:proofErr w:type="spellEnd"/>
      <w:r w:rsidRPr="53042E35">
        <w:rPr>
          <w:rFonts w:ascii="Times New Roman" w:eastAsia="Times New Roman" w:hAnsi="Times New Roman" w:cs="Times New Roman"/>
          <w:sz w:val="24"/>
          <w:szCs w:val="24"/>
        </w:rPr>
        <w:t xml:space="preserve"> et al., 2014). To make sure that the initiatives are successful, and that nurses' needs and concerns are effectively addressed, these measures should be put into practise in conjunction with nurses themselves.</w:t>
      </w:r>
    </w:p>
    <w:p w14:paraId="28A3D0E5" w14:textId="7F41DA2D"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Overall, it is a complicated problem that necessitates a diversified strategy to keep nurses in the NHS. The NHS can improve the working environment for nurses by addressing the root reasons for turnover, such as workload constraints and a lack of professional development opportunities and putting in place extensive retention initiatives (</w:t>
      </w:r>
      <w:proofErr w:type="spellStart"/>
      <w:r w:rsidRPr="53042E35">
        <w:rPr>
          <w:rFonts w:ascii="Times New Roman" w:eastAsia="Times New Roman" w:hAnsi="Times New Roman" w:cs="Times New Roman"/>
          <w:sz w:val="24"/>
          <w:szCs w:val="24"/>
        </w:rPr>
        <w:t>Shirey</w:t>
      </w:r>
      <w:proofErr w:type="spellEnd"/>
      <w:r w:rsidRPr="53042E35">
        <w:rPr>
          <w:rFonts w:ascii="Times New Roman" w:eastAsia="Times New Roman" w:hAnsi="Times New Roman" w:cs="Times New Roman"/>
          <w:sz w:val="24"/>
          <w:szCs w:val="24"/>
        </w:rPr>
        <w:t xml:space="preserve"> et al., 2006). This will guarantee that the UK maintains a high-quality nursing workforce and help lower nurse attrition rates.</w:t>
      </w:r>
    </w:p>
    <w:p w14:paraId="0B686D42" w14:textId="24D43E02" w:rsidR="53042E35" w:rsidRPr="00B942D2" w:rsidRDefault="53042E35" w:rsidP="00B942D2">
      <w:pPr>
        <w:pStyle w:val="Heading1"/>
        <w:rPr>
          <w:rFonts w:ascii="Times New Roman" w:hAnsi="Times New Roman" w:cs="Times New Roman"/>
          <w:b/>
          <w:bCs/>
          <w:color w:val="auto"/>
          <w:sz w:val="24"/>
          <w:szCs w:val="24"/>
        </w:rPr>
      </w:pPr>
      <w:bookmarkStart w:id="6" w:name="_Toc132702152"/>
      <w:r w:rsidRPr="00B942D2">
        <w:rPr>
          <w:rFonts w:ascii="Times New Roman" w:eastAsia="Times New Roman" w:hAnsi="Times New Roman" w:cs="Times New Roman"/>
          <w:b/>
          <w:bCs/>
          <w:color w:val="auto"/>
          <w:sz w:val="24"/>
          <w:szCs w:val="24"/>
        </w:rPr>
        <w:t>Conclusion</w:t>
      </w:r>
      <w:bookmarkEnd w:id="6"/>
      <w:r w:rsidRPr="00B942D2">
        <w:rPr>
          <w:rFonts w:ascii="Times New Roman" w:eastAsia="Times New Roman" w:hAnsi="Times New Roman" w:cs="Times New Roman"/>
          <w:b/>
          <w:bCs/>
          <w:color w:val="auto"/>
          <w:sz w:val="24"/>
          <w:szCs w:val="24"/>
        </w:rPr>
        <w:t xml:space="preserve"> </w:t>
      </w:r>
    </w:p>
    <w:p w14:paraId="361FD4ED" w14:textId="240E1BC0"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In conclusion, the UK nursing sector is struggling to retain nurses, which is contributing to important levels of attrition. Long hours, a heavy workload, a lack of job satisfaction, little prospects for professional advancement, and inadequate assistance are just a few of the many variables that contribute to attrition. Therefore, to overcome these difficulties and keep its nursing personnel, the NHS must implement efficient retention methods.</w:t>
      </w:r>
    </w:p>
    <w:p w14:paraId="1F197F80" w14:textId="642B36EE" w:rsidR="53042E35" w:rsidRDefault="53042E35" w:rsidP="53042E35">
      <w:pPr>
        <w:spacing w:line="360" w:lineRule="auto"/>
        <w:rPr>
          <w:rFonts w:ascii="Times New Roman" w:eastAsia="Times New Roman" w:hAnsi="Times New Roman" w:cs="Times New Roman"/>
          <w:sz w:val="24"/>
          <w:szCs w:val="24"/>
        </w:rPr>
      </w:pPr>
      <w:r w:rsidRPr="53042E35">
        <w:rPr>
          <w:rFonts w:ascii="Times New Roman" w:eastAsia="Times New Roman" w:hAnsi="Times New Roman" w:cs="Times New Roman"/>
          <w:sz w:val="24"/>
          <w:szCs w:val="24"/>
        </w:rPr>
        <w:t>it is advocated on the implementation of the short-term and long-term strategies based on our examination of the causes and consequences of staff turnover in the nursing business in the UK and our assessment of existing retention plans. An efficient retention plan must include elements that improve work-life balance, provide professional growth possibilities, offer competitive pay and benefits, build a happy work environment, and provide enough support and recognition.</w:t>
      </w:r>
      <w:r>
        <w:br/>
      </w:r>
      <w:r w:rsidRPr="53042E35">
        <w:rPr>
          <w:rFonts w:ascii="Times New Roman" w:eastAsia="Times New Roman" w:hAnsi="Times New Roman" w:cs="Times New Roman"/>
          <w:sz w:val="24"/>
          <w:szCs w:val="24"/>
        </w:rPr>
        <w:t>It is crucial to remember that these suggestions are not all-inclusive, and the NHS should continually assess these tactics' efficacy to make sure they are still useful and relevant. By putting these tactics into practise, the NHS may increase nurse retention rates, decrease attrition, and enhance patient outcomes since having a happy and stable workforce is essential for offering patients high-quality care.</w:t>
      </w:r>
    </w:p>
    <w:p w14:paraId="0D512D06" w14:textId="0EFC6384" w:rsidR="00B942D2" w:rsidRPr="00FE7294" w:rsidRDefault="53042E35" w:rsidP="00B942D2">
      <w:pPr>
        <w:pStyle w:val="Heading1"/>
        <w:rPr>
          <w:rFonts w:ascii="Times New Roman" w:eastAsia="Times New Roman" w:hAnsi="Times New Roman" w:cs="Times New Roman"/>
          <w:b/>
          <w:bCs/>
          <w:color w:val="auto"/>
          <w:sz w:val="24"/>
          <w:szCs w:val="24"/>
          <w:lang w:val="nl-NL"/>
        </w:rPr>
      </w:pPr>
      <w:bookmarkStart w:id="7" w:name="_Toc132702153"/>
      <w:proofErr w:type="spellStart"/>
      <w:r w:rsidRPr="00FE7294">
        <w:rPr>
          <w:rStyle w:val="Heading1Char"/>
          <w:rFonts w:ascii="Times New Roman" w:eastAsia="Times New Roman" w:hAnsi="Times New Roman" w:cs="Times New Roman"/>
          <w:b/>
          <w:bCs/>
          <w:color w:val="auto"/>
          <w:sz w:val="24"/>
          <w:szCs w:val="24"/>
          <w:lang w:val="nl-NL"/>
        </w:rPr>
        <w:lastRenderedPageBreak/>
        <w:t>References</w:t>
      </w:r>
      <w:bookmarkEnd w:id="7"/>
      <w:proofErr w:type="spellEnd"/>
    </w:p>
    <w:p w14:paraId="7E38F4FA"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bookmarkStart w:id="8" w:name="_Int_R6t0cz0m"/>
      <w:proofErr w:type="spellStart"/>
      <w:r w:rsidRPr="00FE7294">
        <w:rPr>
          <w:rFonts w:ascii="Times New Roman" w:hAnsi="Times New Roman" w:cs="Times New Roman"/>
          <w:sz w:val="24"/>
          <w:szCs w:val="24"/>
          <w:lang w:val="nl-NL"/>
        </w:rPr>
        <w:t>Aiken</w:t>
      </w:r>
      <w:proofErr w:type="spellEnd"/>
      <w:r w:rsidRPr="00FE7294">
        <w:rPr>
          <w:rFonts w:ascii="Times New Roman" w:hAnsi="Times New Roman" w:cs="Times New Roman"/>
          <w:sz w:val="24"/>
          <w:szCs w:val="24"/>
          <w:lang w:val="nl-NL"/>
        </w:rPr>
        <w:t xml:space="preserve">, L. H., </w:t>
      </w:r>
      <w:proofErr w:type="spellStart"/>
      <w:r w:rsidRPr="00FE7294">
        <w:rPr>
          <w:rFonts w:ascii="Times New Roman" w:hAnsi="Times New Roman" w:cs="Times New Roman"/>
          <w:sz w:val="24"/>
          <w:szCs w:val="24"/>
          <w:lang w:val="nl-NL"/>
        </w:rPr>
        <w:t>Sloane</w:t>
      </w:r>
      <w:proofErr w:type="spellEnd"/>
      <w:r w:rsidRPr="00FE7294">
        <w:rPr>
          <w:rFonts w:ascii="Times New Roman" w:hAnsi="Times New Roman" w:cs="Times New Roman"/>
          <w:sz w:val="24"/>
          <w:szCs w:val="24"/>
          <w:lang w:val="nl-NL"/>
        </w:rPr>
        <w:t xml:space="preserve">, D. M., </w:t>
      </w:r>
      <w:proofErr w:type="spellStart"/>
      <w:r w:rsidRPr="00FE7294">
        <w:rPr>
          <w:rFonts w:ascii="Times New Roman" w:hAnsi="Times New Roman" w:cs="Times New Roman"/>
          <w:sz w:val="24"/>
          <w:szCs w:val="24"/>
          <w:lang w:val="nl-NL"/>
        </w:rPr>
        <w:t>Bruyneel</w:t>
      </w:r>
      <w:proofErr w:type="spellEnd"/>
      <w:r w:rsidRPr="00FE7294">
        <w:rPr>
          <w:rFonts w:ascii="Times New Roman" w:hAnsi="Times New Roman" w:cs="Times New Roman"/>
          <w:sz w:val="24"/>
          <w:szCs w:val="24"/>
          <w:lang w:val="nl-NL"/>
        </w:rPr>
        <w:t xml:space="preserve">, L., Van den Heede, K., </w:t>
      </w:r>
      <w:proofErr w:type="spellStart"/>
      <w:r w:rsidRPr="00FE7294">
        <w:rPr>
          <w:rFonts w:ascii="Times New Roman" w:hAnsi="Times New Roman" w:cs="Times New Roman"/>
          <w:sz w:val="24"/>
          <w:szCs w:val="24"/>
          <w:lang w:val="nl-NL"/>
        </w:rPr>
        <w:t>Griffiths</w:t>
      </w:r>
      <w:proofErr w:type="spellEnd"/>
      <w:r w:rsidRPr="00FE7294">
        <w:rPr>
          <w:rFonts w:ascii="Times New Roman" w:hAnsi="Times New Roman" w:cs="Times New Roman"/>
          <w:sz w:val="24"/>
          <w:szCs w:val="24"/>
          <w:lang w:val="nl-NL"/>
        </w:rPr>
        <w:t xml:space="preserve">, P., </w:t>
      </w:r>
      <w:proofErr w:type="spellStart"/>
      <w:r w:rsidRPr="00FE7294">
        <w:rPr>
          <w:rFonts w:ascii="Times New Roman" w:hAnsi="Times New Roman" w:cs="Times New Roman"/>
          <w:sz w:val="24"/>
          <w:szCs w:val="24"/>
          <w:lang w:val="nl-NL"/>
        </w:rPr>
        <w:t>Busse</w:t>
      </w:r>
      <w:proofErr w:type="spellEnd"/>
      <w:r w:rsidRPr="00FE7294">
        <w:rPr>
          <w:rFonts w:ascii="Times New Roman" w:hAnsi="Times New Roman" w:cs="Times New Roman"/>
          <w:sz w:val="24"/>
          <w:szCs w:val="24"/>
          <w:lang w:val="nl-NL"/>
        </w:rPr>
        <w:t xml:space="preserve">, R., ... </w:t>
      </w:r>
      <w:r w:rsidRPr="00B942D2">
        <w:rPr>
          <w:rFonts w:ascii="Times New Roman" w:hAnsi="Times New Roman" w:cs="Times New Roman"/>
          <w:sz w:val="24"/>
          <w:szCs w:val="24"/>
        </w:rPr>
        <w:t xml:space="preserve">&amp; </w:t>
      </w:r>
      <w:proofErr w:type="spellStart"/>
      <w:r w:rsidRPr="00B942D2">
        <w:rPr>
          <w:rFonts w:ascii="Times New Roman" w:hAnsi="Times New Roman" w:cs="Times New Roman"/>
          <w:sz w:val="24"/>
          <w:szCs w:val="24"/>
        </w:rPr>
        <w:t>Sermeus</w:t>
      </w:r>
      <w:proofErr w:type="spellEnd"/>
      <w:r w:rsidRPr="00B942D2">
        <w:rPr>
          <w:rFonts w:ascii="Times New Roman" w:hAnsi="Times New Roman" w:cs="Times New Roman"/>
          <w:sz w:val="24"/>
          <w:szCs w:val="24"/>
        </w:rPr>
        <w:t>, W. (2014).</w:t>
      </w:r>
      <w:bookmarkEnd w:id="8"/>
      <w:r w:rsidRPr="00B942D2">
        <w:rPr>
          <w:rFonts w:ascii="Times New Roman" w:hAnsi="Times New Roman" w:cs="Times New Roman"/>
          <w:sz w:val="24"/>
          <w:szCs w:val="24"/>
        </w:rPr>
        <w:t xml:space="preserve"> Nurse staffing and education and hospital mortality in nine European countries: a retrospective observational study. The Lancet, 383(9931), 1824-1830.</w:t>
      </w:r>
    </w:p>
    <w:p w14:paraId="6A1B04B1"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Buchan, J. (2019). The nursing workforce in the UK: A policy analysis. Journal of Nursing Management, 27(1), 3-5.</w:t>
      </w:r>
    </w:p>
    <w:p w14:paraId="298FED78"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Drennan, V., Davis, K., Goodman, C., Humphrey, C., Locke, R., &amp; Mark, A. (2016). The role of nurses in commissioning and leading evaluation of research evidence across health and social care settings. Journal of Nursing Management, 24(7), 892-901.</w:t>
      </w:r>
    </w:p>
    <w:p w14:paraId="1195CF0A"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Jones, C. B. (2015). Revisiting nurse turnover costs: Adjusting for inflation. Journal of Nursing Administration, 45(11), 555-562.</w:t>
      </w:r>
    </w:p>
    <w:p w14:paraId="3B34802F"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proofErr w:type="spellStart"/>
      <w:r w:rsidRPr="00B942D2">
        <w:rPr>
          <w:rFonts w:ascii="Times New Roman" w:hAnsi="Times New Roman" w:cs="Times New Roman"/>
          <w:sz w:val="24"/>
          <w:szCs w:val="24"/>
        </w:rPr>
        <w:t>Lankshear</w:t>
      </w:r>
      <w:proofErr w:type="spellEnd"/>
      <w:r w:rsidRPr="00B942D2">
        <w:rPr>
          <w:rFonts w:ascii="Times New Roman" w:hAnsi="Times New Roman" w:cs="Times New Roman"/>
          <w:sz w:val="24"/>
          <w:szCs w:val="24"/>
        </w:rPr>
        <w:t>, A. J., Sheldon, T. A., Maynard, A., &amp; Taylor, R. S. (2005). Nurse staffing and healthcare outcomes: a systematic review of the international research evidence. Advances in Nursing Science, 28(2), 163-174.</w:t>
      </w:r>
    </w:p>
    <w:p w14:paraId="682664D6"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proofErr w:type="spellStart"/>
      <w:r w:rsidRPr="00B942D2">
        <w:rPr>
          <w:rFonts w:ascii="Times New Roman" w:hAnsi="Times New Roman" w:cs="Times New Roman"/>
          <w:sz w:val="24"/>
          <w:szCs w:val="24"/>
        </w:rPr>
        <w:t>Laschinger</w:t>
      </w:r>
      <w:proofErr w:type="spellEnd"/>
      <w:r w:rsidRPr="00B942D2">
        <w:rPr>
          <w:rFonts w:ascii="Times New Roman" w:hAnsi="Times New Roman" w:cs="Times New Roman"/>
          <w:sz w:val="24"/>
          <w:szCs w:val="24"/>
        </w:rPr>
        <w:t xml:space="preserve">, H. K. S., &amp; </w:t>
      </w:r>
      <w:proofErr w:type="spellStart"/>
      <w:r w:rsidRPr="00B942D2">
        <w:rPr>
          <w:rFonts w:ascii="Times New Roman" w:hAnsi="Times New Roman" w:cs="Times New Roman"/>
          <w:sz w:val="24"/>
          <w:szCs w:val="24"/>
        </w:rPr>
        <w:t>Finegan</w:t>
      </w:r>
      <w:proofErr w:type="spellEnd"/>
      <w:r w:rsidRPr="00B942D2">
        <w:rPr>
          <w:rFonts w:ascii="Times New Roman" w:hAnsi="Times New Roman" w:cs="Times New Roman"/>
          <w:sz w:val="24"/>
          <w:szCs w:val="24"/>
        </w:rPr>
        <w:t xml:space="preserve">, J. (2008). </w:t>
      </w:r>
      <w:bookmarkStart w:id="9" w:name="_Int_hh4so2JJ"/>
      <w:r w:rsidRPr="00B942D2">
        <w:rPr>
          <w:rFonts w:ascii="Times New Roman" w:hAnsi="Times New Roman" w:cs="Times New Roman"/>
          <w:sz w:val="24"/>
          <w:szCs w:val="24"/>
        </w:rPr>
        <w:t>Situational and dispositional predictors of nurse manager burnout: A time-lagged analysis.</w:t>
      </w:r>
      <w:bookmarkEnd w:id="9"/>
      <w:r w:rsidRPr="00B942D2">
        <w:rPr>
          <w:rFonts w:ascii="Times New Roman" w:hAnsi="Times New Roman" w:cs="Times New Roman"/>
          <w:sz w:val="24"/>
          <w:szCs w:val="24"/>
        </w:rPr>
        <w:t xml:space="preserve"> Journal of Nursing Management, 16(5), 573-582.</w:t>
      </w:r>
    </w:p>
    <w:p w14:paraId="23F756D0"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 xml:space="preserve">National Health Service (NHS). (2022). NHS pay and benefits. Retrieved from </w:t>
      </w:r>
      <w:hyperlink r:id="rId7">
        <w:r w:rsidRPr="00B942D2">
          <w:rPr>
            <w:rStyle w:val="Hyperlink"/>
            <w:rFonts w:ascii="Times New Roman" w:hAnsi="Times New Roman" w:cs="Times New Roman"/>
            <w:color w:val="auto"/>
            <w:sz w:val="24"/>
            <w:szCs w:val="24"/>
            <w:u w:val="none"/>
          </w:rPr>
          <w:t>https://www.nhs.uk/nhs-pay-and-benefits/</w:t>
        </w:r>
      </w:hyperlink>
    </w:p>
    <w:p w14:paraId="62CA20B5"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 xml:space="preserve">National Institute for Health and Care Excellence (NICE). (2018). Safe staffing for nursing in adult inpatient wards in acute hospitals. Retrieved from </w:t>
      </w:r>
      <w:hyperlink r:id="rId8">
        <w:r w:rsidRPr="00B942D2">
          <w:rPr>
            <w:rStyle w:val="Hyperlink"/>
            <w:rFonts w:ascii="Times New Roman" w:hAnsi="Times New Roman" w:cs="Times New Roman"/>
            <w:color w:val="auto"/>
            <w:sz w:val="24"/>
            <w:szCs w:val="24"/>
            <w:u w:val="none"/>
          </w:rPr>
          <w:t>https://www.nice.org.uk/guidance/ng45</w:t>
        </w:r>
      </w:hyperlink>
    </w:p>
    <w:p w14:paraId="7F55B3F7"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 xml:space="preserve">NHS Employers. (2019). NHS terms and conditions of service handbook. Retrieved from </w:t>
      </w:r>
      <w:hyperlink r:id="rId9">
        <w:r w:rsidRPr="00B942D2">
          <w:rPr>
            <w:rStyle w:val="Hyperlink"/>
            <w:rFonts w:ascii="Times New Roman" w:hAnsi="Times New Roman" w:cs="Times New Roman"/>
            <w:color w:val="auto"/>
            <w:sz w:val="24"/>
            <w:szCs w:val="24"/>
            <w:u w:val="none"/>
          </w:rPr>
          <w:t>https://www.nhsemployers.org/pay-pensions-and-reward/agenda-for-change/nhs-terms-and-conditions-of-service-handbook</w:t>
        </w:r>
      </w:hyperlink>
    </w:p>
    <w:p w14:paraId="15E6005F"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 xml:space="preserve">Nursing and Midwifery Council (NMC). (2018). The Code: Professional standards of practice and behaviour for nurses, midwives, and nursing associates. Retrieved from </w:t>
      </w:r>
      <w:hyperlink r:id="rId10">
        <w:r w:rsidRPr="00B942D2">
          <w:rPr>
            <w:rStyle w:val="Hyperlink"/>
            <w:rFonts w:ascii="Times New Roman" w:hAnsi="Times New Roman" w:cs="Times New Roman"/>
            <w:color w:val="auto"/>
            <w:sz w:val="24"/>
            <w:szCs w:val="24"/>
            <w:u w:val="none"/>
          </w:rPr>
          <w:t>https://www.nmc.org.uk/globalassets/sitedocuments/nmc-publications/nmc-code.pdf</w:t>
        </w:r>
      </w:hyperlink>
    </w:p>
    <w:p w14:paraId="33A8F6E2"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proofErr w:type="spellStart"/>
      <w:r w:rsidRPr="00B942D2">
        <w:rPr>
          <w:rFonts w:ascii="Times New Roman" w:hAnsi="Times New Roman" w:cs="Times New Roman"/>
          <w:sz w:val="24"/>
          <w:szCs w:val="24"/>
        </w:rPr>
        <w:t>Rimmer</w:t>
      </w:r>
      <w:proofErr w:type="spellEnd"/>
      <w:r w:rsidRPr="00B942D2">
        <w:rPr>
          <w:rFonts w:ascii="Times New Roman" w:hAnsi="Times New Roman" w:cs="Times New Roman"/>
          <w:sz w:val="24"/>
          <w:szCs w:val="24"/>
        </w:rPr>
        <w:t>, A. (2020). More than 1,000 NHS nurses have died from Covid-19, figures reveal. BMJ, 371, m4527.</w:t>
      </w:r>
    </w:p>
    <w:p w14:paraId="741402AE"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lastRenderedPageBreak/>
        <w:t xml:space="preserve">Royal College of Nursing (RCN). (2021). The nursing shortage. Retrieved from </w:t>
      </w:r>
      <w:hyperlink r:id="rId11">
        <w:r w:rsidRPr="00B942D2">
          <w:rPr>
            <w:rStyle w:val="Hyperlink"/>
            <w:rFonts w:ascii="Times New Roman" w:hAnsi="Times New Roman" w:cs="Times New Roman"/>
            <w:color w:val="auto"/>
            <w:sz w:val="24"/>
            <w:szCs w:val="24"/>
            <w:u w:val="none"/>
          </w:rPr>
          <w:t>https://www.rcn.org.uk/employment-and-pay/nursing-staffing-levels/the-nursing-shortage</w:t>
        </w:r>
      </w:hyperlink>
    </w:p>
    <w:p w14:paraId="3EB7D176"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proofErr w:type="spellStart"/>
      <w:r w:rsidRPr="00B942D2">
        <w:rPr>
          <w:rFonts w:ascii="Times New Roman" w:hAnsi="Times New Roman" w:cs="Times New Roman"/>
          <w:sz w:val="24"/>
          <w:szCs w:val="24"/>
        </w:rPr>
        <w:t>Sarantakos</w:t>
      </w:r>
      <w:proofErr w:type="spellEnd"/>
      <w:r w:rsidRPr="00B942D2">
        <w:rPr>
          <w:rFonts w:ascii="Times New Roman" w:hAnsi="Times New Roman" w:cs="Times New Roman"/>
          <w:sz w:val="24"/>
          <w:szCs w:val="24"/>
        </w:rPr>
        <w:t xml:space="preserve">, S., &amp; </w:t>
      </w:r>
      <w:proofErr w:type="spellStart"/>
      <w:r w:rsidRPr="00B942D2">
        <w:rPr>
          <w:rFonts w:ascii="Times New Roman" w:hAnsi="Times New Roman" w:cs="Times New Roman"/>
          <w:sz w:val="24"/>
          <w:szCs w:val="24"/>
        </w:rPr>
        <w:t>Sarantakos</w:t>
      </w:r>
      <w:proofErr w:type="spellEnd"/>
      <w:r w:rsidRPr="00B942D2">
        <w:rPr>
          <w:rFonts w:ascii="Times New Roman" w:hAnsi="Times New Roman" w:cs="Times New Roman"/>
          <w:sz w:val="24"/>
          <w:szCs w:val="24"/>
        </w:rPr>
        <w:t>, G. (2014). The role of job satisfaction, work engagement, self-efficacy and agentic capacities on nurses' turnover intention and patient satisfaction. Journal of Advanced Nursing, 70(11), 2465-2477.</w:t>
      </w:r>
    </w:p>
    <w:p w14:paraId="2CEB6646"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proofErr w:type="spellStart"/>
      <w:r w:rsidRPr="00B942D2">
        <w:rPr>
          <w:rFonts w:ascii="Times New Roman" w:hAnsi="Times New Roman" w:cs="Times New Roman"/>
          <w:sz w:val="24"/>
          <w:szCs w:val="24"/>
        </w:rPr>
        <w:t>Shirey</w:t>
      </w:r>
      <w:proofErr w:type="spellEnd"/>
      <w:r w:rsidRPr="00B942D2">
        <w:rPr>
          <w:rFonts w:ascii="Times New Roman" w:hAnsi="Times New Roman" w:cs="Times New Roman"/>
          <w:sz w:val="24"/>
          <w:szCs w:val="24"/>
        </w:rPr>
        <w:t>, M. R. (2006). Establishing a sense of belongingness to retain nurse administrators. Journal of Nursing Administration, 36(6), 305-309.</w:t>
      </w:r>
    </w:p>
    <w:p w14:paraId="5DBF4D11" w14:textId="77777777" w:rsidR="00B942D2" w:rsidRPr="00B942D2" w:rsidRDefault="00B942D2" w:rsidP="00B942D2">
      <w:pPr>
        <w:pStyle w:val="NoSpacing"/>
        <w:spacing w:line="360" w:lineRule="auto"/>
        <w:ind w:left="720" w:hanging="720"/>
        <w:rPr>
          <w:rFonts w:ascii="Times New Roman" w:hAnsi="Times New Roman" w:cs="Times New Roman"/>
          <w:sz w:val="24"/>
          <w:szCs w:val="24"/>
        </w:rPr>
      </w:pPr>
      <w:r w:rsidRPr="00B942D2">
        <w:rPr>
          <w:rFonts w:ascii="Times New Roman" w:hAnsi="Times New Roman" w:cs="Times New Roman"/>
          <w:sz w:val="24"/>
          <w:szCs w:val="24"/>
        </w:rPr>
        <w:t>World Health Organization (WHO). (2022). Global strategy on human resources for health: Workforce 2030.</w:t>
      </w:r>
    </w:p>
    <w:sectPr w:rsidR="00B942D2" w:rsidRPr="00B942D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66229" w14:textId="77777777" w:rsidR="001D2F8C" w:rsidRDefault="001D2F8C" w:rsidP="00B942D2">
      <w:pPr>
        <w:spacing w:after="0" w:line="240" w:lineRule="auto"/>
      </w:pPr>
      <w:r>
        <w:separator/>
      </w:r>
    </w:p>
  </w:endnote>
  <w:endnote w:type="continuationSeparator" w:id="0">
    <w:p w14:paraId="5C144482" w14:textId="77777777" w:rsidR="001D2F8C" w:rsidRDefault="001D2F8C" w:rsidP="00B9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154996"/>
      <w:docPartObj>
        <w:docPartGallery w:val="Page Numbers (Bottom of Page)"/>
        <w:docPartUnique/>
      </w:docPartObj>
    </w:sdtPr>
    <w:sdtEndPr>
      <w:rPr>
        <w:rFonts w:ascii="Times New Roman" w:hAnsi="Times New Roman" w:cs="Times New Roman"/>
        <w:noProof/>
        <w:sz w:val="24"/>
        <w:szCs w:val="24"/>
      </w:rPr>
    </w:sdtEndPr>
    <w:sdtContent>
      <w:p w14:paraId="184F2A9F" w14:textId="1B7DD0FF" w:rsidR="00B942D2" w:rsidRPr="00B942D2" w:rsidRDefault="00B942D2">
        <w:pPr>
          <w:pStyle w:val="Footer"/>
          <w:jc w:val="center"/>
          <w:rPr>
            <w:rFonts w:ascii="Times New Roman" w:hAnsi="Times New Roman" w:cs="Times New Roman"/>
            <w:sz w:val="24"/>
            <w:szCs w:val="24"/>
          </w:rPr>
        </w:pPr>
        <w:r w:rsidRPr="00B942D2">
          <w:rPr>
            <w:rFonts w:ascii="Times New Roman" w:hAnsi="Times New Roman" w:cs="Times New Roman"/>
            <w:sz w:val="24"/>
            <w:szCs w:val="24"/>
          </w:rPr>
          <w:fldChar w:fldCharType="begin"/>
        </w:r>
        <w:r w:rsidRPr="00B942D2">
          <w:rPr>
            <w:rFonts w:ascii="Times New Roman" w:hAnsi="Times New Roman" w:cs="Times New Roman"/>
            <w:sz w:val="24"/>
            <w:szCs w:val="24"/>
          </w:rPr>
          <w:instrText xml:space="preserve"> PAGE   \* MERGEFORMAT </w:instrText>
        </w:r>
        <w:r w:rsidRPr="00B942D2">
          <w:rPr>
            <w:rFonts w:ascii="Times New Roman" w:hAnsi="Times New Roman" w:cs="Times New Roman"/>
            <w:sz w:val="24"/>
            <w:szCs w:val="24"/>
          </w:rPr>
          <w:fldChar w:fldCharType="separate"/>
        </w:r>
        <w:r w:rsidRPr="00B942D2">
          <w:rPr>
            <w:rFonts w:ascii="Times New Roman" w:hAnsi="Times New Roman" w:cs="Times New Roman"/>
            <w:noProof/>
            <w:sz w:val="24"/>
            <w:szCs w:val="24"/>
          </w:rPr>
          <w:t>2</w:t>
        </w:r>
        <w:r w:rsidRPr="00B942D2">
          <w:rPr>
            <w:rFonts w:ascii="Times New Roman" w:hAnsi="Times New Roman" w:cs="Times New Roman"/>
            <w:noProof/>
            <w:sz w:val="24"/>
            <w:szCs w:val="24"/>
          </w:rPr>
          <w:fldChar w:fldCharType="end"/>
        </w:r>
      </w:p>
    </w:sdtContent>
  </w:sdt>
  <w:p w14:paraId="36719536" w14:textId="77777777" w:rsidR="00B942D2" w:rsidRDefault="00B94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22255" w14:textId="77777777" w:rsidR="001D2F8C" w:rsidRDefault="001D2F8C" w:rsidP="00B942D2">
      <w:pPr>
        <w:spacing w:after="0" w:line="240" w:lineRule="auto"/>
      </w:pPr>
      <w:r>
        <w:separator/>
      </w:r>
    </w:p>
  </w:footnote>
  <w:footnote w:type="continuationSeparator" w:id="0">
    <w:p w14:paraId="4ECD5B71" w14:textId="77777777" w:rsidR="001D2F8C" w:rsidRDefault="001D2F8C" w:rsidP="00B942D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inZ2ibk0WT154" int2:id="eRbQFWgk">
      <int2:state int2:value="Rejected" int2:type="AugLoop_Text_Critique"/>
    </int2:textHash>
    <int2:textHash int2:hashCode="FNFb837JenVu+1" int2:id="l17PzRUr">
      <int2:state int2:value="Rejected" int2:type="AugLoop_Text_Critique"/>
    </int2:textHash>
    <int2:textHash int2:hashCode="SRM61NCNF7zDfG" int2:id="maYd69QL">
      <int2:state int2:value="Rejected" int2:type="AugLoop_Text_Critique"/>
    </int2:textHash>
    <int2:textHash int2:hashCode="QDig+f2Zha9dUR" int2:id="lo8eTF0e">
      <int2:state int2:value="Rejected" int2:type="AugLoop_Text_Critique"/>
    </int2:textHash>
    <int2:textHash int2:hashCode="aS00LutY+wTDBH" int2:id="DNBr3GNK">
      <int2:state int2:value="Rejected" int2:type="AugLoop_Text_Critique"/>
    </int2:textHash>
    <int2:bookmark int2:bookmarkName="_Int_hh4so2JJ" int2:invalidationBookmarkName="" int2:hashCode="BmTqT/RtrxCI3h" int2:id="BJTXpcd3">
      <int2:extLst>
        <oel:ext uri="426473B9-03D8-482F-96C9-C2C85392BACA">
          <int2:similarityCritique int2:version="1" int2:context="Situational and dispositional predictors of nurse manager burnout: A time-lagged analysis.">
            <int2:source int2:sourceType="Online" int2:sourceTitle="Predictors of nurse manager stress: A dominance ... - ScienceDirect" int2:sourceUrl="https://www.sciencedirect.com/science/article/pii/S0020748913000503" int2:sourceSnippet="Situational and dispositional predictors of nurse manager burnout: a time-lagged analysis. Journal of Nursing Management, 16 (5) (2008), pp. 601-607. Google Scholar. Laschinger et al., 2007. H.K.S. Laschinger, N. Purdy, J. Almost. The impact of leader-member exchange quality, empowerment, and core self-evaluation on nurse manager's job ...">
              <int2:suggestions int2:citationType="Inline">
                <int2:suggestion int2:citationStyle="Mla" int2:isIdentical="1">
                  <int2:citationText>(“Predictors of nurse manager stress: A dominance ... - ScienceDirect”)</int2:citationText>
                </int2:suggestion>
                <int2:suggestion int2:citationStyle="Apa" int2:isIdentical="1">
                  <int2:citationText>(“Predictors of nurse manager stress: A dominance ... - ScienceDirect”)</int2:citationText>
                </int2:suggestion>
                <int2:suggestion int2:citationStyle="Chicago" int2:isIdentical="1">
                  <int2:citationText>(“Predictors of nurse manager stress: A dominance ... - ScienceDirect”)</int2:citationText>
                </int2:suggestion>
              </int2:suggestions>
              <int2:suggestions int2:citationType="Full">
                <int2:suggestion int2:citationStyle="Mla" int2:isIdentical="1">
                  <int2:citationText>&lt;i&gt;Predictors of nurse manager stress: A dominance ... - ScienceDirect&lt;/i&gt;, https://www.sciencedirect.com/science/article/pii/S0020748913000503.</int2:citationText>
                </int2:suggestion>
                <int2:suggestion int2:citationStyle="Apa" int2:isIdentical="1">
                  <int2:citationText>&lt;i&gt;Predictors of nurse manager stress: A dominance ... - ScienceDirect&lt;/i&gt;. (n.d.). Retrieved from https://www.sciencedirect.com/science/article/pii/S0020748913000503</int2:citationText>
                </int2:suggestion>
                <int2:suggestion int2:citationStyle="Chicago" int2:isIdentical="1">
                  <int2:citationText>“Predictors of nurse manager stress: A dominance ... - ScienceDirect” n.d., https://www.sciencedirect.com/science/article/pii/S0020748913000503.</int2:citationText>
                </int2:suggestion>
              </int2:suggestions>
            </int2:source>
            <int2:source int2:sourceType="Online" int2:sourceTitle="Situational and dispositional predictors of nurse manager burnout: a ..." int2:sourceUrl="https://www.wikidata.org/wiki/Q81467986" int2:sourceSnippet="Situational and dispositional predictors of nurse manager burnout: a time-lagged analysis. scientific article published on 01 July 2008. Statements. instance of. scholarly article. 1 reference. stated in. Europe PubMed Central. PubMed ID. 18558930. reference URL.">
              <int2:suggestions int2:citationType="Inline">
                <int2:suggestion int2:citationStyle="Mla" int2:isIdentical="1">
                  <int2:citationText>(“Situational and dispositional predictors of nurse manager burnout: a ...”)</int2:citationText>
                </int2:suggestion>
                <int2:suggestion int2:citationStyle="Apa" int2:isIdentical="1">
                  <int2:citationText>(“Situational and dispositional predictors of nurse manager burnout: a ...”)</int2:citationText>
                </int2:suggestion>
                <int2:suggestion int2:citationStyle="Chicago" int2:isIdentical="1">
                  <int2:citationText>(“Situational and dispositional predictors of nurse manager burnout: a ...”)</int2:citationText>
                </int2:suggestion>
              </int2:suggestions>
              <int2:suggestions int2:citationType="Full">
                <int2:suggestion int2:citationStyle="Mla" int2:isIdentical="1">
                  <int2:citationText>&lt;i&gt;Situational and dispositional predictors of nurse manager burnout: a ...&lt;/i&gt;, https://www.wikidata.org/wiki/Q81467986.</int2:citationText>
                </int2:suggestion>
                <int2:suggestion int2:citationStyle="Apa" int2:isIdentical="1">
                  <int2:citationText>&lt;i&gt;Situational and dispositional predictors of nurse manager burnout: a ...&lt;/i&gt;. (n.d.). Retrieved from https://www.wikidata.org/wiki/Q81467986</int2:citationText>
                </int2:suggestion>
                <int2:suggestion int2:citationStyle="Chicago" int2:isIdentical="1">
                  <int2:citationText>“Situational and dispositional predictors of nurse manager burnout: a ...” n.d., https://www.wikidata.org/wiki/Q81467986.</int2:citationText>
                </int2:suggestion>
              </int2:suggestions>
            </int2:source>
            <int2:source int2:sourceType="Online" int2:sourceTitle="Situational and dispositional predictors of ... - Wiley Online Library" int2:sourceUrl="https://onlinelibrary.wiley.com/doi/full/10.1111/j.1365-2834.2008.00904.x" int2:sourceSnippet="Situational and dispositional predictors of nurse manager burnout: a time-lagged analysis. HEATHER K. SPENCE LASCHINGER PhD, RN, Distinguished University Professor and Associate Director Nursing Research, School of Nursing, Faculty of Health Sciences, University of Western Ontario,">
              <int2:suggestions int2:citationType="Inline">
                <int2:suggestion int2:citationStyle="Mla" int2:isIdentical="1">
                  <int2:citationText>(“Situational and dispositional predictors of ... - Wiley Online Library”)</int2:citationText>
                </int2:suggestion>
                <int2:suggestion int2:citationStyle="Apa" int2:isIdentical="1">
                  <int2:citationText>(“Situational and dispositional predictors of ... - Wiley Online Library”)</int2:citationText>
                </int2:suggestion>
                <int2:suggestion int2:citationStyle="Chicago" int2:isIdentical="1">
                  <int2:citationText>(“Situational and dispositional predictors of ... - Wiley Online Library”)</int2:citationText>
                </int2:suggestion>
              </int2:suggestions>
              <int2:suggestions int2:citationType="Full">
                <int2:suggestion int2:citationStyle="Mla" int2:isIdentical="1">
                  <int2:citationText>&lt;i&gt;Situational and dispositional predictors of ... - Wiley Online Library&lt;/i&gt;, https://onlinelibrary.wiley.com/doi/full/10.1111/j.1365-2834.2008.00904.x.</int2:citationText>
                </int2:suggestion>
                <int2:suggestion int2:citationStyle="Apa" int2:isIdentical="1">
                  <int2:citationText>&lt;i&gt;Situational and dispositional predictors of ... - Wiley Online Library&lt;/i&gt;. (n.d.). Retrieved from https://onlinelibrary.wiley.com/doi/full/10.1111/j.1365-2834.2008.00904.x</int2:citationText>
                </int2:suggestion>
                <int2:suggestion int2:citationStyle="Chicago" int2:isIdentical="1">
                  <int2:citationText>“Situational and dispositional predictors of ... - Wiley Online Library” n.d., https://onlinelibrary.wiley.com/doi/full/10.1111/j.1365-2834.2008.00904.x.</int2:citationText>
                </int2:suggestion>
              </int2:suggestions>
            </int2:source>
          </int2:similarityCritique>
        </oel:ext>
      </int2:extLst>
    </int2:bookmark>
    <int2:bookmark int2:bookmarkName="_Int_R6t0cz0m" int2:invalidationBookmarkName="" int2:hashCode="Bdp2P4jd15lCwJ" int2:id="T5m07DEJ">
      <int2:extLst>
        <oel:ext uri="426473B9-03D8-482F-96C9-C2C85392BACA">
          <int2:similarityCritique int2:version="1" int2:context="Aiken, L. H., Sloane, D. M., Bruyneel, L., Van den Heede, K., Griffiths, P., Busse, R., ... &amp; Sermeus, W. (2014).">
            <int2:source int2:sourceType="Online" int2:sourceTitle="Hochschulische Ausbildung in Pflegeberufen | SpringerLink" int2:sourceUrl="https://link.springer.com/referenceworkentry/10.1007/978-3-662-61428-0_12-1" int2:sourceSnippet="Aiken L, Sloane D, Bruyneel L, van den Heede K, Griffiths P, Busse R, Diomidous M, Kinnunen J, Kózka M, Lesaffre E, McHugh M, Moreno-Casbas M, Rafferty A, Schwendimann R, Scott A, Tishelman C, van Achterberg T, Sermeus W (2014) Nurse staffing and education and hospital mortality in nine European countries: a retrospective observational study.">
              <int2:suggestions int2:citationType="Inline">
                <int2:suggestion int2:citationStyle="Mla" int2:isIdentical="0">
                  <int2:citationText>(“Hochschulische Ausbildung in Pflegeberufen | SpringerLink”)</int2:citationText>
                </int2:suggestion>
                <int2:suggestion int2:citationStyle="Apa" int2:isIdentical="0">
                  <int2:citationText>(“Hochschulische Ausbildung in Pflegeberufen | SpringerLink”)</int2:citationText>
                </int2:suggestion>
                <int2:suggestion int2:citationStyle="Chicago" int2:isIdentical="0">
                  <int2:citationText>(“Hochschulische Ausbildung in Pflegeberufen | SpringerLink”)</int2:citationText>
                </int2:suggestion>
              </int2:suggestions>
              <int2:suggestions int2:citationType="Full">
                <int2:suggestion int2:citationStyle="Mla" int2:isIdentical="0">
                  <int2:citationText>&lt;i&gt;Hochschulische Ausbildung in Pflegeberufen | SpringerLink&lt;/i&gt;, https://link.springer.com/referenceworkentry/10.1007/978-3-662-61428-0_12-1.</int2:citationText>
                </int2:suggestion>
                <int2:suggestion int2:citationStyle="Apa" int2:isIdentical="0">
                  <int2:citationText>&lt;i&gt;Hochschulische Ausbildung in Pflegeberufen | SpringerLink&lt;/i&gt;. (n.d.). Retrieved from https://link.springer.com/referenceworkentry/10.1007/978-3-662-61428-0_12-1</int2:citationText>
                </int2:suggestion>
                <int2:suggestion int2:citationStyle="Chicago" int2:isIdentical="0">
                  <int2:citationText>“Hochschulische Ausbildung in Pflegeberufen | SpringerLink” n.d., https://link.springer.com/referenceworkentry/10.1007/978-3-662-61428-0_12-1.</int2:citationText>
                </int2:suggestion>
              </int2:suggestions>
            </int2:source>
          </int2:similarityCritique>
        </oel:ext>
      </int2:extLst>
    </int2:bookmark>
    <int2:entireDocument int2:id="KUopMCU5">
      <int2:extLst>
        <oel:ext uri="E302BA01-7950-474C-9AD3-286E660C40A8">
          <int2:similaritySummary int2:version="1" int2:runId="1681736262834" int2:tilesCheckedInThisRun="0" int2:totalNumOfTiles="69" int2:similarityAnnotationCount="2" int2:numWords="2623" int2:numFlaggedWords="30"/>
        </oel:ext>
      </int2:extLst>
    </int2:entireDocument>
  </int2:observations>
  <int2:intelligenceSettings/>
  <int2:onDemandWorkflows>
    <int2:onDemandWorkflow int2:type="SimilarityCheck" int2:paragraphVersions="52F05BBB-34CFCA04 1200EA1C-1119AB42 70A7F64D-273CECDB 64FB96C6-06F3F202 369CA3DE-4EC560E6 0751F20B-346901AA 010E7D19-66B9AEA5 264D7DE4-2FF99850 49498EFF-1ED24F54 06B91E80-0C7B93FA 212807E9-18F1D682 1F8C5462-4E65D71C 2EC82B58-55FDBFCF 4FF921BB-6706AA45 636D09CD-4C80A1EA 1C31BF34-777FD05F 33EC3996-7AE5073B 664BF3D0-5D82E455 0F395102-50FD82E5 33946782-12A511D9 4323FCF2-54245CC7 75EF49E6-6AC92313 644730C6-2ECD3FFD 545115CA-2A43326A 257B8284-4D6C0D12 59881BA4-4604A44A 712B5A8E-41DDD7AD 77130142-72D3F660 68BD48C8-602A6154 759CB6CB-37DCC327 44EEC934-56A8F31B 02033A3F-4B741FA1 2C078E63-43ECCDD4 4C18F218-1D7C8A30 634479F6-2DDC7AEA 5B62ADF8-66B9861A 0244B065-6195C7C8 6C0CD673-4D5A3F81 5F34C657-357A27B2 2F0620EF-73A3474C 0EF81C2F-44B72FBB 4C963830-6E6D8B8B 247B4ABD-6C8DA21A 0B3AB32F-19225DC6 5B2FBEC8-4ABA5DA0 3842951C-7205218E 4C571B1F-2AC18FEB 32F49DCA-349CEB64 192F55D2-30FB6E09 4189BD8E-5975B7ED 42DCB55C-0A84C402 0AF597CD-23B00C6B 2525E81E-236BCF84 3AE238C7-0AABE35E 182185BB-3157265A 0937E874-3292AA90 28A3D0E5-7F41DA2D 0B686D42-24D43E02 361FD4ED-240E1BC0 1F197F80-642B36EE 34378162-56EEA0E9 78ACF7AB-5084BD6B 5CE2403D-6A9F1E77 61C1128B-68985AA0 24A3905C-0EBC8233 0C9740D4-1BB13F29 4E7FB754-60C44AED 5F3381E2-75BCD29A 1E1AE7EF-7ED79005 2FFA8CF4-495F4A76 13BD4890-1F2B5280 29CF2F1F-1557381E 78A4C0D4-7ACA90A3 453BA117-45E5B871 7BC5DD95-00515C52 78259930-77A50F4B 141009EF-451F3B96 54FE0509-6FB4B813 16E93FC1-015E871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7217"/>
    <w:multiLevelType w:val="hybridMultilevel"/>
    <w:tmpl w:val="ED4E6BF8"/>
    <w:lvl w:ilvl="0" w:tplc="A892693A">
      <w:start w:val="1"/>
      <w:numFmt w:val="bullet"/>
      <w:lvlText w:val=""/>
      <w:lvlJc w:val="left"/>
      <w:pPr>
        <w:ind w:left="720" w:hanging="360"/>
      </w:pPr>
      <w:rPr>
        <w:rFonts w:ascii="Symbol" w:hAnsi="Symbol" w:hint="default"/>
      </w:rPr>
    </w:lvl>
    <w:lvl w:ilvl="1" w:tplc="3056B45A">
      <w:start w:val="1"/>
      <w:numFmt w:val="bullet"/>
      <w:lvlText w:val="o"/>
      <w:lvlJc w:val="left"/>
      <w:pPr>
        <w:ind w:left="1440" w:hanging="360"/>
      </w:pPr>
      <w:rPr>
        <w:rFonts w:ascii="Courier New" w:hAnsi="Courier New" w:hint="default"/>
      </w:rPr>
    </w:lvl>
    <w:lvl w:ilvl="2" w:tplc="8ADCC4D6">
      <w:start w:val="1"/>
      <w:numFmt w:val="bullet"/>
      <w:lvlText w:val=""/>
      <w:lvlJc w:val="left"/>
      <w:pPr>
        <w:ind w:left="2160" w:hanging="360"/>
      </w:pPr>
      <w:rPr>
        <w:rFonts w:ascii="Wingdings" w:hAnsi="Wingdings" w:hint="default"/>
      </w:rPr>
    </w:lvl>
    <w:lvl w:ilvl="3" w:tplc="BCF20E3C">
      <w:start w:val="1"/>
      <w:numFmt w:val="bullet"/>
      <w:lvlText w:val=""/>
      <w:lvlJc w:val="left"/>
      <w:pPr>
        <w:ind w:left="2880" w:hanging="360"/>
      </w:pPr>
      <w:rPr>
        <w:rFonts w:ascii="Symbol" w:hAnsi="Symbol" w:hint="default"/>
      </w:rPr>
    </w:lvl>
    <w:lvl w:ilvl="4" w:tplc="5E8ED744">
      <w:start w:val="1"/>
      <w:numFmt w:val="bullet"/>
      <w:lvlText w:val="o"/>
      <w:lvlJc w:val="left"/>
      <w:pPr>
        <w:ind w:left="3600" w:hanging="360"/>
      </w:pPr>
      <w:rPr>
        <w:rFonts w:ascii="Courier New" w:hAnsi="Courier New" w:hint="default"/>
      </w:rPr>
    </w:lvl>
    <w:lvl w:ilvl="5" w:tplc="01FEA9C0">
      <w:start w:val="1"/>
      <w:numFmt w:val="bullet"/>
      <w:lvlText w:val=""/>
      <w:lvlJc w:val="left"/>
      <w:pPr>
        <w:ind w:left="4320" w:hanging="360"/>
      </w:pPr>
      <w:rPr>
        <w:rFonts w:ascii="Wingdings" w:hAnsi="Wingdings" w:hint="default"/>
      </w:rPr>
    </w:lvl>
    <w:lvl w:ilvl="6" w:tplc="A12ED19E">
      <w:start w:val="1"/>
      <w:numFmt w:val="bullet"/>
      <w:lvlText w:val=""/>
      <w:lvlJc w:val="left"/>
      <w:pPr>
        <w:ind w:left="5040" w:hanging="360"/>
      </w:pPr>
      <w:rPr>
        <w:rFonts w:ascii="Symbol" w:hAnsi="Symbol" w:hint="default"/>
      </w:rPr>
    </w:lvl>
    <w:lvl w:ilvl="7" w:tplc="27B6D80E">
      <w:start w:val="1"/>
      <w:numFmt w:val="bullet"/>
      <w:lvlText w:val="o"/>
      <w:lvlJc w:val="left"/>
      <w:pPr>
        <w:ind w:left="5760" w:hanging="360"/>
      </w:pPr>
      <w:rPr>
        <w:rFonts w:ascii="Courier New" w:hAnsi="Courier New" w:hint="default"/>
      </w:rPr>
    </w:lvl>
    <w:lvl w:ilvl="8" w:tplc="1242ABEE">
      <w:start w:val="1"/>
      <w:numFmt w:val="bullet"/>
      <w:lvlText w:val=""/>
      <w:lvlJc w:val="left"/>
      <w:pPr>
        <w:ind w:left="6480" w:hanging="360"/>
      </w:pPr>
      <w:rPr>
        <w:rFonts w:ascii="Wingdings" w:hAnsi="Wingdings" w:hint="default"/>
      </w:rPr>
    </w:lvl>
  </w:abstractNum>
  <w:abstractNum w:abstractNumId="1" w15:restartNumberingAfterBreak="0">
    <w:nsid w:val="23FE7144"/>
    <w:multiLevelType w:val="hybridMultilevel"/>
    <w:tmpl w:val="24BA5AC2"/>
    <w:lvl w:ilvl="0" w:tplc="465C924E">
      <w:start w:val="1"/>
      <w:numFmt w:val="bullet"/>
      <w:lvlText w:val=""/>
      <w:lvlJc w:val="left"/>
      <w:pPr>
        <w:ind w:left="720" w:hanging="360"/>
      </w:pPr>
      <w:rPr>
        <w:rFonts w:ascii="Symbol" w:hAnsi="Symbol" w:hint="default"/>
      </w:rPr>
    </w:lvl>
    <w:lvl w:ilvl="1" w:tplc="50C64ED6">
      <w:start w:val="1"/>
      <w:numFmt w:val="bullet"/>
      <w:lvlText w:val="o"/>
      <w:lvlJc w:val="left"/>
      <w:pPr>
        <w:ind w:left="1440" w:hanging="360"/>
      </w:pPr>
      <w:rPr>
        <w:rFonts w:ascii="Courier New" w:hAnsi="Courier New" w:hint="default"/>
      </w:rPr>
    </w:lvl>
    <w:lvl w:ilvl="2" w:tplc="CFDA5888">
      <w:start w:val="1"/>
      <w:numFmt w:val="bullet"/>
      <w:lvlText w:val=""/>
      <w:lvlJc w:val="left"/>
      <w:pPr>
        <w:ind w:left="2160" w:hanging="360"/>
      </w:pPr>
      <w:rPr>
        <w:rFonts w:ascii="Wingdings" w:hAnsi="Wingdings" w:hint="default"/>
      </w:rPr>
    </w:lvl>
    <w:lvl w:ilvl="3" w:tplc="E46A41BE">
      <w:start w:val="1"/>
      <w:numFmt w:val="bullet"/>
      <w:lvlText w:val=""/>
      <w:lvlJc w:val="left"/>
      <w:pPr>
        <w:ind w:left="2880" w:hanging="360"/>
      </w:pPr>
      <w:rPr>
        <w:rFonts w:ascii="Symbol" w:hAnsi="Symbol" w:hint="default"/>
      </w:rPr>
    </w:lvl>
    <w:lvl w:ilvl="4" w:tplc="6F14BAAE">
      <w:start w:val="1"/>
      <w:numFmt w:val="bullet"/>
      <w:lvlText w:val="o"/>
      <w:lvlJc w:val="left"/>
      <w:pPr>
        <w:ind w:left="3600" w:hanging="360"/>
      </w:pPr>
      <w:rPr>
        <w:rFonts w:ascii="Courier New" w:hAnsi="Courier New" w:hint="default"/>
      </w:rPr>
    </w:lvl>
    <w:lvl w:ilvl="5" w:tplc="1EAAD436">
      <w:start w:val="1"/>
      <w:numFmt w:val="bullet"/>
      <w:lvlText w:val=""/>
      <w:lvlJc w:val="left"/>
      <w:pPr>
        <w:ind w:left="4320" w:hanging="360"/>
      </w:pPr>
      <w:rPr>
        <w:rFonts w:ascii="Wingdings" w:hAnsi="Wingdings" w:hint="default"/>
      </w:rPr>
    </w:lvl>
    <w:lvl w:ilvl="6" w:tplc="D0A4C9FC">
      <w:start w:val="1"/>
      <w:numFmt w:val="bullet"/>
      <w:lvlText w:val=""/>
      <w:lvlJc w:val="left"/>
      <w:pPr>
        <w:ind w:left="5040" w:hanging="360"/>
      </w:pPr>
      <w:rPr>
        <w:rFonts w:ascii="Symbol" w:hAnsi="Symbol" w:hint="default"/>
      </w:rPr>
    </w:lvl>
    <w:lvl w:ilvl="7" w:tplc="76D2F416">
      <w:start w:val="1"/>
      <w:numFmt w:val="bullet"/>
      <w:lvlText w:val="o"/>
      <w:lvlJc w:val="left"/>
      <w:pPr>
        <w:ind w:left="5760" w:hanging="360"/>
      </w:pPr>
      <w:rPr>
        <w:rFonts w:ascii="Courier New" w:hAnsi="Courier New" w:hint="default"/>
      </w:rPr>
    </w:lvl>
    <w:lvl w:ilvl="8" w:tplc="ADE47716">
      <w:start w:val="1"/>
      <w:numFmt w:val="bullet"/>
      <w:lvlText w:val=""/>
      <w:lvlJc w:val="left"/>
      <w:pPr>
        <w:ind w:left="6480" w:hanging="360"/>
      </w:pPr>
      <w:rPr>
        <w:rFonts w:ascii="Wingdings" w:hAnsi="Wingdings" w:hint="default"/>
      </w:rPr>
    </w:lvl>
  </w:abstractNum>
  <w:abstractNum w:abstractNumId="2" w15:restartNumberingAfterBreak="0">
    <w:nsid w:val="4EC226D0"/>
    <w:multiLevelType w:val="hybridMultilevel"/>
    <w:tmpl w:val="E51C252E"/>
    <w:lvl w:ilvl="0" w:tplc="C296B15C">
      <w:start w:val="1"/>
      <w:numFmt w:val="decimal"/>
      <w:lvlText w:val="%1."/>
      <w:lvlJc w:val="left"/>
      <w:pPr>
        <w:ind w:left="720" w:hanging="360"/>
      </w:pPr>
    </w:lvl>
    <w:lvl w:ilvl="1" w:tplc="C96A6B06">
      <w:start w:val="1"/>
      <w:numFmt w:val="lowerLetter"/>
      <w:lvlText w:val="%2."/>
      <w:lvlJc w:val="left"/>
      <w:pPr>
        <w:ind w:left="1440" w:hanging="360"/>
      </w:pPr>
    </w:lvl>
    <w:lvl w:ilvl="2" w:tplc="3D460BC4">
      <w:start w:val="1"/>
      <w:numFmt w:val="lowerRoman"/>
      <w:lvlText w:val="%3."/>
      <w:lvlJc w:val="right"/>
      <w:pPr>
        <w:ind w:left="2160" w:hanging="180"/>
      </w:pPr>
    </w:lvl>
    <w:lvl w:ilvl="3" w:tplc="BFDCFBAE">
      <w:start w:val="1"/>
      <w:numFmt w:val="decimal"/>
      <w:lvlText w:val="%4."/>
      <w:lvlJc w:val="left"/>
      <w:pPr>
        <w:ind w:left="2880" w:hanging="360"/>
      </w:pPr>
    </w:lvl>
    <w:lvl w:ilvl="4" w:tplc="C810AFC0">
      <w:start w:val="1"/>
      <w:numFmt w:val="lowerLetter"/>
      <w:lvlText w:val="%5."/>
      <w:lvlJc w:val="left"/>
      <w:pPr>
        <w:ind w:left="3600" w:hanging="360"/>
      </w:pPr>
    </w:lvl>
    <w:lvl w:ilvl="5" w:tplc="ECFC08A6">
      <w:start w:val="1"/>
      <w:numFmt w:val="lowerRoman"/>
      <w:lvlText w:val="%6."/>
      <w:lvlJc w:val="right"/>
      <w:pPr>
        <w:ind w:left="4320" w:hanging="180"/>
      </w:pPr>
    </w:lvl>
    <w:lvl w:ilvl="6" w:tplc="19808F08">
      <w:start w:val="1"/>
      <w:numFmt w:val="decimal"/>
      <w:lvlText w:val="%7."/>
      <w:lvlJc w:val="left"/>
      <w:pPr>
        <w:ind w:left="5040" w:hanging="360"/>
      </w:pPr>
    </w:lvl>
    <w:lvl w:ilvl="7" w:tplc="B29CBE28">
      <w:start w:val="1"/>
      <w:numFmt w:val="lowerLetter"/>
      <w:lvlText w:val="%8."/>
      <w:lvlJc w:val="left"/>
      <w:pPr>
        <w:ind w:left="5760" w:hanging="360"/>
      </w:pPr>
    </w:lvl>
    <w:lvl w:ilvl="8" w:tplc="B7FE2E3A">
      <w:start w:val="1"/>
      <w:numFmt w:val="lowerRoman"/>
      <w:lvlText w:val="%9."/>
      <w:lvlJc w:val="right"/>
      <w:pPr>
        <w:ind w:left="6480" w:hanging="180"/>
      </w:pPr>
    </w:lvl>
  </w:abstractNum>
  <w:abstractNum w:abstractNumId="3" w15:restartNumberingAfterBreak="0">
    <w:nsid w:val="61E09F33"/>
    <w:multiLevelType w:val="hybridMultilevel"/>
    <w:tmpl w:val="D29C479E"/>
    <w:lvl w:ilvl="0" w:tplc="CA72EF3E">
      <w:start w:val="1"/>
      <w:numFmt w:val="bullet"/>
      <w:lvlText w:val=""/>
      <w:lvlJc w:val="left"/>
      <w:pPr>
        <w:ind w:left="720" w:hanging="360"/>
      </w:pPr>
      <w:rPr>
        <w:rFonts w:ascii="Symbol" w:hAnsi="Symbol" w:hint="default"/>
      </w:rPr>
    </w:lvl>
    <w:lvl w:ilvl="1" w:tplc="B3706848">
      <w:start w:val="1"/>
      <w:numFmt w:val="bullet"/>
      <w:lvlText w:val="o"/>
      <w:lvlJc w:val="left"/>
      <w:pPr>
        <w:ind w:left="1440" w:hanging="360"/>
      </w:pPr>
      <w:rPr>
        <w:rFonts w:ascii="Courier New" w:hAnsi="Courier New" w:hint="default"/>
      </w:rPr>
    </w:lvl>
    <w:lvl w:ilvl="2" w:tplc="F1C0ED12">
      <w:start w:val="1"/>
      <w:numFmt w:val="bullet"/>
      <w:lvlText w:val=""/>
      <w:lvlJc w:val="left"/>
      <w:pPr>
        <w:ind w:left="2160" w:hanging="360"/>
      </w:pPr>
      <w:rPr>
        <w:rFonts w:ascii="Wingdings" w:hAnsi="Wingdings" w:hint="default"/>
      </w:rPr>
    </w:lvl>
    <w:lvl w:ilvl="3" w:tplc="72941AF0">
      <w:start w:val="1"/>
      <w:numFmt w:val="bullet"/>
      <w:lvlText w:val=""/>
      <w:lvlJc w:val="left"/>
      <w:pPr>
        <w:ind w:left="2880" w:hanging="360"/>
      </w:pPr>
      <w:rPr>
        <w:rFonts w:ascii="Symbol" w:hAnsi="Symbol" w:hint="default"/>
      </w:rPr>
    </w:lvl>
    <w:lvl w:ilvl="4" w:tplc="BD4A4240">
      <w:start w:val="1"/>
      <w:numFmt w:val="bullet"/>
      <w:lvlText w:val="o"/>
      <w:lvlJc w:val="left"/>
      <w:pPr>
        <w:ind w:left="3600" w:hanging="360"/>
      </w:pPr>
      <w:rPr>
        <w:rFonts w:ascii="Courier New" w:hAnsi="Courier New" w:hint="default"/>
      </w:rPr>
    </w:lvl>
    <w:lvl w:ilvl="5" w:tplc="FD0ED0BA">
      <w:start w:val="1"/>
      <w:numFmt w:val="bullet"/>
      <w:lvlText w:val=""/>
      <w:lvlJc w:val="left"/>
      <w:pPr>
        <w:ind w:left="4320" w:hanging="360"/>
      </w:pPr>
      <w:rPr>
        <w:rFonts w:ascii="Wingdings" w:hAnsi="Wingdings" w:hint="default"/>
      </w:rPr>
    </w:lvl>
    <w:lvl w:ilvl="6" w:tplc="F75631BE">
      <w:start w:val="1"/>
      <w:numFmt w:val="bullet"/>
      <w:lvlText w:val=""/>
      <w:lvlJc w:val="left"/>
      <w:pPr>
        <w:ind w:left="5040" w:hanging="360"/>
      </w:pPr>
      <w:rPr>
        <w:rFonts w:ascii="Symbol" w:hAnsi="Symbol" w:hint="default"/>
      </w:rPr>
    </w:lvl>
    <w:lvl w:ilvl="7" w:tplc="B08090EA">
      <w:start w:val="1"/>
      <w:numFmt w:val="bullet"/>
      <w:lvlText w:val="o"/>
      <w:lvlJc w:val="left"/>
      <w:pPr>
        <w:ind w:left="5760" w:hanging="360"/>
      </w:pPr>
      <w:rPr>
        <w:rFonts w:ascii="Courier New" w:hAnsi="Courier New" w:hint="default"/>
      </w:rPr>
    </w:lvl>
    <w:lvl w:ilvl="8" w:tplc="CB8AE652">
      <w:start w:val="1"/>
      <w:numFmt w:val="bullet"/>
      <w:lvlText w:val=""/>
      <w:lvlJc w:val="left"/>
      <w:pPr>
        <w:ind w:left="6480" w:hanging="360"/>
      </w:pPr>
      <w:rPr>
        <w:rFonts w:ascii="Wingdings" w:hAnsi="Wingdings" w:hint="default"/>
      </w:rPr>
    </w:lvl>
  </w:abstractNum>
  <w:num w:numId="1" w16cid:durableId="673344625">
    <w:abstractNumId w:val="1"/>
  </w:num>
  <w:num w:numId="2" w16cid:durableId="1691644994">
    <w:abstractNumId w:val="3"/>
  </w:num>
  <w:num w:numId="3" w16cid:durableId="1948922655">
    <w:abstractNumId w:val="0"/>
  </w:num>
  <w:num w:numId="4" w16cid:durableId="1941720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B7A7C5"/>
    <w:rsid w:val="00192177"/>
    <w:rsid w:val="001D2F8C"/>
    <w:rsid w:val="0043045D"/>
    <w:rsid w:val="0077373F"/>
    <w:rsid w:val="007A7959"/>
    <w:rsid w:val="008D1BA7"/>
    <w:rsid w:val="00B27EE0"/>
    <w:rsid w:val="00B942D2"/>
    <w:rsid w:val="00BA2435"/>
    <w:rsid w:val="00CC691E"/>
    <w:rsid w:val="00D94A70"/>
    <w:rsid w:val="00FE7294"/>
    <w:rsid w:val="53042E35"/>
    <w:rsid w:val="79B7A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A7C5"/>
  <w15:chartTrackingRefBased/>
  <w15:docId w15:val="{EE574312-AFB6-401D-8C0B-8D32812B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3042E35"/>
    <w:rPr>
      <w:lang w:val="en-GB"/>
    </w:rPr>
  </w:style>
  <w:style w:type="paragraph" w:styleId="Heading1">
    <w:name w:val="heading 1"/>
    <w:basedOn w:val="Normal"/>
    <w:next w:val="Normal"/>
    <w:link w:val="Heading1Char"/>
    <w:uiPriority w:val="9"/>
    <w:qFormat/>
    <w:rsid w:val="53042E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3042E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3042E3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3042E3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3042E3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3042E3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3042E3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3042E3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3042E3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3042E3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3042E35"/>
    <w:rPr>
      <w:rFonts w:eastAsiaTheme="minorEastAsia"/>
      <w:color w:val="5A5A5A"/>
    </w:rPr>
  </w:style>
  <w:style w:type="paragraph" w:styleId="Quote">
    <w:name w:val="Quote"/>
    <w:basedOn w:val="Normal"/>
    <w:next w:val="Normal"/>
    <w:link w:val="QuoteChar"/>
    <w:uiPriority w:val="29"/>
    <w:qFormat/>
    <w:rsid w:val="53042E3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3042E35"/>
    <w:pPr>
      <w:spacing w:before="360" w:after="360"/>
      <w:ind w:left="864" w:right="864"/>
      <w:jc w:val="center"/>
    </w:pPr>
    <w:rPr>
      <w:i/>
      <w:iCs/>
      <w:color w:val="4472C4" w:themeColor="accent1"/>
    </w:rPr>
  </w:style>
  <w:style w:type="paragraph" w:styleId="ListParagraph">
    <w:name w:val="List Paragraph"/>
    <w:basedOn w:val="Normal"/>
    <w:uiPriority w:val="34"/>
    <w:qFormat/>
    <w:rsid w:val="53042E35"/>
    <w:pPr>
      <w:ind w:left="720"/>
      <w:contextualSpacing/>
    </w:pPr>
  </w:style>
  <w:style w:type="character" w:customStyle="1" w:styleId="Heading1Char">
    <w:name w:val="Heading 1 Char"/>
    <w:basedOn w:val="DefaultParagraphFont"/>
    <w:link w:val="Heading1"/>
    <w:uiPriority w:val="9"/>
    <w:rsid w:val="53042E35"/>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3042E35"/>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3042E35"/>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3042E35"/>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3042E35"/>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3042E35"/>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3042E35"/>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3042E35"/>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3042E35"/>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3042E35"/>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3042E35"/>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3042E35"/>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3042E35"/>
    <w:rPr>
      <w:i/>
      <w:iCs/>
      <w:noProof w:val="0"/>
      <w:color w:val="4472C4" w:themeColor="accent1"/>
      <w:lang w:val="en-GB"/>
    </w:rPr>
  </w:style>
  <w:style w:type="paragraph" w:styleId="TOC1">
    <w:name w:val="toc 1"/>
    <w:basedOn w:val="Normal"/>
    <w:next w:val="Normal"/>
    <w:uiPriority w:val="39"/>
    <w:unhideWhenUsed/>
    <w:rsid w:val="53042E35"/>
    <w:pPr>
      <w:spacing w:after="100"/>
    </w:pPr>
  </w:style>
  <w:style w:type="paragraph" w:styleId="TOC2">
    <w:name w:val="toc 2"/>
    <w:basedOn w:val="Normal"/>
    <w:next w:val="Normal"/>
    <w:uiPriority w:val="39"/>
    <w:unhideWhenUsed/>
    <w:rsid w:val="53042E35"/>
    <w:pPr>
      <w:spacing w:after="100"/>
      <w:ind w:left="220"/>
    </w:pPr>
  </w:style>
  <w:style w:type="paragraph" w:styleId="TOC3">
    <w:name w:val="toc 3"/>
    <w:basedOn w:val="Normal"/>
    <w:next w:val="Normal"/>
    <w:uiPriority w:val="39"/>
    <w:unhideWhenUsed/>
    <w:rsid w:val="53042E35"/>
    <w:pPr>
      <w:spacing w:after="100"/>
      <w:ind w:left="440"/>
    </w:pPr>
  </w:style>
  <w:style w:type="paragraph" w:styleId="TOC4">
    <w:name w:val="toc 4"/>
    <w:basedOn w:val="Normal"/>
    <w:next w:val="Normal"/>
    <w:uiPriority w:val="39"/>
    <w:unhideWhenUsed/>
    <w:rsid w:val="53042E35"/>
    <w:pPr>
      <w:spacing w:after="100"/>
      <w:ind w:left="660"/>
    </w:pPr>
  </w:style>
  <w:style w:type="paragraph" w:styleId="TOC5">
    <w:name w:val="toc 5"/>
    <w:basedOn w:val="Normal"/>
    <w:next w:val="Normal"/>
    <w:uiPriority w:val="39"/>
    <w:unhideWhenUsed/>
    <w:rsid w:val="53042E35"/>
    <w:pPr>
      <w:spacing w:after="100"/>
      <w:ind w:left="880"/>
    </w:pPr>
  </w:style>
  <w:style w:type="paragraph" w:styleId="TOC6">
    <w:name w:val="toc 6"/>
    <w:basedOn w:val="Normal"/>
    <w:next w:val="Normal"/>
    <w:uiPriority w:val="39"/>
    <w:unhideWhenUsed/>
    <w:rsid w:val="53042E35"/>
    <w:pPr>
      <w:spacing w:after="100"/>
      <w:ind w:left="1100"/>
    </w:pPr>
  </w:style>
  <w:style w:type="paragraph" w:styleId="TOC7">
    <w:name w:val="toc 7"/>
    <w:basedOn w:val="Normal"/>
    <w:next w:val="Normal"/>
    <w:uiPriority w:val="39"/>
    <w:unhideWhenUsed/>
    <w:rsid w:val="53042E35"/>
    <w:pPr>
      <w:spacing w:after="100"/>
      <w:ind w:left="1320"/>
    </w:pPr>
  </w:style>
  <w:style w:type="paragraph" w:styleId="TOC8">
    <w:name w:val="toc 8"/>
    <w:basedOn w:val="Normal"/>
    <w:next w:val="Normal"/>
    <w:uiPriority w:val="39"/>
    <w:unhideWhenUsed/>
    <w:rsid w:val="53042E35"/>
    <w:pPr>
      <w:spacing w:after="100"/>
      <w:ind w:left="1540"/>
    </w:pPr>
  </w:style>
  <w:style w:type="paragraph" w:styleId="TOC9">
    <w:name w:val="toc 9"/>
    <w:basedOn w:val="Normal"/>
    <w:next w:val="Normal"/>
    <w:uiPriority w:val="39"/>
    <w:unhideWhenUsed/>
    <w:rsid w:val="53042E35"/>
    <w:pPr>
      <w:spacing w:after="100"/>
      <w:ind w:left="1760"/>
    </w:pPr>
  </w:style>
  <w:style w:type="paragraph" w:styleId="EndnoteText">
    <w:name w:val="endnote text"/>
    <w:basedOn w:val="Normal"/>
    <w:link w:val="EndnoteTextChar"/>
    <w:uiPriority w:val="99"/>
    <w:semiHidden/>
    <w:unhideWhenUsed/>
    <w:rsid w:val="53042E35"/>
    <w:pPr>
      <w:spacing w:after="0"/>
    </w:pPr>
    <w:rPr>
      <w:sz w:val="20"/>
      <w:szCs w:val="20"/>
    </w:rPr>
  </w:style>
  <w:style w:type="character" w:customStyle="1" w:styleId="EndnoteTextChar">
    <w:name w:val="Endnote Text Char"/>
    <w:basedOn w:val="DefaultParagraphFont"/>
    <w:link w:val="EndnoteText"/>
    <w:uiPriority w:val="99"/>
    <w:semiHidden/>
    <w:rsid w:val="53042E35"/>
    <w:rPr>
      <w:noProof w:val="0"/>
      <w:sz w:val="20"/>
      <w:szCs w:val="20"/>
      <w:lang w:val="en-GB"/>
    </w:rPr>
  </w:style>
  <w:style w:type="paragraph" w:styleId="Footer">
    <w:name w:val="footer"/>
    <w:basedOn w:val="Normal"/>
    <w:link w:val="FooterChar"/>
    <w:uiPriority w:val="99"/>
    <w:unhideWhenUsed/>
    <w:rsid w:val="53042E35"/>
    <w:pPr>
      <w:tabs>
        <w:tab w:val="center" w:pos="4680"/>
        <w:tab w:val="right" w:pos="9360"/>
      </w:tabs>
      <w:spacing w:after="0"/>
    </w:pPr>
  </w:style>
  <w:style w:type="character" w:customStyle="1" w:styleId="FooterChar">
    <w:name w:val="Footer Char"/>
    <w:basedOn w:val="DefaultParagraphFont"/>
    <w:link w:val="Footer"/>
    <w:uiPriority w:val="99"/>
    <w:rsid w:val="53042E35"/>
    <w:rPr>
      <w:noProof w:val="0"/>
      <w:lang w:val="en-GB"/>
    </w:rPr>
  </w:style>
  <w:style w:type="paragraph" w:styleId="FootnoteText">
    <w:name w:val="footnote text"/>
    <w:basedOn w:val="Normal"/>
    <w:link w:val="FootnoteTextChar"/>
    <w:uiPriority w:val="99"/>
    <w:semiHidden/>
    <w:unhideWhenUsed/>
    <w:rsid w:val="53042E35"/>
    <w:pPr>
      <w:spacing w:after="0"/>
    </w:pPr>
    <w:rPr>
      <w:sz w:val="20"/>
      <w:szCs w:val="20"/>
    </w:rPr>
  </w:style>
  <w:style w:type="character" w:customStyle="1" w:styleId="FootnoteTextChar">
    <w:name w:val="Footnote Text Char"/>
    <w:basedOn w:val="DefaultParagraphFont"/>
    <w:link w:val="FootnoteText"/>
    <w:uiPriority w:val="99"/>
    <w:semiHidden/>
    <w:rsid w:val="53042E35"/>
    <w:rPr>
      <w:noProof w:val="0"/>
      <w:sz w:val="20"/>
      <w:szCs w:val="20"/>
      <w:lang w:val="en-GB"/>
    </w:rPr>
  </w:style>
  <w:style w:type="paragraph" w:styleId="Header">
    <w:name w:val="header"/>
    <w:basedOn w:val="Normal"/>
    <w:link w:val="HeaderChar"/>
    <w:uiPriority w:val="99"/>
    <w:unhideWhenUsed/>
    <w:rsid w:val="53042E35"/>
    <w:pPr>
      <w:tabs>
        <w:tab w:val="center" w:pos="4680"/>
        <w:tab w:val="right" w:pos="9360"/>
      </w:tabs>
      <w:spacing w:after="0"/>
    </w:pPr>
  </w:style>
  <w:style w:type="character" w:customStyle="1" w:styleId="HeaderChar">
    <w:name w:val="Header Char"/>
    <w:basedOn w:val="DefaultParagraphFont"/>
    <w:link w:val="Header"/>
    <w:uiPriority w:val="99"/>
    <w:rsid w:val="53042E35"/>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B942D2"/>
    <w:pPr>
      <w:outlineLvl w:val="9"/>
    </w:pPr>
    <w:rPr>
      <w:lang w:val="en-US"/>
    </w:rPr>
  </w:style>
  <w:style w:type="paragraph" w:styleId="NoSpacing">
    <w:name w:val="No Spacing"/>
    <w:uiPriority w:val="1"/>
    <w:qFormat/>
    <w:rsid w:val="00B942D2"/>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4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nhs-pay-and-benefi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n.org.uk/employment-and-pay/nursing-staffing-levels/the-nursing-shortage"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nmc.org.uk/globalassets/sitedocuments/nmc-publications/nmc-code.pdf" TargetMode="External"/><Relationship Id="rId4" Type="http://schemas.openxmlformats.org/officeDocument/2006/relationships/webSettings" Target="webSettings.xml"/><Relationship Id="rId9" Type="http://schemas.openxmlformats.org/officeDocument/2006/relationships/hyperlink" Target="https://www.nhsemployers.org/pay-pensions-and-reward/agenda-for-change/nhs-terms-and-conditions-of-service-handboo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2802</Words>
  <Characters>15974</Characters>
  <DocSecurity>0</DocSecurity>
  <Lines>133</Lines>
  <Paragraphs>37</Paragraphs>
  <ScaleCrop>false</ScaleCrop>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2023-04-17T10:31:00Z</dcterms:created>
  <dcterms:modified xsi:type="dcterms:W3CDTF">2023-04-25T19:38:00Z</dcterms:modified>
</cp:coreProperties>
</file>