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F847D4" wp14:paraId="6017CBD4" wp14:textId="1D44D8EC">
      <w:p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This report explains the current situation of the electric vehicle (EV) industry in the UK, explores its growth, </w:t>
      </w:r>
      <w:r w:rsidRPr="01F847D4" w:rsidR="106433C3">
        <w:rPr>
          <w:rFonts w:ascii="Arial" w:hAnsi="Arial" w:eastAsia="Arial" w:cs="Arial"/>
          <w:b w:val="0"/>
          <w:bCs w:val="0"/>
          <w:i w:val="0"/>
          <w:iCs w:val="0"/>
          <w:caps w:val="0"/>
          <w:smallCaps w:val="0"/>
          <w:color w:val="000000" w:themeColor="text1" w:themeTint="FF" w:themeShade="FF"/>
          <w:sz w:val="24"/>
          <w:szCs w:val="24"/>
        </w:rPr>
        <w:t>opportunities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and challenges.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In this report, two analytical frameworks—PESTLE and SWOT—will be applied to critically examine how external factors are influencing the electric vehicle industry in the UK.</w:t>
      </w:r>
    </w:p>
    <w:p xmlns:wp14="http://schemas.microsoft.com/office/word/2010/wordml" w:rsidP="01F847D4" wp14:paraId="716E3D8F" wp14:textId="1669A2CC">
      <w:pPr>
        <w:pStyle w:val="Heading2"/>
        <w:keepNext w:val="1"/>
        <w:keepLines w:val="1"/>
        <w:numPr>
          <w:ilvl w:val="0"/>
          <w:numId w:val="7"/>
        </w:numPr>
        <w:spacing w:before="160" w:beforeAutospacing="off" w:after="80" w:afterAutospacing="off" w:line="279" w:lineRule="auto"/>
        <w:ind w:right="0"/>
        <w:jc w:val="left"/>
        <w:rPr>
          <w:rFonts w:ascii="Aptos Display" w:hAnsi="Aptos Display" w:eastAsia="Aptos Display" w:cs="Aptos Display"/>
          <w:b w:val="0"/>
          <w:bCs w:val="0"/>
          <w:i w:val="0"/>
          <w:iCs w:val="0"/>
          <w:caps w:val="0"/>
          <w:smallCaps w:val="0"/>
          <w:color w:val="0F4761" w:themeColor="accent1" w:themeTint="FF" w:themeShade="BF"/>
          <w:sz w:val="32"/>
          <w:szCs w:val="32"/>
        </w:rPr>
      </w:pPr>
      <w:r w:rsidRPr="01F847D4" w:rsidR="106433C3">
        <w:rPr>
          <w:rFonts w:ascii="Aptos Display" w:hAnsi="Aptos Display" w:eastAsia="Aptos Display" w:cs="Aptos Display"/>
          <w:b w:val="0"/>
          <w:bCs w:val="0"/>
          <w:i w:val="0"/>
          <w:iCs w:val="0"/>
          <w:caps w:val="0"/>
          <w:smallCaps w:val="0"/>
          <w:color w:val="0F4761" w:themeColor="accent1" w:themeTint="FF" w:themeShade="BF"/>
          <w:sz w:val="32"/>
          <w:szCs w:val="32"/>
        </w:rPr>
        <w:t xml:space="preserve">Background </w:t>
      </w:r>
    </w:p>
    <w:p xmlns:wp14="http://schemas.microsoft.com/office/word/2010/wordml" w:rsidP="01F847D4" wp14:paraId="02F8926E" wp14:textId="6186F13B">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With the increasingly severe climate change, the need for new energy sources is growing stronger,</w:t>
      </w:r>
      <w:r w:rsidRPr="01F847D4" w:rsidR="106433C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people are exploring various approaches to address these challenges and promote sustainable social development </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(Li, 2025). A key global challenge lies not only in how to develop and </w:t>
      </w:r>
      <w:r w:rsidRPr="01F847D4" w:rsidR="106433C3">
        <w:rPr>
          <w:rFonts w:ascii="Arial" w:hAnsi="Arial" w:eastAsia="Arial" w:cs="Arial"/>
          <w:b w:val="0"/>
          <w:bCs w:val="0"/>
          <w:i w:val="0"/>
          <w:iCs w:val="0"/>
          <w:caps w:val="0"/>
          <w:smallCaps w:val="0"/>
          <w:color w:val="000000" w:themeColor="text1" w:themeTint="FF" w:themeShade="FF"/>
          <w:sz w:val="24"/>
          <w:szCs w:val="24"/>
        </w:rPr>
        <w:t>utilize</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these new energies, but also in how to effectively reduce Greenhouse Gas (GHG) emissions, particularly the well-known pollutant carbon dioxide (CO2) (Ritchie, </w:t>
      </w:r>
      <w:r w:rsidRPr="01F847D4" w:rsidR="106433C3">
        <w:rPr>
          <w:rFonts w:ascii="Arial" w:hAnsi="Arial" w:eastAsia="Arial" w:cs="Arial"/>
          <w:b w:val="0"/>
          <w:bCs w:val="0"/>
          <w:i w:val="0"/>
          <w:iCs w:val="0"/>
          <w:caps w:val="0"/>
          <w:smallCaps w:val="0"/>
          <w:color w:val="000000" w:themeColor="text1" w:themeTint="FF" w:themeShade="FF"/>
          <w:sz w:val="24"/>
          <w:szCs w:val="24"/>
        </w:rPr>
        <w:t>Rosado</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and Roser, 2020). Based on the research of </w:t>
      </w:r>
      <w:r w:rsidRPr="01F847D4" w:rsidR="106433C3">
        <w:rPr>
          <w:rFonts w:ascii="Arial" w:hAnsi="Arial" w:eastAsia="Arial" w:cs="Arial"/>
          <w:b w:val="0"/>
          <w:bCs w:val="0"/>
          <w:i w:val="0"/>
          <w:iCs w:val="0"/>
          <w:caps w:val="0"/>
          <w:smallCaps w:val="0"/>
          <w:color w:val="000000" w:themeColor="text1" w:themeTint="FF" w:themeShade="FF"/>
          <w:sz w:val="24"/>
          <w:szCs w:val="24"/>
        </w:rPr>
        <w:t>Tyers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et al. (2025), transport was the largest contributor (29%) of GHG in 2023, and 54% came from cars and taxis. </w:t>
      </w:r>
      <w:r w:rsidRPr="01F847D4" w:rsidR="106433C3">
        <w:rPr>
          <w:rFonts w:ascii="Arial" w:hAnsi="Arial" w:eastAsia="Arial" w:cs="Arial"/>
          <w:b w:val="0"/>
          <w:bCs w:val="0"/>
          <w:i w:val="0"/>
          <w:iCs w:val="0"/>
          <w:caps w:val="0"/>
          <w:smallCaps w:val="0"/>
          <w:strike w:val="0"/>
          <w:dstrike w:val="0"/>
          <w:color w:val="000000" w:themeColor="text1" w:themeTint="FF" w:themeShade="FF"/>
          <w:sz w:val="24"/>
          <w:szCs w:val="24"/>
          <w:u w:val="none"/>
        </w:rPr>
        <w:t>Therefore, the widespread adoption and promotion of electric vehicles has become particularly important.</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w:t>
      </w:r>
    </w:p>
    <w:p xmlns:wp14="http://schemas.microsoft.com/office/word/2010/wordml" w:rsidP="01F847D4" wp14:paraId="5E354DA5" wp14:textId="7A8E92E5">
      <w:pPr>
        <w:pStyle w:val="Heading2"/>
        <w:keepNext w:val="1"/>
        <w:keepLines w:val="1"/>
        <w:numPr>
          <w:ilvl w:val="0"/>
          <w:numId w:val="8"/>
        </w:numPr>
        <w:spacing w:before="160" w:after="80"/>
        <w:rPr>
          <w:rFonts w:ascii="Arial" w:hAnsi="Arial" w:eastAsia="Arial" w:cs="Arial"/>
          <w:b w:val="0"/>
          <w:bCs w:val="0"/>
          <w:i w:val="0"/>
          <w:iCs w:val="0"/>
          <w:caps w:val="0"/>
          <w:smallCaps w:val="0"/>
          <w:color w:val="0F4761" w:themeColor="accent1" w:themeTint="FF" w:themeShade="BF"/>
          <w:sz w:val="32"/>
          <w:szCs w:val="32"/>
        </w:rPr>
      </w:pPr>
      <w:r w:rsidRPr="01F847D4" w:rsidR="106433C3">
        <w:rPr>
          <w:rFonts w:ascii="Arial" w:hAnsi="Arial" w:eastAsia="Arial" w:cs="Arial"/>
          <w:b w:val="0"/>
          <w:bCs w:val="0"/>
          <w:i w:val="0"/>
          <w:iCs w:val="0"/>
          <w:caps w:val="0"/>
          <w:smallCaps w:val="0"/>
          <w:color w:val="0F4761" w:themeColor="accent1" w:themeTint="FF" w:themeShade="BF"/>
          <w:sz w:val="32"/>
          <w:szCs w:val="32"/>
        </w:rPr>
        <w:t>Current situation in the EV industry</w:t>
      </w:r>
    </w:p>
    <w:p xmlns:wp14="http://schemas.microsoft.com/office/word/2010/wordml" w:rsidP="01F847D4" wp14:paraId="099D5064" wp14:textId="346E70A2">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Globally, China’s electric vehicle market is not only huge but also expanding rapidly. This growth is thanks to a well-established battery supply chain, continuous technological </w:t>
      </w:r>
      <w:r w:rsidRPr="01F847D4" w:rsidR="106433C3">
        <w:rPr>
          <w:rFonts w:ascii="Arial" w:hAnsi="Arial" w:eastAsia="Arial" w:cs="Arial"/>
          <w:b w:val="0"/>
          <w:bCs w:val="0"/>
          <w:i w:val="0"/>
          <w:iCs w:val="0"/>
          <w:caps w:val="0"/>
          <w:smallCaps w:val="0"/>
          <w:color w:val="000000" w:themeColor="text1" w:themeTint="FF" w:themeShade="FF"/>
          <w:sz w:val="24"/>
          <w:szCs w:val="24"/>
        </w:rPr>
        <w:t>advances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and a widespread, user-friendly charging network. Electric vehicles now account for almost 50% of new car sales in China by June 2024, </w:t>
      </w:r>
      <w:r w:rsidRPr="01F847D4" w:rsidR="106433C3">
        <w:rPr>
          <w:rFonts w:ascii="Arial" w:hAnsi="Arial" w:eastAsia="Arial" w:cs="Arial"/>
          <w:b w:val="0"/>
          <w:bCs w:val="0"/>
          <w:i w:val="0"/>
          <w:iCs w:val="0"/>
          <w:caps w:val="0"/>
          <w:smallCaps w:val="0"/>
          <w:color w:val="000000" w:themeColor="text1" w:themeTint="FF" w:themeShade="FF"/>
          <w:sz w:val="24"/>
          <w:szCs w:val="24"/>
        </w:rPr>
        <w:t>representing</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w:t>
      </w:r>
      <w:r w:rsidRPr="01F847D4" w:rsidR="106433C3">
        <w:rPr>
          <w:rFonts w:ascii="Arial" w:hAnsi="Arial" w:eastAsia="Arial" w:cs="Arial"/>
          <w:b w:val="0"/>
          <w:bCs w:val="0"/>
          <w:i w:val="0"/>
          <w:iCs w:val="0"/>
          <w:caps w:val="0"/>
          <w:smallCaps w:val="0"/>
          <w:color w:val="000000" w:themeColor="text1" w:themeTint="FF" w:themeShade="FF"/>
          <w:sz w:val="24"/>
          <w:szCs w:val="24"/>
        </w:rPr>
        <w:t>roughly two-thirds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of global EV sales volume (IEA, 2025).</w:t>
      </w:r>
    </w:p>
    <w:p xmlns:wp14="http://schemas.microsoft.com/office/word/2010/wordml" w:rsidP="01F847D4" wp14:paraId="51590F78" wp14:textId="6F48B409">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In contrast, while electric vehicle adoption is accelerating in many other markets, growth in the United Kingdom </w:t>
      </w:r>
      <w:r w:rsidRPr="01F847D4" w:rsidR="106433C3">
        <w:rPr>
          <w:rFonts w:ascii="Arial" w:hAnsi="Arial" w:eastAsia="Arial" w:cs="Arial"/>
          <w:b w:val="0"/>
          <w:bCs w:val="0"/>
          <w:i w:val="0"/>
          <w:iCs w:val="0"/>
          <w:caps w:val="0"/>
          <w:smallCaps w:val="0"/>
          <w:color w:val="000000" w:themeColor="text1" w:themeTint="FF" w:themeShade="FF"/>
          <w:sz w:val="24"/>
          <w:szCs w:val="24"/>
        </w:rPr>
        <w:t>remains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w:t>
      </w:r>
      <w:r w:rsidRPr="01F847D4" w:rsidR="106433C3">
        <w:rPr>
          <w:rFonts w:ascii="Arial" w:hAnsi="Arial" w:eastAsia="Arial" w:cs="Arial"/>
          <w:b w:val="0"/>
          <w:bCs w:val="0"/>
          <w:i w:val="0"/>
          <w:iCs w:val="0"/>
          <w:caps w:val="0"/>
          <w:smallCaps w:val="0"/>
          <w:color w:val="000000" w:themeColor="text1" w:themeTint="FF" w:themeShade="FF"/>
          <w:sz w:val="24"/>
          <w:szCs w:val="24"/>
        </w:rPr>
        <w:t>relatively slow</w:t>
      </w:r>
      <w:r w:rsidRPr="01F847D4" w:rsidR="106433C3">
        <w:rPr>
          <w:rFonts w:ascii="Arial" w:hAnsi="Arial" w:eastAsia="Arial" w:cs="Arial"/>
          <w:b w:val="0"/>
          <w:bCs w:val="0"/>
          <w:i w:val="0"/>
          <w:iCs w:val="0"/>
          <w:caps w:val="0"/>
          <w:smallCaps w:val="0"/>
          <w:color w:val="000000" w:themeColor="text1" w:themeTint="FF" w:themeShade="FF"/>
          <w:sz w:val="24"/>
          <w:szCs w:val="24"/>
        </w:rPr>
        <w:t>, with only about 3% BEVs and 8% PHEVs in the UK market at the end of June 2024 (</w:t>
      </w:r>
      <w:r w:rsidRPr="01F847D4" w:rsidR="106433C3">
        <w:rPr>
          <w:rFonts w:ascii="Arial" w:hAnsi="Arial" w:eastAsia="Arial" w:cs="Arial"/>
          <w:b w:val="0"/>
          <w:bCs w:val="0"/>
          <w:i w:val="0"/>
          <w:iCs w:val="0"/>
          <w:caps w:val="0"/>
          <w:smallCaps w:val="0"/>
          <w:color w:val="000000" w:themeColor="text1" w:themeTint="FF" w:themeShade="FF"/>
          <w:sz w:val="24"/>
          <w:szCs w:val="24"/>
        </w:rPr>
        <w:t>Tyers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w:t>
      </w:r>
      <w:r w:rsidRPr="01F847D4" w:rsidR="106433C3">
        <w:rPr>
          <w:rFonts w:ascii="Arial" w:hAnsi="Arial" w:eastAsia="Arial" w:cs="Arial"/>
          <w:b w:val="0"/>
          <w:bCs w:val="0"/>
          <w:i w:val="1"/>
          <w:iCs w:val="1"/>
          <w:caps w:val="0"/>
          <w:smallCaps w:val="0"/>
          <w:color w:val="000000" w:themeColor="text1" w:themeTint="FF" w:themeShade="FF"/>
          <w:sz w:val="24"/>
          <w:szCs w:val="24"/>
        </w:rPr>
        <w:t xml:space="preserve">et al., </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2025). In 2025, the sales of EV target are 28% due to the UK Vehicle Emissions Trading Scheme (IEA, 2025). The UK government has committed to raising the EV adoption rate to 28% by 2025 and has rolled out a range of incentives to boost sales (IEA, 2025). This </w:t>
      </w:r>
      <w:r w:rsidRPr="01F847D4" w:rsidR="106433C3">
        <w:rPr>
          <w:rFonts w:ascii="Arial" w:hAnsi="Arial" w:eastAsia="Arial" w:cs="Arial"/>
          <w:b w:val="0"/>
          <w:bCs w:val="0"/>
          <w:i w:val="0"/>
          <w:iCs w:val="0"/>
          <w:caps w:val="0"/>
          <w:smallCaps w:val="0"/>
          <w:color w:val="000000" w:themeColor="text1" w:themeTint="FF" w:themeShade="FF"/>
          <w:sz w:val="24"/>
          <w:szCs w:val="24"/>
        </w:rPr>
        <w:t>indicates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that a huge the potential EV market is enormous in the UK.</w:t>
      </w:r>
    </w:p>
    <w:p xmlns:wp14="http://schemas.microsoft.com/office/word/2010/wordml" w:rsidP="01F847D4" wp14:paraId="7CAC2278" wp14:textId="30BC3D33">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Besides, as highlighted earlier, the UK’s EV sector faces intense competitive pressure from globally dominant players such as China’s BYD and the United States’ Tesla. </w:t>
      </w:r>
      <w:r w:rsidRPr="01F847D4" w:rsidR="106433C3">
        <w:rPr>
          <w:rFonts w:ascii="Arial" w:hAnsi="Arial" w:eastAsia="Arial" w:cs="Arial"/>
          <w:b w:val="0"/>
          <w:bCs w:val="0"/>
          <w:i w:val="0"/>
          <w:iCs w:val="0"/>
          <w:caps w:val="0"/>
          <w:smallCaps w:val="0"/>
          <w:color w:val="000000" w:themeColor="text1" w:themeTint="FF" w:themeShade="FF"/>
          <w:sz w:val="24"/>
          <w:szCs w:val="24"/>
        </w:rPr>
        <w:t>Almost all</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the EV batteries depend on China’s manufacturers (IEA, 2025)</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At the same time, the </w:t>
      </w:r>
      <w:r w:rsidRPr="01F847D4" w:rsidR="106433C3">
        <w:rPr>
          <w:rFonts w:ascii="Arial" w:hAnsi="Arial" w:eastAsia="Arial" w:cs="Arial"/>
          <w:b w:val="0"/>
          <w:bCs w:val="0"/>
          <w:i w:val="0"/>
          <w:iCs w:val="0"/>
          <w:caps w:val="0"/>
          <w:smallCaps w:val="0"/>
          <w:color w:val="000000" w:themeColor="text1" w:themeTint="FF" w:themeShade="FF"/>
          <w:sz w:val="24"/>
          <w:szCs w:val="24"/>
        </w:rPr>
        <w:t>relatively high</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total cost of ownership—including expenses related to charging equipment and energy—continues to discourage consumers. </w:t>
      </w:r>
    </w:p>
    <w:p xmlns:wp14="http://schemas.microsoft.com/office/word/2010/wordml" w:rsidP="01F847D4" wp14:paraId="33694555" wp14:textId="0993B78D">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Therefore, the UK’s EV industry is facing how to deal with external threats while driving growth in EV adoption.</w:t>
      </w:r>
    </w:p>
    <w:p xmlns:wp14="http://schemas.microsoft.com/office/word/2010/wordml" w:rsidP="01F847D4" wp14:paraId="3DB1D713" wp14:textId="0C04660E">
      <w:pPr>
        <w:pStyle w:val="Heading1"/>
        <w:keepNext w:val="1"/>
        <w:keepLines w:val="1"/>
        <w:spacing w:before="0" w:beforeAutospacing="off" w:after="160" w:afterAutospacing="off" w:line="360" w:lineRule="auto"/>
        <w:ind w:left="0" w:right="0"/>
        <w:jc w:val="left"/>
        <w:rPr>
          <w:rFonts w:ascii="Arial" w:hAnsi="Arial" w:eastAsia="Arial" w:cs="Arial"/>
          <w:b w:val="0"/>
          <w:bCs w:val="0"/>
          <w:i w:val="0"/>
          <w:iCs w:val="0"/>
          <w:caps w:val="0"/>
          <w:smallCaps w:val="0"/>
          <w:color w:val="0F4761" w:themeColor="accent1" w:themeTint="FF" w:themeShade="BF"/>
          <w:sz w:val="40"/>
          <w:szCs w:val="40"/>
        </w:rPr>
      </w:pPr>
      <w:r w:rsidRPr="01F847D4" w:rsidR="106433C3">
        <w:rPr>
          <w:rFonts w:ascii="Arial" w:hAnsi="Arial" w:eastAsia="Arial" w:cs="Arial"/>
          <w:b w:val="0"/>
          <w:bCs w:val="0"/>
          <w:i w:val="0"/>
          <w:iCs w:val="0"/>
          <w:caps w:val="0"/>
          <w:smallCaps w:val="0"/>
          <w:color w:val="0F4761" w:themeColor="accent1" w:themeTint="FF" w:themeShade="BF"/>
          <w:sz w:val="40"/>
          <w:szCs w:val="40"/>
        </w:rPr>
        <w:t>Findings 733</w:t>
      </w:r>
    </w:p>
    <w:p xmlns:wp14="http://schemas.microsoft.com/office/word/2010/wordml" w:rsidP="01F847D4" wp14:paraId="3A9D44E2" wp14:textId="7206E020">
      <w:p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In this part, two main analysis theories are applied to explore the external factors which can influence the UK EV industry.</w:t>
      </w:r>
    </w:p>
    <w:p xmlns:wp14="http://schemas.microsoft.com/office/word/2010/wordml" w:rsidP="01F847D4" wp14:paraId="46D83876" wp14:textId="737F6A7D">
      <w:pPr>
        <w:pStyle w:val="Heading2"/>
        <w:keepNext w:val="1"/>
        <w:keepLines w:val="1"/>
        <w:spacing w:before="160" w:after="80"/>
        <w:rPr>
          <w:rFonts w:ascii="Aptos Display" w:hAnsi="Aptos Display" w:eastAsia="Aptos Display" w:cs="Aptos Display"/>
          <w:b w:val="0"/>
          <w:bCs w:val="0"/>
          <w:i w:val="0"/>
          <w:iCs w:val="0"/>
          <w:caps w:val="0"/>
          <w:smallCaps w:val="0"/>
          <w:color w:val="0F4761" w:themeColor="accent1" w:themeTint="FF" w:themeShade="BF"/>
          <w:sz w:val="32"/>
          <w:szCs w:val="32"/>
        </w:rPr>
      </w:pPr>
      <w:r w:rsidRPr="01F847D4" w:rsidR="106433C3">
        <w:rPr>
          <w:rFonts w:ascii="Aptos Display" w:hAnsi="Aptos Display" w:eastAsia="Aptos Display" w:cs="Aptos Display"/>
          <w:b w:val="0"/>
          <w:bCs w:val="0"/>
          <w:i w:val="0"/>
          <w:iCs w:val="0"/>
          <w:caps w:val="0"/>
          <w:smallCaps w:val="0"/>
          <w:color w:val="0F4761" w:themeColor="accent1" w:themeTint="FF" w:themeShade="BF"/>
          <w:sz w:val="32"/>
          <w:szCs w:val="32"/>
        </w:rPr>
        <w:t>PESTLE theory</w:t>
      </w:r>
    </w:p>
    <w:p xmlns:wp14="http://schemas.microsoft.com/office/word/2010/wordml" w:rsidP="01F847D4" wp14:paraId="62E885E9" wp14:textId="7D195D42">
      <w:p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Firstly, PESTLE is an analysis framework that used to </w:t>
      </w:r>
      <w:r w:rsidRPr="01F847D4" w:rsidR="106433C3">
        <w:rPr>
          <w:rFonts w:ascii="Arial" w:hAnsi="Arial" w:eastAsia="Arial" w:cs="Arial"/>
          <w:b w:val="0"/>
          <w:bCs w:val="0"/>
          <w:i w:val="0"/>
          <w:iCs w:val="0"/>
          <w:caps w:val="0"/>
          <w:smallCaps w:val="0"/>
          <w:color w:val="000000" w:themeColor="text1" w:themeTint="FF" w:themeShade="FF"/>
          <w:sz w:val="24"/>
          <w:szCs w:val="24"/>
        </w:rPr>
        <w:t>identify</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key external macroeconomic factors. There are six categories: </w:t>
      </w:r>
      <w:r w:rsidRPr="01F847D4" w:rsidR="106433C3">
        <w:rPr>
          <w:rFonts w:ascii="Arial" w:hAnsi="Arial" w:eastAsia="Arial" w:cs="Arial"/>
          <w:b w:val="1"/>
          <w:bCs w:val="1"/>
          <w:i w:val="0"/>
          <w:iCs w:val="0"/>
          <w:caps w:val="0"/>
          <w:smallCaps w:val="0"/>
          <w:color w:val="000000" w:themeColor="text1" w:themeTint="FF" w:themeShade="FF"/>
          <w:sz w:val="24"/>
          <w:szCs w:val="24"/>
        </w:rPr>
        <w:t>Political, Economic, Socio-cultural, Technological, Legal and Environmental factors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w:t>
      </w:r>
    </w:p>
    <w:p xmlns:wp14="http://schemas.microsoft.com/office/word/2010/wordml" w:rsidP="01F847D4" wp14:paraId="5B818479" wp14:textId="1D92CDC3">
      <w:pPr>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The following are the explanations of six factors in the EV sector.</w:t>
      </w:r>
    </w:p>
    <w:p xmlns:wp14="http://schemas.microsoft.com/office/word/2010/wordml" w:rsidP="01F847D4" wp14:paraId="2D651590" wp14:textId="43BF46DF">
      <w:pPr>
        <w:pStyle w:val="ListParagraph"/>
        <w:numPr>
          <w:ilvl w:val="0"/>
          <w:numId w:val="9"/>
        </w:num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Style w:val="Heading3Char"/>
          <w:rFonts w:ascii="Aptos" w:hAnsi="Aptos" w:eastAsia="Aptos" w:cs="Aptos"/>
          <w:b w:val="0"/>
          <w:bCs w:val="0"/>
          <w:i w:val="0"/>
          <w:iCs w:val="0"/>
          <w:caps w:val="0"/>
          <w:smallCaps w:val="0"/>
          <w:color w:val="0F4761" w:themeColor="accent1" w:themeTint="FF" w:themeShade="BF"/>
          <w:sz w:val="28"/>
          <w:szCs w:val="28"/>
        </w:rPr>
        <w:t>Political</w:t>
      </w:r>
      <w:r w:rsidRPr="01F847D4" w:rsidR="106433C3">
        <w:rPr>
          <w:rFonts w:ascii="Aptos" w:hAnsi="Aptos" w:eastAsia="Aptos" w:cs="Aptos"/>
          <w:b w:val="0"/>
          <w:bCs w:val="0"/>
          <w:i w:val="0"/>
          <w:iCs w:val="0"/>
          <w:caps w:val="0"/>
          <w:smallCaps w:val="0"/>
          <w:color w:val="0F4761" w:themeColor="accent1" w:themeTint="FF" w:themeShade="BF"/>
          <w:sz w:val="28"/>
          <w:szCs w:val="28"/>
        </w:rPr>
        <w:t xml:space="preserve"> </w:t>
      </w:r>
      <w:r w:rsidRPr="01F847D4" w:rsidR="106433C3">
        <w:rPr>
          <w:rStyle w:val="Heading3Char"/>
          <w:rFonts w:ascii="Aptos" w:hAnsi="Aptos" w:eastAsia="Aptos" w:cs="Aptos"/>
          <w:b w:val="0"/>
          <w:bCs w:val="0"/>
          <w:i w:val="0"/>
          <w:iCs w:val="0"/>
          <w:caps w:val="0"/>
          <w:smallCaps w:val="0"/>
          <w:color w:val="0F4761" w:themeColor="accent1" w:themeTint="FF" w:themeShade="BF"/>
          <w:sz w:val="28"/>
          <w:szCs w:val="28"/>
        </w:rPr>
        <w:t>factors: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w:t>
      </w:r>
    </w:p>
    <w:p xmlns:wp14="http://schemas.microsoft.com/office/word/2010/wordml" w:rsidP="01F847D4" wp14:paraId="0B108AF6" wp14:textId="558A2FE1">
      <w:pPr>
        <w:spacing w:line="360" w:lineRule="auto"/>
        <w:ind w:left="0"/>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It includes “government policy, Political stability, Taxation, Industry regulations and Global trade agreements or restrictions (Marmol </w:t>
      </w:r>
      <w:r w:rsidRPr="01F847D4" w:rsidR="106433C3">
        <w:rPr>
          <w:rFonts w:ascii="Arial" w:hAnsi="Arial" w:eastAsia="Arial" w:cs="Arial"/>
          <w:b w:val="0"/>
          <w:bCs w:val="0"/>
          <w:i w:val="1"/>
          <w:iCs w:val="1"/>
          <w:caps w:val="0"/>
          <w:smallCaps w:val="0"/>
          <w:color w:val="000000" w:themeColor="text1" w:themeTint="FF" w:themeShade="FF"/>
          <w:sz w:val="24"/>
          <w:szCs w:val="24"/>
        </w:rPr>
        <w:t xml:space="preserve">et al., </w:t>
      </w:r>
      <w:r w:rsidRPr="01F847D4" w:rsidR="106433C3">
        <w:rPr>
          <w:rFonts w:ascii="Arial" w:hAnsi="Arial" w:eastAsia="Arial" w:cs="Arial"/>
          <w:b w:val="0"/>
          <w:bCs w:val="0"/>
          <w:i w:val="0"/>
          <w:iCs w:val="0"/>
          <w:caps w:val="0"/>
          <w:smallCaps w:val="0"/>
          <w:color w:val="000000" w:themeColor="text1" w:themeTint="FF" w:themeShade="FF"/>
          <w:sz w:val="24"/>
          <w:szCs w:val="24"/>
        </w:rPr>
        <w:t>2015).</w:t>
      </w:r>
    </w:p>
    <w:p xmlns:wp14="http://schemas.microsoft.com/office/word/2010/wordml" w:rsidP="01F847D4" wp14:paraId="3927FEB3" wp14:textId="0E513D0F">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Since 2020, the Conservative government as well as the Labour government have supported the adoption to EVs through deadlines, incentives, charging infrastructures, and rules for car manufacturers (Tyers </w:t>
      </w:r>
      <w:r w:rsidRPr="01F847D4" w:rsidR="106433C3">
        <w:rPr>
          <w:rFonts w:ascii="Arial" w:hAnsi="Arial" w:eastAsia="Arial" w:cs="Arial"/>
          <w:b w:val="0"/>
          <w:bCs w:val="0"/>
          <w:i w:val="1"/>
          <w:iCs w:val="1"/>
          <w:caps w:val="0"/>
          <w:smallCaps w:val="0"/>
          <w:color w:val="000000" w:themeColor="text1" w:themeTint="FF" w:themeShade="FF"/>
          <w:sz w:val="24"/>
          <w:szCs w:val="24"/>
        </w:rPr>
        <w:t>et al.</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2025). </w:t>
      </w:r>
    </w:p>
    <w:p xmlns:wp14="http://schemas.microsoft.com/office/word/2010/wordml" w:rsidP="01F847D4" wp14:paraId="408069CD" wp14:textId="7DB0567C">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For instance (Tyers </w:t>
      </w:r>
      <w:r w:rsidRPr="01F847D4" w:rsidR="106433C3">
        <w:rPr>
          <w:rFonts w:ascii="Arial" w:hAnsi="Arial" w:eastAsia="Arial" w:cs="Arial"/>
          <w:b w:val="0"/>
          <w:bCs w:val="0"/>
          <w:i w:val="1"/>
          <w:iCs w:val="1"/>
          <w:caps w:val="0"/>
          <w:smallCaps w:val="0"/>
          <w:color w:val="000000" w:themeColor="text1" w:themeTint="FF" w:themeShade="FF"/>
          <w:sz w:val="24"/>
          <w:szCs w:val="24"/>
        </w:rPr>
        <w:t>et al.</w:t>
      </w:r>
      <w:r w:rsidRPr="01F847D4" w:rsidR="106433C3">
        <w:rPr>
          <w:rFonts w:ascii="Arial" w:hAnsi="Arial" w:eastAsia="Arial" w:cs="Arial"/>
          <w:b w:val="0"/>
          <w:bCs w:val="0"/>
          <w:i w:val="0"/>
          <w:iCs w:val="0"/>
          <w:caps w:val="0"/>
          <w:smallCaps w:val="0"/>
          <w:color w:val="000000" w:themeColor="text1" w:themeTint="FF" w:themeShade="FF"/>
          <w:sz w:val="24"/>
          <w:szCs w:val="24"/>
        </w:rPr>
        <w:t>, 2025):</w:t>
      </w:r>
    </w:p>
    <w:p xmlns:wp14="http://schemas.microsoft.com/office/word/2010/wordml" w:rsidP="01F847D4" wp14:paraId="28E78041" wp14:textId="1A812190">
      <w:pPr>
        <w:pStyle w:val="ListParagraph"/>
        <w:numPr>
          <w:ilvl w:val="0"/>
          <w:numId w:val="4"/>
        </w:numPr>
        <w:spacing w:before="0" w:beforeAutospacing="off" w:after="160" w:afterAutospacing="off" w:line="360" w:lineRule="auto"/>
        <w:ind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Set deadlines to phase out most gas and diesel cars.</w:t>
      </w:r>
    </w:p>
    <w:p xmlns:wp14="http://schemas.microsoft.com/office/word/2010/wordml" w:rsidP="01F847D4" wp14:paraId="3AD14538" wp14:textId="369A7417">
      <w:pPr>
        <w:pStyle w:val="ListParagraph"/>
        <w:numPr>
          <w:ilvl w:val="0"/>
          <w:numId w:val="4"/>
        </w:numPr>
        <w:spacing w:before="0" w:beforeAutospacing="off" w:after="160" w:afterAutospacing="off" w:line="360" w:lineRule="auto"/>
        <w:ind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Offered grants and incentives for people to buy electric cars.</w:t>
      </w:r>
    </w:p>
    <w:p xmlns:wp14="http://schemas.microsoft.com/office/word/2010/wordml" w:rsidP="01F847D4" wp14:paraId="322AC300" wp14:textId="532344AC">
      <w:pPr>
        <w:pStyle w:val="ListParagraph"/>
        <w:numPr>
          <w:ilvl w:val="0"/>
          <w:numId w:val="4"/>
        </w:numPr>
        <w:spacing w:before="0" w:beforeAutospacing="off" w:after="160" w:afterAutospacing="off" w:line="360" w:lineRule="auto"/>
        <w:ind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Funded the installation of public charging points.</w:t>
      </w:r>
    </w:p>
    <w:p xmlns:wp14="http://schemas.microsoft.com/office/word/2010/wordml" w:rsidP="01F847D4" wp14:paraId="5AE50D9A" wp14:textId="5E45FF1A">
      <w:pPr>
        <w:pStyle w:val="ListParagraph"/>
        <w:numPr>
          <w:ilvl w:val="0"/>
          <w:numId w:val="4"/>
        </w:numPr>
        <w:spacing w:before="0" w:beforeAutospacing="off" w:after="160" w:afterAutospacing="off" w:line="360" w:lineRule="auto"/>
        <w:ind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Created support plans for electric buses and trucks.</w:t>
      </w:r>
    </w:p>
    <w:p xmlns:wp14="http://schemas.microsoft.com/office/word/2010/wordml" w:rsidP="01F847D4" wp14:paraId="188C6675" wp14:textId="7ECE1F76">
      <w:pPr>
        <w:pStyle w:val="ListParagraph"/>
        <w:numPr>
          <w:ilvl w:val="0"/>
          <w:numId w:val="4"/>
        </w:numPr>
        <w:spacing w:before="0" w:beforeAutospacing="off" w:after="160" w:afterAutospacing="off" w:line="360" w:lineRule="auto"/>
        <w:ind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Introduced a Zero Emission Vehicle (ZEV) mandate, which requires carmakers to sell a rising percentage of electric cars and vans each year.</w:t>
      </w:r>
    </w:p>
    <w:p xmlns:wp14="http://schemas.microsoft.com/office/word/2010/wordml" w:rsidP="01F847D4" wp14:paraId="7FF39623" wp14:textId="42707495">
      <w:pPr>
        <w:spacing w:before="0" w:beforeAutospacing="off" w:after="160" w:afterAutospacing="off" w:line="360" w:lineRule="auto"/>
        <w:ind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All these steps are to promote electric vehicles. </w:t>
      </w:r>
    </w:p>
    <w:p xmlns:wp14="http://schemas.microsoft.com/office/word/2010/wordml" w:rsidP="01F847D4" wp14:paraId="2FC34B90" wp14:textId="1AB5F276">
      <w:pPr>
        <w:spacing w:before="0" w:beforeAutospacing="off" w:after="160" w:afterAutospacing="off" w:line="360" w:lineRule="auto"/>
        <w:ind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EV and PHEV drivers will pay a new pay-per-mile tax from April 2028. It will discourage the potential EV buyers (Mistry, 2025). </w:t>
      </w:r>
    </w:p>
    <w:p xmlns:wp14="http://schemas.microsoft.com/office/word/2010/wordml" w:rsidP="01F847D4" wp14:paraId="30769ED6" wp14:textId="43BEDFAA">
      <w:pPr>
        <w:pStyle w:val="ListParagraph"/>
        <w:numPr>
          <w:ilvl w:val="0"/>
          <w:numId w:val="9"/>
        </w:num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Style w:val="Heading3Char"/>
          <w:rFonts w:ascii="Aptos" w:hAnsi="Aptos" w:eastAsia="Aptos" w:cs="Aptos"/>
          <w:b w:val="0"/>
          <w:bCs w:val="0"/>
          <w:i w:val="0"/>
          <w:iCs w:val="0"/>
          <w:caps w:val="0"/>
          <w:smallCaps w:val="0"/>
          <w:color w:val="0F4761" w:themeColor="accent1" w:themeTint="FF" w:themeShade="BF"/>
          <w:sz w:val="28"/>
          <w:szCs w:val="28"/>
        </w:rPr>
        <w:t>Economic</w:t>
      </w:r>
      <w:r w:rsidRPr="01F847D4" w:rsidR="106433C3">
        <w:rPr>
          <w:rFonts w:ascii="Aptos" w:hAnsi="Aptos" w:eastAsia="Aptos" w:cs="Aptos"/>
          <w:b w:val="0"/>
          <w:bCs w:val="0"/>
          <w:i w:val="0"/>
          <w:iCs w:val="0"/>
          <w:caps w:val="0"/>
          <w:smallCaps w:val="0"/>
          <w:color w:val="0F4761" w:themeColor="accent1" w:themeTint="FF" w:themeShade="BF"/>
          <w:sz w:val="28"/>
          <w:szCs w:val="28"/>
        </w:rPr>
        <w:t xml:space="preserve"> </w:t>
      </w:r>
      <w:r w:rsidRPr="01F847D4" w:rsidR="106433C3">
        <w:rPr>
          <w:rStyle w:val="Heading3Char"/>
          <w:rFonts w:ascii="Aptos" w:hAnsi="Aptos" w:eastAsia="Aptos" w:cs="Aptos"/>
          <w:b w:val="0"/>
          <w:bCs w:val="0"/>
          <w:i w:val="0"/>
          <w:iCs w:val="0"/>
          <w:caps w:val="0"/>
          <w:smallCaps w:val="0"/>
          <w:color w:val="0F4761" w:themeColor="accent1" w:themeTint="FF" w:themeShade="BF"/>
          <w:sz w:val="28"/>
          <w:szCs w:val="28"/>
        </w:rPr>
        <w:t>factors: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w:t>
      </w:r>
    </w:p>
    <w:p xmlns:wp14="http://schemas.microsoft.com/office/word/2010/wordml" w:rsidP="01F847D4" wp14:paraId="78EB0490" wp14:textId="2F2CBFCD">
      <w:pPr>
        <w:spacing w:line="360" w:lineRule="auto"/>
        <w:ind w:left="0"/>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Based on the findings of ONS (2024), since 2022, the United Kingdom and the rest of the world have experienced a significant increase in the cost of living. Hence, 6 of 10 people were scared of spending on non-essential items. Inflation remains at 4.2% in January 2024. Auto trader (cited by Tyers </w:t>
      </w:r>
      <w:r w:rsidRPr="01F847D4" w:rsidR="106433C3">
        <w:rPr>
          <w:rFonts w:ascii="Arial" w:hAnsi="Arial" w:eastAsia="Arial" w:cs="Arial"/>
          <w:b w:val="0"/>
          <w:bCs w:val="0"/>
          <w:i w:val="1"/>
          <w:iCs w:val="1"/>
          <w:caps w:val="0"/>
          <w:smallCaps w:val="0"/>
          <w:color w:val="000000" w:themeColor="text1" w:themeTint="FF" w:themeShade="FF"/>
          <w:sz w:val="24"/>
          <w:szCs w:val="24"/>
        </w:rPr>
        <w:t>et al.</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2025) pointed out that upfront cost is the top barrier for new EV drivers. </w:t>
      </w:r>
    </w:p>
    <w:p xmlns:wp14="http://schemas.microsoft.com/office/word/2010/wordml" w:rsidP="01F847D4" wp14:paraId="3994DA07" wp14:textId="48164EA0">
      <w:pPr>
        <w:pStyle w:val="ListParagraph"/>
        <w:numPr>
          <w:ilvl w:val="0"/>
          <w:numId w:val="9"/>
        </w:num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Style w:val="Heading3Char"/>
          <w:rFonts w:ascii="Aptos" w:hAnsi="Aptos" w:eastAsia="Aptos" w:cs="Aptos"/>
          <w:b w:val="0"/>
          <w:bCs w:val="0"/>
          <w:i w:val="0"/>
          <w:iCs w:val="0"/>
          <w:caps w:val="0"/>
          <w:smallCaps w:val="0"/>
          <w:color w:val="0F4761" w:themeColor="accent1" w:themeTint="FF" w:themeShade="BF"/>
          <w:sz w:val="28"/>
          <w:szCs w:val="28"/>
        </w:rPr>
        <w:t>Socio-cultural</w:t>
      </w:r>
      <w:r w:rsidRPr="01F847D4" w:rsidR="106433C3">
        <w:rPr>
          <w:rFonts w:ascii="Aptos" w:hAnsi="Aptos" w:eastAsia="Aptos" w:cs="Aptos"/>
          <w:b w:val="0"/>
          <w:bCs w:val="0"/>
          <w:i w:val="0"/>
          <w:iCs w:val="0"/>
          <w:caps w:val="0"/>
          <w:smallCaps w:val="0"/>
          <w:color w:val="0F4761" w:themeColor="accent1" w:themeTint="FF" w:themeShade="BF"/>
          <w:sz w:val="28"/>
          <w:szCs w:val="28"/>
        </w:rPr>
        <w:t xml:space="preserve"> </w:t>
      </w:r>
      <w:r w:rsidRPr="01F847D4" w:rsidR="106433C3">
        <w:rPr>
          <w:rStyle w:val="Heading3Char"/>
          <w:rFonts w:ascii="Aptos" w:hAnsi="Aptos" w:eastAsia="Aptos" w:cs="Aptos"/>
          <w:b w:val="0"/>
          <w:bCs w:val="0"/>
          <w:i w:val="0"/>
          <w:iCs w:val="0"/>
          <w:caps w:val="0"/>
          <w:smallCaps w:val="0"/>
          <w:color w:val="0F4761" w:themeColor="accent1" w:themeTint="FF" w:themeShade="BF"/>
          <w:sz w:val="28"/>
          <w:szCs w:val="28"/>
        </w:rPr>
        <w:t>factors</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w:t>
      </w:r>
    </w:p>
    <w:p xmlns:wp14="http://schemas.microsoft.com/office/word/2010/wordml" w:rsidP="01F847D4" wp14:paraId="2B4A0291" wp14:textId="4C1F66F4">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Wilcox (2022) found that younger drivers (aged 25–34) were more likely to consider an electric vehicle than older drivers, but they faced cost issues. While 77% of the younger group would consider an EV for their next car, only 49% of those aged 55–75 said the same, who also considered about charging, cost and range limitations.</w:t>
      </w:r>
    </w:p>
    <w:p xmlns:wp14="http://schemas.microsoft.com/office/word/2010/wordml" w:rsidP="01F847D4" wp14:paraId="5A3B56B3" wp14:textId="7CB59D20">
      <w:pPr>
        <w:pStyle w:val="Heading3"/>
        <w:keepNext w:val="1"/>
        <w:keepLines w:val="1"/>
        <w:numPr>
          <w:ilvl w:val="0"/>
          <w:numId w:val="11"/>
        </w:numPr>
        <w:spacing w:before="160" w:after="80"/>
        <w:rPr>
          <w:rFonts w:ascii="Aptos" w:hAnsi="Aptos" w:eastAsia="Aptos" w:cs="Aptos"/>
          <w:b w:val="0"/>
          <w:bCs w:val="0"/>
          <w:i w:val="0"/>
          <w:iCs w:val="0"/>
          <w:caps w:val="0"/>
          <w:smallCaps w:val="0"/>
          <w:color w:val="0F4761" w:themeColor="accent1" w:themeTint="FF" w:themeShade="BF"/>
          <w:sz w:val="28"/>
          <w:szCs w:val="28"/>
        </w:rPr>
      </w:pPr>
      <w:r w:rsidRPr="01F847D4" w:rsidR="106433C3">
        <w:rPr>
          <w:rFonts w:ascii="Aptos" w:hAnsi="Aptos" w:eastAsia="Aptos" w:cs="Aptos"/>
          <w:b w:val="0"/>
          <w:bCs w:val="0"/>
          <w:i w:val="0"/>
          <w:iCs w:val="0"/>
          <w:caps w:val="0"/>
          <w:smallCaps w:val="0"/>
          <w:color w:val="0F4761" w:themeColor="accent1" w:themeTint="FF" w:themeShade="BF"/>
          <w:sz w:val="28"/>
          <w:szCs w:val="28"/>
        </w:rPr>
        <w:t xml:space="preserve">Technology factors: </w:t>
      </w:r>
    </w:p>
    <w:p xmlns:wp14="http://schemas.microsoft.com/office/word/2010/wordml" w:rsidP="01F847D4" wp14:paraId="745D3105" wp14:textId="0DDEEDC4">
      <w:p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Charging infrastructure in public and workplace plays an important role in supporting electric vehicle (EV) adoption (Zhang, 2025). In 2024, the ack of reliable charging points was an important barrier to potential EV consumers (Tyers et al</w:t>
      </w:r>
      <w:r w:rsidRPr="01F847D4" w:rsidR="106433C3">
        <w:rPr>
          <w:rFonts w:ascii="Arial" w:hAnsi="Arial" w:eastAsia="Arial" w:cs="Arial"/>
          <w:b w:val="0"/>
          <w:bCs w:val="0"/>
          <w:i w:val="1"/>
          <w:iCs w:val="1"/>
          <w:caps w:val="0"/>
          <w:smallCaps w:val="0"/>
          <w:color w:val="000000" w:themeColor="text1" w:themeTint="FF" w:themeShade="FF"/>
          <w:sz w:val="24"/>
          <w:szCs w:val="24"/>
        </w:rPr>
        <w:t>.</w:t>
      </w:r>
      <w:r w:rsidRPr="01F847D4" w:rsidR="106433C3">
        <w:rPr>
          <w:rFonts w:ascii="Arial" w:hAnsi="Arial" w:eastAsia="Arial" w:cs="Arial"/>
          <w:b w:val="0"/>
          <w:bCs w:val="0"/>
          <w:i w:val="0"/>
          <w:iCs w:val="0"/>
          <w:caps w:val="0"/>
          <w:smallCaps w:val="0"/>
          <w:color w:val="000000" w:themeColor="text1" w:themeTint="FF" w:themeShade="FF"/>
          <w:sz w:val="24"/>
          <w:szCs w:val="24"/>
        </w:rPr>
        <w:t>, 2025).</w:t>
      </w:r>
    </w:p>
    <w:p xmlns:wp14="http://schemas.microsoft.com/office/word/2010/wordml" w:rsidP="01F847D4" wp14:paraId="53A55413" wp14:textId="2C1C6A78">
      <w:p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The Lords Environment and Climate Change Committee (cited by Tyers et al., 2024) claimed that up to 40% of households do not have access to off-street parking at home just reliant on public charging. Public charge points have faced serious delays due to the funding programme.</w:t>
      </w:r>
    </w:p>
    <w:p xmlns:wp14="http://schemas.microsoft.com/office/word/2010/wordml" w:rsidP="01F847D4" wp14:paraId="605929D6" wp14:textId="06FD94B5">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The lack of a domestic electric battery sector in the UK poses a significant risk to the sustainable development of the EV industry. The UK’s reliance on imported or third-party suppliers for critical technologies like batteries creates a strategic vulnerability. Geopolitical conflicts could disrupt these supply chains, leaving the domestic industry exposed. For instance, during the covid-19 period, the delivery of EV batteries was often behind (Zhang </w:t>
      </w:r>
      <w:r w:rsidRPr="01F847D4" w:rsidR="106433C3">
        <w:rPr>
          <w:rFonts w:ascii="Arial" w:hAnsi="Arial" w:eastAsia="Arial" w:cs="Arial"/>
          <w:b w:val="0"/>
          <w:bCs w:val="0"/>
          <w:i w:val="1"/>
          <w:iCs w:val="1"/>
          <w:caps w:val="0"/>
          <w:smallCaps w:val="0"/>
          <w:color w:val="000000" w:themeColor="text1" w:themeTint="FF" w:themeShade="FF"/>
          <w:sz w:val="24"/>
          <w:szCs w:val="24"/>
        </w:rPr>
        <w:t>et al.</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2020).</w:t>
      </w:r>
    </w:p>
    <w:p xmlns:wp14="http://schemas.microsoft.com/office/word/2010/wordml" w:rsidP="01F847D4" wp14:paraId="3306DB7F" wp14:textId="42733605">
      <w:pPr>
        <w:pStyle w:val="Heading3"/>
        <w:keepNext w:val="1"/>
        <w:keepLines w:val="1"/>
        <w:numPr>
          <w:ilvl w:val="0"/>
          <w:numId w:val="7"/>
        </w:numPr>
        <w:spacing w:before="160" w:after="80"/>
        <w:rPr>
          <w:rFonts w:ascii="Aptos" w:hAnsi="Aptos" w:eastAsia="Aptos" w:cs="Aptos"/>
          <w:b w:val="0"/>
          <w:bCs w:val="0"/>
          <w:i w:val="0"/>
          <w:iCs w:val="0"/>
          <w:caps w:val="0"/>
          <w:smallCaps w:val="0"/>
          <w:color w:val="0F4761" w:themeColor="accent1" w:themeTint="FF" w:themeShade="BF"/>
          <w:sz w:val="28"/>
          <w:szCs w:val="28"/>
        </w:rPr>
      </w:pPr>
      <w:r w:rsidRPr="01F847D4" w:rsidR="106433C3">
        <w:rPr>
          <w:rFonts w:ascii="Aptos" w:hAnsi="Aptos" w:eastAsia="Aptos" w:cs="Aptos"/>
          <w:b w:val="0"/>
          <w:bCs w:val="0"/>
          <w:i w:val="0"/>
          <w:iCs w:val="0"/>
          <w:caps w:val="0"/>
          <w:smallCaps w:val="0"/>
          <w:color w:val="0F4761" w:themeColor="accent1" w:themeTint="FF" w:themeShade="BF"/>
          <w:sz w:val="28"/>
          <w:szCs w:val="28"/>
        </w:rPr>
        <w:t>Legal factors</w:t>
      </w:r>
    </w:p>
    <w:p xmlns:wp14="http://schemas.microsoft.com/office/word/2010/wordml" w:rsidP="01F847D4" wp14:paraId="504F2E1F" wp14:textId="00764531">
      <w:pPr>
        <w:spacing w:line="360" w:lineRule="auto"/>
        <w:ind w:left="0"/>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Staying updated on the laws and regulations of the country where a company operates — such as labor, trade, or weapons rules — is essential for legal protection and effective operation. A well-informed business can adapt its communication, distribution, and location decisions to comply with local rules and take advantage of opportunities such as tax incentives (Marmol </w:t>
      </w:r>
      <w:r w:rsidRPr="01F847D4" w:rsidR="106433C3">
        <w:rPr>
          <w:rFonts w:ascii="Arial" w:hAnsi="Arial" w:eastAsia="Arial" w:cs="Arial"/>
          <w:b w:val="0"/>
          <w:bCs w:val="0"/>
          <w:i w:val="1"/>
          <w:iCs w:val="1"/>
          <w:caps w:val="0"/>
          <w:smallCaps w:val="0"/>
          <w:color w:val="000000" w:themeColor="text1" w:themeTint="FF" w:themeShade="FF"/>
          <w:sz w:val="24"/>
          <w:szCs w:val="24"/>
        </w:rPr>
        <w:t>et al.,</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 2015)</w:t>
      </w:r>
    </w:p>
    <w:p xmlns:wp14="http://schemas.microsoft.com/office/word/2010/wordml" w:rsidP="01F847D4" wp14:paraId="1C1EE151" wp14:textId="12EE81C3">
      <w:pPr>
        <w:spacing w:before="0" w:beforeAutospacing="off" w:after="16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WTO rules govern EV regulations by targeting discriminatory subsidies and local content rules. In addition to WTO rules, the EU also uses some extra policies, such as the EU Trade Defence Policy as well as the EU Anti-Subsidy Measures (European Commission, 2023). </w:t>
      </w:r>
    </w:p>
    <w:p xmlns:wp14="http://schemas.microsoft.com/office/word/2010/wordml" w:rsidP="01F847D4" wp14:paraId="6C9E3C2B" wp14:textId="4EEDC8AD">
      <w:pPr>
        <w:spacing w:line="360" w:lineRule="auto"/>
        <w:ind w:left="0"/>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For example, the European Commission examined Chinese state support for electric vehicles, subsidies for local production, tax breaks for domestic EVs, and requirements for using local parts, underlining fair competition (European Commission, 2023)</w:t>
      </w:r>
    </w:p>
    <w:p xmlns:wp14="http://schemas.microsoft.com/office/word/2010/wordml" w:rsidP="01F847D4" wp14:paraId="63833B4B" wp14:textId="15138561">
      <w:pPr>
        <w:pStyle w:val="Heading3"/>
        <w:keepNext w:val="1"/>
        <w:keepLines w:val="1"/>
        <w:numPr>
          <w:ilvl w:val="0"/>
          <w:numId w:val="8"/>
        </w:numPr>
        <w:spacing w:before="160" w:after="80"/>
        <w:rPr>
          <w:rFonts w:ascii="Aptos" w:hAnsi="Aptos" w:eastAsia="Aptos" w:cs="Aptos"/>
          <w:b w:val="0"/>
          <w:bCs w:val="0"/>
          <w:i w:val="0"/>
          <w:iCs w:val="0"/>
          <w:caps w:val="0"/>
          <w:smallCaps w:val="0"/>
          <w:color w:val="0F4761" w:themeColor="accent1" w:themeTint="FF" w:themeShade="BF"/>
          <w:sz w:val="28"/>
          <w:szCs w:val="28"/>
        </w:rPr>
      </w:pPr>
      <w:r w:rsidRPr="01F847D4" w:rsidR="106433C3">
        <w:rPr>
          <w:rFonts w:ascii="Aptos" w:hAnsi="Aptos" w:eastAsia="Aptos" w:cs="Aptos"/>
          <w:b w:val="0"/>
          <w:bCs w:val="0"/>
          <w:i w:val="0"/>
          <w:iCs w:val="0"/>
          <w:caps w:val="0"/>
          <w:smallCaps w:val="0"/>
          <w:color w:val="0F4761" w:themeColor="accent1" w:themeTint="FF" w:themeShade="BF"/>
          <w:sz w:val="28"/>
          <w:szCs w:val="28"/>
        </w:rPr>
        <w:t xml:space="preserve">Environmental factors </w:t>
      </w:r>
    </w:p>
    <w:p xmlns:wp14="http://schemas.microsoft.com/office/word/2010/wordml" w:rsidP="01F847D4" wp14:paraId="23C70EE2" wp14:textId="3CBB97E0">
      <w:pPr>
        <w:spacing w:line="360" w:lineRule="auto"/>
        <w:ind w:left="0"/>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A UK government report (2021), “Setting the pace for greener, better transport,” outlines key commitments, including: “End the sale of new petrol and diesel cars and vans from 2030; from 2035, all new cars and vans must be zero emission at the tailpipe.” It gave the vehicle sector a signal that they need to change their products to match current policies and encourage further investment in EV development.</w:t>
      </w:r>
    </w:p>
    <w:p xmlns:wp14="http://schemas.microsoft.com/office/word/2010/wordml" w:rsidP="01F847D4" wp14:paraId="42680F10" wp14:textId="315F9A4E">
      <w:pPr>
        <w:spacing w:line="360" w:lineRule="auto"/>
        <w:ind w:left="0"/>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The adoption of electric vehicles (EVs) could help reduce CO2 emissions and support its net-zero commitments (Tyers et al., 2025). The expansion of the EV market presents both a significant challenge and a substantial opportunity for the vehicle industry (Wellings, Greenwood and Coles, 2021).</w:t>
      </w:r>
    </w:p>
    <w:p xmlns:wp14="http://schemas.microsoft.com/office/word/2010/wordml" w:rsidP="01F847D4" wp14:paraId="26B70637" wp14:textId="3CE35367">
      <w:pPr>
        <w:pStyle w:val="Heading2"/>
        <w:keepNext w:val="1"/>
        <w:keepLines w:val="1"/>
        <w:spacing w:before="160" w:after="80" w:line="360" w:lineRule="auto"/>
        <w:rPr>
          <w:rFonts w:ascii="Arial" w:hAnsi="Arial" w:eastAsia="Arial" w:cs="Arial"/>
          <w:b w:val="0"/>
          <w:bCs w:val="0"/>
          <w:i w:val="0"/>
          <w:iCs w:val="0"/>
          <w:caps w:val="0"/>
          <w:smallCaps w:val="0"/>
          <w:color w:val="0F4761" w:themeColor="accent1" w:themeTint="FF" w:themeShade="BF"/>
          <w:sz w:val="32"/>
          <w:szCs w:val="32"/>
        </w:rPr>
      </w:pPr>
      <w:r w:rsidRPr="01F847D4" w:rsidR="106433C3">
        <w:rPr>
          <w:rFonts w:ascii="Arial" w:hAnsi="Arial" w:eastAsia="Arial" w:cs="Arial"/>
          <w:b w:val="0"/>
          <w:bCs w:val="0"/>
          <w:i w:val="0"/>
          <w:iCs w:val="0"/>
          <w:caps w:val="0"/>
          <w:smallCaps w:val="0"/>
          <w:color w:val="0F4761" w:themeColor="accent1" w:themeTint="FF" w:themeShade="BF"/>
          <w:sz w:val="32"/>
          <w:szCs w:val="32"/>
        </w:rPr>
        <w:t>SWOT theory</w:t>
      </w:r>
    </w:p>
    <w:p xmlns:wp14="http://schemas.microsoft.com/office/word/2010/wordml" w:rsidP="01F847D4" wp14:paraId="2B6E1F8D" wp14:textId="70E04A8F">
      <w:p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Likewise, as identified by CIPD (2019), SWOT is “a management framework and diagnostic tool”. This tool can help to understand the internal and external factors which can “impact upon strategies and influence business decisions”. SWOT</w:t>
      </w:r>
      <w:r w:rsidRPr="01F847D4" w:rsidR="106433C3">
        <w:rPr>
          <w:rFonts w:ascii="Arial" w:hAnsi="Arial" w:eastAsia="Arial" w:cs="Arial"/>
          <w:b w:val="0"/>
          <w:bCs w:val="0"/>
          <w:i w:val="0"/>
          <w:iCs w:val="0"/>
          <w:caps w:val="0"/>
          <w:smallCaps w:val="0"/>
          <w:strike w:val="0"/>
          <w:dstrike w:val="0"/>
          <w:color w:val="000000" w:themeColor="text1" w:themeTint="FF" w:themeShade="FF"/>
          <w:sz w:val="24"/>
          <w:szCs w:val="24"/>
          <w:u w:val="none"/>
        </w:rPr>
        <w:t xml:space="preserve"> stands for strengths, weaknesses, opportunities, and threats. Strengths and weaknesses are internal factors; opportunities, threats are external factors.  In this section only external factors will be explained and illustrated with examples.</w:t>
      </w:r>
    </w:p>
    <w:p xmlns:wp14="http://schemas.microsoft.com/office/word/2010/wordml" w:rsidP="01F847D4" wp14:paraId="10EF1450" wp14:textId="5BE24BF7">
      <w:pPr>
        <w:pStyle w:val="Heading3"/>
        <w:keepNext w:val="1"/>
        <w:keepLines w:val="1"/>
        <w:numPr>
          <w:ilvl w:val="0"/>
          <w:numId w:val="9"/>
        </w:numPr>
        <w:spacing w:before="160" w:after="80"/>
        <w:rPr>
          <w:rFonts w:ascii="Aptos" w:hAnsi="Aptos" w:eastAsia="Aptos" w:cs="Aptos"/>
          <w:b w:val="0"/>
          <w:bCs w:val="0"/>
          <w:i w:val="0"/>
          <w:iCs w:val="0"/>
          <w:caps w:val="0"/>
          <w:smallCaps w:val="0"/>
          <w:color w:val="0F4761" w:themeColor="accent1" w:themeTint="FF" w:themeShade="BF"/>
          <w:sz w:val="28"/>
          <w:szCs w:val="28"/>
        </w:rPr>
      </w:pPr>
      <w:r w:rsidRPr="01F847D4" w:rsidR="106433C3">
        <w:rPr>
          <w:rFonts w:ascii="Aptos" w:hAnsi="Aptos" w:eastAsia="Aptos" w:cs="Aptos"/>
          <w:b w:val="0"/>
          <w:bCs w:val="0"/>
          <w:i w:val="0"/>
          <w:iCs w:val="0"/>
          <w:caps w:val="0"/>
          <w:smallCaps w:val="0"/>
          <w:color w:val="0F4761" w:themeColor="accent1" w:themeTint="FF" w:themeShade="BF"/>
          <w:sz w:val="28"/>
          <w:szCs w:val="28"/>
        </w:rPr>
        <w:t>Opportunities</w:t>
      </w:r>
    </w:p>
    <w:p xmlns:wp14="http://schemas.microsoft.com/office/word/2010/wordml" w:rsidP="01F847D4" wp14:paraId="0314A22F" wp14:textId="7249453F">
      <w:pPr>
        <w:spacing w:before="0" w:beforeAutospacing="off" w:after="20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Based on the PESTLE analysis above, the EV market in the UK presents significant growth potential in the UK as well in the world, compared to the same time in 2024 electric car sales increased 35% in the first quarter of 2025 worldwide (IEA, 2025).</w:t>
      </w:r>
    </w:p>
    <w:p xmlns:wp14="http://schemas.microsoft.com/office/word/2010/wordml" w:rsidP="01F847D4" wp14:paraId="20AD59F8" wp14:textId="4C4E4387">
      <w:pPr>
        <w:spacing w:before="0" w:beforeAutospacing="off" w:after="20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Government policy is generally supportive, with enacted legislation providing clear development direction and direct investment in infrastructure (UK Government, 2021).</w:t>
      </w:r>
    </w:p>
    <w:p xmlns:wp14="http://schemas.microsoft.com/office/word/2010/wordml" w:rsidP="01F847D4" wp14:paraId="15DC7F5C" wp14:textId="2CB14B4E">
      <w:pPr>
        <w:spacing w:before="0" w:beforeAutospacing="off" w:after="20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Growing public environmental awareness is fostering increasingly positive attitudes toward EVs (Wilcox, 2022).</w:t>
      </w:r>
    </w:p>
    <w:p xmlns:wp14="http://schemas.microsoft.com/office/word/2010/wordml" w:rsidP="01F847D4" wp14:paraId="5E1029C5" wp14:textId="2A9AC17F">
      <w:pPr>
        <w:spacing w:before="0" w:beforeAutospacing="off" w:after="20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Furthermore, according to Zhang</w:t>
      </w:r>
      <w:r w:rsidRPr="01F847D4" w:rsidR="106433C3">
        <w:rPr>
          <w:rFonts w:ascii="Arial" w:hAnsi="Arial" w:eastAsia="Arial" w:cs="Arial"/>
          <w:b w:val="0"/>
          <w:bCs w:val="0"/>
          <w:i w:val="1"/>
          <w:iCs w:val="1"/>
          <w:caps w:val="0"/>
          <w:smallCaps w:val="0"/>
          <w:color w:val="000000" w:themeColor="text1" w:themeTint="FF" w:themeShade="FF"/>
          <w:sz w:val="24"/>
          <w:szCs w:val="24"/>
        </w:rPr>
        <w:t xml:space="preserve"> </w:t>
      </w:r>
      <w:r w:rsidRPr="01F847D4" w:rsidR="106433C3">
        <w:rPr>
          <w:rFonts w:ascii="Arial" w:hAnsi="Arial" w:eastAsia="Arial" w:cs="Arial"/>
          <w:b w:val="0"/>
          <w:bCs w:val="0"/>
          <w:i w:val="0"/>
          <w:iCs w:val="0"/>
          <w:caps w:val="0"/>
          <w:smallCaps w:val="0"/>
          <w:color w:val="000000" w:themeColor="text1" w:themeTint="FF" w:themeShade="FF"/>
          <w:sz w:val="24"/>
          <w:szCs w:val="24"/>
        </w:rPr>
        <w:t xml:space="preserve">et al. (2020) electric battery is a crucial component of EV. 40-50% costs are from the electric battery. Currently, the price of an electric battery has fallen over the past decade. It indicated that the cost of EVs decreased and adoption expanded. </w:t>
      </w:r>
    </w:p>
    <w:p xmlns:wp14="http://schemas.microsoft.com/office/word/2010/wordml" w:rsidP="01F847D4" wp14:paraId="454C5366" wp14:textId="1CEF67DF">
      <w:pPr>
        <w:pStyle w:val="Heading3"/>
        <w:keepNext w:val="1"/>
        <w:keepLines w:val="1"/>
        <w:numPr>
          <w:ilvl w:val="0"/>
          <w:numId w:val="10"/>
        </w:numPr>
        <w:spacing w:before="160" w:after="80"/>
        <w:rPr>
          <w:rFonts w:ascii="Aptos" w:hAnsi="Aptos" w:eastAsia="Aptos" w:cs="Aptos"/>
          <w:b w:val="0"/>
          <w:bCs w:val="0"/>
          <w:i w:val="0"/>
          <w:iCs w:val="0"/>
          <w:caps w:val="0"/>
          <w:smallCaps w:val="0"/>
          <w:color w:val="0F4761" w:themeColor="accent1" w:themeTint="FF" w:themeShade="BF"/>
          <w:sz w:val="28"/>
          <w:szCs w:val="28"/>
        </w:rPr>
      </w:pPr>
      <w:r w:rsidRPr="01F847D4" w:rsidR="106433C3">
        <w:rPr>
          <w:rFonts w:ascii="Aptos" w:hAnsi="Aptos" w:eastAsia="Aptos" w:cs="Aptos"/>
          <w:b w:val="0"/>
          <w:bCs w:val="0"/>
          <w:i w:val="0"/>
          <w:iCs w:val="0"/>
          <w:caps w:val="0"/>
          <w:smallCaps w:val="0"/>
          <w:color w:val="0F4761" w:themeColor="accent1" w:themeTint="FF" w:themeShade="BF"/>
          <w:sz w:val="28"/>
          <w:szCs w:val="28"/>
        </w:rPr>
        <w:t>Threat</w:t>
      </w:r>
    </w:p>
    <w:p xmlns:wp14="http://schemas.microsoft.com/office/word/2010/wordml" w:rsidP="01F847D4" wp14:paraId="5E215A35" wp14:textId="1ED75BDD">
      <w:p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Leading international brands, such as China's BYD and the U.S.-based Tesla, represent strong competitive challenges for domestic EV producers. For instance, Tesla’s market entry contributed to the Nissan Leaf losing its former status as the sales leader in both the UK and Europe (Electric Cars, 2022).</w:t>
      </w:r>
    </w:p>
    <w:p xmlns:wp14="http://schemas.microsoft.com/office/word/2010/wordml" w:rsidP="01F847D4" wp14:paraId="1CA0E207" wp14:textId="365A8B22">
      <w:pPr>
        <w:spacing w:before="0" w:beforeAutospacing="off" w:after="200" w:afterAutospacing="off" w:line="360" w:lineRule="auto"/>
        <w:ind w:left="0" w:right="0"/>
        <w:jc w:val="left"/>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Additionally, one new research (Kempston et al</w:t>
      </w:r>
      <w:r w:rsidRPr="01F847D4" w:rsidR="106433C3">
        <w:rPr>
          <w:rFonts w:ascii="Arial" w:hAnsi="Arial" w:eastAsia="Arial" w:cs="Arial"/>
          <w:b w:val="0"/>
          <w:bCs w:val="0"/>
          <w:i w:val="1"/>
          <w:iCs w:val="1"/>
          <w:caps w:val="0"/>
          <w:smallCaps w:val="0"/>
          <w:color w:val="000000" w:themeColor="text1" w:themeTint="FF" w:themeShade="FF"/>
          <w:sz w:val="24"/>
          <w:szCs w:val="24"/>
        </w:rPr>
        <w:t>.</w:t>
      </w:r>
      <w:r w:rsidRPr="01F847D4" w:rsidR="106433C3">
        <w:rPr>
          <w:rFonts w:ascii="Arial" w:hAnsi="Arial" w:eastAsia="Arial" w:cs="Arial"/>
          <w:b w:val="0"/>
          <w:bCs w:val="0"/>
          <w:i w:val="0"/>
          <w:iCs w:val="0"/>
          <w:caps w:val="0"/>
          <w:smallCaps w:val="0"/>
          <w:color w:val="000000" w:themeColor="text1" w:themeTint="FF" w:themeShade="FF"/>
          <w:sz w:val="24"/>
          <w:szCs w:val="24"/>
        </w:rPr>
        <w:t>, 2024) pointed out that the UK risks falling behind in battery technology development, threatening the future of its automotive sector, which lacks a sturdy domestic EV battery industry. The recent collapse of the startup Britishvolt (2023) has highlighted this strategic vulnerability (Bailey and Tomlinson, 2023).</w:t>
      </w:r>
    </w:p>
    <w:p xmlns:wp14="http://schemas.microsoft.com/office/word/2010/wordml" w:rsidP="01F847D4" wp14:paraId="5EAD9AB1" wp14:textId="334BA488">
      <w:p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Similarly, Fedotov (2022) also highlighted that new EV car manufacturers have less chance to enter the UK market, due to short-term, non-profit investment.</w:t>
      </w:r>
    </w:p>
    <w:p xmlns:wp14="http://schemas.microsoft.com/office/word/2010/wordml" w:rsidP="01F847D4" wp14:paraId="22F956EF" wp14:textId="11B99B3C">
      <w:pPr>
        <w:pStyle w:val="Heading1"/>
        <w:keepNext w:val="1"/>
        <w:keepLines w:val="1"/>
        <w:spacing w:before="360" w:after="80"/>
        <w:rPr>
          <w:rFonts w:ascii="Arial" w:hAnsi="Arial" w:eastAsia="Arial" w:cs="Arial"/>
          <w:b w:val="0"/>
          <w:bCs w:val="0"/>
          <w:i w:val="0"/>
          <w:iCs w:val="0"/>
          <w:caps w:val="0"/>
          <w:smallCaps w:val="0"/>
          <w:color w:val="0F4761" w:themeColor="accent1" w:themeTint="FF" w:themeShade="BF"/>
          <w:sz w:val="40"/>
          <w:szCs w:val="40"/>
        </w:rPr>
      </w:pPr>
      <w:r w:rsidRPr="01F847D4" w:rsidR="106433C3">
        <w:rPr>
          <w:rFonts w:ascii="Arial" w:hAnsi="Arial" w:eastAsia="Arial" w:cs="Arial"/>
          <w:b w:val="0"/>
          <w:bCs w:val="0"/>
          <w:i w:val="0"/>
          <w:iCs w:val="0"/>
          <w:caps w:val="0"/>
          <w:smallCaps w:val="0"/>
          <w:color w:val="0F4761" w:themeColor="accent1" w:themeTint="FF" w:themeShade="BF"/>
          <w:sz w:val="40"/>
          <w:szCs w:val="40"/>
        </w:rPr>
        <w:t>Conclusion</w:t>
      </w:r>
    </w:p>
    <w:p xmlns:wp14="http://schemas.microsoft.com/office/word/2010/wordml" w:rsidP="01F847D4" wp14:paraId="1C6177E9" wp14:textId="1CB6B7F1">
      <w:p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In conclusion, applying PESTLE and SWOT frameworks may help decision-makers to have a clear picture of a sector’s opportunities and threats, ensuring that the business progresses in line with sustainable and proper development (Marmol </w:t>
      </w:r>
      <w:r w:rsidRPr="01F847D4" w:rsidR="106433C3">
        <w:rPr>
          <w:rFonts w:ascii="Arial" w:hAnsi="Arial" w:eastAsia="Arial" w:cs="Arial"/>
          <w:b w:val="0"/>
          <w:bCs w:val="0"/>
          <w:i w:val="1"/>
          <w:iCs w:val="1"/>
          <w:caps w:val="0"/>
          <w:smallCaps w:val="0"/>
          <w:color w:val="000000" w:themeColor="text1" w:themeTint="FF" w:themeShade="FF"/>
          <w:sz w:val="24"/>
          <w:szCs w:val="24"/>
        </w:rPr>
        <w:t xml:space="preserve">et al., </w:t>
      </w:r>
      <w:r w:rsidRPr="01F847D4" w:rsidR="106433C3">
        <w:rPr>
          <w:rFonts w:ascii="Arial" w:hAnsi="Arial" w:eastAsia="Arial" w:cs="Arial"/>
          <w:b w:val="0"/>
          <w:bCs w:val="0"/>
          <w:i w:val="0"/>
          <w:iCs w:val="0"/>
          <w:caps w:val="0"/>
          <w:smallCaps w:val="0"/>
          <w:color w:val="000000" w:themeColor="text1" w:themeTint="FF" w:themeShade="FF"/>
          <w:sz w:val="24"/>
          <w:szCs w:val="24"/>
        </w:rPr>
        <w:t>2015). Through identifying these external factors, a few recommendations for UK EV manufacturers are suggested.</w:t>
      </w:r>
    </w:p>
    <w:p xmlns:wp14="http://schemas.microsoft.com/office/word/2010/wordml" w:rsidP="01F847D4" wp14:paraId="2F49A187" wp14:textId="5F3E4B25">
      <w:pPr>
        <w:pStyle w:val="ListParagraph"/>
        <w:numPr>
          <w:ilvl w:val="0"/>
          <w:numId w:val="11"/>
        </w:num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 xml:space="preserve"> Firstly, while actively developing electric batteries, EV companies can also consider collaborating with other companies possessing more mature technologies to reduce costs and gain market share; However, do not relied too much on one supplier. When the whole cost of EV decreases, the adoption of EV will increase (Zhang, 2020).</w:t>
      </w:r>
    </w:p>
    <w:p xmlns:wp14="http://schemas.microsoft.com/office/word/2010/wordml" w:rsidP="01F847D4" wp14:paraId="74E765EF" wp14:textId="1655CACF">
      <w:pPr>
        <w:pStyle w:val="ListParagraph"/>
        <w:numPr>
          <w:ilvl w:val="0"/>
          <w:numId w:val="11"/>
        </w:numPr>
        <w:spacing w:line="360" w:lineRule="auto"/>
        <w:rPr>
          <w:rFonts w:ascii="Arial" w:hAnsi="Arial" w:eastAsia="Arial" w:cs="Arial"/>
          <w:b w:val="0"/>
          <w:bCs w:val="0"/>
          <w:i w:val="0"/>
          <w:iCs w:val="0"/>
          <w:caps w:val="0"/>
          <w:smallCaps w:val="0"/>
          <w:color w:val="000000" w:themeColor="text1" w:themeTint="FF" w:themeShade="FF"/>
          <w:sz w:val="24"/>
          <w:szCs w:val="24"/>
        </w:rPr>
      </w:pPr>
      <w:r w:rsidRPr="01F847D4" w:rsidR="106433C3">
        <w:rPr>
          <w:rFonts w:ascii="Arial" w:hAnsi="Arial" w:eastAsia="Arial" w:cs="Arial"/>
          <w:b w:val="0"/>
          <w:bCs w:val="0"/>
          <w:i w:val="0"/>
          <w:iCs w:val="0"/>
          <w:caps w:val="0"/>
          <w:smallCaps w:val="0"/>
          <w:color w:val="000000" w:themeColor="text1" w:themeTint="FF" w:themeShade="FF"/>
          <w:sz w:val="24"/>
          <w:szCs w:val="24"/>
        </w:rPr>
        <w:t>Secondly, need for further investment on basic infrastructures, such like reliable charging points and rapid-charging points. At the same time, Auto Trader called for “equal VAT treatment for public (20%) and private (5%) charging points”, it is more expensive for people without access to off-street parking (Tyers et al</w:t>
      </w:r>
      <w:r w:rsidRPr="01F847D4" w:rsidR="106433C3">
        <w:rPr>
          <w:rFonts w:ascii="Arial" w:hAnsi="Arial" w:eastAsia="Arial" w:cs="Arial"/>
          <w:b w:val="0"/>
          <w:bCs w:val="0"/>
          <w:i w:val="1"/>
          <w:iCs w:val="1"/>
          <w:caps w:val="0"/>
          <w:smallCaps w:val="0"/>
          <w:color w:val="000000" w:themeColor="text1" w:themeTint="FF" w:themeShade="FF"/>
          <w:sz w:val="24"/>
          <w:szCs w:val="24"/>
        </w:rPr>
        <w:t>.,</w:t>
      </w:r>
      <w:r w:rsidRPr="01F847D4" w:rsidR="106433C3">
        <w:rPr>
          <w:rFonts w:ascii="Arial" w:hAnsi="Arial" w:eastAsia="Arial" w:cs="Arial"/>
          <w:b w:val="0"/>
          <w:bCs w:val="0"/>
          <w:i w:val="0"/>
          <w:iCs w:val="0"/>
          <w:caps w:val="0"/>
          <w:smallCaps w:val="0"/>
          <w:color w:val="000000" w:themeColor="text1" w:themeTint="FF" w:themeShade="FF"/>
          <w:sz w:val="24"/>
          <w:szCs w:val="24"/>
        </w:rPr>
        <w:t>2025).</w:t>
      </w:r>
      <w:r>
        <w:br/>
      </w:r>
      <w:r w:rsidRPr="01F847D4" w:rsidR="106433C3">
        <w:rPr>
          <w:rFonts w:ascii="Arial" w:hAnsi="Arial" w:eastAsia="Arial" w:cs="Arial"/>
          <w:b w:val="0"/>
          <w:bCs w:val="0"/>
          <w:i w:val="0"/>
          <w:iCs w:val="0"/>
          <w:caps w:val="0"/>
          <w:smallCaps w:val="0"/>
          <w:color w:val="000000" w:themeColor="text1" w:themeTint="FF" w:themeShade="FF"/>
          <w:sz w:val="24"/>
          <w:szCs w:val="24"/>
        </w:rPr>
        <w:t>New research (Hogarty, 2025) has shown that half of drivers would adopt to an electric car sooner if the VAT on public charging is the same as home charging.</w:t>
      </w:r>
    </w:p>
    <w:p xmlns:wp14="http://schemas.microsoft.com/office/word/2010/wordml" wp14:paraId="2C078E63" wp14:textId="48C0F87B"/>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1">
    <w:nsid w:val="550c61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b21f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f2f8d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10a5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da4e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62b9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2e1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12dcf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e81d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c9db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f19ec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0E016B"/>
    <w:rsid w:val="01F847D4"/>
    <w:rsid w:val="106433C3"/>
    <w:rsid w:val="7A0E01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B5424"/>
  <w15:chartTrackingRefBased/>
  <w15:docId w15:val="{817A2E45-AF94-48FF-B85A-91FE228F42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1F847D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c4e37f69bee4bd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2025-12-12T02:53:41.3811421Z</dcterms:created>
  <dcterms:modified xsi:type="dcterms:W3CDTF">2025-12-12T03:24:21.7004035Z</dcterms:modified>
  <dc:creator>Xiaoli Shao (2440261)</dc:creator>
  <lastModifiedBy>Xiaoli Shao (2440261)</lastModifiedBy>
</coreProperties>
</file>