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B0AF3" w:rsidRDefault="00CB0AF3" w:rsidP="00CB0AF3">
      <w:pPr>
        <w:pStyle w:val="NormalWeb"/>
        <w:spacing w:before="0" w:beforeAutospacing="0" w:after="0" w:afterAutospacing="0"/>
        <w:ind w:left="-180" w:right="-334"/>
        <w:rPr>
          <w:rFonts w:ascii="Trebuchet MS" w:hAnsi="Trebuchet MS" w:cs="Tahoma"/>
          <w:sz w:val="24"/>
          <w:szCs w:val="24"/>
        </w:rPr>
      </w:pPr>
      <w:r>
        <w:rPr>
          <w:noProof/>
          <w:lang w:eastAsia="en-GB"/>
        </w:rPr>
        <w:drawing>
          <wp:inline distT="0" distB="0" distL="0" distR="0" wp14:anchorId="09E85E6C" wp14:editId="327B0A5C">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rsidR="00CB0AF3" w:rsidRDefault="00CB0AF3" w:rsidP="00CB0AF3">
      <w:pPr>
        <w:pStyle w:val="Heading1"/>
        <w:jc w:val="center"/>
        <w:rPr>
          <w:lang w:val="cy-GB"/>
        </w:rPr>
      </w:pPr>
      <w:r>
        <w:rPr>
          <w:lang w:val="cy-GB"/>
        </w:rPr>
        <w:t>Undergraduate a</w:t>
      </w:r>
      <w:r w:rsidRPr="0065654E">
        <w:rPr>
          <w:lang w:val="cy-GB"/>
        </w:rPr>
        <w:t>ssignment</w:t>
      </w:r>
      <w:r>
        <w:rPr>
          <w:lang w:val="cy-GB"/>
        </w:rPr>
        <w:t xml:space="preserve"> </w:t>
      </w:r>
      <w:r w:rsidRPr="0065654E">
        <w:rPr>
          <w:lang w:val="cy-GB"/>
        </w:rPr>
        <w:t>feedback form</w:t>
      </w:r>
    </w:p>
    <w:p w:rsidR="00CB0AF3" w:rsidRPr="003B0E91" w:rsidRDefault="00CB0AF3" w:rsidP="00CB0AF3">
      <w:pPr>
        <w:jc w:val="center"/>
        <w:rPr>
          <w:rFonts w:ascii="Arial" w:hAnsi="Arial" w:cs="Arial"/>
          <w:b/>
          <w:lang w:val="cy-GB"/>
        </w:rPr>
      </w:pPr>
      <w:r>
        <w:rPr>
          <w:rFonts w:ascii="Arial" w:hAnsi="Arial" w:cs="Arial"/>
          <w:b/>
          <w:lang w:val="cy-GB"/>
        </w:rPr>
        <w:t>(to be completed by marker)</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CB0AF3" w:rsidRPr="0065654E" w:rsidTr="00E95244">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rsidR="00CB0AF3" w:rsidRPr="00990077" w:rsidRDefault="00CB0AF3" w:rsidP="00E95244">
            <w:pPr>
              <w:pStyle w:val="NormalWeb"/>
              <w:spacing w:before="0" w:beforeAutospacing="0" w:after="0" w:afterAutospacing="0"/>
              <w:ind w:right="34"/>
              <w:rPr>
                <w:rFonts w:ascii="Calibri" w:hAnsi="Calibri" w:cs="Tahoma"/>
                <w:i/>
                <w:sz w:val="22"/>
                <w:szCs w:val="24"/>
              </w:rPr>
            </w:pPr>
            <w:r w:rsidRPr="00990077">
              <w:rPr>
                <w:rFonts w:ascii="Calibri" w:hAnsi="Calibri" w:cs="Tahoma"/>
                <w:b/>
                <w:i/>
                <w:sz w:val="22"/>
                <w:szCs w:val="24"/>
              </w:rPr>
              <w:t>Student Name:</w:t>
            </w:r>
            <w:r w:rsidRPr="00990077">
              <w:rPr>
                <w:rFonts w:ascii="Calibri" w:hAnsi="Calibri" w:cs="Tahoma"/>
                <w:i/>
                <w:sz w:val="22"/>
                <w:szCs w:val="24"/>
              </w:rPr>
              <w:t xml:space="preserve"> Jordan Edwards</w:t>
            </w:r>
          </w:p>
          <w:p w:rsidR="00CB0AF3" w:rsidRPr="0065654E" w:rsidRDefault="00CB0AF3" w:rsidP="00E95244">
            <w:pPr>
              <w:pStyle w:val="NormalWeb"/>
              <w:spacing w:before="0" w:beforeAutospacing="0" w:after="0" w:afterAutospacing="0"/>
              <w:ind w:right="34"/>
              <w:rPr>
                <w:rFonts w:ascii="Calibri" w:hAnsi="Calibri" w:cs="Tahoma"/>
                <w:i/>
                <w:sz w:val="24"/>
                <w:szCs w:val="24"/>
              </w:rPr>
            </w:pPr>
          </w:p>
        </w:tc>
      </w:tr>
      <w:tr w:rsidR="00CB0AF3" w:rsidRPr="0065654E" w:rsidTr="00E95244">
        <w:trPr>
          <w:trHeight w:val="849"/>
        </w:trPr>
        <w:tc>
          <w:tcPr>
            <w:tcW w:w="4788" w:type="dxa"/>
            <w:tcBorders>
              <w:top w:val="single" w:sz="4" w:space="0" w:color="auto"/>
              <w:left w:val="single" w:sz="4" w:space="0" w:color="auto"/>
              <w:bottom w:val="single" w:sz="4" w:space="0" w:color="auto"/>
              <w:right w:val="single" w:sz="4" w:space="0" w:color="auto"/>
            </w:tcBorders>
            <w:vAlign w:val="center"/>
          </w:tcPr>
          <w:p w:rsidR="00CB0AF3" w:rsidRPr="00990077" w:rsidRDefault="00CB0AF3" w:rsidP="00E95244">
            <w:pPr>
              <w:pStyle w:val="Heading1"/>
              <w:spacing w:before="150" w:after="150" w:line="600" w:lineRule="atLeast"/>
              <w:rPr>
                <w:rFonts w:ascii="Verdana" w:hAnsi="Verdana"/>
                <w:color w:val="217A94"/>
                <w:sz w:val="28"/>
              </w:rPr>
            </w:pPr>
            <w:r w:rsidRPr="00990077">
              <w:rPr>
                <w:rFonts w:ascii="Calibri" w:hAnsi="Calibri" w:cs="Tahoma"/>
                <w:i/>
                <w:sz w:val="22"/>
                <w:szCs w:val="24"/>
              </w:rPr>
              <w:t xml:space="preserve">Module title: </w:t>
            </w:r>
            <w:r>
              <w:rPr>
                <w:rFonts w:ascii="Calibri" w:hAnsi="Calibri" w:cs="Tahoma"/>
                <w:b w:val="0"/>
                <w:bCs w:val="0"/>
                <w:i/>
                <w:color w:val="000000"/>
                <w:kern w:val="0"/>
                <w:sz w:val="22"/>
                <w:szCs w:val="24"/>
              </w:rPr>
              <w:t>Armies and Navies: Studies in Ancient Warfare (CLAH6003)</w:t>
            </w:r>
          </w:p>
          <w:p w:rsidR="00CB0AF3" w:rsidRPr="0065654E" w:rsidRDefault="00CB0AF3" w:rsidP="00E95244">
            <w:pPr>
              <w:pStyle w:val="NormalWeb"/>
              <w:spacing w:before="0" w:beforeAutospacing="0" w:after="0" w:afterAutospacing="0"/>
              <w:ind w:right="34"/>
              <w:rPr>
                <w:rFonts w:ascii="Calibri" w:hAnsi="Calibri" w:cs="Tahoma"/>
                <w:i/>
                <w:sz w:val="24"/>
                <w:szCs w:val="24"/>
              </w:rPr>
            </w:pPr>
          </w:p>
        </w:tc>
        <w:tc>
          <w:tcPr>
            <w:tcW w:w="3967" w:type="dxa"/>
            <w:gridSpan w:val="2"/>
            <w:tcBorders>
              <w:top w:val="single" w:sz="4" w:space="0" w:color="auto"/>
              <w:left w:val="single" w:sz="4" w:space="0" w:color="auto"/>
              <w:bottom w:val="single" w:sz="4" w:space="0" w:color="auto"/>
              <w:right w:val="single" w:sz="4" w:space="0" w:color="auto"/>
            </w:tcBorders>
          </w:tcPr>
          <w:p w:rsidR="00CB0AF3" w:rsidRDefault="00CB0AF3" w:rsidP="00E95244">
            <w:pPr>
              <w:pStyle w:val="NormalWeb"/>
              <w:spacing w:before="0" w:beforeAutospacing="0" w:after="0" w:afterAutospacing="0"/>
              <w:ind w:right="34"/>
              <w:rPr>
                <w:rFonts w:ascii="Calibri" w:hAnsi="Calibri" w:cs="Tahoma"/>
                <w:b/>
                <w:i/>
                <w:sz w:val="22"/>
                <w:szCs w:val="24"/>
              </w:rPr>
            </w:pPr>
          </w:p>
          <w:p w:rsidR="00CB0AF3" w:rsidRDefault="00CB0AF3" w:rsidP="00E95244">
            <w:pPr>
              <w:pStyle w:val="NormalWeb"/>
              <w:spacing w:before="0" w:beforeAutospacing="0" w:after="0" w:afterAutospacing="0"/>
              <w:ind w:right="34"/>
              <w:rPr>
                <w:rFonts w:ascii="Calibri" w:hAnsi="Calibri" w:cs="Tahoma"/>
                <w:b/>
                <w:i/>
                <w:sz w:val="22"/>
                <w:szCs w:val="24"/>
              </w:rPr>
            </w:pPr>
          </w:p>
          <w:p w:rsidR="00CB0AF3" w:rsidRPr="00990077" w:rsidRDefault="00CB0AF3" w:rsidP="00E95244">
            <w:pPr>
              <w:pStyle w:val="NormalWeb"/>
              <w:spacing w:before="0" w:beforeAutospacing="0" w:after="0" w:afterAutospacing="0"/>
              <w:ind w:right="34"/>
              <w:rPr>
                <w:rFonts w:ascii="Calibri" w:hAnsi="Calibri" w:cs="Tahoma"/>
                <w:i/>
                <w:sz w:val="24"/>
                <w:szCs w:val="24"/>
              </w:rPr>
            </w:pPr>
            <w:r w:rsidRPr="00990077">
              <w:rPr>
                <w:rFonts w:ascii="Calibri" w:hAnsi="Calibri" w:cs="Tahoma"/>
                <w:b/>
                <w:i/>
                <w:sz w:val="22"/>
                <w:szCs w:val="24"/>
              </w:rPr>
              <w:t>Student number:</w:t>
            </w:r>
            <w:r>
              <w:rPr>
                <w:rFonts w:ascii="Calibri" w:hAnsi="Calibri" w:cs="Tahoma"/>
                <w:b/>
                <w:i/>
                <w:sz w:val="22"/>
                <w:szCs w:val="24"/>
              </w:rPr>
              <w:t xml:space="preserve"> </w:t>
            </w:r>
            <w:r>
              <w:rPr>
                <w:rFonts w:ascii="Calibri" w:hAnsi="Calibri" w:cs="Tahoma"/>
                <w:i/>
                <w:sz w:val="22"/>
                <w:szCs w:val="24"/>
              </w:rPr>
              <w:t>1502326</w:t>
            </w:r>
          </w:p>
        </w:tc>
      </w:tr>
      <w:tr w:rsidR="00CB0AF3" w:rsidRPr="0065654E" w:rsidTr="00E95244">
        <w:trPr>
          <w:trHeight w:val="3972"/>
        </w:trPr>
        <w:tc>
          <w:tcPr>
            <w:tcW w:w="8755" w:type="dxa"/>
            <w:gridSpan w:val="3"/>
            <w:tcBorders>
              <w:top w:val="single" w:sz="4" w:space="0" w:color="auto"/>
              <w:left w:val="single" w:sz="4" w:space="0" w:color="auto"/>
              <w:bottom w:val="single" w:sz="4" w:space="0" w:color="auto"/>
              <w:right w:val="single" w:sz="4" w:space="0" w:color="auto"/>
            </w:tcBorders>
          </w:tcPr>
          <w:p w:rsidR="00CB0AF3" w:rsidRPr="0065654E" w:rsidRDefault="00CB0AF3" w:rsidP="00E95244">
            <w:pPr>
              <w:pStyle w:val="NormalWeb"/>
              <w:spacing w:before="0" w:beforeAutospacing="0" w:after="0" w:afterAutospacing="0"/>
              <w:rPr>
                <w:rFonts w:ascii="Calibri" w:hAnsi="Calibri" w:cs="Tahoma"/>
                <w:i/>
                <w:sz w:val="24"/>
                <w:szCs w:val="24"/>
              </w:rPr>
            </w:pPr>
            <w:r w:rsidRPr="0065654E">
              <w:rPr>
                <w:rFonts w:ascii="Calibri" w:hAnsi="Calibri" w:cs="Tahoma"/>
                <w:i/>
                <w:sz w:val="24"/>
                <w:szCs w:val="24"/>
              </w:rPr>
              <w:t>For completion by marker:</w:t>
            </w:r>
          </w:p>
          <w:p w:rsidR="00CB0AF3" w:rsidRDefault="00CB0AF3" w:rsidP="00E95244">
            <w:pPr>
              <w:pStyle w:val="NormalWeb"/>
              <w:rPr>
                <w:rFonts w:ascii="Calibri" w:hAnsi="Calibri" w:cs="Tahoma"/>
                <w:i/>
                <w:sz w:val="24"/>
                <w:szCs w:val="24"/>
              </w:rPr>
            </w:pPr>
            <w:r w:rsidRPr="0065654E">
              <w:rPr>
                <w:rFonts w:ascii="Calibri" w:hAnsi="Calibri" w:cs="Tahoma"/>
                <w:i/>
                <w:sz w:val="24"/>
                <w:szCs w:val="24"/>
              </w:rPr>
              <w:t>Comments:</w:t>
            </w:r>
          </w:p>
          <w:p w:rsidR="00CB0AF3" w:rsidRDefault="00CB0AF3" w:rsidP="00E95244">
            <w:pPr>
              <w:pStyle w:val="NormalWeb"/>
              <w:rPr>
                <w:rFonts w:ascii="Calibri" w:hAnsi="Calibri" w:cs="Tahoma"/>
                <w:i/>
                <w:sz w:val="24"/>
                <w:szCs w:val="24"/>
              </w:rPr>
            </w:pPr>
          </w:p>
          <w:p w:rsidR="00CB0AF3" w:rsidRDefault="00CB0AF3" w:rsidP="00E95244">
            <w:pPr>
              <w:pStyle w:val="NormalWeb"/>
              <w:rPr>
                <w:rFonts w:ascii="Calibri" w:hAnsi="Calibri" w:cs="Tahoma"/>
                <w:i/>
                <w:sz w:val="24"/>
                <w:szCs w:val="24"/>
              </w:rPr>
            </w:pPr>
          </w:p>
          <w:p w:rsidR="00CB0AF3" w:rsidRDefault="00CB0AF3" w:rsidP="00E95244">
            <w:pPr>
              <w:pStyle w:val="NormalWeb"/>
              <w:rPr>
                <w:rFonts w:ascii="Calibri" w:hAnsi="Calibri" w:cs="Tahoma"/>
                <w:i/>
                <w:sz w:val="24"/>
                <w:szCs w:val="24"/>
              </w:rPr>
            </w:pPr>
          </w:p>
          <w:p w:rsidR="00CB0AF3" w:rsidRDefault="00CB0AF3" w:rsidP="00E95244">
            <w:pPr>
              <w:pStyle w:val="NormalWeb"/>
              <w:rPr>
                <w:rFonts w:ascii="Calibri" w:hAnsi="Calibri" w:cs="Tahoma"/>
                <w:i/>
                <w:sz w:val="24"/>
                <w:szCs w:val="24"/>
              </w:rPr>
            </w:pPr>
          </w:p>
          <w:p w:rsidR="00CB0AF3" w:rsidRDefault="00CB0AF3" w:rsidP="00E95244">
            <w:pPr>
              <w:pStyle w:val="NormalWeb"/>
              <w:rPr>
                <w:rFonts w:ascii="Calibri" w:hAnsi="Calibri" w:cs="Tahoma"/>
                <w:i/>
                <w:sz w:val="24"/>
                <w:szCs w:val="24"/>
              </w:rPr>
            </w:pPr>
          </w:p>
          <w:p w:rsidR="00CB0AF3" w:rsidRDefault="00CB0AF3" w:rsidP="00E95244">
            <w:pPr>
              <w:pStyle w:val="NormalWeb"/>
              <w:rPr>
                <w:rFonts w:ascii="Calibri" w:hAnsi="Calibri" w:cs="Tahoma"/>
                <w:i/>
                <w:sz w:val="24"/>
                <w:szCs w:val="24"/>
              </w:rPr>
            </w:pPr>
          </w:p>
          <w:p w:rsidR="00CB0AF3" w:rsidRDefault="00CB0AF3" w:rsidP="00E95244">
            <w:pPr>
              <w:pStyle w:val="NormalWeb"/>
              <w:rPr>
                <w:rFonts w:ascii="Calibri" w:hAnsi="Calibri" w:cs="Tahoma"/>
                <w:i/>
                <w:sz w:val="24"/>
                <w:szCs w:val="24"/>
              </w:rPr>
            </w:pPr>
          </w:p>
          <w:p w:rsidR="00CB0AF3" w:rsidRDefault="00CB0AF3" w:rsidP="00E95244">
            <w:pPr>
              <w:pStyle w:val="NormalWeb"/>
              <w:rPr>
                <w:rFonts w:ascii="Calibri" w:hAnsi="Calibri" w:cs="Tahoma"/>
                <w:i/>
                <w:sz w:val="24"/>
                <w:szCs w:val="24"/>
              </w:rPr>
            </w:pPr>
          </w:p>
          <w:p w:rsidR="00CB0AF3" w:rsidRDefault="00CB0AF3" w:rsidP="00E95244">
            <w:pPr>
              <w:pStyle w:val="NormalWeb"/>
              <w:rPr>
                <w:rFonts w:ascii="Calibri" w:hAnsi="Calibri" w:cs="Tahoma"/>
                <w:i/>
                <w:sz w:val="24"/>
                <w:szCs w:val="24"/>
              </w:rPr>
            </w:pPr>
          </w:p>
          <w:p w:rsidR="00CB0AF3" w:rsidRDefault="00CB0AF3" w:rsidP="00E95244">
            <w:pPr>
              <w:pStyle w:val="NormalWeb"/>
              <w:rPr>
                <w:rFonts w:ascii="Calibri" w:hAnsi="Calibri" w:cs="Tahoma"/>
                <w:i/>
                <w:sz w:val="24"/>
                <w:szCs w:val="24"/>
              </w:rPr>
            </w:pPr>
          </w:p>
          <w:p w:rsidR="00CB0AF3" w:rsidRPr="0065654E" w:rsidRDefault="00CB0AF3" w:rsidP="00E95244">
            <w:pPr>
              <w:pStyle w:val="NormalWeb"/>
              <w:rPr>
                <w:rFonts w:ascii="Calibri" w:hAnsi="Calibri" w:cs="Tahoma"/>
                <w:i/>
                <w:sz w:val="24"/>
                <w:szCs w:val="24"/>
              </w:rPr>
            </w:pPr>
          </w:p>
        </w:tc>
      </w:tr>
      <w:tr w:rsidR="00CB0AF3" w:rsidRPr="0065654E" w:rsidTr="00E95244">
        <w:trPr>
          <w:trHeight w:val="492"/>
        </w:trPr>
        <w:tc>
          <w:tcPr>
            <w:tcW w:w="6768" w:type="dxa"/>
            <w:gridSpan w:val="2"/>
            <w:tcBorders>
              <w:top w:val="single" w:sz="4" w:space="0" w:color="auto"/>
            </w:tcBorders>
            <w:vAlign w:val="center"/>
          </w:tcPr>
          <w:p w:rsidR="00CB0AF3" w:rsidRPr="0065654E" w:rsidRDefault="00CB0AF3" w:rsidP="00E95244">
            <w:pPr>
              <w:pStyle w:val="NormalWeb"/>
              <w:ind w:left="142" w:right="34"/>
              <w:rPr>
                <w:rFonts w:ascii="Calibri" w:hAnsi="Calibri" w:cs="Tahoma"/>
                <w:i/>
                <w:sz w:val="24"/>
                <w:szCs w:val="24"/>
              </w:rPr>
            </w:pPr>
            <w:r w:rsidRPr="0065654E">
              <w:rPr>
                <w:rFonts w:ascii="Calibri" w:hAnsi="Calibri" w:cs="Tahoma"/>
                <w:i/>
                <w:sz w:val="24"/>
                <w:szCs w:val="24"/>
              </w:rPr>
              <w:t>Marker</w:t>
            </w:r>
            <w:r>
              <w:rPr>
                <w:rFonts w:ascii="Calibri" w:hAnsi="Calibri" w:cs="Tahoma"/>
                <w:i/>
                <w:sz w:val="24"/>
                <w:szCs w:val="24"/>
              </w:rPr>
              <w:t xml:space="preserve">’s </w:t>
            </w:r>
            <w:r w:rsidRPr="0065654E">
              <w:rPr>
                <w:rFonts w:ascii="Calibri" w:hAnsi="Calibri" w:cs="Tahoma"/>
                <w:i/>
                <w:sz w:val="24"/>
                <w:szCs w:val="24"/>
              </w:rPr>
              <w:t>signature:</w:t>
            </w:r>
          </w:p>
        </w:tc>
        <w:tc>
          <w:tcPr>
            <w:tcW w:w="1987" w:type="dxa"/>
            <w:tcBorders>
              <w:top w:val="single" w:sz="4" w:space="0" w:color="auto"/>
            </w:tcBorders>
            <w:vAlign w:val="center"/>
          </w:tcPr>
          <w:p w:rsidR="00CB0AF3" w:rsidRPr="0065654E" w:rsidRDefault="00CB0AF3" w:rsidP="00E95244">
            <w:pPr>
              <w:pStyle w:val="NormalWeb"/>
              <w:spacing w:after="0"/>
              <w:ind w:left="142" w:right="34"/>
              <w:rPr>
                <w:rFonts w:ascii="Calibri" w:hAnsi="Calibri" w:cs="Tahoma"/>
                <w:i/>
                <w:sz w:val="24"/>
                <w:szCs w:val="24"/>
              </w:rPr>
            </w:pPr>
            <w:r>
              <w:rPr>
                <w:rFonts w:ascii="Calibri" w:hAnsi="Calibri" w:cs="Tahoma"/>
                <w:i/>
                <w:sz w:val="24"/>
                <w:szCs w:val="24"/>
              </w:rPr>
              <w:t>D</w:t>
            </w:r>
            <w:r w:rsidRPr="0065654E">
              <w:rPr>
                <w:rFonts w:ascii="Calibri" w:hAnsi="Calibri" w:cs="Tahoma"/>
                <w:i/>
                <w:sz w:val="24"/>
                <w:szCs w:val="24"/>
              </w:rPr>
              <w:t>ate</w:t>
            </w:r>
            <w:r>
              <w:rPr>
                <w:rFonts w:ascii="Calibri" w:hAnsi="Calibri" w:cs="Tahoma"/>
                <w:i/>
                <w:sz w:val="24"/>
                <w:szCs w:val="24"/>
              </w:rPr>
              <w:t>:</w:t>
            </w:r>
          </w:p>
        </w:tc>
      </w:tr>
      <w:tr w:rsidR="00CB0AF3" w:rsidRPr="0065654E" w:rsidTr="00E95244">
        <w:tc>
          <w:tcPr>
            <w:tcW w:w="8755" w:type="dxa"/>
            <w:gridSpan w:val="3"/>
            <w:vAlign w:val="center"/>
          </w:tcPr>
          <w:p w:rsidR="00CB0AF3" w:rsidRDefault="00CB0AF3" w:rsidP="00E95244">
            <w:pPr>
              <w:pStyle w:val="NormalWeb"/>
              <w:spacing w:before="0" w:beforeAutospacing="0" w:after="0" w:afterAutospacing="0"/>
              <w:ind w:left="142" w:right="34"/>
              <w:rPr>
                <w:rFonts w:ascii="Calibri" w:hAnsi="Calibri" w:cs="Tahoma"/>
                <w:i/>
                <w:sz w:val="24"/>
                <w:szCs w:val="24"/>
              </w:rPr>
            </w:pPr>
            <w:r w:rsidRPr="0065654E">
              <w:rPr>
                <w:rFonts w:ascii="Calibri" w:hAnsi="Calibri" w:cs="Tahoma"/>
                <w:i/>
                <w:sz w:val="24"/>
                <w:szCs w:val="24"/>
              </w:rPr>
              <w:t xml:space="preserve">Provisional mark: </w:t>
            </w:r>
          </w:p>
          <w:p w:rsidR="00CB0AF3" w:rsidRPr="0065654E" w:rsidRDefault="00CB0AF3" w:rsidP="00E95244">
            <w:pPr>
              <w:pStyle w:val="NormalWeb"/>
              <w:spacing w:before="0" w:beforeAutospacing="0" w:after="0" w:afterAutospacing="0"/>
              <w:ind w:left="142" w:right="34"/>
              <w:rPr>
                <w:rFonts w:ascii="Calibri" w:hAnsi="Calibri" w:cs="Tahoma"/>
                <w:i/>
                <w:sz w:val="24"/>
                <w:szCs w:val="24"/>
              </w:rPr>
            </w:pPr>
            <w:r w:rsidRPr="0065654E">
              <w:rPr>
                <w:rFonts w:ascii="Calibri" w:hAnsi="Calibri" w:cs="Tahoma"/>
                <w:b/>
                <w:i/>
                <w:sz w:val="24"/>
                <w:szCs w:val="24"/>
              </w:rPr>
              <w:t>NB.</w:t>
            </w:r>
            <w:r w:rsidRPr="0065654E">
              <w:rPr>
                <w:rFonts w:ascii="Calibri" w:hAnsi="Calibri" w:cs="Tahoma"/>
                <w:i/>
                <w:sz w:val="24"/>
                <w:szCs w:val="24"/>
              </w:rPr>
              <w:t xml:space="preserve">  All marks are provisional until confirmed by the </w:t>
            </w:r>
            <w:r>
              <w:rPr>
                <w:rFonts w:ascii="Calibri" w:hAnsi="Calibri" w:cs="Tahoma"/>
                <w:i/>
                <w:sz w:val="24"/>
                <w:szCs w:val="24"/>
              </w:rPr>
              <w:t xml:space="preserve">final </w:t>
            </w:r>
            <w:r w:rsidRPr="0065654E">
              <w:rPr>
                <w:rFonts w:ascii="Calibri" w:hAnsi="Calibri" w:cs="Tahoma"/>
                <w:i/>
                <w:sz w:val="24"/>
                <w:szCs w:val="24"/>
              </w:rPr>
              <w:t>exam</w:t>
            </w:r>
            <w:r>
              <w:rPr>
                <w:rFonts w:ascii="Calibri" w:hAnsi="Calibri" w:cs="Tahoma"/>
                <w:i/>
                <w:sz w:val="24"/>
                <w:szCs w:val="24"/>
              </w:rPr>
              <w:t>ination</w:t>
            </w:r>
            <w:r w:rsidRPr="0065654E">
              <w:rPr>
                <w:rFonts w:ascii="Calibri" w:hAnsi="Calibri" w:cs="Tahoma"/>
                <w:i/>
                <w:sz w:val="24"/>
                <w:szCs w:val="24"/>
              </w:rPr>
              <w:t xml:space="preserve"> board. </w:t>
            </w:r>
          </w:p>
        </w:tc>
      </w:tr>
    </w:tbl>
    <w:p w:rsidR="001D1A9E" w:rsidRDefault="001D1A9E" w:rsidP="007F4DDE">
      <w:pPr>
        <w:spacing w:line="480" w:lineRule="auto"/>
        <w:jc w:val="center"/>
        <w:rPr>
          <w:sz w:val="24"/>
          <w:u w:val="single"/>
        </w:rPr>
      </w:pPr>
      <w:r>
        <w:rPr>
          <w:sz w:val="24"/>
          <w:u w:val="single"/>
        </w:rPr>
        <w:lastRenderedPageBreak/>
        <w:t xml:space="preserve">Article Reply - </w:t>
      </w:r>
      <w:r w:rsidRPr="001D1A9E">
        <w:rPr>
          <w:sz w:val="24"/>
          <w:u w:val="single"/>
        </w:rPr>
        <w:t>Hunter, J. H. 2005. 'Pericles' Cavalry Strategy', </w:t>
      </w:r>
      <w:proofErr w:type="spellStart"/>
      <w:r w:rsidRPr="001D1A9E">
        <w:rPr>
          <w:i/>
          <w:iCs/>
          <w:sz w:val="24"/>
          <w:u w:val="single"/>
        </w:rPr>
        <w:t>Quaderni</w:t>
      </w:r>
      <w:proofErr w:type="spellEnd"/>
      <w:r w:rsidRPr="001D1A9E">
        <w:rPr>
          <w:i/>
          <w:iCs/>
          <w:sz w:val="24"/>
          <w:u w:val="single"/>
        </w:rPr>
        <w:t xml:space="preserve"> </w:t>
      </w:r>
      <w:proofErr w:type="spellStart"/>
      <w:r w:rsidRPr="001D1A9E">
        <w:rPr>
          <w:i/>
          <w:iCs/>
          <w:sz w:val="24"/>
          <w:u w:val="single"/>
        </w:rPr>
        <w:t>Urbinati</w:t>
      </w:r>
      <w:proofErr w:type="spellEnd"/>
      <w:r w:rsidRPr="001D1A9E">
        <w:rPr>
          <w:i/>
          <w:iCs/>
          <w:sz w:val="24"/>
          <w:u w:val="single"/>
        </w:rPr>
        <w:t xml:space="preserve"> di </w:t>
      </w:r>
      <w:proofErr w:type="spellStart"/>
      <w:r w:rsidRPr="001D1A9E">
        <w:rPr>
          <w:i/>
          <w:iCs/>
          <w:sz w:val="24"/>
          <w:u w:val="single"/>
        </w:rPr>
        <w:t>Cultura</w:t>
      </w:r>
      <w:proofErr w:type="spellEnd"/>
      <w:r w:rsidRPr="001D1A9E">
        <w:rPr>
          <w:i/>
          <w:iCs/>
          <w:sz w:val="24"/>
          <w:u w:val="single"/>
        </w:rPr>
        <w:t xml:space="preserve"> Classica</w:t>
      </w:r>
      <w:r w:rsidRPr="001D1A9E">
        <w:rPr>
          <w:sz w:val="24"/>
          <w:u w:val="single"/>
        </w:rPr>
        <w:t>, 81, 3, 101-108.</w:t>
      </w:r>
    </w:p>
    <w:p w:rsidR="002617E2" w:rsidRDefault="00622D32" w:rsidP="007F4DDE">
      <w:pPr>
        <w:spacing w:line="480" w:lineRule="auto"/>
      </w:pPr>
      <w:r>
        <w:t>Hunter’s intention behind</w:t>
      </w:r>
      <w:r w:rsidR="00D776B3">
        <w:t xml:space="preserve"> producing</w:t>
      </w:r>
      <w:r>
        <w:t xml:space="preserve"> his article is primarily to</w:t>
      </w:r>
      <w:r w:rsidR="00D776B3">
        <w:t xml:space="preserve"> readdress the failing of modern scholarship in ‘not giving Pericles his due’</w:t>
      </w:r>
      <w:r w:rsidR="00847A9A">
        <w:rPr>
          <w:rStyle w:val="FootnoteReference"/>
        </w:rPr>
        <w:footnoteReference w:id="1"/>
      </w:r>
      <w:r w:rsidR="00D776B3">
        <w:t>. Relying heavily on evidence provided by Thucydides, Hunter pushes his agenda for Pericles to be considered a ‘master strategist’</w:t>
      </w:r>
      <w:r w:rsidR="000A68F1">
        <w:rPr>
          <w:rStyle w:val="FootnoteReference"/>
        </w:rPr>
        <w:footnoteReference w:id="2"/>
      </w:r>
      <w:r w:rsidR="00D776B3">
        <w:t>. Moreover, an individual crucial in the development of cavalry doctrine through the principle</w:t>
      </w:r>
      <w:r w:rsidR="000A68F1">
        <w:t>, first introduced by Spence,</w:t>
      </w:r>
      <w:r w:rsidR="00D776B3">
        <w:t xml:space="preserve"> of ‘mobile defence’</w:t>
      </w:r>
      <w:r w:rsidR="000A68F1">
        <w:rPr>
          <w:rStyle w:val="FootnoteReference"/>
        </w:rPr>
        <w:footnoteReference w:id="3"/>
      </w:r>
      <w:r w:rsidR="000A68F1">
        <w:rPr>
          <w:rStyle w:val="FootnoteReference"/>
        </w:rPr>
        <w:footnoteReference w:id="4"/>
      </w:r>
      <w:r w:rsidR="005A64BB">
        <w:t xml:space="preserve">. </w:t>
      </w:r>
      <w:r w:rsidR="004A78AE">
        <w:t xml:space="preserve">The application of such a principle is analysed in the context of the defence of Attica during the Peloponnesian Wars, specifically over the period of 431 to 428 BCE </w:t>
      </w:r>
      <w:r w:rsidR="00EC12FD">
        <w:t>during</w:t>
      </w:r>
      <w:r w:rsidR="004A78AE">
        <w:t xml:space="preserve"> which Attica experience</w:t>
      </w:r>
      <w:r w:rsidR="00C65F56">
        <w:t>d</w:t>
      </w:r>
      <w:r w:rsidR="004A78AE">
        <w:t xml:space="preserve"> four separate invasions at the hands of </w:t>
      </w:r>
      <w:proofErr w:type="spellStart"/>
      <w:r w:rsidR="004A78AE">
        <w:t>Archidamus</w:t>
      </w:r>
      <w:proofErr w:type="spellEnd"/>
      <w:r w:rsidR="004A78AE">
        <w:rPr>
          <w:rStyle w:val="FootnoteReference"/>
        </w:rPr>
        <w:footnoteReference w:id="5"/>
      </w:r>
      <w:r w:rsidR="004A78AE">
        <w:t>.</w:t>
      </w:r>
      <w:r w:rsidR="00C65F56">
        <w:t xml:space="preserve"> </w:t>
      </w:r>
      <w:r w:rsidR="00F852B4">
        <w:t>In support of the evidence provided by Thucydides, which at time</w:t>
      </w:r>
      <w:r w:rsidR="003E638C">
        <w:t>s</w:t>
      </w:r>
      <w:r w:rsidR="00F852B4">
        <w:t xml:space="preserve"> could be considered circumstantial, Hunter also draws on </w:t>
      </w:r>
      <w:r w:rsidR="00431486">
        <w:t>the</w:t>
      </w:r>
      <w:r w:rsidR="00F852B4">
        <w:t xml:space="preserve"> broad knowledge base found in modern scholarship</w:t>
      </w:r>
      <w:r w:rsidR="00B86C10">
        <w:t>. This</w:t>
      </w:r>
      <w:r w:rsidR="00C0009D">
        <w:t xml:space="preserve"> includes</w:t>
      </w:r>
      <w:r w:rsidR="00F852B4">
        <w:t xml:space="preserve"> authors such as Westlake, Ober, </w:t>
      </w:r>
      <w:proofErr w:type="spellStart"/>
      <w:r w:rsidR="00F852B4">
        <w:t>Bugh</w:t>
      </w:r>
      <w:proofErr w:type="spellEnd"/>
      <w:r w:rsidR="00F852B4">
        <w:t xml:space="preserve"> and of course Spence</w:t>
      </w:r>
      <w:r w:rsidR="00712A93">
        <w:rPr>
          <w:rStyle w:val="FootnoteReference"/>
        </w:rPr>
        <w:footnoteReference w:id="6"/>
      </w:r>
      <w:r w:rsidR="00F852B4">
        <w:t>.</w:t>
      </w:r>
      <w:r w:rsidR="00B86C10">
        <w:t xml:space="preserve"> It will be the intention of this paper to support the thesis presented in Hunter’s article. </w:t>
      </w:r>
      <w:proofErr w:type="gramStart"/>
      <w:r w:rsidR="00B86C10">
        <w:t>In order to</w:t>
      </w:r>
      <w:proofErr w:type="gramEnd"/>
      <w:r w:rsidR="00B86C10">
        <w:t xml:space="preserve"> further provide substantiation and credibility to the proposition that Pericles is indeed master of strategy, further analysis of the ancient sources will be conducted in unison with inclusion of modern scholarship.    </w:t>
      </w:r>
      <w:r w:rsidR="00F852B4">
        <w:t xml:space="preserve"> </w:t>
      </w:r>
      <w:r w:rsidR="00EB4E20">
        <w:t xml:space="preserve"> </w:t>
      </w:r>
      <w:r w:rsidR="00F852B4">
        <w:t xml:space="preserve"> </w:t>
      </w:r>
      <w:r w:rsidR="004A78AE">
        <w:t xml:space="preserve">  </w:t>
      </w:r>
      <w:r w:rsidR="00D776B3">
        <w:t xml:space="preserve"> </w:t>
      </w:r>
    </w:p>
    <w:p w:rsidR="00DA4570" w:rsidRDefault="002617E2" w:rsidP="007F4DDE">
      <w:pPr>
        <w:spacing w:line="480" w:lineRule="auto"/>
      </w:pPr>
      <w:r>
        <w:t xml:space="preserve">Initially, Hunter strives to tackle the issue of </w:t>
      </w:r>
      <w:r w:rsidR="008C4E09">
        <w:t>deliberate strategic implementation. The claim of Spence th</w:t>
      </w:r>
      <w:r w:rsidR="009A1C57">
        <w:t>at the use of Athenian Cavalry ‘</w:t>
      </w:r>
      <w:r w:rsidR="008C4E09">
        <w:t>was not part of a detailed battle plan wo</w:t>
      </w:r>
      <w:r w:rsidR="009A1C57">
        <w:t>rked out by Pericles in advance’</w:t>
      </w:r>
      <w:r w:rsidR="008C4E09">
        <w:t xml:space="preserve"> is convincingly rebuked</w:t>
      </w:r>
      <w:r w:rsidR="008C4E09">
        <w:rPr>
          <w:rStyle w:val="FootnoteReference"/>
        </w:rPr>
        <w:footnoteReference w:id="7"/>
      </w:r>
      <w:r w:rsidR="008C4E09">
        <w:t xml:space="preserve">. </w:t>
      </w:r>
      <w:r w:rsidR="00A25754">
        <w:t xml:space="preserve">Here, the pro-war speech made by Pericles in 432/1 BCE </w:t>
      </w:r>
      <w:r w:rsidR="00EE54E8">
        <w:t>is utilised effectively providing evidence of strategic sophistication</w:t>
      </w:r>
      <w:r w:rsidR="00EE54E8">
        <w:rPr>
          <w:rStyle w:val="FootnoteReference"/>
        </w:rPr>
        <w:footnoteReference w:id="8"/>
      </w:r>
      <w:r w:rsidR="00EE54E8">
        <w:t>.</w:t>
      </w:r>
      <w:r w:rsidR="009A1C57">
        <w:t xml:space="preserve"> Such sophistication can be supported by Thucydides in a manor not yet explored. During the introduction to Pericles’ pro war speech, Thucydides depicts him as the ‘principle man at the time of all Athens and most sufficient </w:t>
      </w:r>
      <w:r w:rsidR="009A1C57">
        <w:lastRenderedPageBreak/>
        <w:t>both for speech and action’</w:t>
      </w:r>
      <w:r w:rsidR="009113AA">
        <w:rPr>
          <w:rStyle w:val="FootnoteReference"/>
        </w:rPr>
        <w:footnoteReference w:id="9"/>
      </w:r>
      <w:r w:rsidR="009A1C57">
        <w:t>.</w:t>
      </w:r>
      <w:r w:rsidR="00E74372">
        <w:t xml:space="preserve"> </w:t>
      </w:r>
      <w:proofErr w:type="gramStart"/>
      <w:r w:rsidR="00B148DF">
        <w:t>In order to</w:t>
      </w:r>
      <w:proofErr w:type="gramEnd"/>
      <w:r w:rsidR="00B148DF">
        <w:t xml:space="preserve"> achieve credibility as a strategist a myriad of attributes are required, three of which are outlined here – influence, intelligence and experience. Firstly, without the influence required to i</w:t>
      </w:r>
      <w:r w:rsidR="00E92CFB">
        <w:t xml:space="preserve">mplement a theoretical strategy, any </w:t>
      </w:r>
      <w:r w:rsidR="00E04D24">
        <w:t>real-world</w:t>
      </w:r>
      <w:r w:rsidR="00E92CFB">
        <w:t xml:space="preserve"> effect would be negligible. </w:t>
      </w:r>
      <w:r w:rsidR="00E04D24">
        <w:t>His status as the ‘principle man’ of the period afforded him this opportunity</w:t>
      </w:r>
      <w:r w:rsidR="00FF4700">
        <w:rPr>
          <w:rStyle w:val="FootnoteReference"/>
        </w:rPr>
        <w:footnoteReference w:id="10"/>
      </w:r>
      <w:r w:rsidR="00E04D24">
        <w:t>.</w:t>
      </w:r>
      <w:r w:rsidR="00A90CD6">
        <w:t xml:space="preserve"> </w:t>
      </w:r>
      <w:r w:rsidR="00761AA3">
        <w:t>Secondly, the intelligence required to perform strategic analysis. Thucydides again provides the required testimony here and as Hunter included in his article, ‘Pericles is one of the very few individuals whom Thucydides calls intelligent’</w:t>
      </w:r>
      <w:r w:rsidR="00761AA3">
        <w:rPr>
          <w:rStyle w:val="FootnoteReference"/>
        </w:rPr>
        <w:footnoteReference w:id="11"/>
      </w:r>
      <w:r w:rsidR="00761AA3">
        <w:t>.</w:t>
      </w:r>
      <w:r w:rsidR="004320B5">
        <w:t xml:space="preserve"> </w:t>
      </w:r>
      <w:r w:rsidR="00002045">
        <w:t>This intellectual capacity allowed Pericles to develop his strategic understanding and learn from events such as</w:t>
      </w:r>
      <w:r w:rsidR="001A6B34">
        <w:t xml:space="preserve"> the</w:t>
      </w:r>
      <w:r w:rsidR="00002045">
        <w:t xml:space="preserve"> failed Thessalian expedition of 455 BCE</w:t>
      </w:r>
      <w:r w:rsidR="00BD5AA9">
        <w:t xml:space="preserve">, </w:t>
      </w:r>
      <w:r w:rsidR="009D7A9A">
        <w:t>in</w:t>
      </w:r>
      <w:r w:rsidR="00BD5AA9">
        <w:t xml:space="preserve"> which cavalry played an important role</w:t>
      </w:r>
      <w:r w:rsidR="00002045">
        <w:rPr>
          <w:rStyle w:val="FootnoteReference"/>
        </w:rPr>
        <w:footnoteReference w:id="12"/>
      </w:r>
      <w:r w:rsidR="00002045">
        <w:t>.</w:t>
      </w:r>
      <w:r w:rsidR="002F0B09">
        <w:t xml:space="preserve"> Strategic adaptability would go onto to be crucial in repulsing Lacedaemonian incursion into Attica during the Peloponnesian</w:t>
      </w:r>
      <w:r w:rsidR="00CE2616">
        <w:t xml:space="preserve"> War</w:t>
      </w:r>
      <w:r w:rsidR="002F0B09">
        <w:t xml:space="preserve">. </w:t>
      </w:r>
      <w:r w:rsidR="00AD0E85">
        <w:t>Finally comes the attribute of experience. Clearly the testimony provided by Thucydides in the above passage, ‘most sufficient for both speech and action’, lends weight to Pericles’ abilities as a combatant</w:t>
      </w:r>
      <w:r w:rsidR="00AD0E85">
        <w:rPr>
          <w:rStyle w:val="FootnoteReference"/>
        </w:rPr>
        <w:footnoteReference w:id="13"/>
      </w:r>
      <w:r w:rsidR="00AD0E85">
        <w:t>.</w:t>
      </w:r>
      <w:r w:rsidR="000B5529">
        <w:t xml:space="preserve"> </w:t>
      </w:r>
      <w:r w:rsidR="00987DE7">
        <w:t xml:space="preserve">Once all attributes examined here have been considered, it appears highly likely that Pericles </w:t>
      </w:r>
      <w:r w:rsidR="00BF5EB7">
        <w:t xml:space="preserve">would well indeed have developed his strategy in relation to Athenian Cavalry and mobile defence well ahead of confrontations. </w:t>
      </w:r>
      <w:r w:rsidR="00985D76">
        <w:t>Such a conclusion furthers Hunters rebuke of Spence’s claim</w:t>
      </w:r>
      <w:r w:rsidR="00985D76">
        <w:rPr>
          <w:rStyle w:val="FootnoteReference"/>
        </w:rPr>
        <w:footnoteReference w:id="14"/>
      </w:r>
      <w:r w:rsidR="00985D76">
        <w:t>.</w:t>
      </w:r>
      <w:r w:rsidR="00D57EA4">
        <w:t xml:space="preserve"> </w:t>
      </w:r>
    </w:p>
    <w:p w:rsidR="007F15CE" w:rsidRDefault="00C27422" w:rsidP="007F4DDE">
      <w:pPr>
        <w:spacing w:line="480" w:lineRule="auto"/>
      </w:pPr>
      <w:r>
        <w:t xml:space="preserve">Having established the credibility </w:t>
      </w:r>
      <w:r w:rsidR="00BF17F1">
        <w:t>of Pericles as a strategist, Hunter continues to focus specifically on the ability of Pericles as a Cavalry Strategist</w:t>
      </w:r>
      <w:r w:rsidR="00BF17F1">
        <w:rPr>
          <w:rStyle w:val="FootnoteReference"/>
        </w:rPr>
        <w:footnoteReference w:id="15"/>
      </w:r>
      <w:r w:rsidR="00BF17F1">
        <w:t>.</w:t>
      </w:r>
      <w:r w:rsidR="00595D96">
        <w:t xml:space="preserve"> </w:t>
      </w:r>
      <w:r w:rsidR="00AC163B">
        <w:t>Indicating a second facet to the Athenian st</w:t>
      </w:r>
      <w:r w:rsidR="006317B0">
        <w:t xml:space="preserve">rategy in the defence of Attica, further from the ‘island’ concept, he engages with a </w:t>
      </w:r>
      <w:r w:rsidR="00103E68">
        <w:t>topic</w:t>
      </w:r>
      <w:r w:rsidR="006317B0">
        <w:t xml:space="preserve"> being readily </w:t>
      </w:r>
      <w:r w:rsidR="00471902">
        <w:t>explored</w:t>
      </w:r>
      <w:r w:rsidR="006317B0">
        <w:t xml:space="preserve"> by other modern scholars</w:t>
      </w:r>
      <w:r w:rsidR="006317B0">
        <w:rPr>
          <w:rStyle w:val="FootnoteReference"/>
        </w:rPr>
        <w:footnoteReference w:id="16"/>
      </w:r>
      <w:r w:rsidR="006317B0">
        <w:t>.</w:t>
      </w:r>
      <w:r w:rsidR="00471902">
        <w:t xml:space="preserve"> Highlighting the works of Spence, Ober and </w:t>
      </w:r>
      <w:proofErr w:type="spellStart"/>
      <w:r w:rsidR="00471902">
        <w:t>Bugh</w:t>
      </w:r>
      <w:proofErr w:type="spellEnd"/>
      <w:r w:rsidR="00471902">
        <w:t xml:space="preserve"> the importance of Athenian cavalry is introduced</w:t>
      </w:r>
      <w:r w:rsidR="00471902">
        <w:rPr>
          <w:rStyle w:val="FootnoteReference"/>
        </w:rPr>
        <w:footnoteReference w:id="17"/>
      </w:r>
      <w:r w:rsidR="00471902">
        <w:rPr>
          <w:rStyle w:val="FootnoteReference"/>
        </w:rPr>
        <w:footnoteReference w:id="18"/>
      </w:r>
      <w:r w:rsidR="00471902">
        <w:rPr>
          <w:rStyle w:val="FootnoteReference"/>
        </w:rPr>
        <w:footnoteReference w:id="19"/>
      </w:r>
      <w:r w:rsidR="00471902">
        <w:t>.</w:t>
      </w:r>
      <w:r w:rsidR="00103E68">
        <w:t xml:space="preserve"> The greatest threat to Athens and Attica as </w:t>
      </w:r>
      <w:r w:rsidR="00A24CF7">
        <w:t xml:space="preserve">an </w:t>
      </w:r>
      <w:r w:rsidR="00A24CF7">
        <w:lastRenderedPageBreak/>
        <w:t>entity</w:t>
      </w:r>
      <w:r w:rsidR="00103E68">
        <w:t xml:space="preserve"> was always the land based superiority of the </w:t>
      </w:r>
      <w:r w:rsidR="00103E68">
        <w:t>Lacedaemonian</w:t>
      </w:r>
      <w:r w:rsidR="00103E68">
        <w:t>s. Specifically, the seemingly invulnerable Spartan phalanx.</w:t>
      </w:r>
      <w:r w:rsidR="00E75AFB">
        <w:t xml:space="preserve"> Conversely, Athens maintained a comfortable Naval superiority, especially considering the additional assets which the Delian League provided. Therefore, Pericles was required to establish a strategy capable of subjugating a superior land based force. </w:t>
      </w:r>
      <w:r w:rsidR="00C74BFC">
        <w:t>His solution was to harness a cavalry orientated composition. Such a composition would lead into the development of a ‘mobile defence’</w:t>
      </w:r>
      <w:r w:rsidR="00C74BFC">
        <w:rPr>
          <w:rStyle w:val="FootnoteReference"/>
        </w:rPr>
        <w:footnoteReference w:id="20"/>
      </w:r>
      <w:r w:rsidR="00C74BFC">
        <w:t>.</w:t>
      </w:r>
      <w:r w:rsidR="00A24CF7">
        <w:t xml:space="preserve"> At this point an understanding of Attica’s geography is paramount. Much of the territory which Pericles was tasked to defend consisted of open </w:t>
      </w:r>
      <w:r w:rsidR="005C4691">
        <w:t>plains</w:t>
      </w:r>
      <w:r w:rsidR="00A24CF7">
        <w:t>, an environment ideal for the utilisation and manoeuvre of a cavalry based force</w:t>
      </w:r>
      <w:r w:rsidR="00A24CF7">
        <w:rPr>
          <w:rStyle w:val="FootnoteReference"/>
        </w:rPr>
        <w:footnoteReference w:id="21"/>
      </w:r>
      <w:r w:rsidR="00A24CF7">
        <w:t>.</w:t>
      </w:r>
      <w:r w:rsidR="001E42F5">
        <w:t xml:space="preserve"> </w:t>
      </w:r>
    </w:p>
    <w:p w:rsidR="00C27422" w:rsidRDefault="00744BEA" w:rsidP="007F4DDE">
      <w:pPr>
        <w:spacing w:line="480" w:lineRule="auto"/>
      </w:pPr>
      <w:proofErr w:type="gramStart"/>
      <w:r>
        <w:t>In order to</w:t>
      </w:r>
      <w:proofErr w:type="gramEnd"/>
      <w:r>
        <w:t xml:space="preserve"> build upon the analysis already conducted by Hunter </w:t>
      </w:r>
      <w:r w:rsidR="00B145FE">
        <w:t xml:space="preserve">in this regard, an additional work of </w:t>
      </w:r>
      <w:proofErr w:type="spellStart"/>
      <w:r w:rsidR="00B145FE">
        <w:t>Gaebel</w:t>
      </w:r>
      <w:proofErr w:type="spellEnd"/>
      <w:r w:rsidR="00B145FE">
        <w:t xml:space="preserve"> as of yet unexplored, will be applied</w:t>
      </w:r>
      <w:r w:rsidR="00B145FE">
        <w:rPr>
          <w:rStyle w:val="FootnoteReference"/>
        </w:rPr>
        <w:footnoteReference w:id="22"/>
      </w:r>
      <w:r w:rsidR="00B145FE">
        <w:t>.</w:t>
      </w:r>
      <w:r w:rsidR="001D45C0">
        <w:t xml:space="preserve"> </w:t>
      </w:r>
      <w:r w:rsidR="00F71BC6">
        <w:t xml:space="preserve">When outlining the routine duties expected of cavalry during the period, evident overlaps become apparent between expected doctrine and subsequent utilisation under the Periclean strategy. </w:t>
      </w:r>
      <w:proofErr w:type="spellStart"/>
      <w:r w:rsidR="00F71BC6">
        <w:t>Gaebel’s</w:t>
      </w:r>
      <w:proofErr w:type="spellEnd"/>
      <w:r w:rsidR="00F71BC6">
        <w:t xml:space="preserve"> narrative examines the role of cavalry in defensive operations, ‘They were used at home to prevent raiding beyond the enemy’s armed camp’</w:t>
      </w:r>
      <w:r w:rsidR="00F71BC6">
        <w:rPr>
          <w:rStyle w:val="FootnoteReference"/>
        </w:rPr>
        <w:footnoteReference w:id="23"/>
      </w:r>
      <w:r w:rsidR="00F71BC6">
        <w:t>.</w:t>
      </w:r>
      <w:r w:rsidR="001418F6">
        <w:t xml:space="preserve"> Clearly </w:t>
      </w:r>
      <w:proofErr w:type="gramStart"/>
      <w:r w:rsidR="001418F6">
        <w:t>as a result of</w:t>
      </w:r>
      <w:proofErr w:type="gramEnd"/>
      <w:r w:rsidR="001418F6">
        <w:t xml:space="preserve"> the </w:t>
      </w:r>
      <w:r w:rsidR="00AD28F8">
        <w:t>Lacedaemonian</w:t>
      </w:r>
      <w:r w:rsidR="00AD28F8">
        <w:t xml:space="preserve"> land based dominance, Pericles would endeavour to avoid direct confrontation. Through the adoption of the above strategy, damage inflicted by an invading army to surrounding infrastructure would be largely mitigated. Additionally, </w:t>
      </w:r>
      <w:proofErr w:type="gramStart"/>
      <w:r w:rsidR="00AD28F8">
        <w:t>due to the fact that</w:t>
      </w:r>
      <w:proofErr w:type="gramEnd"/>
      <w:r w:rsidR="00AD28F8">
        <w:t xml:space="preserve"> armies of this period had not</w:t>
      </w:r>
      <w:r w:rsidR="00B45BCA">
        <w:t xml:space="preserve"> yet</w:t>
      </w:r>
      <w:r w:rsidR="00AD28F8">
        <w:t xml:space="preserve"> adopted supply trains, there was great potential to inflict attrition through the denial of access to fresh food and water</w:t>
      </w:r>
      <w:r w:rsidR="00AD28F8">
        <w:rPr>
          <w:rStyle w:val="FootnoteReference"/>
        </w:rPr>
        <w:footnoteReference w:id="24"/>
      </w:r>
      <w:r w:rsidR="00AD28F8">
        <w:t>.</w:t>
      </w:r>
      <w:r w:rsidR="00AE62CC">
        <w:t xml:space="preserve"> </w:t>
      </w:r>
      <w:r w:rsidR="00B45BCA">
        <w:t>Admittedly, such</w:t>
      </w:r>
      <w:r w:rsidR="003751B6">
        <w:t xml:space="preserve"> action would not lead to an invading army being destroyed. However, with the inability to access</w:t>
      </w:r>
      <w:r w:rsidR="00B45BCA">
        <w:t xml:space="preserve"> the</w:t>
      </w:r>
      <w:r w:rsidR="003751B6">
        <w:t xml:space="preserve"> basic essential of li</w:t>
      </w:r>
      <w:r w:rsidR="00022752">
        <w:t xml:space="preserve">fe, such an army would be forced to withdraw from Attica. Having abandoned the battlefield, the invader may not have been destroyed but will indeed have been dealt a strategic defeat. </w:t>
      </w:r>
      <w:r w:rsidR="00473A6C">
        <w:t xml:space="preserve">Undeniably this is a </w:t>
      </w:r>
      <w:r w:rsidR="00473A6C">
        <w:lastRenderedPageBreak/>
        <w:t xml:space="preserve">textbook example of a cavalry strategy, further supporting Hunter’s assertion that Pericles was indeed a cavalry strategist.  </w:t>
      </w:r>
    </w:p>
    <w:p w:rsidR="00DF4615" w:rsidRDefault="00757C28" w:rsidP="007F4DDE">
      <w:pPr>
        <w:spacing w:line="480" w:lineRule="auto"/>
      </w:pPr>
      <w:r>
        <w:t xml:space="preserve">Having now supported Hunter’s assertions in relation to the actions of Pericles in deliberately implementing strategy, as well as his abilities as a cavalry strategist, the shift in policy to adopt the use of cavalry in an offensive context will now be evaluated. </w:t>
      </w:r>
      <w:r w:rsidR="002A5A70">
        <w:t>As stated by Hunter, the development of naval cavalry transports indicates a wider integration of cavalry into Athenian strategic foresight</w:t>
      </w:r>
      <w:r w:rsidR="00D66AC7">
        <w:rPr>
          <w:rStyle w:val="FootnoteReference"/>
        </w:rPr>
        <w:footnoteReference w:id="25"/>
      </w:r>
      <w:r w:rsidR="002A5A70">
        <w:t>.</w:t>
      </w:r>
      <w:r w:rsidR="006B2FAB">
        <w:t xml:space="preserve"> </w:t>
      </w:r>
      <w:proofErr w:type="gramStart"/>
      <w:r w:rsidR="006B2FAB">
        <w:t>In order to</w:t>
      </w:r>
      <w:proofErr w:type="gramEnd"/>
      <w:r w:rsidR="006B2FAB">
        <w:t xml:space="preserve"> gage the scale of this integration the work of </w:t>
      </w:r>
      <w:proofErr w:type="spellStart"/>
      <w:r w:rsidR="006B2FAB">
        <w:t>Gaebel</w:t>
      </w:r>
      <w:proofErr w:type="spellEnd"/>
      <w:r w:rsidR="006B2FAB">
        <w:t xml:space="preserve"> will once again be drawn upon.</w:t>
      </w:r>
      <w:r w:rsidR="00697500">
        <w:t xml:space="preserve"> Utilising the testimony of Thucydides, who again constitutes the most comprehensive evidence available from ancient scholarship, </w:t>
      </w:r>
      <w:proofErr w:type="spellStart"/>
      <w:r w:rsidR="00697500">
        <w:t>Gaebel</w:t>
      </w:r>
      <w:proofErr w:type="spellEnd"/>
      <w:r w:rsidR="00697500">
        <w:t xml:space="preserve"> evaluates the exp</w:t>
      </w:r>
      <w:r w:rsidR="00784C37">
        <w:t xml:space="preserve">ansion of the Athenian cavalry. </w:t>
      </w:r>
      <w:r w:rsidR="004B603F">
        <w:t>Firstly, he draws from Thucydides details regarding horse archers, ‘they had of horsemen, accounting archers on horseback, twelve hundred’</w:t>
      </w:r>
      <w:r w:rsidR="004B603F">
        <w:rPr>
          <w:rStyle w:val="FootnoteReference"/>
        </w:rPr>
        <w:footnoteReference w:id="26"/>
      </w:r>
      <w:r w:rsidR="004B603F">
        <w:t xml:space="preserve">. </w:t>
      </w:r>
      <w:r w:rsidR="00EC6134">
        <w:t>Such numbers would have provided Pericles with an invaluable ability to harass invading armies whilst avoiding a prolonged direct confrontation.</w:t>
      </w:r>
      <w:r w:rsidR="00ED325B">
        <w:t xml:space="preserve"> Additionally, </w:t>
      </w:r>
      <w:proofErr w:type="spellStart"/>
      <w:r w:rsidR="00ED325B">
        <w:t>Gaebel</w:t>
      </w:r>
      <w:proofErr w:type="spellEnd"/>
      <w:r w:rsidR="00ED325B">
        <w:t xml:space="preserve"> states that </w:t>
      </w:r>
      <w:r w:rsidR="005475FC">
        <w:t xml:space="preserve">in 430 BCE when Pericles lead a wing of the Athenian fleet to ‘ravage the Peloponnesian coast’ he brought in his company ‘three hundred </w:t>
      </w:r>
      <w:proofErr w:type="gramStart"/>
      <w:r w:rsidR="005475FC">
        <w:t>cavalry</w:t>
      </w:r>
      <w:proofErr w:type="gramEnd"/>
      <w:r w:rsidR="005475FC">
        <w:t xml:space="preserve"> to accompany the four thousand infantry’</w:t>
      </w:r>
      <w:r w:rsidR="000011D1">
        <w:rPr>
          <w:rStyle w:val="FootnoteReference"/>
        </w:rPr>
        <w:footnoteReference w:id="27"/>
      </w:r>
      <w:r w:rsidR="005475FC">
        <w:t>. Such a feat was made possible by the construction of</w:t>
      </w:r>
      <w:r w:rsidR="00392D0C">
        <w:t xml:space="preserve"> the</w:t>
      </w:r>
      <w:r w:rsidR="005475FC">
        <w:t xml:space="preserve"> naval cavalry transports already mentioned, possibly in 430 BCE</w:t>
      </w:r>
      <w:r w:rsidR="00BD1E6E">
        <w:t xml:space="preserve"> itself</w:t>
      </w:r>
      <w:r w:rsidR="005475FC">
        <w:t>, once again indicating a new strategic implementation</w:t>
      </w:r>
      <w:r w:rsidR="00392D0C">
        <w:rPr>
          <w:rStyle w:val="FootnoteReference"/>
        </w:rPr>
        <w:footnoteReference w:id="28"/>
      </w:r>
      <w:r w:rsidR="005475FC">
        <w:t xml:space="preserve">. Pericles may well have become aware of such possibilities following the Persian construction of such </w:t>
      </w:r>
      <w:r w:rsidR="00BD1E6E">
        <w:t>vessels</w:t>
      </w:r>
      <w:r w:rsidR="005475FC">
        <w:t>, ‘In these galleys he had four thousand men of arms, and in vessels then purposely first made to carry horses, three hundred horsemen’</w:t>
      </w:r>
      <w:r w:rsidR="00392D0C">
        <w:rPr>
          <w:rStyle w:val="FootnoteReference"/>
        </w:rPr>
        <w:footnoteReference w:id="29"/>
      </w:r>
      <w:r w:rsidR="005475FC">
        <w:t>.</w:t>
      </w:r>
      <w:r w:rsidR="00E611BF">
        <w:t xml:space="preserve"> </w:t>
      </w:r>
    </w:p>
    <w:p w:rsidR="00BE602A" w:rsidRDefault="00E611BF" w:rsidP="007F4DDE">
      <w:pPr>
        <w:spacing w:line="480" w:lineRule="auto"/>
      </w:pPr>
      <w:r>
        <w:t>All this</w:t>
      </w:r>
      <w:r w:rsidR="006E739E">
        <w:t xml:space="preserve"> numerical</w:t>
      </w:r>
      <w:r>
        <w:t xml:space="preserve"> evidence, from both ancient and modern scholarship, strongly indicates that Pericles was actively developing his strategic understanding for the wider implementation of cavalry into Athenian forces. </w:t>
      </w:r>
      <w:r w:rsidR="001B0264">
        <w:t xml:space="preserve">Such an implementation goes far beyond the simplicity of the Athenian ‘island’ </w:t>
      </w:r>
      <w:r w:rsidR="001B0264">
        <w:lastRenderedPageBreak/>
        <w:t>strategy and adds further credibility to Hunter’s rebuke of Spence’s claim that</w:t>
      </w:r>
      <w:r w:rsidR="005C2610">
        <w:t xml:space="preserve"> Pericles’ adoption</w:t>
      </w:r>
      <w:r w:rsidR="00DF4615">
        <w:t>,</w:t>
      </w:r>
      <w:r w:rsidR="005C2610">
        <w:t xml:space="preserve"> and evident expansion</w:t>
      </w:r>
      <w:r w:rsidR="00DF4615">
        <w:t>,</w:t>
      </w:r>
      <w:r w:rsidR="005C2610">
        <w:t xml:space="preserve"> of the Athenian cavalry</w:t>
      </w:r>
      <w:r w:rsidR="001B0264">
        <w:t xml:space="preserve"> </w:t>
      </w:r>
      <w:r w:rsidR="001B0264">
        <w:t>‘was not part of a detailed battle plan worked out by Pericles in advance’</w:t>
      </w:r>
      <w:r w:rsidR="005C2610">
        <w:rPr>
          <w:rStyle w:val="FootnoteReference"/>
        </w:rPr>
        <w:footnoteReference w:id="30"/>
      </w:r>
      <w:r w:rsidR="005C2610">
        <w:t>.</w:t>
      </w:r>
      <w:r w:rsidR="007741AD">
        <w:t xml:space="preserve"> </w:t>
      </w:r>
      <w:r>
        <w:t xml:space="preserve"> </w:t>
      </w:r>
    </w:p>
    <w:p w:rsidR="00F72E05" w:rsidRDefault="000D4A42" w:rsidP="007F4DDE">
      <w:pPr>
        <w:spacing w:line="480" w:lineRule="auto"/>
      </w:pPr>
      <w:r>
        <w:t>The final elements of Hunter’s article are concerned with the legacy of Pericles and the effect of the strategic developments which he drove following his death in 429 BCE</w:t>
      </w:r>
      <w:r>
        <w:rPr>
          <w:rStyle w:val="FootnoteReference"/>
        </w:rPr>
        <w:footnoteReference w:id="31"/>
      </w:r>
      <w:r>
        <w:t>.</w:t>
      </w:r>
      <w:r w:rsidR="00F44A88">
        <w:t xml:space="preserve"> </w:t>
      </w:r>
      <w:r w:rsidR="00CE5E27">
        <w:t xml:space="preserve">Generally, Hunter establishes that </w:t>
      </w:r>
      <w:r w:rsidR="00E41412">
        <w:t xml:space="preserve">the foresight demonstrated by Pericles was under-appreciated during his time and the failing of his successors to adequately emulate his strategies led to the power shift in favour of the </w:t>
      </w:r>
      <w:r w:rsidR="00E41412">
        <w:t>Lacedaemonian</w:t>
      </w:r>
      <w:r w:rsidR="00E41412">
        <w:t>s</w:t>
      </w:r>
      <w:r w:rsidR="009E227B">
        <w:rPr>
          <w:rStyle w:val="FootnoteReference"/>
        </w:rPr>
        <w:footnoteReference w:id="32"/>
      </w:r>
      <w:r w:rsidR="00E41412">
        <w:t>.</w:t>
      </w:r>
      <w:r w:rsidR="000910FF">
        <w:t xml:space="preserve"> </w:t>
      </w:r>
      <w:r w:rsidR="00D14356">
        <w:t>Building upon this foundation, an opportunity arises to draw upon the later works of Xenophon, an opportunity exploited in Munn’s analysis</w:t>
      </w:r>
      <w:r w:rsidR="00D14356">
        <w:rPr>
          <w:rStyle w:val="FootnoteReference"/>
        </w:rPr>
        <w:footnoteReference w:id="33"/>
      </w:r>
      <w:r w:rsidR="00D14356">
        <w:t>.</w:t>
      </w:r>
      <w:r w:rsidR="00FF3287">
        <w:t xml:space="preserve"> </w:t>
      </w:r>
      <w:r w:rsidR="00F450F0">
        <w:t xml:space="preserve">Munn demonstrates the gradual development of </w:t>
      </w:r>
      <w:r w:rsidR="00F450F0">
        <w:t>Lacedaemonian</w:t>
      </w:r>
      <w:r w:rsidR="00F450F0">
        <w:t xml:space="preserve"> strategy to counter the cavalry element of the Periclean defence of Attica.</w:t>
      </w:r>
      <w:r w:rsidR="000D46A0">
        <w:t xml:space="preserve"> Xenophon </w:t>
      </w:r>
      <w:r w:rsidR="00DA6BA1">
        <w:t>understood</w:t>
      </w:r>
      <w:r w:rsidR="000D46A0">
        <w:t xml:space="preserve"> that the Athenians could o</w:t>
      </w:r>
      <w:r w:rsidR="00DA6BA1">
        <w:t xml:space="preserve">nly maintain their strategy whilst </w:t>
      </w:r>
      <w:r w:rsidR="006926E7">
        <w:t>holding</w:t>
      </w:r>
      <w:r w:rsidR="00DA6BA1">
        <w:t xml:space="preserve"> a numerical cavalry advantage. He establishes that ‘she expects her cavalry to protect all that lies outside the walls’</w:t>
      </w:r>
      <w:r w:rsidR="00DA6BA1">
        <w:rPr>
          <w:rStyle w:val="FootnoteReference"/>
        </w:rPr>
        <w:footnoteReference w:id="34"/>
      </w:r>
      <w:r w:rsidR="00DA6BA1">
        <w:t>.</w:t>
      </w:r>
      <w:r w:rsidR="00A75597">
        <w:t xml:space="preserve"> Once this is understood, it logically follows that increased prominence be placed on an invading forces’ wing of cavalry. As such, Xenophon outlines that ‘it is essential that our cavalry commander should be masterly’</w:t>
      </w:r>
      <w:r w:rsidR="00A75597">
        <w:rPr>
          <w:rStyle w:val="FootnoteReference"/>
        </w:rPr>
        <w:footnoteReference w:id="35"/>
      </w:r>
      <w:r w:rsidR="00A75597">
        <w:t>.</w:t>
      </w:r>
      <w:r w:rsidR="006926E7">
        <w:t xml:space="preserve"> Once the Athenians became aw</w:t>
      </w:r>
      <w:bookmarkStart w:id="0" w:name="_GoBack"/>
      <w:bookmarkEnd w:id="0"/>
      <w:r w:rsidR="006926E7">
        <w:t xml:space="preserve">are of their enemies shift in strategy the emphasis once again was placed on them to adapt </w:t>
      </w:r>
      <w:r w:rsidR="00621A14">
        <w:t xml:space="preserve">in the manner demonstrated by Pericles. Constant revaluation of circumstance in combination with learning the lessons from </w:t>
      </w:r>
      <w:proofErr w:type="gramStart"/>
      <w:r w:rsidR="00621A14">
        <w:t>past experience</w:t>
      </w:r>
      <w:proofErr w:type="gramEnd"/>
      <w:r w:rsidR="00621A14">
        <w:t xml:space="preserve"> would have been essential for continued success. As Pericles had implemented his strategy, his successors should have done so in their own manner. Unfortunately, this did not come to pass. New evidence from Xenophon brought to light here further aids Hunter</w:t>
      </w:r>
      <w:r w:rsidR="00763A53">
        <w:t>’s</w:t>
      </w:r>
      <w:r w:rsidR="00621A14">
        <w:t xml:space="preserve"> assertion that those who followed Pericles ‘bungled the war effort’</w:t>
      </w:r>
      <w:r w:rsidR="00621A14">
        <w:rPr>
          <w:rStyle w:val="FootnoteReference"/>
        </w:rPr>
        <w:footnoteReference w:id="36"/>
      </w:r>
      <w:r w:rsidR="00621A14">
        <w:t>.</w:t>
      </w:r>
      <w:r w:rsidR="004200CB">
        <w:t xml:space="preserve"> </w:t>
      </w:r>
    </w:p>
    <w:p w:rsidR="00F86688" w:rsidRDefault="00F72E05" w:rsidP="007F4DDE">
      <w:pPr>
        <w:spacing w:line="480" w:lineRule="auto"/>
      </w:pPr>
      <w:r>
        <w:lastRenderedPageBreak/>
        <w:t>Hunter brings his article to a close with yet another abstract from Spence, ‘</w:t>
      </w:r>
      <w:r w:rsidR="00FB0086">
        <w:t>that [Greek] thought processes involved conducting an analysis anywhere near as sophisticated as the one which follows</w:t>
      </w:r>
      <w:r>
        <w:t>’</w:t>
      </w:r>
      <w:r w:rsidR="00FB0086">
        <w:rPr>
          <w:rStyle w:val="FootnoteReference"/>
        </w:rPr>
        <w:footnoteReference w:id="37"/>
      </w:r>
      <w:r w:rsidR="00FB0086">
        <w:t>.</w:t>
      </w:r>
      <w:r w:rsidR="006D4FF2">
        <w:t xml:space="preserve"> Throughout Hunter’s article and now this supporting paper, a myriad of evidence has been presented to the contrary. </w:t>
      </w:r>
      <w:r w:rsidR="00563A83">
        <w:t>Pericles has truly been presented as a ‘master strategist’, capable of ‘</w:t>
      </w:r>
      <w:r w:rsidR="00563A83">
        <w:t>both speech and action’</w:t>
      </w:r>
      <w:r w:rsidR="00563A83">
        <w:t xml:space="preserve"> and should most certainly be considered as a ‘cavalry strategist’</w:t>
      </w:r>
      <w:r w:rsidR="00563A83">
        <w:rPr>
          <w:rStyle w:val="FootnoteReference"/>
        </w:rPr>
        <w:footnoteReference w:id="38"/>
      </w:r>
      <w:r w:rsidR="00563A83">
        <w:t xml:space="preserve">. </w:t>
      </w:r>
      <w:r w:rsidR="005B06B0">
        <w:t>Through further analysis of the ancient source</w:t>
      </w:r>
      <w:r w:rsidR="001F3F3B">
        <w:t>s</w:t>
      </w:r>
      <w:r w:rsidR="005B06B0">
        <w:t>, largely that of Thucydides, but also of Xenophon in the case of legacy, a combination of clear and admittedly at time circumstantial evidence</w:t>
      </w:r>
      <w:r w:rsidR="001F3F3B">
        <w:t xml:space="preserve"> has been provided. Compounding this </w:t>
      </w:r>
      <w:r w:rsidR="00711FC5">
        <w:t>fact,</w:t>
      </w:r>
      <w:r w:rsidR="001F3F3B">
        <w:t xml:space="preserve"> the inclusion of additional modern scholarship, beyond that of Hunter’s initial evaluation, furthers his findings credibility. Cartledge, </w:t>
      </w:r>
      <w:proofErr w:type="spellStart"/>
      <w:r w:rsidR="001F3F3B">
        <w:t>Gaebel</w:t>
      </w:r>
      <w:proofErr w:type="spellEnd"/>
      <w:r w:rsidR="001F3F3B">
        <w:t xml:space="preserve"> and Munn have provided a vital conduit into further analysis.</w:t>
      </w:r>
      <w:r w:rsidR="00711FC5">
        <w:t xml:space="preserve"> </w:t>
      </w:r>
      <w:r w:rsidR="00606EE0">
        <w:t>Drawing upon all of this, Hunter’s intention to correct the failing of modern scholarship in ‘not giving Pericles his due’ has most definitely been achieved</w:t>
      </w:r>
      <w:r w:rsidR="00606EE0">
        <w:rPr>
          <w:rStyle w:val="FootnoteReference"/>
        </w:rPr>
        <w:footnoteReference w:id="39"/>
      </w:r>
      <w:r w:rsidR="00606EE0">
        <w:t xml:space="preserve">. </w:t>
      </w:r>
      <w:r w:rsidR="001F3F3B">
        <w:t xml:space="preserve">  </w:t>
      </w:r>
      <w:r w:rsidR="005B06B0">
        <w:t xml:space="preserve">   </w:t>
      </w:r>
      <w:r w:rsidR="006D4FF2">
        <w:t xml:space="preserve"> </w:t>
      </w:r>
      <w:r w:rsidR="007D088B">
        <w:t xml:space="preserve"> </w:t>
      </w:r>
      <w:r w:rsidR="00621A14">
        <w:t xml:space="preserve">    </w:t>
      </w:r>
      <w:r w:rsidR="006926E7">
        <w:t xml:space="preserve"> </w:t>
      </w:r>
      <w:r w:rsidR="00F450F0">
        <w:t xml:space="preserve">   </w:t>
      </w:r>
      <w:r w:rsidR="00D14356">
        <w:t xml:space="preserve">    </w:t>
      </w:r>
      <w:r w:rsidR="00E41412">
        <w:t xml:space="preserve">   </w:t>
      </w:r>
      <w:r w:rsidR="000D4A42">
        <w:t xml:space="preserve"> </w:t>
      </w:r>
    </w:p>
    <w:p w:rsidR="00757C28" w:rsidRDefault="005475FC" w:rsidP="007F4DDE">
      <w:pPr>
        <w:spacing w:line="480" w:lineRule="auto"/>
      </w:pPr>
      <w:r>
        <w:t xml:space="preserve"> </w:t>
      </w:r>
      <w:r w:rsidR="00EC6134">
        <w:t xml:space="preserve">  </w:t>
      </w:r>
      <w:r w:rsidR="006B2FAB">
        <w:t xml:space="preserve"> </w:t>
      </w:r>
      <w:r w:rsidR="00F54F82">
        <w:t xml:space="preserve"> </w:t>
      </w:r>
      <w:r w:rsidR="002A5A70">
        <w:t xml:space="preserve">  </w:t>
      </w:r>
      <w:r w:rsidR="00757C28">
        <w:t xml:space="preserve">   </w:t>
      </w:r>
    </w:p>
    <w:p w:rsidR="003626D9" w:rsidRDefault="003626D9" w:rsidP="007F4DDE">
      <w:pPr>
        <w:spacing w:line="480" w:lineRule="auto"/>
      </w:pPr>
    </w:p>
    <w:p w:rsidR="00BC19D3" w:rsidRDefault="00BC19D3" w:rsidP="007F4DDE">
      <w:pPr>
        <w:spacing w:line="480" w:lineRule="auto"/>
      </w:pPr>
    </w:p>
    <w:p w:rsidR="00BC19D3" w:rsidRDefault="00BC19D3" w:rsidP="007F4DDE">
      <w:pPr>
        <w:spacing w:line="480" w:lineRule="auto"/>
      </w:pPr>
    </w:p>
    <w:p w:rsidR="00BC19D3" w:rsidRDefault="00BC19D3" w:rsidP="007F4DDE">
      <w:pPr>
        <w:spacing w:line="480" w:lineRule="auto"/>
      </w:pPr>
    </w:p>
    <w:p w:rsidR="00BC19D3" w:rsidRDefault="00BC19D3" w:rsidP="007F4DDE">
      <w:pPr>
        <w:spacing w:line="480" w:lineRule="auto"/>
      </w:pPr>
    </w:p>
    <w:p w:rsidR="00BC19D3" w:rsidRDefault="00BC19D3" w:rsidP="007F4DDE">
      <w:pPr>
        <w:spacing w:line="480" w:lineRule="auto"/>
      </w:pPr>
    </w:p>
    <w:p w:rsidR="00BC19D3" w:rsidRDefault="00BC19D3" w:rsidP="007F4DDE">
      <w:pPr>
        <w:spacing w:line="480" w:lineRule="auto"/>
      </w:pPr>
    </w:p>
    <w:p w:rsidR="00BC19D3" w:rsidRDefault="00BC19D3" w:rsidP="007F4DDE">
      <w:pPr>
        <w:spacing w:line="480" w:lineRule="auto"/>
      </w:pPr>
    </w:p>
    <w:p w:rsidR="00E636EF" w:rsidRPr="003626D9" w:rsidRDefault="001D1A9E" w:rsidP="007F4DDE">
      <w:pPr>
        <w:spacing w:line="480" w:lineRule="auto"/>
      </w:pPr>
      <w:r w:rsidRPr="001D1A9E">
        <w:rPr>
          <w:sz w:val="24"/>
          <w:u w:val="single"/>
        </w:rPr>
        <w:lastRenderedPageBreak/>
        <w:t>Bibliography</w:t>
      </w:r>
    </w:p>
    <w:p w:rsidR="00EE7AEA" w:rsidRDefault="009256F7" w:rsidP="007F4DDE">
      <w:pPr>
        <w:spacing w:line="480" w:lineRule="auto"/>
        <w:rPr>
          <w:sz w:val="24"/>
          <w:u w:val="single"/>
        </w:rPr>
      </w:pPr>
      <w:r>
        <w:rPr>
          <w:sz w:val="24"/>
          <w:u w:val="single"/>
        </w:rPr>
        <w:t>Ancient Scholarship</w:t>
      </w:r>
    </w:p>
    <w:p w:rsidR="009256F7" w:rsidRDefault="009256F7" w:rsidP="007F4DDE">
      <w:pPr>
        <w:pStyle w:val="ListParagraph"/>
        <w:numPr>
          <w:ilvl w:val="0"/>
          <w:numId w:val="2"/>
        </w:numPr>
        <w:spacing w:line="480" w:lineRule="auto"/>
      </w:pPr>
      <w:r>
        <w:t>Thucydides, History of the Peloponnesian War. R. Warner (trans). 1954. London: Penguin Books Ltd.</w:t>
      </w:r>
    </w:p>
    <w:p w:rsidR="009256F7" w:rsidRDefault="009256F7" w:rsidP="007F4DDE">
      <w:pPr>
        <w:pStyle w:val="ListParagraph"/>
        <w:numPr>
          <w:ilvl w:val="0"/>
          <w:numId w:val="2"/>
        </w:numPr>
        <w:spacing w:line="480" w:lineRule="auto"/>
      </w:pPr>
      <w:r>
        <w:t>Herodotus, The Histories. A. D. Godley (trans). 1920. Cambridge: Harvard University Press.</w:t>
      </w:r>
    </w:p>
    <w:p w:rsidR="009256F7" w:rsidRDefault="009256F7" w:rsidP="007F4DDE">
      <w:pPr>
        <w:pStyle w:val="ListParagraph"/>
        <w:numPr>
          <w:ilvl w:val="0"/>
          <w:numId w:val="2"/>
        </w:numPr>
        <w:spacing w:line="480" w:lineRule="auto"/>
      </w:pPr>
      <w:r>
        <w:t>Xenophon, Hellenica. C. L. Brownson (trans). 1989. Harvard: Harvard University Press.</w:t>
      </w:r>
    </w:p>
    <w:p w:rsidR="009D77D5" w:rsidRPr="009256F7" w:rsidRDefault="009D77D5" w:rsidP="007F4DDE">
      <w:pPr>
        <w:pStyle w:val="ListParagraph"/>
        <w:numPr>
          <w:ilvl w:val="0"/>
          <w:numId w:val="2"/>
        </w:numPr>
        <w:spacing w:line="480" w:lineRule="auto"/>
      </w:pPr>
      <w:r>
        <w:t>Xenophon, On The Cavalry Commander. E. C. Marchant (trans). 1925. Harvard: Harvard University Press.</w:t>
      </w:r>
    </w:p>
    <w:p w:rsidR="00D36E0B" w:rsidRDefault="009256F7" w:rsidP="007F4DDE">
      <w:pPr>
        <w:spacing w:line="480" w:lineRule="auto"/>
        <w:rPr>
          <w:sz w:val="24"/>
          <w:u w:val="single"/>
        </w:rPr>
      </w:pPr>
      <w:r>
        <w:rPr>
          <w:sz w:val="24"/>
          <w:u w:val="single"/>
        </w:rPr>
        <w:t>Modern Scholarship</w:t>
      </w:r>
    </w:p>
    <w:p w:rsidR="001A778E" w:rsidRDefault="001A778E" w:rsidP="007F4DDE">
      <w:pPr>
        <w:pStyle w:val="ListParagraph"/>
        <w:numPr>
          <w:ilvl w:val="0"/>
          <w:numId w:val="2"/>
        </w:numPr>
        <w:spacing w:line="480" w:lineRule="auto"/>
      </w:pPr>
      <w:proofErr w:type="spellStart"/>
      <w:r>
        <w:t>Bugh</w:t>
      </w:r>
      <w:proofErr w:type="spellEnd"/>
      <w:r>
        <w:t xml:space="preserve"> Glenn R. ‘Cavalry Inscriptions from the Athenian Agora’ </w:t>
      </w:r>
      <w:r>
        <w:rPr>
          <w:i/>
        </w:rPr>
        <w:t>Hesperia</w:t>
      </w:r>
      <w:r>
        <w:t xml:space="preserve">, Vol. 67, No. 1 (Jan. – </w:t>
      </w:r>
      <w:proofErr w:type="gramStart"/>
      <w:r>
        <w:t>Mar.,</w:t>
      </w:r>
      <w:proofErr w:type="gramEnd"/>
      <w:r>
        <w:t xml:space="preserve"> 1998), pp. 81-90.</w:t>
      </w:r>
    </w:p>
    <w:p w:rsidR="00AD5185" w:rsidRDefault="00AD5185" w:rsidP="007F4DDE">
      <w:pPr>
        <w:pStyle w:val="ListParagraph"/>
        <w:numPr>
          <w:ilvl w:val="0"/>
          <w:numId w:val="2"/>
        </w:numPr>
        <w:spacing w:line="480" w:lineRule="auto"/>
      </w:pPr>
      <w:proofErr w:type="spellStart"/>
      <w:r>
        <w:t>Bugh</w:t>
      </w:r>
      <w:proofErr w:type="spellEnd"/>
      <w:r>
        <w:t xml:space="preserve"> Glenn R. ‘Introduction of the </w:t>
      </w:r>
      <w:proofErr w:type="spellStart"/>
      <w:r>
        <w:t>Katalogeis</w:t>
      </w:r>
      <w:proofErr w:type="spellEnd"/>
      <w:r>
        <w:t xml:space="preserve"> of the Athenian Cavalry’ </w:t>
      </w:r>
      <w:r>
        <w:rPr>
          <w:i/>
        </w:rPr>
        <w:t>Transactions of the American Philological Association</w:t>
      </w:r>
      <w:r>
        <w:t xml:space="preserve"> (1974-), vol. 112, (1982), pp. 23-32.</w:t>
      </w:r>
    </w:p>
    <w:p w:rsidR="00C368F3" w:rsidRPr="009256F7" w:rsidRDefault="00C368F3" w:rsidP="007F4DDE">
      <w:pPr>
        <w:pStyle w:val="ListParagraph"/>
        <w:numPr>
          <w:ilvl w:val="0"/>
          <w:numId w:val="2"/>
        </w:numPr>
        <w:spacing w:line="480" w:lineRule="auto"/>
      </w:pPr>
      <w:proofErr w:type="spellStart"/>
      <w:r>
        <w:t>Bugh</w:t>
      </w:r>
      <w:proofErr w:type="spellEnd"/>
      <w:r>
        <w:t xml:space="preserve"> Glenn R. 2014. Horseman of Athens. Princeton: Princeton University Press.</w:t>
      </w:r>
    </w:p>
    <w:p w:rsidR="009256F7" w:rsidRDefault="009256F7" w:rsidP="007F4DDE">
      <w:pPr>
        <w:pStyle w:val="ListParagraph"/>
        <w:numPr>
          <w:ilvl w:val="0"/>
          <w:numId w:val="2"/>
        </w:numPr>
        <w:spacing w:line="480" w:lineRule="auto"/>
      </w:pPr>
      <w:r>
        <w:t>Cartledge, P. 2002. Sparta and Lakonia: A Regional History 1300 to 362 BC. New York: Routledge.</w:t>
      </w:r>
    </w:p>
    <w:p w:rsidR="007B2E11" w:rsidRPr="007B2E11" w:rsidRDefault="007B2E11" w:rsidP="007F4DDE">
      <w:pPr>
        <w:pStyle w:val="ListParagraph"/>
        <w:numPr>
          <w:ilvl w:val="0"/>
          <w:numId w:val="2"/>
        </w:numPr>
        <w:spacing w:line="480" w:lineRule="auto"/>
      </w:pPr>
      <w:r w:rsidRPr="007B2E11">
        <w:t>Evans J. A. S. ‘Cavalry about the Time of the Persian Wars: A Speculative Essay’ The</w:t>
      </w:r>
      <w:r>
        <w:t xml:space="preserve"> </w:t>
      </w:r>
      <w:r w:rsidRPr="007B2E11">
        <w:t>Classical Journal, Vol. 82, No. 2 (</w:t>
      </w:r>
      <w:proofErr w:type="gramStart"/>
      <w:r w:rsidRPr="007B2E11">
        <w:t>Dec.,</w:t>
      </w:r>
      <w:proofErr w:type="gramEnd"/>
      <w:r w:rsidRPr="007B2E11">
        <w:t xml:space="preserve"> 1986 - Jan., 1987), pp. 97-106</w:t>
      </w:r>
      <w:r>
        <w:t>.</w:t>
      </w:r>
    </w:p>
    <w:p w:rsidR="007B2E11" w:rsidRPr="007B2E11" w:rsidRDefault="007B2E11" w:rsidP="007F4DDE">
      <w:pPr>
        <w:pStyle w:val="ListParagraph"/>
        <w:numPr>
          <w:ilvl w:val="0"/>
          <w:numId w:val="2"/>
        </w:numPr>
        <w:spacing w:line="480" w:lineRule="auto"/>
      </w:pPr>
      <w:proofErr w:type="spellStart"/>
      <w:r w:rsidRPr="007B2E11">
        <w:t>Fornara</w:t>
      </w:r>
      <w:proofErr w:type="spellEnd"/>
      <w:r w:rsidRPr="007B2E11">
        <w:t xml:space="preserve"> Charles W. ‘Cleon's Attack against the Cavalry’ </w:t>
      </w:r>
      <w:r w:rsidRPr="00256EA2">
        <w:rPr>
          <w:i/>
        </w:rPr>
        <w:t>The Classical Quarterly</w:t>
      </w:r>
      <w:r w:rsidRPr="007B2E11">
        <w:t>, New</w:t>
      </w:r>
      <w:r>
        <w:t xml:space="preserve"> </w:t>
      </w:r>
      <w:r w:rsidRPr="007B2E11">
        <w:t>Series, Vol. 23, No. 1 (</w:t>
      </w:r>
      <w:proofErr w:type="gramStart"/>
      <w:r w:rsidRPr="007B2E11">
        <w:t>May,</w:t>
      </w:r>
      <w:proofErr w:type="gramEnd"/>
      <w:r w:rsidRPr="007B2E11">
        <w:t xml:space="preserve"> 1973), p. 24</w:t>
      </w:r>
      <w:r w:rsidR="00256EA2">
        <w:t>.</w:t>
      </w:r>
    </w:p>
    <w:p w:rsidR="007B2E11" w:rsidRPr="007B2E11" w:rsidRDefault="007B2E11" w:rsidP="007F4DDE">
      <w:pPr>
        <w:pStyle w:val="ListParagraph"/>
        <w:numPr>
          <w:ilvl w:val="0"/>
          <w:numId w:val="2"/>
        </w:numPr>
        <w:spacing w:line="480" w:lineRule="auto"/>
      </w:pPr>
      <w:proofErr w:type="spellStart"/>
      <w:r w:rsidRPr="007B2E11">
        <w:t>Gaebel</w:t>
      </w:r>
      <w:proofErr w:type="spellEnd"/>
      <w:r w:rsidRPr="007B2E11">
        <w:t xml:space="preserve">, Robert E., </w:t>
      </w:r>
      <w:r w:rsidRPr="00256EA2">
        <w:rPr>
          <w:i/>
        </w:rPr>
        <w:t>Cavalry Operations in the Ancient Greek World</w:t>
      </w:r>
      <w:r w:rsidRPr="007B2E11">
        <w:t>, University of</w:t>
      </w:r>
      <w:r>
        <w:t xml:space="preserve"> </w:t>
      </w:r>
      <w:r w:rsidRPr="007B2E11">
        <w:t>Oklahoma Press, 2002 [E-book]</w:t>
      </w:r>
      <w:r w:rsidR="00256EA2">
        <w:t>.</w:t>
      </w:r>
    </w:p>
    <w:p w:rsidR="007B2E11" w:rsidRPr="007B2E11" w:rsidRDefault="007B2E11" w:rsidP="007F4DDE">
      <w:pPr>
        <w:pStyle w:val="ListParagraph"/>
        <w:numPr>
          <w:ilvl w:val="0"/>
          <w:numId w:val="2"/>
        </w:numPr>
        <w:spacing w:line="480" w:lineRule="auto"/>
      </w:pPr>
      <w:r w:rsidRPr="007B2E11">
        <w:t>Golden Mark ‘Equestrian Competition in Ancient Greece: Difference, Dissent,</w:t>
      </w:r>
      <w:r>
        <w:t xml:space="preserve"> </w:t>
      </w:r>
      <w:r w:rsidRPr="007B2E11">
        <w:t xml:space="preserve">Democracy’ </w:t>
      </w:r>
      <w:r w:rsidRPr="00256EA2">
        <w:rPr>
          <w:i/>
        </w:rPr>
        <w:t>Phoenix</w:t>
      </w:r>
      <w:r w:rsidRPr="007B2E11">
        <w:t>, Vol. 51, No. 3/4 (Autumn - Winter, 1997), pp. 327-344</w:t>
      </w:r>
      <w:r w:rsidR="00256EA2">
        <w:t>.</w:t>
      </w:r>
    </w:p>
    <w:p w:rsidR="007B2E11" w:rsidRPr="007B2E11" w:rsidRDefault="007B2E11" w:rsidP="007F4DDE">
      <w:pPr>
        <w:pStyle w:val="ListParagraph"/>
        <w:numPr>
          <w:ilvl w:val="0"/>
          <w:numId w:val="2"/>
        </w:numPr>
        <w:spacing w:line="480" w:lineRule="auto"/>
      </w:pPr>
      <w:r w:rsidRPr="007B2E11">
        <w:lastRenderedPageBreak/>
        <w:t xml:space="preserve">Greenhalgh, </w:t>
      </w:r>
      <w:r w:rsidRPr="00256EA2">
        <w:rPr>
          <w:i/>
        </w:rPr>
        <w:t xml:space="preserve">P A L. Early Greek </w:t>
      </w:r>
      <w:proofErr w:type="gramStart"/>
      <w:r w:rsidRPr="00256EA2">
        <w:rPr>
          <w:i/>
        </w:rPr>
        <w:t>warfare :</w:t>
      </w:r>
      <w:proofErr w:type="gramEnd"/>
      <w:r w:rsidRPr="00256EA2">
        <w:rPr>
          <w:i/>
        </w:rPr>
        <w:t xml:space="preserve"> horsemen and chariots in the Homeric and Archaic Ages</w:t>
      </w:r>
      <w:r w:rsidRPr="007B2E11">
        <w:t xml:space="preserve"> Cambridge : Cambridge University Press, 1973.</w:t>
      </w:r>
    </w:p>
    <w:p w:rsidR="001A778E" w:rsidRPr="00EC2056" w:rsidRDefault="007B2E11" w:rsidP="007F4DDE">
      <w:pPr>
        <w:pStyle w:val="ListParagraph"/>
        <w:numPr>
          <w:ilvl w:val="0"/>
          <w:numId w:val="2"/>
        </w:numPr>
        <w:spacing w:line="480" w:lineRule="auto"/>
      </w:pPr>
      <w:r w:rsidRPr="007B2E11">
        <w:t xml:space="preserve">Hammond Nicholas G. L. ‘Cavalry Recruited in Macedonia down to 322 B.C.’ </w:t>
      </w:r>
      <w:r w:rsidRPr="00256EA2">
        <w:rPr>
          <w:i/>
        </w:rPr>
        <w:t xml:space="preserve">Historia: </w:t>
      </w:r>
      <w:proofErr w:type="spellStart"/>
      <w:r w:rsidRPr="00256EA2">
        <w:rPr>
          <w:i/>
        </w:rPr>
        <w:t>Zeitschrift</w:t>
      </w:r>
      <w:proofErr w:type="spellEnd"/>
      <w:r w:rsidRPr="00256EA2">
        <w:rPr>
          <w:i/>
        </w:rPr>
        <w:t xml:space="preserve"> </w:t>
      </w:r>
      <w:proofErr w:type="spellStart"/>
      <w:r w:rsidRPr="00EC2056">
        <w:rPr>
          <w:i/>
        </w:rPr>
        <w:t>für</w:t>
      </w:r>
      <w:proofErr w:type="spellEnd"/>
      <w:r w:rsidRPr="00EC2056">
        <w:rPr>
          <w:i/>
        </w:rPr>
        <w:t xml:space="preserve"> Alte </w:t>
      </w:r>
      <w:proofErr w:type="spellStart"/>
      <w:r w:rsidRPr="00EC2056">
        <w:rPr>
          <w:i/>
        </w:rPr>
        <w:t>Geschichte</w:t>
      </w:r>
      <w:proofErr w:type="spellEnd"/>
      <w:r w:rsidRPr="00EC2056">
        <w:t>, Vol. 47, No. 4 (4th Qtr., 1998), pp. 404-425</w:t>
      </w:r>
      <w:r w:rsidR="00256EA2" w:rsidRPr="00EC2056">
        <w:t>.</w:t>
      </w:r>
    </w:p>
    <w:p w:rsidR="00931F7C" w:rsidRPr="00EC2056" w:rsidRDefault="00931F7C" w:rsidP="007F4DDE">
      <w:pPr>
        <w:pStyle w:val="ListParagraph"/>
        <w:numPr>
          <w:ilvl w:val="0"/>
          <w:numId w:val="2"/>
        </w:numPr>
        <w:spacing w:line="480" w:lineRule="auto"/>
      </w:pPr>
      <w:r w:rsidRPr="00EC2056">
        <w:t>Hunter, J. H. 2005. 'Pericles' Cavalry Strategy', </w:t>
      </w:r>
      <w:proofErr w:type="spellStart"/>
      <w:r w:rsidRPr="00EC2056">
        <w:rPr>
          <w:i/>
        </w:rPr>
        <w:t>Quaderni</w:t>
      </w:r>
      <w:proofErr w:type="spellEnd"/>
      <w:r w:rsidRPr="00EC2056">
        <w:rPr>
          <w:i/>
        </w:rPr>
        <w:t xml:space="preserve"> </w:t>
      </w:r>
      <w:proofErr w:type="spellStart"/>
      <w:r w:rsidRPr="00EC2056">
        <w:rPr>
          <w:i/>
        </w:rPr>
        <w:t>Urbinati</w:t>
      </w:r>
      <w:proofErr w:type="spellEnd"/>
      <w:r w:rsidRPr="00EC2056">
        <w:rPr>
          <w:i/>
        </w:rPr>
        <w:t xml:space="preserve"> di </w:t>
      </w:r>
      <w:proofErr w:type="spellStart"/>
      <w:r w:rsidRPr="00EC2056">
        <w:rPr>
          <w:i/>
        </w:rPr>
        <w:t>Cultura</w:t>
      </w:r>
      <w:proofErr w:type="spellEnd"/>
      <w:r w:rsidRPr="00EC2056">
        <w:rPr>
          <w:i/>
        </w:rPr>
        <w:t xml:space="preserve"> Classica</w:t>
      </w:r>
      <w:r w:rsidRPr="00EC2056">
        <w:t>, 81, 3, 101-108.</w:t>
      </w:r>
    </w:p>
    <w:p w:rsidR="00256EA2" w:rsidRPr="00EC2056" w:rsidRDefault="00256EA2" w:rsidP="007F4DDE">
      <w:pPr>
        <w:pStyle w:val="ListParagraph"/>
        <w:numPr>
          <w:ilvl w:val="0"/>
          <w:numId w:val="2"/>
        </w:numPr>
        <w:spacing w:line="480" w:lineRule="auto"/>
      </w:pPr>
      <w:r w:rsidRPr="00EC2056">
        <w:t xml:space="preserve">J. K. Anderson ‘Greek Chariot-Borne and Mounted Infantry’ </w:t>
      </w:r>
      <w:r w:rsidRPr="00EC2056">
        <w:rPr>
          <w:i/>
        </w:rPr>
        <w:t>American Journal of Archaeology</w:t>
      </w:r>
      <w:r w:rsidRPr="00EC2056">
        <w:t>, Vol. 79, No. 3 (</w:t>
      </w:r>
      <w:proofErr w:type="gramStart"/>
      <w:r w:rsidRPr="00EC2056">
        <w:t>Jul.,</w:t>
      </w:r>
      <w:proofErr w:type="gramEnd"/>
      <w:r w:rsidRPr="00EC2056">
        <w:t xml:space="preserve"> 1975), pp. 175-187.</w:t>
      </w:r>
    </w:p>
    <w:p w:rsidR="00F60527" w:rsidRPr="00EC2056" w:rsidRDefault="00F60527" w:rsidP="007F4DDE">
      <w:pPr>
        <w:pStyle w:val="ListParagraph"/>
        <w:numPr>
          <w:ilvl w:val="0"/>
          <w:numId w:val="2"/>
        </w:numPr>
        <w:autoSpaceDE w:val="0"/>
        <w:autoSpaceDN w:val="0"/>
        <w:adjustRightInd w:val="0"/>
        <w:spacing w:after="0" w:line="480" w:lineRule="auto"/>
      </w:pPr>
      <w:r w:rsidRPr="00EC2056">
        <w:t xml:space="preserve">Knight Donald W. ‘Thucydides and the War Strategy of </w:t>
      </w:r>
      <w:proofErr w:type="spellStart"/>
      <w:r w:rsidRPr="00EC2056">
        <w:t>Perikles</w:t>
      </w:r>
      <w:proofErr w:type="spellEnd"/>
      <w:r w:rsidRPr="00EC2056">
        <w:t xml:space="preserve">’ </w:t>
      </w:r>
      <w:r w:rsidRPr="00EC2056">
        <w:rPr>
          <w:i/>
        </w:rPr>
        <w:t>Mnemosyne</w:t>
      </w:r>
      <w:r w:rsidR="00634A64">
        <w:rPr>
          <w:i/>
        </w:rPr>
        <w:t>’</w:t>
      </w:r>
      <w:r w:rsidRPr="00EC2056">
        <w:t>, Fourth Series, Vol. 23, Fasc. 2 (1970), pp. 150-161.</w:t>
      </w:r>
    </w:p>
    <w:p w:rsidR="00F23537" w:rsidRPr="009256F7" w:rsidRDefault="00F23537" w:rsidP="007F4DDE">
      <w:pPr>
        <w:pStyle w:val="ListParagraph"/>
        <w:numPr>
          <w:ilvl w:val="0"/>
          <w:numId w:val="2"/>
        </w:numPr>
        <w:autoSpaceDE w:val="0"/>
        <w:autoSpaceDN w:val="0"/>
        <w:adjustRightInd w:val="0"/>
        <w:spacing w:after="0" w:line="480" w:lineRule="auto"/>
      </w:pPr>
      <w:r w:rsidRPr="00152E32">
        <w:t>Littauer Mary Aiken ‘The Military Use of the Chariot i</w:t>
      </w:r>
      <w:r>
        <w:t xml:space="preserve">n the Aegean in the Late Bronze </w:t>
      </w:r>
      <w:r w:rsidRPr="00152E32">
        <w:t xml:space="preserve">Age’ </w:t>
      </w:r>
      <w:r w:rsidRPr="00356196">
        <w:rPr>
          <w:i/>
        </w:rPr>
        <w:t>American Journal of Archaeology</w:t>
      </w:r>
      <w:r w:rsidRPr="00152E32">
        <w:t>, Vol. 76, No. 2 (</w:t>
      </w:r>
      <w:proofErr w:type="gramStart"/>
      <w:r w:rsidRPr="00152E32">
        <w:t>Apr.,</w:t>
      </w:r>
      <w:proofErr w:type="gramEnd"/>
      <w:r w:rsidRPr="00152E32">
        <w:t xml:space="preserve"> 1972), pp</w:t>
      </w:r>
      <w:r w:rsidRPr="00152E32">
        <w:rPr>
          <w:rFonts w:ascii="Times-Roman" w:hAnsi="Times-Roman" w:cs="Times-Roman"/>
          <w:sz w:val="23"/>
          <w:szCs w:val="23"/>
        </w:rPr>
        <w:t>. 145-157</w:t>
      </w:r>
      <w:r>
        <w:rPr>
          <w:rFonts w:ascii="Times-Roman" w:hAnsi="Times-Roman" w:cs="Times-Roman"/>
          <w:sz w:val="23"/>
          <w:szCs w:val="23"/>
        </w:rPr>
        <w:t>.</w:t>
      </w:r>
    </w:p>
    <w:p w:rsidR="00DA6E05" w:rsidRPr="00DA6E05" w:rsidRDefault="00DA6E05" w:rsidP="007F4DDE">
      <w:pPr>
        <w:pStyle w:val="ListParagraph"/>
        <w:numPr>
          <w:ilvl w:val="0"/>
          <w:numId w:val="2"/>
        </w:numPr>
        <w:autoSpaceDE w:val="0"/>
        <w:autoSpaceDN w:val="0"/>
        <w:adjustRightInd w:val="0"/>
        <w:spacing w:after="0" w:line="480" w:lineRule="auto"/>
      </w:pPr>
      <w:r w:rsidRPr="00DA6E05">
        <w:t xml:space="preserve">Munn Mark </w:t>
      </w:r>
      <w:proofErr w:type="gramStart"/>
      <w:r w:rsidRPr="00DA6E05">
        <w:rPr>
          <w:i/>
        </w:rPr>
        <w:t>The</w:t>
      </w:r>
      <w:proofErr w:type="gramEnd"/>
      <w:r w:rsidRPr="00DA6E05">
        <w:rPr>
          <w:i/>
        </w:rPr>
        <w:t xml:space="preserve"> </w:t>
      </w:r>
      <w:proofErr w:type="spellStart"/>
      <w:r w:rsidRPr="00DA6E05">
        <w:rPr>
          <w:i/>
        </w:rPr>
        <w:t>Defense</w:t>
      </w:r>
      <w:proofErr w:type="spellEnd"/>
      <w:r w:rsidRPr="00DA6E05">
        <w:rPr>
          <w:i/>
        </w:rPr>
        <w:t xml:space="preserve"> of Attica: The Dema Wall and the </w:t>
      </w:r>
      <w:proofErr w:type="spellStart"/>
      <w:r w:rsidRPr="00DA6E05">
        <w:rPr>
          <w:i/>
        </w:rPr>
        <w:t>Boiotian</w:t>
      </w:r>
      <w:proofErr w:type="spellEnd"/>
      <w:r w:rsidRPr="00DA6E05">
        <w:rPr>
          <w:i/>
        </w:rPr>
        <w:t xml:space="preserve"> War of 378-375</w:t>
      </w:r>
      <w:r w:rsidRPr="00DA6E05">
        <w:t xml:space="preserve"> B.C University of California Press, 1993 [E-book]</w:t>
      </w:r>
      <w:r>
        <w:t>.</w:t>
      </w:r>
    </w:p>
    <w:p w:rsidR="00EA780F" w:rsidRDefault="00EA780F" w:rsidP="007F4DDE">
      <w:pPr>
        <w:pStyle w:val="ListParagraph"/>
        <w:numPr>
          <w:ilvl w:val="0"/>
          <w:numId w:val="2"/>
        </w:numPr>
        <w:spacing w:line="480" w:lineRule="auto"/>
      </w:pPr>
      <w:r>
        <w:t>Ober, J. 1985. The Craft of the Ancient Historian. New York: University Press of America.</w:t>
      </w:r>
    </w:p>
    <w:p w:rsidR="00931F7C" w:rsidRDefault="00256EA2" w:rsidP="007F4DDE">
      <w:pPr>
        <w:pStyle w:val="ListParagraph"/>
        <w:numPr>
          <w:ilvl w:val="0"/>
          <w:numId w:val="2"/>
        </w:numPr>
        <w:spacing w:line="480" w:lineRule="auto"/>
      </w:pPr>
      <w:r w:rsidRPr="00256EA2">
        <w:t xml:space="preserve">Shrimpton Gordon ‘The Persian Cavalry at Marathon’ </w:t>
      </w:r>
      <w:r w:rsidRPr="00256EA2">
        <w:rPr>
          <w:i/>
        </w:rPr>
        <w:t>Phoenix</w:t>
      </w:r>
      <w:r w:rsidRPr="00256EA2">
        <w:t>, Vol. 34, No. 1 (Spring,</w:t>
      </w:r>
      <w:r>
        <w:t xml:space="preserve"> </w:t>
      </w:r>
      <w:r w:rsidRPr="00256EA2">
        <w:t>1980), pp. 20-37</w:t>
      </w:r>
      <w:r>
        <w:t>.</w:t>
      </w:r>
    </w:p>
    <w:p w:rsidR="00611B7E" w:rsidRPr="00611B7E" w:rsidRDefault="00611B7E" w:rsidP="007F4DDE">
      <w:pPr>
        <w:pStyle w:val="ListParagraph"/>
        <w:numPr>
          <w:ilvl w:val="0"/>
          <w:numId w:val="2"/>
        </w:numPr>
        <w:spacing w:line="480" w:lineRule="auto"/>
      </w:pPr>
      <w:r>
        <w:t>Spence</w:t>
      </w:r>
      <w:r w:rsidRPr="00611B7E">
        <w:t>,</w:t>
      </w:r>
      <w:r>
        <w:t xml:space="preserve"> I. G.</w:t>
      </w:r>
      <w:r w:rsidR="00C8378E">
        <w:t xml:space="preserve"> 1990.</w:t>
      </w:r>
      <w:r w:rsidRPr="00611B7E">
        <w:t xml:space="preserve"> 'Pericles and the Defence of Attica During the Peloponnesian War', </w:t>
      </w:r>
      <w:r w:rsidR="00C8378E" w:rsidRPr="00B71A28">
        <w:rPr>
          <w:i/>
        </w:rPr>
        <w:t>The Journal of Hellenic Studies</w:t>
      </w:r>
      <w:r w:rsidR="00C8378E">
        <w:t>,</w:t>
      </w:r>
      <w:r w:rsidRPr="00611B7E">
        <w:t xml:space="preserve"> 110, 91-109.</w:t>
      </w:r>
    </w:p>
    <w:p w:rsidR="00611B7E" w:rsidRDefault="003A2E48" w:rsidP="007F4DDE">
      <w:pPr>
        <w:pStyle w:val="ListParagraph"/>
        <w:numPr>
          <w:ilvl w:val="0"/>
          <w:numId w:val="2"/>
        </w:numPr>
        <w:spacing w:line="480" w:lineRule="auto"/>
      </w:pPr>
      <w:r>
        <w:t xml:space="preserve">Spence, I. G. 1993. The Cavalry of Classical Greece: A Social and Military History with </w:t>
      </w:r>
      <w:proofErr w:type="gramStart"/>
      <w:r>
        <w:t>Particular Reference</w:t>
      </w:r>
      <w:proofErr w:type="gramEnd"/>
      <w:r>
        <w:t xml:space="preserve"> to Athens. Oxford: Clarendon Press. </w:t>
      </w:r>
    </w:p>
    <w:p w:rsidR="007F4DDE" w:rsidRDefault="007F4DDE" w:rsidP="007F4DDE">
      <w:pPr>
        <w:spacing w:line="480" w:lineRule="auto"/>
        <w:rPr>
          <w:sz w:val="24"/>
        </w:rPr>
      </w:pPr>
    </w:p>
    <w:p w:rsidR="007F4DDE" w:rsidRPr="007F4DDE" w:rsidRDefault="007F4DDE" w:rsidP="007F4DDE">
      <w:pPr>
        <w:spacing w:line="480" w:lineRule="auto"/>
      </w:pPr>
      <w:r w:rsidRPr="007F4DDE">
        <w:t>Word Count: 2295</w:t>
      </w:r>
    </w:p>
    <w:p w:rsidR="00611B7E" w:rsidRPr="00611B7E" w:rsidRDefault="00611B7E" w:rsidP="007F4DDE">
      <w:pPr>
        <w:spacing w:line="480" w:lineRule="auto"/>
      </w:pPr>
    </w:p>
    <w:sectPr w:rsidR="00611B7E" w:rsidRPr="00611B7E">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B084D" w:rsidRDefault="008B084D" w:rsidP="007315A1">
      <w:pPr>
        <w:spacing w:after="0" w:line="240" w:lineRule="auto"/>
      </w:pPr>
      <w:r>
        <w:separator/>
      </w:r>
    </w:p>
  </w:endnote>
  <w:endnote w:type="continuationSeparator" w:id="0">
    <w:p w:rsidR="008B084D" w:rsidRDefault="008B084D" w:rsidP="007315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Times-Roman">
    <w:altName w:val="Times New Roman"/>
    <w:panose1 w:val="00000000000000000000"/>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B084D" w:rsidRDefault="008B084D" w:rsidP="007315A1">
      <w:pPr>
        <w:spacing w:after="0" w:line="240" w:lineRule="auto"/>
      </w:pPr>
      <w:r>
        <w:separator/>
      </w:r>
    </w:p>
  </w:footnote>
  <w:footnote w:type="continuationSeparator" w:id="0">
    <w:p w:rsidR="008B084D" w:rsidRDefault="008B084D" w:rsidP="007315A1">
      <w:pPr>
        <w:spacing w:after="0" w:line="240" w:lineRule="auto"/>
      </w:pPr>
      <w:r>
        <w:continuationSeparator/>
      </w:r>
    </w:p>
  </w:footnote>
  <w:footnote w:id="1">
    <w:p w:rsidR="00847A9A" w:rsidRDefault="00847A9A">
      <w:pPr>
        <w:pStyle w:val="FootnoteText"/>
      </w:pPr>
      <w:r>
        <w:rPr>
          <w:rStyle w:val="FootnoteReference"/>
        </w:rPr>
        <w:footnoteRef/>
      </w:r>
      <w:r>
        <w:t xml:space="preserve"> Hunter </w:t>
      </w:r>
      <w:r w:rsidR="000A68F1">
        <w:t>2005: 101</w:t>
      </w:r>
    </w:p>
  </w:footnote>
  <w:footnote w:id="2">
    <w:p w:rsidR="000A68F1" w:rsidRDefault="000A68F1">
      <w:pPr>
        <w:pStyle w:val="FootnoteText"/>
      </w:pPr>
      <w:r>
        <w:rPr>
          <w:rStyle w:val="FootnoteReference"/>
        </w:rPr>
        <w:footnoteRef/>
      </w:r>
      <w:r>
        <w:t xml:space="preserve"> Hunter 2005: 108</w:t>
      </w:r>
    </w:p>
  </w:footnote>
  <w:footnote w:id="3">
    <w:p w:rsidR="000A68F1" w:rsidRDefault="000A68F1">
      <w:pPr>
        <w:pStyle w:val="FootnoteText"/>
      </w:pPr>
      <w:r>
        <w:rPr>
          <w:rStyle w:val="FootnoteReference"/>
        </w:rPr>
        <w:footnoteRef/>
      </w:r>
      <w:r>
        <w:t xml:space="preserve"> Hunter 2005: 102</w:t>
      </w:r>
    </w:p>
  </w:footnote>
  <w:footnote w:id="4">
    <w:p w:rsidR="000A68F1" w:rsidRDefault="000A68F1">
      <w:pPr>
        <w:pStyle w:val="FootnoteText"/>
      </w:pPr>
      <w:r>
        <w:rPr>
          <w:rStyle w:val="FootnoteReference"/>
        </w:rPr>
        <w:footnoteRef/>
      </w:r>
      <w:r>
        <w:t xml:space="preserve"> Spence 1990: 101</w:t>
      </w:r>
    </w:p>
  </w:footnote>
  <w:footnote w:id="5">
    <w:p w:rsidR="004A78AE" w:rsidRDefault="004A78AE">
      <w:pPr>
        <w:pStyle w:val="FootnoteText"/>
      </w:pPr>
      <w:r>
        <w:rPr>
          <w:rStyle w:val="FootnoteReference"/>
        </w:rPr>
        <w:footnoteRef/>
      </w:r>
      <w:r>
        <w:t xml:space="preserve"> Hunter 2005: 103</w:t>
      </w:r>
    </w:p>
  </w:footnote>
  <w:footnote w:id="6">
    <w:p w:rsidR="00712A93" w:rsidRDefault="00712A93">
      <w:pPr>
        <w:pStyle w:val="FootnoteText"/>
      </w:pPr>
      <w:r>
        <w:rPr>
          <w:rStyle w:val="FootnoteReference"/>
        </w:rPr>
        <w:footnoteRef/>
      </w:r>
      <w:r>
        <w:t xml:space="preserve"> Hunter 2005: 102</w:t>
      </w:r>
    </w:p>
  </w:footnote>
  <w:footnote w:id="7">
    <w:p w:rsidR="008C4E09" w:rsidRDefault="008C4E09">
      <w:pPr>
        <w:pStyle w:val="FootnoteText"/>
      </w:pPr>
      <w:r>
        <w:rPr>
          <w:rStyle w:val="FootnoteReference"/>
        </w:rPr>
        <w:footnoteRef/>
      </w:r>
      <w:r>
        <w:t xml:space="preserve"> Spence 1990: 109</w:t>
      </w:r>
    </w:p>
  </w:footnote>
  <w:footnote w:id="8">
    <w:p w:rsidR="00EE54E8" w:rsidRDefault="00EE54E8">
      <w:pPr>
        <w:pStyle w:val="FootnoteText"/>
      </w:pPr>
      <w:r>
        <w:rPr>
          <w:rStyle w:val="FootnoteReference"/>
        </w:rPr>
        <w:footnoteRef/>
      </w:r>
      <w:r>
        <w:t xml:space="preserve"> </w:t>
      </w:r>
      <w:proofErr w:type="spellStart"/>
      <w:r>
        <w:t>Thuc</w:t>
      </w:r>
      <w:proofErr w:type="spellEnd"/>
      <w:r>
        <w:t>. 1.143.5</w:t>
      </w:r>
    </w:p>
  </w:footnote>
  <w:footnote w:id="9">
    <w:p w:rsidR="009113AA" w:rsidRDefault="009113AA">
      <w:pPr>
        <w:pStyle w:val="FootnoteText"/>
      </w:pPr>
      <w:r>
        <w:rPr>
          <w:rStyle w:val="FootnoteReference"/>
        </w:rPr>
        <w:footnoteRef/>
      </w:r>
      <w:r>
        <w:t xml:space="preserve"> </w:t>
      </w:r>
      <w:proofErr w:type="spellStart"/>
      <w:r>
        <w:t>Thuc</w:t>
      </w:r>
      <w:proofErr w:type="spellEnd"/>
      <w:r>
        <w:t>. 1.139.4</w:t>
      </w:r>
    </w:p>
  </w:footnote>
  <w:footnote w:id="10">
    <w:p w:rsidR="00FF4700" w:rsidRDefault="00FF4700">
      <w:pPr>
        <w:pStyle w:val="FootnoteText"/>
      </w:pPr>
      <w:r>
        <w:rPr>
          <w:rStyle w:val="FootnoteReference"/>
        </w:rPr>
        <w:footnoteRef/>
      </w:r>
      <w:r>
        <w:t xml:space="preserve"> </w:t>
      </w:r>
      <w:proofErr w:type="spellStart"/>
      <w:r>
        <w:t>Thuc</w:t>
      </w:r>
      <w:proofErr w:type="spellEnd"/>
      <w:r w:rsidR="00002045">
        <w:t>.</w:t>
      </w:r>
      <w:r>
        <w:t xml:space="preserve"> 1.139.4</w:t>
      </w:r>
    </w:p>
  </w:footnote>
  <w:footnote w:id="11">
    <w:p w:rsidR="00761AA3" w:rsidRDefault="00761AA3">
      <w:pPr>
        <w:pStyle w:val="FootnoteText"/>
      </w:pPr>
      <w:r>
        <w:rPr>
          <w:rStyle w:val="FootnoteReference"/>
        </w:rPr>
        <w:footnoteRef/>
      </w:r>
      <w:r>
        <w:t xml:space="preserve"> Hunter 2005: 108</w:t>
      </w:r>
    </w:p>
  </w:footnote>
  <w:footnote w:id="12">
    <w:p w:rsidR="00002045" w:rsidRDefault="00002045">
      <w:pPr>
        <w:pStyle w:val="FootnoteText"/>
      </w:pPr>
      <w:r>
        <w:rPr>
          <w:rStyle w:val="FootnoteReference"/>
        </w:rPr>
        <w:footnoteRef/>
      </w:r>
      <w:r>
        <w:t xml:space="preserve"> </w:t>
      </w:r>
      <w:proofErr w:type="spellStart"/>
      <w:r>
        <w:t>Thuc</w:t>
      </w:r>
      <w:proofErr w:type="spellEnd"/>
      <w:r>
        <w:t>. 1.111.1</w:t>
      </w:r>
    </w:p>
  </w:footnote>
  <w:footnote w:id="13">
    <w:p w:rsidR="00AD0E85" w:rsidRDefault="00AD0E85">
      <w:pPr>
        <w:pStyle w:val="FootnoteText"/>
      </w:pPr>
      <w:r>
        <w:rPr>
          <w:rStyle w:val="FootnoteReference"/>
        </w:rPr>
        <w:footnoteRef/>
      </w:r>
      <w:r>
        <w:t xml:space="preserve"> </w:t>
      </w:r>
      <w:proofErr w:type="spellStart"/>
      <w:r>
        <w:t>Thuc</w:t>
      </w:r>
      <w:proofErr w:type="spellEnd"/>
      <w:r>
        <w:t>. 1.139.4</w:t>
      </w:r>
    </w:p>
  </w:footnote>
  <w:footnote w:id="14">
    <w:p w:rsidR="00985D76" w:rsidRDefault="00985D76">
      <w:pPr>
        <w:pStyle w:val="FootnoteText"/>
      </w:pPr>
      <w:r>
        <w:rPr>
          <w:rStyle w:val="FootnoteReference"/>
        </w:rPr>
        <w:footnoteRef/>
      </w:r>
      <w:r>
        <w:t xml:space="preserve"> Spence 1990: 109</w:t>
      </w:r>
    </w:p>
  </w:footnote>
  <w:footnote w:id="15">
    <w:p w:rsidR="00BF17F1" w:rsidRDefault="00BF17F1">
      <w:pPr>
        <w:pStyle w:val="FootnoteText"/>
      </w:pPr>
      <w:r>
        <w:rPr>
          <w:rStyle w:val="FootnoteReference"/>
        </w:rPr>
        <w:footnoteRef/>
      </w:r>
      <w:r>
        <w:t xml:space="preserve"> Hunter 2005: 103</w:t>
      </w:r>
    </w:p>
  </w:footnote>
  <w:footnote w:id="16">
    <w:p w:rsidR="006317B0" w:rsidRDefault="006317B0">
      <w:pPr>
        <w:pStyle w:val="FootnoteText"/>
      </w:pPr>
      <w:r>
        <w:rPr>
          <w:rStyle w:val="FootnoteReference"/>
        </w:rPr>
        <w:footnoteRef/>
      </w:r>
      <w:r>
        <w:t xml:space="preserve"> </w:t>
      </w:r>
      <w:proofErr w:type="spellStart"/>
      <w:r>
        <w:t>Thuc</w:t>
      </w:r>
      <w:proofErr w:type="spellEnd"/>
      <w:r>
        <w:t xml:space="preserve"> 1.143.5</w:t>
      </w:r>
    </w:p>
  </w:footnote>
  <w:footnote w:id="17">
    <w:p w:rsidR="00471902" w:rsidRDefault="00471902">
      <w:pPr>
        <w:pStyle w:val="FootnoteText"/>
      </w:pPr>
      <w:r>
        <w:rPr>
          <w:rStyle w:val="FootnoteReference"/>
        </w:rPr>
        <w:footnoteRef/>
      </w:r>
      <w:r>
        <w:t xml:space="preserve"> Spence 1990: 91-109</w:t>
      </w:r>
    </w:p>
  </w:footnote>
  <w:footnote w:id="18">
    <w:p w:rsidR="00471902" w:rsidRDefault="00471902">
      <w:pPr>
        <w:pStyle w:val="FootnoteText"/>
      </w:pPr>
      <w:r>
        <w:rPr>
          <w:rStyle w:val="FootnoteReference"/>
        </w:rPr>
        <w:footnoteRef/>
      </w:r>
      <w:r>
        <w:t xml:space="preserve"> </w:t>
      </w:r>
      <w:r w:rsidR="00EA780F">
        <w:t>Ober 1985: 171-188</w:t>
      </w:r>
    </w:p>
  </w:footnote>
  <w:footnote w:id="19">
    <w:p w:rsidR="00471902" w:rsidRDefault="00471902">
      <w:pPr>
        <w:pStyle w:val="FootnoteText"/>
      </w:pPr>
      <w:r>
        <w:rPr>
          <w:rStyle w:val="FootnoteReference"/>
        </w:rPr>
        <w:footnoteRef/>
      </w:r>
      <w:r>
        <w:t xml:space="preserve"> </w:t>
      </w:r>
      <w:proofErr w:type="spellStart"/>
      <w:r w:rsidR="00C368F3">
        <w:t>Bugh</w:t>
      </w:r>
      <w:proofErr w:type="spellEnd"/>
      <w:r w:rsidR="00C368F3">
        <w:t xml:space="preserve"> 2014</w:t>
      </w:r>
    </w:p>
  </w:footnote>
  <w:footnote w:id="20">
    <w:p w:rsidR="00C74BFC" w:rsidRDefault="00C74BFC">
      <w:pPr>
        <w:pStyle w:val="FootnoteText"/>
      </w:pPr>
      <w:r>
        <w:rPr>
          <w:rStyle w:val="FootnoteReference"/>
        </w:rPr>
        <w:footnoteRef/>
      </w:r>
      <w:r>
        <w:t xml:space="preserve"> Hunter 2005: 102</w:t>
      </w:r>
    </w:p>
  </w:footnote>
  <w:footnote w:id="21">
    <w:p w:rsidR="00A24CF7" w:rsidRDefault="00A24CF7">
      <w:pPr>
        <w:pStyle w:val="FootnoteText"/>
      </w:pPr>
      <w:r>
        <w:rPr>
          <w:rStyle w:val="FootnoteReference"/>
        </w:rPr>
        <w:footnoteRef/>
      </w:r>
      <w:r>
        <w:t xml:space="preserve"> Cartledge 2002: 11-21</w:t>
      </w:r>
    </w:p>
  </w:footnote>
  <w:footnote w:id="22">
    <w:p w:rsidR="00B145FE" w:rsidRDefault="00B145FE">
      <w:pPr>
        <w:pStyle w:val="FootnoteText"/>
      </w:pPr>
      <w:r>
        <w:rPr>
          <w:rStyle w:val="FootnoteReference"/>
        </w:rPr>
        <w:footnoteRef/>
      </w:r>
      <w:r>
        <w:t xml:space="preserve"> </w:t>
      </w:r>
      <w:proofErr w:type="spellStart"/>
      <w:r>
        <w:t>Gaebel</w:t>
      </w:r>
      <w:proofErr w:type="spellEnd"/>
      <w:r>
        <w:t xml:space="preserve"> 2002</w:t>
      </w:r>
    </w:p>
  </w:footnote>
  <w:footnote w:id="23">
    <w:p w:rsidR="00F71BC6" w:rsidRDefault="00F71BC6">
      <w:pPr>
        <w:pStyle w:val="FootnoteText"/>
      </w:pPr>
      <w:r>
        <w:rPr>
          <w:rStyle w:val="FootnoteReference"/>
        </w:rPr>
        <w:footnoteRef/>
      </w:r>
      <w:r>
        <w:t xml:space="preserve"> </w:t>
      </w:r>
      <w:proofErr w:type="spellStart"/>
      <w:r>
        <w:t>Gaebel</w:t>
      </w:r>
      <w:proofErr w:type="spellEnd"/>
      <w:r>
        <w:t xml:space="preserve"> 2002: 90</w:t>
      </w:r>
    </w:p>
  </w:footnote>
  <w:footnote w:id="24">
    <w:p w:rsidR="00AD28F8" w:rsidRDefault="00AD28F8">
      <w:pPr>
        <w:pStyle w:val="FootnoteText"/>
      </w:pPr>
      <w:r>
        <w:rPr>
          <w:rStyle w:val="FootnoteReference"/>
        </w:rPr>
        <w:footnoteRef/>
      </w:r>
      <w:r>
        <w:t xml:space="preserve"> Spence 1990: 101</w:t>
      </w:r>
    </w:p>
  </w:footnote>
  <w:footnote w:id="25">
    <w:p w:rsidR="00D66AC7" w:rsidRDefault="00D66AC7">
      <w:pPr>
        <w:pStyle w:val="FootnoteText"/>
      </w:pPr>
      <w:r>
        <w:rPr>
          <w:rStyle w:val="FootnoteReference"/>
        </w:rPr>
        <w:footnoteRef/>
      </w:r>
      <w:r>
        <w:t xml:space="preserve"> Hunter 2005: 106</w:t>
      </w:r>
    </w:p>
  </w:footnote>
  <w:footnote w:id="26">
    <w:p w:rsidR="004B603F" w:rsidRDefault="004B603F">
      <w:pPr>
        <w:pStyle w:val="FootnoteText"/>
      </w:pPr>
      <w:r>
        <w:rPr>
          <w:rStyle w:val="FootnoteReference"/>
        </w:rPr>
        <w:footnoteRef/>
      </w:r>
      <w:r>
        <w:t xml:space="preserve"> </w:t>
      </w:r>
      <w:proofErr w:type="spellStart"/>
      <w:r>
        <w:t>Thuc</w:t>
      </w:r>
      <w:proofErr w:type="spellEnd"/>
      <w:r>
        <w:t>. 2.13.8</w:t>
      </w:r>
    </w:p>
  </w:footnote>
  <w:footnote w:id="27">
    <w:p w:rsidR="000011D1" w:rsidRDefault="000011D1">
      <w:pPr>
        <w:pStyle w:val="FootnoteText"/>
      </w:pPr>
      <w:r>
        <w:rPr>
          <w:rStyle w:val="FootnoteReference"/>
        </w:rPr>
        <w:footnoteRef/>
      </w:r>
      <w:r>
        <w:t xml:space="preserve"> </w:t>
      </w:r>
      <w:proofErr w:type="spellStart"/>
      <w:r>
        <w:t>Gaebel</w:t>
      </w:r>
      <w:proofErr w:type="spellEnd"/>
      <w:r>
        <w:t xml:space="preserve"> 2002: </w:t>
      </w:r>
      <w:r w:rsidR="00392D0C">
        <w:t>93</w:t>
      </w:r>
    </w:p>
  </w:footnote>
  <w:footnote w:id="28">
    <w:p w:rsidR="00392D0C" w:rsidRDefault="00392D0C">
      <w:pPr>
        <w:pStyle w:val="FootnoteText"/>
      </w:pPr>
      <w:r>
        <w:rPr>
          <w:rStyle w:val="FootnoteReference"/>
        </w:rPr>
        <w:footnoteRef/>
      </w:r>
      <w:r>
        <w:t xml:space="preserve"> </w:t>
      </w:r>
      <w:proofErr w:type="spellStart"/>
      <w:r>
        <w:t>Gaebel</w:t>
      </w:r>
      <w:proofErr w:type="spellEnd"/>
      <w:r>
        <w:t xml:space="preserve"> 2002: 93</w:t>
      </w:r>
    </w:p>
  </w:footnote>
  <w:footnote w:id="29">
    <w:p w:rsidR="00392D0C" w:rsidRDefault="00392D0C" w:rsidP="00392D0C">
      <w:pPr>
        <w:pStyle w:val="FootnoteText"/>
      </w:pPr>
      <w:r>
        <w:rPr>
          <w:rStyle w:val="FootnoteReference"/>
        </w:rPr>
        <w:footnoteRef/>
      </w:r>
      <w:r>
        <w:t xml:space="preserve"> </w:t>
      </w:r>
      <w:proofErr w:type="spellStart"/>
      <w:r>
        <w:t>Thuc</w:t>
      </w:r>
      <w:proofErr w:type="spellEnd"/>
      <w:r>
        <w:t>. 2.56.2</w:t>
      </w:r>
    </w:p>
  </w:footnote>
  <w:footnote w:id="30">
    <w:p w:rsidR="005C2610" w:rsidRDefault="005C2610">
      <w:pPr>
        <w:pStyle w:val="FootnoteText"/>
      </w:pPr>
      <w:r>
        <w:rPr>
          <w:rStyle w:val="FootnoteReference"/>
        </w:rPr>
        <w:footnoteRef/>
      </w:r>
      <w:r>
        <w:t xml:space="preserve"> Hunter 2005: 101</w:t>
      </w:r>
    </w:p>
  </w:footnote>
  <w:footnote w:id="31">
    <w:p w:rsidR="000D4A42" w:rsidRDefault="000D4A42">
      <w:pPr>
        <w:pStyle w:val="FootnoteText"/>
      </w:pPr>
      <w:r>
        <w:rPr>
          <w:rStyle w:val="FootnoteReference"/>
        </w:rPr>
        <w:footnoteRef/>
      </w:r>
      <w:r>
        <w:t xml:space="preserve"> Hunter 2005: 106</w:t>
      </w:r>
    </w:p>
  </w:footnote>
  <w:footnote w:id="32">
    <w:p w:rsidR="009E227B" w:rsidRDefault="009E227B">
      <w:pPr>
        <w:pStyle w:val="FootnoteText"/>
      </w:pPr>
      <w:r>
        <w:rPr>
          <w:rStyle w:val="FootnoteReference"/>
        </w:rPr>
        <w:footnoteRef/>
      </w:r>
      <w:r>
        <w:t xml:space="preserve"> Hunter 2005: 108</w:t>
      </w:r>
    </w:p>
  </w:footnote>
  <w:footnote w:id="33">
    <w:p w:rsidR="00D14356" w:rsidRDefault="00D14356">
      <w:pPr>
        <w:pStyle w:val="FootnoteText"/>
      </w:pPr>
      <w:r>
        <w:rPr>
          <w:rStyle w:val="FootnoteReference"/>
        </w:rPr>
        <w:footnoteRef/>
      </w:r>
      <w:r>
        <w:t xml:space="preserve"> Munn</w:t>
      </w:r>
      <w:r w:rsidR="00B24567">
        <w:t xml:space="preserve"> 1993: 20-21</w:t>
      </w:r>
    </w:p>
  </w:footnote>
  <w:footnote w:id="34">
    <w:p w:rsidR="00DA6BA1" w:rsidRDefault="00DA6BA1">
      <w:pPr>
        <w:pStyle w:val="FootnoteText"/>
      </w:pPr>
      <w:r>
        <w:rPr>
          <w:rStyle w:val="FootnoteReference"/>
        </w:rPr>
        <w:footnoteRef/>
      </w:r>
      <w:r>
        <w:t xml:space="preserve"> Xen. Cav. 7.4</w:t>
      </w:r>
    </w:p>
  </w:footnote>
  <w:footnote w:id="35">
    <w:p w:rsidR="00A75597" w:rsidRDefault="00A75597">
      <w:pPr>
        <w:pStyle w:val="FootnoteText"/>
      </w:pPr>
      <w:r>
        <w:rPr>
          <w:rStyle w:val="FootnoteReference"/>
        </w:rPr>
        <w:footnoteRef/>
      </w:r>
      <w:r>
        <w:t xml:space="preserve"> Xen. Cav. 7.4</w:t>
      </w:r>
    </w:p>
  </w:footnote>
  <w:footnote w:id="36">
    <w:p w:rsidR="00621A14" w:rsidRDefault="00621A14">
      <w:pPr>
        <w:pStyle w:val="FootnoteText"/>
      </w:pPr>
      <w:r>
        <w:rPr>
          <w:rStyle w:val="FootnoteReference"/>
        </w:rPr>
        <w:footnoteRef/>
      </w:r>
      <w:r>
        <w:t xml:space="preserve"> </w:t>
      </w:r>
      <w:proofErr w:type="spellStart"/>
      <w:r>
        <w:t>Thuc</w:t>
      </w:r>
      <w:proofErr w:type="spellEnd"/>
      <w:r>
        <w:t>. 2.65.7</w:t>
      </w:r>
    </w:p>
  </w:footnote>
  <w:footnote w:id="37">
    <w:p w:rsidR="00FB0086" w:rsidRDefault="00FB0086">
      <w:pPr>
        <w:pStyle w:val="FootnoteText"/>
      </w:pPr>
      <w:r>
        <w:rPr>
          <w:rStyle w:val="FootnoteReference"/>
        </w:rPr>
        <w:footnoteRef/>
      </w:r>
      <w:r>
        <w:t xml:space="preserve"> Spence 1990: 101</w:t>
      </w:r>
    </w:p>
  </w:footnote>
  <w:footnote w:id="38">
    <w:p w:rsidR="00563A83" w:rsidRDefault="00563A83">
      <w:pPr>
        <w:pStyle w:val="FootnoteText"/>
      </w:pPr>
      <w:r>
        <w:rPr>
          <w:rStyle w:val="FootnoteReference"/>
        </w:rPr>
        <w:footnoteRef/>
      </w:r>
      <w:r>
        <w:t xml:space="preserve"> Hunter 2005: 108</w:t>
      </w:r>
    </w:p>
  </w:footnote>
  <w:footnote w:id="39">
    <w:p w:rsidR="00606EE0" w:rsidRDefault="00606EE0">
      <w:pPr>
        <w:pStyle w:val="FootnoteText"/>
      </w:pPr>
      <w:r>
        <w:rPr>
          <w:rStyle w:val="FootnoteReference"/>
        </w:rPr>
        <w:footnoteRef/>
      </w:r>
      <w:r>
        <w:t xml:space="preserve"> Hunter 2005: 101</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315A1" w:rsidRDefault="007315A1">
    <w:pPr>
      <w:pStyle w:val="Header"/>
    </w:pPr>
    <w:r>
      <w:t>Jordan Edwards 1502326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4F84CEB"/>
    <w:multiLevelType w:val="hybridMultilevel"/>
    <w:tmpl w:val="B1B632C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515B6551"/>
    <w:multiLevelType w:val="hybridMultilevel"/>
    <w:tmpl w:val="205CF2C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B03B3"/>
    <w:rsid w:val="000011D1"/>
    <w:rsid w:val="0000141A"/>
    <w:rsid w:val="00002045"/>
    <w:rsid w:val="00022752"/>
    <w:rsid w:val="0004785F"/>
    <w:rsid w:val="00050CD6"/>
    <w:rsid w:val="00074525"/>
    <w:rsid w:val="000774E9"/>
    <w:rsid w:val="0008279D"/>
    <w:rsid w:val="000835EB"/>
    <w:rsid w:val="00087C1B"/>
    <w:rsid w:val="000910FF"/>
    <w:rsid w:val="000A68F1"/>
    <w:rsid w:val="000B1A73"/>
    <w:rsid w:val="000B5529"/>
    <w:rsid w:val="000C4DA0"/>
    <w:rsid w:val="000D46A0"/>
    <w:rsid w:val="000D4A42"/>
    <w:rsid w:val="000E2F26"/>
    <w:rsid w:val="000E3267"/>
    <w:rsid w:val="00103E68"/>
    <w:rsid w:val="001200B8"/>
    <w:rsid w:val="00122A54"/>
    <w:rsid w:val="001418F6"/>
    <w:rsid w:val="0014658E"/>
    <w:rsid w:val="001466DB"/>
    <w:rsid w:val="0015120C"/>
    <w:rsid w:val="00152E32"/>
    <w:rsid w:val="001A6B34"/>
    <w:rsid w:val="001A778E"/>
    <w:rsid w:val="001B0264"/>
    <w:rsid w:val="001C2461"/>
    <w:rsid w:val="001D1A9E"/>
    <w:rsid w:val="001D45C0"/>
    <w:rsid w:val="001E42F5"/>
    <w:rsid w:val="001F3F3B"/>
    <w:rsid w:val="00204F08"/>
    <w:rsid w:val="00210C0A"/>
    <w:rsid w:val="00212532"/>
    <w:rsid w:val="002247AF"/>
    <w:rsid w:val="00247F1B"/>
    <w:rsid w:val="00256EA2"/>
    <w:rsid w:val="002617E2"/>
    <w:rsid w:val="002A5A70"/>
    <w:rsid w:val="002B2352"/>
    <w:rsid w:val="002B5374"/>
    <w:rsid w:val="002E5FA4"/>
    <w:rsid w:val="002F0B09"/>
    <w:rsid w:val="002F1146"/>
    <w:rsid w:val="00306493"/>
    <w:rsid w:val="003116AC"/>
    <w:rsid w:val="003249A2"/>
    <w:rsid w:val="00337C69"/>
    <w:rsid w:val="003520E9"/>
    <w:rsid w:val="00356196"/>
    <w:rsid w:val="003626D9"/>
    <w:rsid w:val="00372DB0"/>
    <w:rsid w:val="003751B6"/>
    <w:rsid w:val="003817CF"/>
    <w:rsid w:val="00392D0C"/>
    <w:rsid w:val="00394146"/>
    <w:rsid w:val="003A2E48"/>
    <w:rsid w:val="003B336C"/>
    <w:rsid w:val="003E638C"/>
    <w:rsid w:val="00401782"/>
    <w:rsid w:val="004200CB"/>
    <w:rsid w:val="0042776F"/>
    <w:rsid w:val="00431486"/>
    <w:rsid w:val="004320B5"/>
    <w:rsid w:val="00447B29"/>
    <w:rsid w:val="00450A16"/>
    <w:rsid w:val="00452E0B"/>
    <w:rsid w:val="00455A63"/>
    <w:rsid w:val="00457CC1"/>
    <w:rsid w:val="00471902"/>
    <w:rsid w:val="0047286D"/>
    <w:rsid w:val="00473A6C"/>
    <w:rsid w:val="00473D98"/>
    <w:rsid w:val="004A78AE"/>
    <w:rsid w:val="004B603F"/>
    <w:rsid w:val="004C591C"/>
    <w:rsid w:val="0050489E"/>
    <w:rsid w:val="00506BD7"/>
    <w:rsid w:val="00526D1B"/>
    <w:rsid w:val="00542DCB"/>
    <w:rsid w:val="005475FC"/>
    <w:rsid w:val="00560263"/>
    <w:rsid w:val="00563A83"/>
    <w:rsid w:val="00565909"/>
    <w:rsid w:val="00574EFB"/>
    <w:rsid w:val="00581644"/>
    <w:rsid w:val="00591799"/>
    <w:rsid w:val="00595D96"/>
    <w:rsid w:val="005A3EAF"/>
    <w:rsid w:val="005A64BB"/>
    <w:rsid w:val="005B06B0"/>
    <w:rsid w:val="005B0F28"/>
    <w:rsid w:val="005B565D"/>
    <w:rsid w:val="005C2610"/>
    <w:rsid w:val="005C4691"/>
    <w:rsid w:val="005C7F2B"/>
    <w:rsid w:val="005E08E3"/>
    <w:rsid w:val="005E10CC"/>
    <w:rsid w:val="005F0239"/>
    <w:rsid w:val="005F60F3"/>
    <w:rsid w:val="00606EE0"/>
    <w:rsid w:val="00611B7E"/>
    <w:rsid w:val="00621A14"/>
    <w:rsid w:val="00622D32"/>
    <w:rsid w:val="00625CC7"/>
    <w:rsid w:val="006317B0"/>
    <w:rsid w:val="00634A64"/>
    <w:rsid w:val="00674F7C"/>
    <w:rsid w:val="006926E7"/>
    <w:rsid w:val="00697500"/>
    <w:rsid w:val="006A743C"/>
    <w:rsid w:val="006B2FAB"/>
    <w:rsid w:val="006C60C5"/>
    <w:rsid w:val="006D0B94"/>
    <w:rsid w:val="006D4FF2"/>
    <w:rsid w:val="006D60CC"/>
    <w:rsid w:val="006E228A"/>
    <w:rsid w:val="006E739E"/>
    <w:rsid w:val="00707997"/>
    <w:rsid w:val="00711FC5"/>
    <w:rsid w:val="00712A93"/>
    <w:rsid w:val="00730324"/>
    <w:rsid w:val="007315A1"/>
    <w:rsid w:val="00744BEA"/>
    <w:rsid w:val="00757C28"/>
    <w:rsid w:val="00761AA3"/>
    <w:rsid w:val="00763A53"/>
    <w:rsid w:val="00765D54"/>
    <w:rsid w:val="007741AD"/>
    <w:rsid w:val="00784C37"/>
    <w:rsid w:val="0078510C"/>
    <w:rsid w:val="007A7756"/>
    <w:rsid w:val="007B2E11"/>
    <w:rsid w:val="007C607F"/>
    <w:rsid w:val="007D064D"/>
    <w:rsid w:val="007D088B"/>
    <w:rsid w:val="007F15CE"/>
    <w:rsid w:val="007F4DDE"/>
    <w:rsid w:val="00803399"/>
    <w:rsid w:val="008110DA"/>
    <w:rsid w:val="008205BF"/>
    <w:rsid w:val="00847A9A"/>
    <w:rsid w:val="0086685C"/>
    <w:rsid w:val="00873B32"/>
    <w:rsid w:val="008B084D"/>
    <w:rsid w:val="008C4E09"/>
    <w:rsid w:val="008D49EA"/>
    <w:rsid w:val="008E3F26"/>
    <w:rsid w:val="009005D4"/>
    <w:rsid w:val="009113AA"/>
    <w:rsid w:val="009255D2"/>
    <w:rsid w:val="009256F7"/>
    <w:rsid w:val="009271B1"/>
    <w:rsid w:val="00931F7C"/>
    <w:rsid w:val="00934FA1"/>
    <w:rsid w:val="00935DDC"/>
    <w:rsid w:val="00943196"/>
    <w:rsid w:val="009560BF"/>
    <w:rsid w:val="009629E3"/>
    <w:rsid w:val="00962B6A"/>
    <w:rsid w:val="0097789A"/>
    <w:rsid w:val="00985D76"/>
    <w:rsid w:val="00987DE7"/>
    <w:rsid w:val="009A1C57"/>
    <w:rsid w:val="009A53A6"/>
    <w:rsid w:val="009D77D5"/>
    <w:rsid w:val="009D7A9A"/>
    <w:rsid w:val="009E227B"/>
    <w:rsid w:val="009E3B04"/>
    <w:rsid w:val="009F10EF"/>
    <w:rsid w:val="009F1916"/>
    <w:rsid w:val="00A13C10"/>
    <w:rsid w:val="00A24CF7"/>
    <w:rsid w:val="00A25754"/>
    <w:rsid w:val="00A33AFF"/>
    <w:rsid w:val="00A42565"/>
    <w:rsid w:val="00A6642A"/>
    <w:rsid w:val="00A75597"/>
    <w:rsid w:val="00A82345"/>
    <w:rsid w:val="00A84CEF"/>
    <w:rsid w:val="00A90CD6"/>
    <w:rsid w:val="00A9403B"/>
    <w:rsid w:val="00AB46CB"/>
    <w:rsid w:val="00AC163B"/>
    <w:rsid w:val="00AD0E85"/>
    <w:rsid w:val="00AD28F8"/>
    <w:rsid w:val="00AD5185"/>
    <w:rsid w:val="00AD75CA"/>
    <w:rsid w:val="00AE62CC"/>
    <w:rsid w:val="00B145FE"/>
    <w:rsid w:val="00B148DF"/>
    <w:rsid w:val="00B24567"/>
    <w:rsid w:val="00B34DC4"/>
    <w:rsid w:val="00B359EA"/>
    <w:rsid w:val="00B369B3"/>
    <w:rsid w:val="00B45BCA"/>
    <w:rsid w:val="00B7033F"/>
    <w:rsid w:val="00B711F6"/>
    <w:rsid w:val="00B71A28"/>
    <w:rsid w:val="00B82235"/>
    <w:rsid w:val="00B86C10"/>
    <w:rsid w:val="00BB05CB"/>
    <w:rsid w:val="00BC19D3"/>
    <w:rsid w:val="00BD1E6E"/>
    <w:rsid w:val="00BD5AA9"/>
    <w:rsid w:val="00BE602A"/>
    <w:rsid w:val="00BF17F1"/>
    <w:rsid w:val="00BF4353"/>
    <w:rsid w:val="00BF5EB7"/>
    <w:rsid w:val="00C0009D"/>
    <w:rsid w:val="00C03AE4"/>
    <w:rsid w:val="00C03BE6"/>
    <w:rsid w:val="00C10A7E"/>
    <w:rsid w:val="00C27422"/>
    <w:rsid w:val="00C368F3"/>
    <w:rsid w:val="00C65DA2"/>
    <w:rsid w:val="00C65F56"/>
    <w:rsid w:val="00C6717E"/>
    <w:rsid w:val="00C74BFC"/>
    <w:rsid w:val="00C8378E"/>
    <w:rsid w:val="00CB03B3"/>
    <w:rsid w:val="00CB0AF3"/>
    <w:rsid w:val="00CC2367"/>
    <w:rsid w:val="00CE18E0"/>
    <w:rsid w:val="00CE2616"/>
    <w:rsid w:val="00CE5E27"/>
    <w:rsid w:val="00CE690C"/>
    <w:rsid w:val="00D14356"/>
    <w:rsid w:val="00D22AB1"/>
    <w:rsid w:val="00D27A9A"/>
    <w:rsid w:val="00D36E0B"/>
    <w:rsid w:val="00D46858"/>
    <w:rsid w:val="00D57EA4"/>
    <w:rsid w:val="00D66AC7"/>
    <w:rsid w:val="00D72AD9"/>
    <w:rsid w:val="00D776B3"/>
    <w:rsid w:val="00D86E0D"/>
    <w:rsid w:val="00D8751F"/>
    <w:rsid w:val="00D926B0"/>
    <w:rsid w:val="00D9796C"/>
    <w:rsid w:val="00DA4570"/>
    <w:rsid w:val="00DA6BA1"/>
    <w:rsid w:val="00DA6E05"/>
    <w:rsid w:val="00DA7F39"/>
    <w:rsid w:val="00DC28B3"/>
    <w:rsid w:val="00DD2CAF"/>
    <w:rsid w:val="00DF4615"/>
    <w:rsid w:val="00DF7C74"/>
    <w:rsid w:val="00E0378E"/>
    <w:rsid w:val="00E04D24"/>
    <w:rsid w:val="00E07325"/>
    <w:rsid w:val="00E27164"/>
    <w:rsid w:val="00E41412"/>
    <w:rsid w:val="00E51FB5"/>
    <w:rsid w:val="00E611BF"/>
    <w:rsid w:val="00E62A27"/>
    <w:rsid w:val="00E636EF"/>
    <w:rsid w:val="00E74372"/>
    <w:rsid w:val="00E75AFB"/>
    <w:rsid w:val="00E87189"/>
    <w:rsid w:val="00E92CFB"/>
    <w:rsid w:val="00E94260"/>
    <w:rsid w:val="00E97A88"/>
    <w:rsid w:val="00EA5C41"/>
    <w:rsid w:val="00EA780F"/>
    <w:rsid w:val="00EB4E20"/>
    <w:rsid w:val="00EB7056"/>
    <w:rsid w:val="00EC12FD"/>
    <w:rsid w:val="00EC2056"/>
    <w:rsid w:val="00EC6134"/>
    <w:rsid w:val="00ED325B"/>
    <w:rsid w:val="00EE306B"/>
    <w:rsid w:val="00EE54E8"/>
    <w:rsid w:val="00EE6896"/>
    <w:rsid w:val="00EE70F2"/>
    <w:rsid w:val="00EE77DB"/>
    <w:rsid w:val="00EE7AEA"/>
    <w:rsid w:val="00EF1496"/>
    <w:rsid w:val="00F23537"/>
    <w:rsid w:val="00F3637C"/>
    <w:rsid w:val="00F4088F"/>
    <w:rsid w:val="00F44A88"/>
    <w:rsid w:val="00F450F0"/>
    <w:rsid w:val="00F54F82"/>
    <w:rsid w:val="00F60527"/>
    <w:rsid w:val="00F71BC6"/>
    <w:rsid w:val="00F72150"/>
    <w:rsid w:val="00F72E05"/>
    <w:rsid w:val="00F82662"/>
    <w:rsid w:val="00F852B4"/>
    <w:rsid w:val="00F86688"/>
    <w:rsid w:val="00F90261"/>
    <w:rsid w:val="00F9404F"/>
    <w:rsid w:val="00F95CCB"/>
    <w:rsid w:val="00FA46AD"/>
    <w:rsid w:val="00FB0086"/>
    <w:rsid w:val="00FC14F3"/>
    <w:rsid w:val="00FF1F64"/>
    <w:rsid w:val="00FF3287"/>
    <w:rsid w:val="00FF47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2291A9"/>
  <w15:chartTrackingRefBased/>
  <w15:docId w15:val="{29C5495D-6BF3-42C3-93F2-43653909D6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qFormat/>
    <w:rsid w:val="00CB0AF3"/>
    <w:pPr>
      <w:keepNext/>
      <w:spacing w:before="240" w:after="60" w:line="240" w:lineRule="auto"/>
      <w:outlineLvl w:val="0"/>
    </w:pPr>
    <w:rPr>
      <w:rFonts w:ascii="Arial" w:eastAsia="SimSun" w:hAnsi="Arial" w:cs="Arial"/>
      <w:b/>
      <w:bCs/>
      <w:kern w:val="32"/>
      <w:sz w:val="32"/>
      <w:szCs w:val="32"/>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315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15A1"/>
  </w:style>
  <w:style w:type="paragraph" w:styleId="Footer">
    <w:name w:val="footer"/>
    <w:basedOn w:val="Normal"/>
    <w:link w:val="FooterChar"/>
    <w:uiPriority w:val="99"/>
    <w:unhideWhenUsed/>
    <w:rsid w:val="007315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15A1"/>
  </w:style>
  <w:style w:type="character" w:styleId="Emphasis">
    <w:name w:val="Emphasis"/>
    <w:basedOn w:val="DefaultParagraphFont"/>
    <w:uiPriority w:val="20"/>
    <w:qFormat/>
    <w:rsid w:val="001D1A9E"/>
    <w:rPr>
      <w:i/>
      <w:iCs/>
    </w:rPr>
  </w:style>
  <w:style w:type="paragraph" w:styleId="ListParagraph">
    <w:name w:val="List Paragraph"/>
    <w:basedOn w:val="Normal"/>
    <w:uiPriority w:val="34"/>
    <w:qFormat/>
    <w:rsid w:val="00EE70F2"/>
    <w:pPr>
      <w:ind w:left="720"/>
      <w:contextualSpacing/>
    </w:pPr>
  </w:style>
  <w:style w:type="paragraph" w:styleId="FootnoteText">
    <w:name w:val="footnote text"/>
    <w:basedOn w:val="Normal"/>
    <w:link w:val="FootnoteTextChar"/>
    <w:uiPriority w:val="99"/>
    <w:semiHidden/>
    <w:unhideWhenUsed/>
    <w:rsid w:val="00847A9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47A9A"/>
    <w:rPr>
      <w:sz w:val="20"/>
      <w:szCs w:val="20"/>
    </w:rPr>
  </w:style>
  <w:style w:type="character" w:styleId="FootnoteReference">
    <w:name w:val="footnote reference"/>
    <w:basedOn w:val="DefaultParagraphFont"/>
    <w:uiPriority w:val="99"/>
    <w:semiHidden/>
    <w:unhideWhenUsed/>
    <w:rsid w:val="00847A9A"/>
    <w:rPr>
      <w:vertAlign w:val="superscript"/>
    </w:rPr>
  </w:style>
  <w:style w:type="character" w:customStyle="1" w:styleId="Heading1Char">
    <w:name w:val="Heading 1 Char"/>
    <w:basedOn w:val="DefaultParagraphFont"/>
    <w:link w:val="Heading1"/>
    <w:rsid w:val="00CB0AF3"/>
    <w:rPr>
      <w:rFonts w:ascii="Arial" w:eastAsia="SimSun" w:hAnsi="Arial" w:cs="Arial"/>
      <w:b/>
      <w:bCs/>
      <w:kern w:val="32"/>
      <w:sz w:val="32"/>
      <w:szCs w:val="32"/>
      <w:lang w:eastAsia="zh-CN"/>
    </w:rPr>
  </w:style>
  <w:style w:type="paragraph" w:styleId="NormalWeb">
    <w:name w:val="Normal (Web)"/>
    <w:basedOn w:val="Normal"/>
    <w:rsid w:val="00CB0AF3"/>
    <w:pPr>
      <w:spacing w:before="100" w:beforeAutospacing="1" w:after="100" w:afterAutospacing="1" w:line="240" w:lineRule="auto"/>
    </w:pPr>
    <w:rPr>
      <w:rFonts w:ascii="Georgia" w:eastAsia="SimSun" w:hAnsi="Georgia" w:cs="Times New Roman"/>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0C0532-4B22-4887-B772-391867F14D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566</TotalTime>
  <Pages>9</Pages>
  <Words>2135</Words>
  <Characters>12175</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Edwards</dc:creator>
  <cp:keywords/>
  <dc:description/>
  <cp:lastModifiedBy>Jordan Edwards</cp:lastModifiedBy>
  <cp:revision>142</cp:revision>
  <dcterms:created xsi:type="dcterms:W3CDTF">2018-03-01T16:47:00Z</dcterms:created>
  <dcterms:modified xsi:type="dcterms:W3CDTF">2018-03-15T23:57:00Z</dcterms:modified>
</cp:coreProperties>
</file>