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2E292" w14:textId="77777777" w:rsidR="00B36EB9" w:rsidRPr="006A0C0B" w:rsidRDefault="00B36EB9" w:rsidP="006A0C0B">
      <w:pPr>
        <w:spacing w:after="0" w:line="480" w:lineRule="auto"/>
        <w:rPr>
          <w:rFonts w:ascii="Times New Roman" w:hAnsi="Times New Roman" w:cs="Times New Roman"/>
          <w:sz w:val="24"/>
          <w:szCs w:val="24"/>
        </w:rPr>
      </w:pPr>
    </w:p>
    <w:p w14:paraId="290AA30E" w14:textId="77777777" w:rsidR="00B36EB9" w:rsidRPr="006A0C0B" w:rsidRDefault="00B36EB9" w:rsidP="006A0C0B">
      <w:pPr>
        <w:spacing w:after="0" w:line="480" w:lineRule="auto"/>
        <w:rPr>
          <w:rFonts w:ascii="Times New Roman" w:hAnsi="Times New Roman" w:cs="Times New Roman"/>
          <w:sz w:val="24"/>
          <w:szCs w:val="24"/>
        </w:rPr>
      </w:pPr>
    </w:p>
    <w:p w14:paraId="181E1112" w14:textId="77777777" w:rsidR="00B36EB9" w:rsidRPr="006A0C0B" w:rsidRDefault="00B36EB9" w:rsidP="006A0C0B">
      <w:pPr>
        <w:spacing w:after="0" w:line="480" w:lineRule="auto"/>
        <w:rPr>
          <w:rFonts w:ascii="Times New Roman" w:hAnsi="Times New Roman" w:cs="Times New Roman"/>
          <w:sz w:val="24"/>
          <w:szCs w:val="24"/>
        </w:rPr>
      </w:pPr>
    </w:p>
    <w:p w14:paraId="54819DA7" w14:textId="77777777" w:rsidR="00B36EB9" w:rsidRPr="006A0C0B" w:rsidRDefault="00B36EB9" w:rsidP="006A0C0B">
      <w:pPr>
        <w:spacing w:after="0" w:line="480" w:lineRule="auto"/>
        <w:rPr>
          <w:rFonts w:ascii="Times New Roman" w:hAnsi="Times New Roman" w:cs="Times New Roman"/>
          <w:sz w:val="24"/>
          <w:szCs w:val="24"/>
        </w:rPr>
      </w:pPr>
    </w:p>
    <w:p w14:paraId="0B89FFC4" w14:textId="77777777" w:rsidR="00B36EB9" w:rsidRPr="006A0C0B" w:rsidRDefault="00B36EB9" w:rsidP="006A0C0B">
      <w:pPr>
        <w:spacing w:after="0" w:line="480" w:lineRule="auto"/>
        <w:rPr>
          <w:rFonts w:ascii="Times New Roman" w:hAnsi="Times New Roman" w:cs="Times New Roman"/>
          <w:sz w:val="24"/>
          <w:szCs w:val="24"/>
        </w:rPr>
      </w:pPr>
    </w:p>
    <w:p w14:paraId="4825AB7D" w14:textId="77777777" w:rsidR="00B36EB9" w:rsidRPr="006A0C0B" w:rsidRDefault="00B36EB9" w:rsidP="006A0C0B">
      <w:pPr>
        <w:spacing w:after="0" w:line="480" w:lineRule="auto"/>
        <w:rPr>
          <w:rFonts w:ascii="Times New Roman" w:hAnsi="Times New Roman" w:cs="Times New Roman"/>
          <w:sz w:val="24"/>
          <w:szCs w:val="24"/>
        </w:rPr>
      </w:pPr>
    </w:p>
    <w:p w14:paraId="6830B778" w14:textId="77777777" w:rsidR="00B36EB9" w:rsidRPr="006A0C0B" w:rsidRDefault="00B36EB9" w:rsidP="006A0C0B">
      <w:pPr>
        <w:spacing w:after="0" w:line="480" w:lineRule="auto"/>
        <w:rPr>
          <w:rFonts w:ascii="Times New Roman" w:hAnsi="Times New Roman" w:cs="Times New Roman"/>
          <w:sz w:val="24"/>
          <w:szCs w:val="24"/>
        </w:rPr>
      </w:pPr>
    </w:p>
    <w:p w14:paraId="2FFB675D" w14:textId="35A0B1A4" w:rsidR="00B36EB9" w:rsidRPr="006A0C0B" w:rsidRDefault="00B36EB9"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Spenser’s</w:t>
      </w:r>
      <w:r w:rsidR="00DF0B35" w:rsidRPr="006A0C0B">
        <w:rPr>
          <w:rFonts w:ascii="Times New Roman" w:hAnsi="Times New Roman" w:cs="Times New Roman"/>
          <w:i/>
          <w:iCs/>
          <w:sz w:val="24"/>
          <w:szCs w:val="24"/>
        </w:rPr>
        <w:t xml:space="preserve"> </w:t>
      </w:r>
      <w:r w:rsidR="00E87A4A">
        <w:rPr>
          <w:rFonts w:ascii="Times New Roman" w:hAnsi="Times New Roman" w:cs="Times New Roman"/>
          <w:i/>
          <w:iCs/>
          <w:sz w:val="24"/>
          <w:szCs w:val="24"/>
        </w:rPr>
        <w:t xml:space="preserve">Two </w:t>
      </w:r>
      <w:r w:rsidR="00DF0B35" w:rsidRPr="006A0C0B">
        <w:rPr>
          <w:rFonts w:ascii="Times New Roman" w:hAnsi="Times New Roman" w:cs="Times New Roman"/>
          <w:i/>
          <w:iCs/>
          <w:sz w:val="24"/>
          <w:szCs w:val="24"/>
        </w:rPr>
        <w:t>Cantos of Mutabilitie</w:t>
      </w:r>
      <w:r w:rsidRPr="006A0C0B">
        <w:rPr>
          <w:rFonts w:ascii="Times New Roman" w:hAnsi="Times New Roman" w:cs="Times New Roman"/>
          <w:sz w:val="24"/>
          <w:szCs w:val="24"/>
        </w:rPr>
        <w:t xml:space="preserve">: </w:t>
      </w:r>
      <w:r w:rsidR="005A61EE" w:rsidRPr="006A0C0B">
        <w:rPr>
          <w:rFonts w:ascii="Times New Roman" w:hAnsi="Times New Roman" w:cs="Times New Roman"/>
          <w:sz w:val="24"/>
          <w:szCs w:val="24"/>
          <w:shd w:val="clear" w:color="auto" w:fill="FFFFFF"/>
        </w:rPr>
        <w:t xml:space="preserve">Mathew Lownes’ </w:t>
      </w:r>
      <w:r w:rsidRPr="006A0C0B">
        <w:rPr>
          <w:rFonts w:ascii="Times New Roman" w:hAnsi="Times New Roman" w:cs="Times New Roman"/>
          <w:sz w:val="24"/>
          <w:szCs w:val="24"/>
        </w:rPr>
        <w:t>1609 Publication</w:t>
      </w:r>
    </w:p>
    <w:p w14:paraId="5AB91C6C" w14:textId="77777777" w:rsidR="00B36EB9" w:rsidRPr="006A0C0B" w:rsidRDefault="00B36EB9"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Marah Hager</w:t>
      </w:r>
    </w:p>
    <w:p w14:paraId="0A843993" w14:textId="77777777" w:rsidR="00B36EB9" w:rsidRPr="006A0C0B" w:rsidRDefault="00B36EB9" w:rsidP="006A0C0B">
      <w:pPr>
        <w:spacing w:after="0" w:line="480" w:lineRule="auto"/>
        <w:jc w:val="center"/>
        <w:rPr>
          <w:rFonts w:ascii="Times New Roman" w:hAnsi="Times New Roman" w:cs="Times New Roman"/>
          <w:sz w:val="24"/>
          <w:szCs w:val="24"/>
        </w:rPr>
      </w:pPr>
    </w:p>
    <w:p w14:paraId="0DA163D1" w14:textId="77777777" w:rsidR="00B36EB9" w:rsidRPr="006A0C0B" w:rsidRDefault="00B36EB9" w:rsidP="006A0C0B">
      <w:pPr>
        <w:spacing w:after="0" w:line="480" w:lineRule="auto"/>
        <w:jc w:val="center"/>
        <w:rPr>
          <w:rFonts w:ascii="Times New Roman" w:hAnsi="Times New Roman" w:cs="Times New Roman"/>
          <w:sz w:val="24"/>
          <w:szCs w:val="24"/>
        </w:rPr>
      </w:pPr>
    </w:p>
    <w:p w14:paraId="037F113C" w14:textId="77777777" w:rsidR="00B36EB9" w:rsidRPr="006A0C0B" w:rsidRDefault="00B36EB9" w:rsidP="006A0C0B">
      <w:pPr>
        <w:spacing w:after="0" w:line="480" w:lineRule="auto"/>
        <w:jc w:val="center"/>
        <w:rPr>
          <w:rFonts w:ascii="Times New Roman" w:hAnsi="Times New Roman" w:cs="Times New Roman"/>
          <w:sz w:val="24"/>
          <w:szCs w:val="24"/>
        </w:rPr>
      </w:pPr>
    </w:p>
    <w:p w14:paraId="3CC4E923" w14:textId="77777777" w:rsidR="00B36EB9" w:rsidRPr="006A0C0B" w:rsidRDefault="00B36EB9" w:rsidP="006A0C0B">
      <w:pPr>
        <w:spacing w:after="0" w:line="480" w:lineRule="auto"/>
        <w:jc w:val="center"/>
        <w:rPr>
          <w:rFonts w:ascii="Times New Roman" w:hAnsi="Times New Roman" w:cs="Times New Roman"/>
          <w:sz w:val="24"/>
          <w:szCs w:val="24"/>
        </w:rPr>
      </w:pPr>
    </w:p>
    <w:p w14:paraId="6930C259" w14:textId="77777777" w:rsidR="00B36EB9" w:rsidRPr="006A0C0B" w:rsidRDefault="00B36EB9" w:rsidP="006A0C0B">
      <w:pPr>
        <w:spacing w:after="0" w:line="480" w:lineRule="auto"/>
        <w:jc w:val="center"/>
        <w:rPr>
          <w:rFonts w:ascii="Times New Roman" w:hAnsi="Times New Roman" w:cs="Times New Roman"/>
          <w:sz w:val="24"/>
          <w:szCs w:val="24"/>
        </w:rPr>
      </w:pPr>
    </w:p>
    <w:p w14:paraId="0E9CB9FC" w14:textId="77777777" w:rsidR="00B36EB9" w:rsidRPr="006A0C0B" w:rsidRDefault="00B36EB9" w:rsidP="006A0C0B">
      <w:pPr>
        <w:spacing w:after="0" w:line="480" w:lineRule="auto"/>
        <w:jc w:val="center"/>
        <w:rPr>
          <w:rFonts w:ascii="Times New Roman" w:hAnsi="Times New Roman" w:cs="Times New Roman"/>
          <w:sz w:val="24"/>
          <w:szCs w:val="24"/>
        </w:rPr>
      </w:pPr>
    </w:p>
    <w:p w14:paraId="2D97B05F" w14:textId="77777777" w:rsidR="00B36EB9" w:rsidRPr="006A0C0B" w:rsidRDefault="00B36EB9" w:rsidP="006A0C0B">
      <w:pPr>
        <w:spacing w:after="0" w:line="480" w:lineRule="auto"/>
        <w:jc w:val="center"/>
        <w:rPr>
          <w:rFonts w:ascii="Times New Roman" w:hAnsi="Times New Roman" w:cs="Times New Roman"/>
          <w:sz w:val="24"/>
          <w:szCs w:val="24"/>
        </w:rPr>
      </w:pPr>
    </w:p>
    <w:p w14:paraId="2F55EC5A" w14:textId="77777777" w:rsidR="00B36EB9" w:rsidRPr="006A0C0B" w:rsidRDefault="00B36EB9" w:rsidP="006A0C0B">
      <w:pPr>
        <w:spacing w:after="0" w:line="480" w:lineRule="auto"/>
        <w:jc w:val="center"/>
        <w:rPr>
          <w:rFonts w:ascii="Times New Roman" w:hAnsi="Times New Roman" w:cs="Times New Roman"/>
          <w:sz w:val="24"/>
          <w:szCs w:val="24"/>
        </w:rPr>
      </w:pPr>
    </w:p>
    <w:p w14:paraId="0E59093F" w14:textId="77777777" w:rsidR="00B36EB9" w:rsidRPr="006A0C0B" w:rsidRDefault="00B36EB9" w:rsidP="006A0C0B">
      <w:pPr>
        <w:spacing w:after="0" w:line="480" w:lineRule="auto"/>
        <w:jc w:val="center"/>
        <w:rPr>
          <w:rFonts w:ascii="Times New Roman" w:hAnsi="Times New Roman" w:cs="Times New Roman"/>
          <w:sz w:val="24"/>
          <w:szCs w:val="24"/>
        </w:rPr>
      </w:pPr>
    </w:p>
    <w:p w14:paraId="08C4737B" w14:textId="77777777" w:rsidR="00B36EB9" w:rsidRPr="006A0C0B" w:rsidRDefault="00B36EB9"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University of Wales Trinity Saint David</w:t>
      </w:r>
    </w:p>
    <w:p w14:paraId="738EF4FF" w14:textId="77777777" w:rsidR="00B36EB9" w:rsidRPr="006A0C0B" w:rsidRDefault="00B36EB9"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CSEN7026 Epic, Religion and Philosophy: Spenser and Milton</w:t>
      </w:r>
    </w:p>
    <w:p w14:paraId="4E59C722" w14:textId="77777777" w:rsidR="00B36EB9" w:rsidRPr="006A0C0B" w:rsidRDefault="00B36EB9"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Professor Peter Mitchell</w:t>
      </w:r>
    </w:p>
    <w:p w14:paraId="65393DCA" w14:textId="33F83F10" w:rsidR="00A96B20" w:rsidRPr="006A0C0B" w:rsidRDefault="005A61EE" w:rsidP="006A0C0B">
      <w:pPr>
        <w:spacing w:after="0" w:line="480" w:lineRule="auto"/>
        <w:jc w:val="center"/>
        <w:rPr>
          <w:rFonts w:ascii="Times New Roman" w:hAnsi="Times New Roman" w:cs="Times New Roman"/>
          <w:sz w:val="24"/>
          <w:szCs w:val="24"/>
        </w:rPr>
      </w:pPr>
      <w:r w:rsidRPr="006A0C0B">
        <w:rPr>
          <w:rFonts w:ascii="Times New Roman" w:hAnsi="Times New Roman" w:cs="Times New Roman"/>
          <w:sz w:val="24"/>
          <w:szCs w:val="24"/>
        </w:rPr>
        <w:t xml:space="preserve">11 June </w:t>
      </w:r>
      <w:r w:rsidR="00B36EB9" w:rsidRPr="006A0C0B">
        <w:rPr>
          <w:rFonts w:ascii="Times New Roman" w:hAnsi="Times New Roman" w:cs="Times New Roman"/>
          <w:sz w:val="24"/>
          <w:szCs w:val="24"/>
        </w:rPr>
        <w:t>2020</w:t>
      </w:r>
    </w:p>
    <w:p w14:paraId="60045170" w14:textId="77777777" w:rsidR="00A96B20" w:rsidRPr="006A0C0B" w:rsidRDefault="00A96B20" w:rsidP="006A0C0B">
      <w:pPr>
        <w:spacing w:after="0" w:line="480" w:lineRule="auto"/>
        <w:rPr>
          <w:rFonts w:ascii="Times New Roman" w:hAnsi="Times New Roman" w:cs="Times New Roman"/>
          <w:sz w:val="24"/>
          <w:szCs w:val="24"/>
        </w:rPr>
      </w:pPr>
      <w:r w:rsidRPr="006A0C0B">
        <w:rPr>
          <w:rFonts w:ascii="Times New Roman" w:hAnsi="Times New Roman" w:cs="Times New Roman"/>
          <w:sz w:val="24"/>
          <w:szCs w:val="24"/>
        </w:rPr>
        <w:br w:type="page"/>
      </w:r>
    </w:p>
    <w:p w14:paraId="441A9596" w14:textId="399FF148" w:rsidR="001868C7" w:rsidRPr="006A0C0B" w:rsidRDefault="001868C7" w:rsidP="001868C7">
      <w:pPr>
        <w:widowControl w:val="0"/>
        <w:spacing w:after="0" w:line="480" w:lineRule="auto"/>
        <w:ind w:firstLine="720"/>
        <w:rPr>
          <w:rFonts w:ascii="Times New Roman" w:hAnsi="Times New Roman" w:cs="Times New Roman"/>
          <w:sz w:val="24"/>
          <w:szCs w:val="24"/>
        </w:rPr>
      </w:pPr>
      <w:r w:rsidRPr="006A0C0B">
        <w:rPr>
          <w:rFonts w:ascii="Times New Roman" w:hAnsi="Times New Roman" w:cs="Times New Roman"/>
          <w:i/>
          <w:iCs/>
          <w:sz w:val="24"/>
          <w:szCs w:val="24"/>
        </w:rPr>
        <w:lastRenderedPageBreak/>
        <w:t xml:space="preserve">The Faerie Queene </w:t>
      </w:r>
      <w:r w:rsidRPr="006A0C0B">
        <w:rPr>
          <w:rFonts w:ascii="Times New Roman" w:hAnsi="Times New Roman" w:cs="Times New Roman"/>
          <w:sz w:val="24"/>
          <w:szCs w:val="24"/>
        </w:rPr>
        <w:t xml:space="preserve">is an allegorical anomaly; it </w:t>
      </w:r>
      <w:r>
        <w:rPr>
          <w:rFonts w:ascii="Times New Roman" w:hAnsi="Times New Roman" w:cs="Times New Roman"/>
          <w:sz w:val="24"/>
          <w:szCs w:val="24"/>
        </w:rPr>
        <w:t xml:space="preserve">strongly </w:t>
      </w:r>
      <w:r w:rsidRPr="006A0C0B">
        <w:rPr>
          <w:rFonts w:ascii="Times New Roman" w:hAnsi="Times New Roman" w:cs="Times New Roman"/>
          <w:sz w:val="24"/>
          <w:szCs w:val="24"/>
        </w:rPr>
        <w:t xml:space="preserve">reflects elements of multiple genres that make it hard to classify within a certain sphere of literary reflection. Spenser built the foundation for </w:t>
      </w:r>
      <w:r w:rsidRPr="006A0C0B">
        <w:rPr>
          <w:rFonts w:ascii="Times New Roman" w:hAnsi="Times New Roman" w:cs="Times New Roman"/>
          <w:i/>
          <w:iCs/>
          <w:sz w:val="24"/>
          <w:szCs w:val="24"/>
        </w:rPr>
        <w:t xml:space="preserve">The Faerie Queene </w:t>
      </w:r>
      <w:r w:rsidRPr="006A0C0B">
        <w:rPr>
          <w:rFonts w:ascii="Times New Roman" w:hAnsi="Times New Roman" w:cs="Times New Roman"/>
          <w:sz w:val="24"/>
          <w:szCs w:val="24"/>
        </w:rPr>
        <w:t xml:space="preserve">upon the basic building blocks of classical epics, but also highlighted pivotal themes from other genres such as medieval romance and pastoral compositions. Moreover, at its root, it is hard to argue against the religious emphasis within the text, although the religious themes become more disguised as the text progresses. There are strong political connotations within </w:t>
      </w:r>
      <w:r w:rsidRPr="006A0C0B">
        <w:rPr>
          <w:rFonts w:ascii="Times New Roman" w:hAnsi="Times New Roman" w:cs="Times New Roman"/>
          <w:i/>
          <w:iCs/>
          <w:sz w:val="24"/>
          <w:szCs w:val="24"/>
        </w:rPr>
        <w:t xml:space="preserve">The Faerie Queene </w:t>
      </w:r>
      <w:r w:rsidRPr="006A0C0B">
        <w:rPr>
          <w:rFonts w:ascii="Times New Roman" w:hAnsi="Times New Roman" w:cs="Times New Roman"/>
          <w:sz w:val="24"/>
          <w:szCs w:val="24"/>
        </w:rPr>
        <w:t>as well, voicing through allegory what many critics believe to be Spen</w:t>
      </w:r>
      <w:r>
        <w:rPr>
          <w:rFonts w:ascii="Times New Roman" w:hAnsi="Times New Roman" w:cs="Times New Roman"/>
          <w:sz w:val="24"/>
          <w:szCs w:val="24"/>
        </w:rPr>
        <w:t>s</w:t>
      </w:r>
      <w:r w:rsidRPr="006A0C0B">
        <w:rPr>
          <w:rFonts w:ascii="Times New Roman" w:hAnsi="Times New Roman" w:cs="Times New Roman"/>
          <w:sz w:val="24"/>
          <w:szCs w:val="24"/>
        </w:rPr>
        <w:t>er’s opinion on the politics surrounding the ongoing state of the monarchy in England during its composition. Although much research and thought has been given for centuries over Spen</w:t>
      </w:r>
      <w:r>
        <w:rPr>
          <w:rFonts w:ascii="Times New Roman" w:hAnsi="Times New Roman" w:cs="Times New Roman"/>
          <w:sz w:val="24"/>
          <w:szCs w:val="24"/>
        </w:rPr>
        <w:t>s</w:t>
      </w:r>
      <w:r w:rsidRPr="006A0C0B">
        <w:rPr>
          <w:rFonts w:ascii="Times New Roman" w:hAnsi="Times New Roman" w:cs="Times New Roman"/>
          <w:sz w:val="24"/>
          <w:szCs w:val="24"/>
        </w:rPr>
        <w:t xml:space="preserve">er’s massive undertaking attempting to cultivate in a new form Aristotle’s idea of virtues, there are conflicting viewpoints on the unfinished and perhaps falsely designated Book VII of </w:t>
      </w:r>
      <w:r w:rsidRPr="006A0C0B">
        <w:rPr>
          <w:rFonts w:ascii="Times New Roman" w:hAnsi="Times New Roman" w:cs="Times New Roman"/>
          <w:i/>
          <w:iCs/>
          <w:sz w:val="24"/>
          <w:szCs w:val="24"/>
        </w:rPr>
        <w:t>The Faerie Queene:</w:t>
      </w:r>
      <w:r w:rsidRPr="006A0C0B">
        <w:rPr>
          <w:rFonts w:ascii="Times New Roman" w:hAnsi="Times New Roman" w:cs="Times New Roman"/>
          <w:sz w:val="24"/>
          <w:szCs w:val="24"/>
        </w:rPr>
        <w:t xml:space="preserve"> </w:t>
      </w:r>
      <w:r w:rsidR="00E87A4A">
        <w:rPr>
          <w:rFonts w:ascii="Times New Roman" w:hAnsi="Times New Roman" w:cs="Times New Roman"/>
          <w:i/>
          <w:iCs/>
          <w:sz w:val="24"/>
          <w:szCs w:val="24"/>
        </w:rPr>
        <w:t>Two</w:t>
      </w:r>
      <w:r w:rsidRPr="006A0C0B">
        <w:rPr>
          <w:rFonts w:ascii="Times New Roman" w:hAnsi="Times New Roman" w:cs="Times New Roman"/>
          <w:i/>
          <w:iCs/>
          <w:sz w:val="24"/>
          <w:szCs w:val="24"/>
        </w:rPr>
        <w:t xml:space="preserve"> Cantos of Mutabilitie. </w:t>
      </w:r>
      <w:r w:rsidR="00E87A4A">
        <w:rPr>
          <w:rFonts w:ascii="Times New Roman" w:hAnsi="Times New Roman" w:cs="Times New Roman"/>
          <w:i/>
          <w:iCs/>
          <w:sz w:val="24"/>
          <w:szCs w:val="24"/>
        </w:rPr>
        <w:t xml:space="preserve">Two </w:t>
      </w:r>
      <w:r w:rsidRPr="006A0C0B">
        <w:rPr>
          <w:rFonts w:ascii="Times New Roman" w:hAnsi="Times New Roman" w:cs="Times New Roman"/>
          <w:i/>
          <w:iCs/>
          <w:sz w:val="24"/>
          <w:szCs w:val="24"/>
        </w:rPr>
        <w:t>Cantos of Mutabilitie</w:t>
      </w:r>
      <w:r w:rsidRPr="006A0C0B">
        <w:rPr>
          <w:rFonts w:ascii="Times New Roman" w:hAnsi="Times New Roman" w:cs="Times New Roman"/>
          <w:sz w:val="24"/>
          <w:szCs w:val="24"/>
        </w:rPr>
        <w:t xml:space="preserve"> were originally published in 1609 in an edition of </w:t>
      </w:r>
      <w:r w:rsidRPr="006A0C0B">
        <w:rPr>
          <w:rFonts w:ascii="Times New Roman" w:hAnsi="Times New Roman" w:cs="Times New Roman"/>
          <w:i/>
          <w:iCs/>
          <w:sz w:val="24"/>
          <w:szCs w:val="24"/>
        </w:rPr>
        <w:t>The Faerie Queen</w:t>
      </w:r>
      <w:r>
        <w:rPr>
          <w:rFonts w:ascii="Times New Roman" w:hAnsi="Times New Roman" w:cs="Times New Roman"/>
          <w:i/>
          <w:iCs/>
          <w:sz w:val="24"/>
          <w:szCs w:val="24"/>
        </w:rPr>
        <w:t>e</w:t>
      </w:r>
      <w:r w:rsidRPr="006A0C0B">
        <w:rPr>
          <w:rFonts w:ascii="Times New Roman" w:hAnsi="Times New Roman" w:cs="Times New Roman"/>
          <w:i/>
          <w:iCs/>
          <w:sz w:val="24"/>
          <w:szCs w:val="24"/>
        </w:rPr>
        <w:t xml:space="preserve"> </w:t>
      </w:r>
      <w:r w:rsidRPr="006A0C0B">
        <w:rPr>
          <w:rFonts w:ascii="Times New Roman" w:hAnsi="Times New Roman" w:cs="Times New Roman"/>
          <w:sz w:val="24"/>
          <w:szCs w:val="24"/>
        </w:rPr>
        <w:t>as ‘Two Cantos of Mutabilitie’</w:t>
      </w:r>
      <w:r w:rsidRPr="006A0C0B">
        <w:rPr>
          <w:rFonts w:ascii="Times New Roman" w:hAnsi="Times New Roman" w:cs="Times New Roman"/>
          <w:sz w:val="24"/>
          <w:szCs w:val="24"/>
          <w:vertAlign w:val="superscript"/>
        </w:rPr>
        <w:t>1</w:t>
      </w:r>
      <w:r w:rsidRPr="006A0C0B">
        <w:rPr>
          <w:rFonts w:ascii="Times New Roman" w:hAnsi="Times New Roman" w:cs="Times New Roman"/>
          <w:sz w:val="24"/>
          <w:szCs w:val="24"/>
        </w:rPr>
        <w:t xml:space="preserve"> ten years after Spen</w:t>
      </w:r>
      <w:r>
        <w:rPr>
          <w:rFonts w:ascii="Times New Roman" w:hAnsi="Times New Roman" w:cs="Times New Roman"/>
          <w:sz w:val="24"/>
          <w:szCs w:val="24"/>
        </w:rPr>
        <w:t>s</w:t>
      </w:r>
      <w:r w:rsidRPr="006A0C0B">
        <w:rPr>
          <w:rFonts w:ascii="Times New Roman" w:hAnsi="Times New Roman" w:cs="Times New Roman"/>
          <w:sz w:val="24"/>
          <w:szCs w:val="24"/>
        </w:rPr>
        <w:t xml:space="preserve">er’s death. Despite the 1609 publication </w:t>
      </w:r>
      <w:r>
        <w:rPr>
          <w:rFonts w:ascii="Times New Roman" w:hAnsi="Times New Roman" w:cs="Times New Roman"/>
          <w:sz w:val="24"/>
          <w:szCs w:val="24"/>
        </w:rPr>
        <w:t>of</w:t>
      </w:r>
      <w:r w:rsidRPr="006A0C0B">
        <w:rPr>
          <w:rFonts w:ascii="Times New Roman" w:hAnsi="Times New Roman" w:cs="Times New Roman"/>
          <w:sz w:val="24"/>
          <w:szCs w:val="24"/>
        </w:rPr>
        <w:t xml:space="preserve"> </w:t>
      </w:r>
      <w:r w:rsidRPr="006A0C0B">
        <w:rPr>
          <w:rFonts w:ascii="Times New Roman" w:hAnsi="Times New Roman" w:cs="Times New Roman"/>
          <w:i/>
          <w:iCs/>
          <w:sz w:val="24"/>
          <w:szCs w:val="24"/>
        </w:rPr>
        <w:t>T</w:t>
      </w:r>
      <w:r w:rsidR="00E87A4A">
        <w:rPr>
          <w:rFonts w:ascii="Times New Roman" w:hAnsi="Times New Roman" w:cs="Times New Roman"/>
          <w:i/>
          <w:iCs/>
          <w:sz w:val="24"/>
          <w:szCs w:val="24"/>
        </w:rPr>
        <w:t>wo Cantos of Mutabilitie</w:t>
      </w:r>
      <w:r w:rsidRPr="006A0C0B">
        <w:rPr>
          <w:rFonts w:ascii="Times New Roman" w:hAnsi="Times New Roman" w:cs="Times New Roman"/>
          <w:sz w:val="24"/>
          <w:szCs w:val="24"/>
        </w:rPr>
        <w:t xml:space="preserve"> as the unfinished Book VII,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have inspired a variety of questions about the significance of the unfinished work and its place within the whole of the text. A long-standing question </w:t>
      </w:r>
      <w:r>
        <w:rPr>
          <w:rFonts w:ascii="Times New Roman" w:hAnsi="Times New Roman" w:cs="Times New Roman"/>
          <w:sz w:val="24"/>
          <w:szCs w:val="24"/>
        </w:rPr>
        <w:t>regarding</w:t>
      </w:r>
      <w:r w:rsidRPr="006A0C0B">
        <w:rPr>
          <w:rFonts w:ascii="Times New Roman" w:hAnsi="Times New Roman" w:cs="Times New Roman"/>
          <w:sz w:val="24"/>
          <w:szCs w:val="24"/>
        </w:rPr>
        <w:t xml:space="preserve"> the </w:t>
      </w:r>
      <w:r w:rsidRPr="006A0C0B">
        <w:rPr>
          <w:rFonts w:ascii="Times New Roman" w:hAnsi="Times New Roman" w:cs="Times New Roman"/>
          <w:i/>
          <w:iCs/>
          <w:sz w:val="24"/>
          <w:szCs w:val="24"/>
        </w:rPr>
        <w:t xml:space="preserve">Two Cantos of Mutabilitie </w:t>
      </w:r>
      <w:r>
        <w:rPr>
          <w:rFonts w:ascii="Times New Roman" w:hAnsi="Times New Roman" w:cs="Times New Roman"/>
          <w:sz w:val="24"/>
          <w:szCs w:val="24"/>
        </w:rPr>
        <w:t>investigates</w:t>
      </w:r>
      <w:r w:rsidRPr="006A0C0B">
        <w:rPr>
          <w:rFonts w:ascii="Times New Roman" w:hAnsi="Times New Roman" w:cs="Times New Roman"/>
          <w:sz w:val="24"/>
          <w:szCs w:val="24"/>
        </w:rPr>
        <w:t xml:space="preserve"> why the original 1609 publication of the </w:t>
      </w:r>
      <w:r w:rsidRPr="006A0C0B">
        <w:rPr>
          <w:rFonts w:ascii="Times New Roman" w:hAnsi="Times New Roman" w:cs="Times New Roman"/>
          <w:i/>
          <w:iCs/>
          <w:sz w:val="24"/>
          <w:szCs w:val="24"/>
        </w:rPr>
        <w:t xml:space="preserve">Cantos </w:t>
      </w:r>
      <w:r>
        <w:rPr>
          <w:rFonts w:ascii="Times New Roman" w:hAnsi="Times New Roman" w:cs="Times New Roman"/>
          <w:sz w:val="24"/>
          <w:szCs w:val="24"/>
        </w:rPr>
        <w:t>presented</w:t>
      </w:r>
      <w:r w:rsidRPr="006A0C0B">
        <w:rPr>
          <w:rFonts w:ascii="Times New Roman" w:hAnsi="Times New Roman" w:cs="Times New Roman"/>
          <w:sz w:val="24"/>
          <w:szCs w:val="24"/>
        </w:rPr>
        <w:t xml:space="preserve"> the text as the unfinished Book VII rather than simply an unfinished fragment of </w:t>
      </w:r>
      <w:r w:rsidRPr="006A0C0B">
        <w:rPr>
          <w:rFonts w:ascii="Times New Roman" w:hAnsi="Times New Roman" w:cs="Times New Roman"/>
          <w:i/>
          <w:iCs/>
          <w:sz w:val="24"/>
          <w:szCs w:val="24"/>
        </w:rPr>
        <w:t>The Faerie Queene</w:t>
      </w:r>
      <w:r w:rsidRPr="006A0C0B">
        <w:rPr>
          <w:rFonts w:ascii="Times New Roman" w:hAnsi="Times New Roman" w:cs="Times New Roman"/>
          <w:sz w:val="24"/>
          <w:szCs w:val="24"/>
        </w:rPr>
        <w:t>.</w:t>
      </w:r>
    </w:p>
    <w:p w14:paraId="4AE969A4" w14:textId="17AA85F5" w:rsidR="001868C7" w:rsidRPr="00154894" w:rsidRDefault="001868C7" w:rsidP="001868C7">
      <w:pPr>
        <w:widowControl w:val="0"/>
        <w:spacing w:after="0" w:line="480" w:lineRule="auto"/>
        <w:ind w:firstLine="720"/>
        <w:rPr>
          <w:rFonts w:ascii="Times New Roman" w:eastAsia="Times New Roman" w:hAnsi="Times New Roman" w:cs="Times New Roman"/>
          <w:b/>
          <w:bCs/>
          <w:sz w:val="24"/>
          <w:szCs w:val="24"/>
        </w:rPr>
      </w:pPr>
      <w:r w:rsidRPr="006A0C0B">
        <w:rPr>
          <w:rFonts w:ascii="Times New Roman" w:hAnsi="Times New Roman" w:cs="Times New Roman"/>
          <w:sz w:val="24"/>
          <w:szCs w:val="24"/>
        </w:rPr>
        <w:t>In 1609, ten years following the death of author Edmund Spen</w:t>
      </w:r>
      <w:r>
        <w:rPr>
          <w:rFonts w:ascii="Times New Roman" w:hAnsi="Times New Roman" w:cs="Times New Roman"/>
          <w:sz w:val="24"/>
          <w:szCs w:val="24"/>
        </w:rPr>
        <w:t>s</w:t>
      </w:r>
      <w:r w:rsidRPr="006A0C0B">
        <w:rPr>
          <w:rFonts w:ascii="Times New Roman" w:hAnsi="Times New Roman" w:cs="Times New Roman"/>
          <w:sz w:val="24"/>
          <w:szCs w:val="24"/>
        </w:rPr>
        <w:t xml:space="preserve">er, a new edition of </w:t>
      </w:r>
      <w:r w:rsidRPr="006A0C0B">
        <w:rPr>
          <w:rFonts w:ascii="Times New Roman" w:hAnsi="Times New Roman" w:cs="Times New Roman"/>
          <w:i/>
          <w:iCs/>
          <w:sz w:val="24"/>
          <w:szCs w:val="24"/>
        </w:rPr>
        <w:t xml:space="preserve">The Faerie Queene </w:t>
      </w:r>
      <w:r w:rsidRPr="006A0C0B">
        <w:rPr>
          <w:rFonts w:ascii="Times New Roman" w:hAnsi="Times New Roman" w:cs="Times New Roman"/>
          <w:sz w:val="24"/>
          <w:szCs w:val="24"/>
        </w:rPr>
        <w:t>was printed by</w:t>
      </w:r>
      <w:r w:rsidRPr="006A0C0B">
        <w:rPr>
          <w:rFonts w:ascii="Times New Roman" w:hAnsi="Times New Roman" w:cs="Times New Roman"/>
          <w:sz w:val="24"/>
          <w:szCs w:val="24"/>
          <w:shd w:val="clear" w:color="auto" w:fill="FFFFFF"/>
        </w:rPr>
        <w:t xml:space="preserve"> H.L. for Mathew Lownes in London and was</w:t>
      </w:r>
      <w:r w:rsidRPr="006A0C0B">
        <w:rPr>
          <w:rFonts w:ascii="Times New Roman" w:hAnsi="Times New Roman" w:cs="Times New Roman"/>
          <w:sz w:val="24"/>
          <w:szCs w:val="24"/>
        </w:rPr>
        <w:t xml:space="preserve"> set to introduce unseen cantos. It is unknown how Lownes came into possession of </w:t>
      </w:r>
      <w:r w:rsidR="00E87A4A">
        <w:rPr>
          <w:rFonts w:ascii="Times New Roman" w:hAnsi="Times New Roman" w:cs="Times New Roman"/>
          <w:i/>
          <w:iCs/>
          <w:sz w:val="24"/>
          <w:szCs w:val="24"/>
        </w:rPr>
        <w:t>Two Cantos of Mutabilitie</w:t>
      </w:r>
      <w:r w:rsidRPr="006A0C0B">
        <w:rPr>
          <w:rFonts w:ascii="Times New Roman" w:hAnsi="Times New Roman" w:cs="Times New Roman"/>
          <w:i/>
          <w:iCs/>
          <w:sz w:val="24"/>
          <w:szCs w:val="24"/>
        </w:rPr>
        <w:t xml:space="preserve"> </w:t>
      </w:r>
      <w:r w:rsidRPr="006A0C0B">
        <w:rPr>
          <w:rFonts w:ascii="Times New Roman" w:hAnsi="Times New Roman" w:cs="Times New Roman"/>
          <w:sz w:val="24"/>
          <w:szCs w:val="24"/>
        </w:rPr>
        <w:t xml:space="preserve">and took the initiative to publish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as the unfinished Book VII. In an 1862 edition of </w:t>
      </w:r>
      <w:r w:rsidRPr="006A0C0B">
        <w:rPr>
          <w:rFonts w:ascii="Times New Roman" w:eastAsia="Times New Roman" w:hAnsi="Times New Roman" w:cs="Times New Roman"/>
          <w:i/>
          <w:iCs/>
          <w:sz w:val="24"/>
          <w:szCs w:val="24"/>
        </w:rPr>
        <w:lastRenderedPageBreak/>
        <w:t>The Works of Edmund Spen</w:t>
      </w:r>
      <w:r>
        <w:rPr>
          <w:rFonts w:ascii="Times New Roman" w:eastAsia="Times New Roman" w:hAnsi="Times New Roman" w:cs="Times New Roman"/>
          <w:i/>
          <w:iCs/>
          <w:sz w:val="24"/>
          <w:szCs w:val="24"/>
        </w:rPr>
        <w:t>s</w:t>
      </w:r>
      <w:r w:rsidRPr="006A0C0B">
        <w:rPr>
          <w:rFonts w:ascii="Times New Roman" w:eastAsia="Times New Roman" w:hAnsi="Times New Roman" w:cs="Times New Roman"/>
          <w:i/>
          <w:iCs/>
          <w:sz w:val="24"/>
          <w:szCs w:val="24"/>
        </w:rPr>
        <w:t>er</w:t>
      </w:r>
      <w:r w:rsidR="0033291F">
        <w:rPr>
          <w:rFonts w:ascii="Times New Roman" w:eastAsia="Times New Roman" w:hAnsi="Times New Roman" w:cs="Times New Roman"/>
          <w:i/>
          <w:iCs/>
          <w:sz w:val="24"/>
          <w:szCs w:val="24"/>
        </w:rPr>
        <w:t>,</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editor J. Payne Callier includes in the section ‘The Life of Edmund Spenser’ that publisher Mathew Lownes ‘perhaps from fome of the friends or relatives of Spenfer’ secured the additional manuscript which included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and most likely acted upon notes within the manuscript to aid in his classification of the </w:t>
      </w:r>
      <w:r w:rsidRPr="006A0C0B">
        <w:rPr>
          <w:rFonts w:ascii="Times New Roman" w:eastAsia="Times New Roman" w:hAnsi="Times New Roman" w:cs="Times New Roman"/>
          <w:i/>
          <w:iCs/>
          <w:sz w:val="24"/>
          <w:szCs w:val="24"/>
        </w:rPr>
        <w:t>Cantos.</w:t>
      </w:r>
      <w:r w:rsidRPr="006A0C0B">
        <w:rPr>
          <w:rFonts w:ascii="Times New Roman" w:eastAsia="Times New Roman" w:hAnsi="Times New Roman" w:cs="Times New Roman"/>
          <w:sz w:val="24"/>
          <w:szCs w:val="24"/>
          <w:vertAlign w:val="superscript"/>
        </w:rPr>
        <w:t>2</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Although critics have been unable to firmly decipher how Lownes came into ownership of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manuscript, he is cited as a publisher on a number of manuscripts throughout the early 1600s. Lownes is responsible for the way in which the </w:t>
      </w:r>
      <w:r w:rsidRPr="006A0C0B">
        <w:rPr>
          <w:rFonts w:ascii="Times New Roman" w:eastAsia="Times New Roman" w:hAnsi="Times New Roman" w:cs="Times New Roman"/>
          <w:i/>
          <w:iCs/>
          <w:sz w:val="24"/>
          <w:szCs w:val="24"/>
        </w:rPr>
        <w:t>Cantos</w:t>
      </w:r>
      <w:r w:rsidRPr="006A0C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were</w:t>
      </w:r>
      <w:r w:rsidRPr="006A0C0B">
        <w:rPr>
          <w:rFonts w:ascii="Times New Roman" w:eastAsia="Times New Roman" w:hAnsi="Times New Roman" w:cs="Times New Roman"/>
          <w:sz w:val="24"/>
          <w:szCs w:val="24"/>
        </w:rPr>
        <w:t xml:space="preserve"> classified and understood in </w:t>
      </w:r>
      <w:r>
        <w:rPr>
          <w:rFonts w:ascii="Times New Roman" w:eastAsia="Times New Roman" w:hAnsi="Times New Roman" w:cs="Times New Roman"/>
          <w:sz w:val="24"/>
          <w:szCs w:val="24"/>
        </w:rPr>
        <w:t>relation to</w:t>
      </w:r>
      <w:r w:rsidRPr="006A0C0B">
        <w:rPr>
          <w:rFonts w:ascii="Times New Roman" w:eastAsia="Times New Roman" w:hAnsi="Times New Roman" w:cs="Times New Roman"/>
          <w:sz w:val="24"/>
          <w:szCs w:val="24"/>
        </w:rPr>
        <w:t xml:space="preserve">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by his decision to publish the </w:t>
      </w:r>
      <w:r w:rsidRPr="006A0C0B">
        <w:rPr>
          <w:rFonts w:ascii="Times New Roman" w:eastAsia="Times New Roman" w:hAnsi="Times New Roman" w:cs="Times New Roman"/>
          <w:i/>
          <w:iCs/>
          <w:sz w:val="24"/>
          <w:szCs w:val="24"/>
        </w:rPr>
        <w:t>Cantos</w:t>
      </w:r>
      <w:r w:rsidRPr="006A0C0B">
        <w:rPr>
          <w:rFonts w:ascii="Times New Roman" w:eastAsia="Times New Roman" w:hAnsi="Times New Roman" w:cs="Times New Roman"/>
          <w:sz w:val="24"/>
          <w:szCs w:val="24"/>
        </w:rPr>
        <w:t xml:space="preserve"> as the unfinished Book VII. </w:t>
      </w:r>
      <w:r w:rsidRPr="006A0C0B">
        <w:rPr>
          <w:rFonts w:ascii="Times New Roman" w:hAnsi="Times New Roman" w:cs="Times New Roman"/>
          <w:sz w:val="24"/>
          <w:szCs w:val="24"/>
        </w:rPr>
        <w:t xml:space="preserve">The ‘Two Cantos of Mutabilitie’, as named in the original text, are introduced as cantos ‘which, both for Forme and Matter, appeare to be parcell of fome following Booke of the </w:t>
      </w:r>
      <w:r w:rsidRPr="006A0C0B">
        <w:rPr>
          <w:rFonts w:ascii="Times New Roman" w:hAnsi="Times New Roman" w:cs="Times New Roman"/>
          <w:i/>
          <w:iCs/>
          <w:sz w:val="24"/>
          <w:szCs w:val="24"/>
        </w:rPr>
        <w:t>Faerie Queene</w:t>
      </w:r>
      <w:r w:rsidRPr="006A0C0B">
        <w:rPr>
          <w:rFonts w:ascii="Times New Roman" w:hAnsi="Times New Roman" w:cs="Times New Roman"/>
          <w:sz w:val="24"/>
          <w:szCs w:val="24"/>
        </w:rPr>
        <w:t>.’</w:t>
      </w:r>
      <w:r w:rsidRPr="006A0C0B">
        <w:rPr>
          <w:rFonts w:ascii="Times New Roman" w:hAnsi="Times New Roman" w:cs="Times New Roman"/>
          <w:sz w:val="24"/>
          <w:szCs w:val="24"/>
          <w:vertAlign w:val="superscript"/>
        </w:rPr>
        <w:t>3</w:t>
      </w:r>
      <w:r w:rsidRPr="006A0C0B">
        <w:rPr>
          <w:rFonts w:ascii="Times New Roman" w:hAnsi="Times New Roman" w:cs="Times New Roman"/>
          <w:sz w:val="24"/>
          <w:szCs w:val="24"/>
        </w:rPr>
        <w:t xml:space="preserve"> There is not a formal preface to the edition b</w:t>
      </w:r>
      <w:r>
        <w:rPr>
          <w:rFonts w:ascii="Times New Roman" w:hAnsi="Times New Roman" w:cs="Times New Roman"/>
          <w:sz w:val="24"/>
          <w:szCs w:val="24"/>
        </w:rPr>
        <w:t>earing the</w:t>
      </w:r>
      <w:r w:rsidRPr="006A0C0B">
        <w:rPr>
          <w:rFonts w:ascii="Times New Roman" w:hAnsi="Times New Roman" w:cs="Times New Roman"/>
          <w:sz w:val="24"/>
          <w:szCs w:val="24"/>
        </w:rPr>
        <w:t xml:space="preserve"> introduc</w:t>
      </w:r>
      <w:r>
        <w:rPr>
          <w:rFonts w:ascii="Times New Roman" w:hAnsi="Times New Roman" w:cs="Times New Roman"/>
          <w:sz w:val="24"/>
          <w:szCs w:val="24"/>
        </w:rPr>
        <w:t>tion of</w:t>
      </w:r>
      <w:r w:rsidRPr="006A0C0B">
        <w:rPr>
          <w:rFonts w:ascii="Times New Roman" w:hAnsi="Times New Roman" w:cs="Times New Roman"/>
          <w:sz w:val="24"/>
          <w:szCs w:val="24"/>
        </w:rPr>
        <w:t xml:space="preserve"> the </w:t>
      </w:r>
      <w:r w:rsidRPr="006A0C0B">
        <w:rPr>
          <w:rFonts w:ascii="Times New Roman" w:hAnsi="Times New Roman" w:cs="Times New Roman"/>
          <w:i/>
          <w:iCs/>
          <w:sz w:val="24"/>
          <w:szCs w:val="24"/>
        </w:rPr>
        <w:t>Cantos</w:t>
      </w:r>
      <w:r w:rsidRPr="006A0C0B">
        <w:rPr>
          <w:rFonts w:ascii="Times New Roman" w:hAnsi="Times New Roman" w:cs="Times New Roman"/>
          <w:sz w:val="24"/>
          <w:szCs w:val="24"/>
        </w:rPr>
        <w:t xml:space="preserve">, nor is there any hint of explanation besides the title and the above quoted sentence-long clarification. </w:t>
      </w:r>
      <w:r>
        <w:rPr>
          <w:rFonts w:ascii="Times New Roman" w:hAnsi="Times New Roman" w:cs="Times New Roman"/>
          <w:sz w:val="24"/>
          <w:szCs w:val="24"/>
        </w:rPr>
        <w:t>I</w:t>
      </w:r>
      <w:r w:rsidRPr="006A0C0B">
        <w:rPr>
          <w:rFonts w:ascii="Times New Roman" w:hAnsi="Times New Roman" w:cs="Times New Roman"/>
          <w:sz w:val="24"/>
          <w:szCs w:val="24"/>
        </w:rPr>
        <w:t xml:space="preserve">t is unknown why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are labeled as ‘Canto VI’, ‘Canto VII’ and ‘Canto VIII’ instead of simply beginning at ‘Canto </w:t>
      </w:r>
      <w:r w:rsidR="00E87A4A">
        <w:rPr>
          <w:rFonts w:ascii="Times New Roman" w:hAnsi="Times New Roman" w:cs="Times New Roman"/>
          <w:sz w:val="24"/>
          <w:szCs w:val="24"/>
        </w:rPr>
        <w:t>I</w:t>
      </w:r>
      <w:r w:rsidRPr="006A0C0B">
        <w:rPr>
          <w:rFonts w:ascii="Times New Roman" w:hAnsi="Times New Roman" w:cs="Times New Roman"/>
          <w:sz w:val="24"/>
          <w:szCs w:val="24"/>
        </w:rPr>
        <w:t xml:space="preserve">’ like all previous books of </w:t>
      </w:r>
      <w:r w:rsidRPr="006A0C0B">
        <w:rPr>
          <w:rFonts w:ascii="Times New Roman" w:hAnsi="Times New Roman" w:cs="Times New Roman"/>
          <w:i/>
          <w:iCs/>
          <w:sz w:val="24"/>
          <w:szCs w:val="24"/>
        </w:rPr>
        <w:t>The Faerie Queene.</w:t>
      </w:r>
      <w:r w:rsidRPr="006A0C0B">
        <w:rPr>
          <w:rFonts w:ascii="Times New Roman" w:hAnsi="Times New Roman" w:cs="Times New Roman"/>
          <w:sz w:val="24"/>
          <w:szCs w:val="24"/>
        </w:rPr>
        <w:t xml:space="preserve"> This choice in the numbering of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may be meant to emphasize the incompleteness of the classified Book VII or may have been Spenser’s original numbering in the posthumously obtained manuscript. In a 2013 edition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editor A. C. Hamilton writes that it is not ‘known who provided the title, the division, and the number of the cantos, and the running title “The Seuenth Booke”’</w:t>
      </w:r>
      <w:r w:rsidRPr="006A0C0B">
        <w:rPr>
          <w:rFonts w:ascii="Times New Roman" w:eastAsia="Times New Roman" w:hAnsi="Times New Roman" w:cs="Times New Roman"/>
          <w:sz w:val="24"/>
          <w:szCs w:val="24"/>
          <w:vertAlign w:val="superscript"/>
        </w:rPr>
        <w:t>4</w:t>
      </w:r>
      <w:r w:rsidRPr="006A0C0B">
        <w:rPr>
          <w:rFonts w:ascii="Times New Roman" w:eastAsia="Times New Roman" w:hAnsi="Times New Roman" w:cs="Times New Roman"/>
          <w:sz w:val="24"/>
          <w:szCs w:val="24"/>
        </w:rPr>
        <w:t xml:space="preserve"> but the classification of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may be consistent with Lownes</w:t>
      </w:r>
      <w:r>
        <w:rPr>
          <w:rFonts w:ascii="Times New Roman" w:eastAsia="Times New Roman" w:hAnsi="Times New Roman" w:cs="Times New Roman"/>
          <w:sz w:val="24"/>
          <w:szCs w:val="24"/>
        </w:rPr>
        <w:t>’</w:t>
      </w:r>
      <w:r w:rsidRPr="006A0C0B">
        <w:rPr>
          <w:rFonts w:ascii="Times New Roman" w:eastAsia="Times New Roman" w:hAnsi="Times New Roman" w:cs="Times New Roman"/>
          <w:sz w:val="24"/>
          <w:szCs w:val="24"/>
        </w:rPr>
        <w:t xml:space="preserve"> classification or, as many critics argue, meant to articulate something different. </w:t>
      </w:r>
    </w:p>
    <w:p w14:paraId="7786A3B9" w14:textId="683D2E18" w:rsidR="001868C7" w:rsidRPr="006A0C0B" w:rsidRDefault="001868C7" w:rsidP="001868C7">
      <w:pPr>
        <w:widowControl w:val="0"/>
        <w:spacing w:after="0" w:line="480" w:lineRule="auto"/>
        <w:ind w:firstLine="720"/>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It is agreed that </w:t>
      </w:r>
      <w:r w:rsidR="00E87A4A">
        <w:rPr>
          <w:rFonts w:ascii="Times New Roman" w:eastAsia="Times New Roman" w:hAnsi="Times New Roman" w:cs="Times New Roman"/>
          <w:i/>
          <w:iCs/>
          <w:sz w:val="24"/>
          <w:szCs w:val="24"/>
        </w:rPr>
        <w:t xml:space="preserve">Two </w:t>
      </w:r>
      <w:r w:rsidRPr="006A0C0B">
        <w:rPr>
          <w:rFonts w:ascii="Times New Roman" w:eastAsia="Times New Roman" w:hAnsi="Times New Roman" w:cs="Times New Roman"/>
          <w:i/>
          <w:iCs/>
          <w:sz w:val="24"/>
          <w:szCs w:val="24"/>
        </w:rPr>
        <w:t>Cantos</w:t>
      </w:r>
      <w:r w:rsidR="00E87A4A">
        <w:rPr>
          <w:rFonts w:ascii="Times New Roman" w:eastAsia="Times New Roman" w:hAnsi="Times New Roman" w:cs="Times New Roman"/>
          <w:i/>
          <w:iCs/>
          <w:sz w:val="24"/>
          <w:szCs w:val="24"/>
        </w:rPr>
        <w:t xml:space="preserve"> of Mutabilitie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were written by Spenser and related to </w:t>
      </w:r>
      <w:r w:rsidRPr="006A0C0B">
        <w:rPr>
          <w:rFonts w:ascii="Times New Roman" w:eastAsia="Times New Roman" w:hAnsi="Times New Roman" w:cs="Times New Roman"/>
          <w:i/>
          <w:iCs/>
          <w:sz w:val="24"/>
          <w:szCs w:val="24"/>
        </w:rPr>
        <w:t xml:space="preserve">The Faerie Queene, </w:t>
      </w:r>
      <w:r w:rsidRPr="006A0C0B">
        <w:rPr>
          <w:rFonts w:ascii="Times New Roman" w:eastAsia="Times New Roman" w:hAnsi="Times New Roman" w:cs="Times New Roman"/>
          <w:sz w:val="24"/>
          <w:szCs w:val="24"/>
        </w:rPr>
        <w:t xml:space="preserve">most notably due to the consistent usage of the verse style that Spenser adopted to write </w:t>
      </w:r>
      <w:r w:rsidRPr="006A0C0B">
        <w:rPr>
          <w:rFonts w:ascii="Times New Roman" w:eastAsia="Times New Roman" w:hAnsi="Times New Roman" w:cs="Times New Roman"/>
          <w:i/>
          <w:iCs/>
          <w:sz w:val="24"/>
          <w:szCs w:val="24"/>
        </w:rPr>
        <w:t xml:space="preserve">The Faerie Queene. </w:t>
      </w:r>
      <w:r w:rsidRPr="006A0C0B">
        <w:rPr>
          <w:rFonts w:ascii="Times New Roman" w:eastAsia="Times New Roman" w:hAnsi="Times New Roman" w:cs="Times New Roman"/>
          <w:sz w:val="24"/>
          <w:szCs w:val="24"/>
        </w:rPr>
        <w:t xml:space="preserve">Callier states of the </w:t>
      </w:r>
      <w:r w:rsidRPr="006A0C0B">
        <w:rPr>
          <w:rFonts w:ascii="Times New Roman" w:eastAsia="Times New Roman" w:hAnsi="Times New Roman" w:cs="Times New Roman"/>
          <w:i/>
          <w:iCs/>
          <w:sz w:val="24"/>
          <w:szCs w:val="24"/>
        </w:rPr>
        <w:t>Cantos</w:t>
      </w:r>
      <w:r w:rsidRPr="006A0C0B">
        <w:rPr>
          <w:rFonts w:ascii="Times New Roman" w:eastAsia="Times New Roman" w:hAnsi="Times New Roman" w:cs="Times New Roman"/>
          <w:sz w:val="24"/>
          <w:szCs w:val="24"/>
        </w:rPr>
        <w:t xml:space="preserve">: ‘There was certainly no other author </w:t>
      </w:r>
      <w:r w:rsidRPr="006A0C0B">
        <w:rPr>
          <w:rFonts w:ascii="Times New Roman" w:eastAsia="Times New Roman" w:hAnsi="Times New Roman" w:cs="Times New Roman"/>
          <w:sz w:val="24"/>
          <w:szCs w:val="24"/>
        </w:rPr>
        <w:lastRenderedPageBreak/>
        <w:t>living, before 1609, who could have written them; and they muﬅ be, and always have been, included in every edition of Spenſer's works.’</w:t>
      </w:r>
      <w:r w:rsidRPr="006A0C0B">
        <w:rPr>
          <w:rFonts w:ascii="Times New Roman" w:eastAsia="Times New Roman" w:hAnsi="Times New Roman" w:cs="Times New Roman"/>
          <w:sz w:val="24"/>
          <w:szCs w:val="24"/>
          <w:vertAlign w:val="superscript"/>
        </w:rPr>
        <w:t>5</w:t>
      </w:r>
      <w:r w:rsidRPr="006A0C0B">
        <w:rPr>
          <w:rFonts w:ascii="Times New Roman" w:eastAsia="Times New Roman" w:hAnsi="Times New Roman" w:cs="Times New Roman"/>
          <w:sz w:val="24"/>
          <w:szCs w:val="24"/>
        </w:rPr>
        <w:t xml:space="preserve"> However, there is merely a vague understanding of when Spenser would have written the </w:t>
      </w:r>
      <w:r w:rsidRPr="006A0C0B">
        <w:rPr>
          <w:rFonts w:ascii="Times New Roman" w:eastAsia="Times New Roman" w:hAnsi="Times New Roman" w:cs="Times New Roman"/>
          <w:i/>
          <w:iCs/>
          <w:sz w:val="24"/>
          <w:szCs w:val="24"/>
        </w:rPr>
        <w:t>Cantos. ‘</w:t>
      </w:r>
      <w:r w:rsidRPr="006A0C0B">
        <w:rPr>
          <w:rFonts w:ascii="Times New Roman" w:eastAsia="Times New Roman" w:hAnsi="Times New Roman" w:cs="Times New Roman"/>
          <w:sz w:val="24"/>
          <w:szCs w:val="24"/>
        </w:rPr>
        <w:t>It is improbable that they were written before 1586, as Spenser refers to Arlo Hill, which he would have been unlikely to have known before he took up his Kilcolman estate.’</w:t>
      </w:r>
      <w:r w:rsidRPr="006A0C0B">
        <w:rPr>
          <w:rFonts w:ascii="Times New Roman" w:eastAsia="Times New Roman" w:hAnsi="Times New Roman" w:cs="Times New Roman"/>
          <w:sz w:val="24"/>
          <w:szCs w:val="24"/>
          <w:vertAlign w:val="superscript"/>
        </w:rPr>
        <w:t>6</w:t>
      </w:r>
      <w:r w:rsidRPr="006A0C0B">
        <w:rPr>
          <w:rFonts w:ascii="Times New Roman" w:eastAsia="Times New Roman" w:hAnsi="Times New Roman" w:cs="Times New Roman"/>
          <w:sz w:val="24"/>
          <w:szCs w:val="24"/>
        </w:rPr>
        <w:t xml:space="preserve">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could have been composed in an earlier draft of </w:t>
      </w:r>
      <w:r w:rsidRPr="006A0C0B">
        <w:rPr>
          <w:rFonts w:ascii="Times New Roman" w:eastAsia="Times New Roman" w:hAnsi="Times New Roman" w:cs="Times New Roman"/>
          <w:i/>
          <w:iCs/>
          <w:sz w:val="24"/>
          <w:szCs w:val="24"/>
        </w:rPr>
        <w:t xml:space="preserve">The Faerie Queene </w:t>
      </w:r>
      <w:r w:rsidRPr="006A0C0B">
        <w:rPr>
          <w:rFonts w:ascii="Times New Roman" w:eastAsia="Times New Roman" w:hAnsi="Times New Roman" w:cs="Times New Roman"/>
          <w:sz w:val="24"/>
          <w:szCs w:val="24"/>
        </w:rPr>
        <w:t xml:space="preserve">which simply did not factor into the six books that Spenser finished before his death. Spenser himself emphasized in his ‘Letter to Raleigh’ the unconventional manner in which he was approaching the composition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w:t>
      </w:r>
      <w:r w:rsidRPr="006A0C0B">
        <w:rPr>
          <w:rFonts w:ascii="Times New Roman" w:eastAsia="Times New Roman" w:hAnsi="Times New Roman" w:cs="Times New Roman"/>
          <w:sz w:val="24"/>
          <w:szCs w:val="24"/>
          <w:vertAlign w:val="superscript"/>
        </w:rPr>
        <w:t>7</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A. C. Hamilton suggests that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classification as Book VII may be correct and the change in narrative form and pace may be related to </w:t>
      </w:r>
      <w:r>
        <w:rPr>
          <w:rFonts w:ascii="Times New Roman" w:eastAsia="Times New Roman" w:hAnsi="Times New Roman" w:cs="Times New Roman"/>
          <w:sz w:val="24"/>
          <w:szCs w:val="24"/>
        </w:rPr>
        <w:t>the</w:t>
      </w:r>
      <w:r w:rsidRPr="006A0C0B">
        <w:rPr>
          <w:rFonts w:ascii="Times New Roman" w:eastAsia="Times New Roman" w:hAnsi="Times New Roman" w:cs="Times New Roman"/>
          <w:sz w:val="24"/>
          <w:szCs w:val="24"/>
        </w:rPr>
        <w:t xml:space="preserve"> fact it is the seventh book and ‘the number heralds the poet’s day of rest to round out his six days of labour.’</w:t>
      </w:r>
      <w:r w:rsidRPr="006A0C0B">
        <w:rPr>
          <w:rFonts w:ascii="Times New Roman" w:eastAsia="Times New Roman" w:hAnsi="Times New Roman" w:cs="Times New Roman"/>
          <w:sz w:val="24"/>
          <w:szCs w:val="24"/>
          <w:vertAlign w:val="superscript"/>
        </w:rPr>
        <w:t>8</w:t>
      </w:r>
      <w:r w:rsidRPr="006A0C0B">
        <w:rPr>
          <w:rFonts w:ascii="Times New Roman" w:eastAsia="Times New Roman" w:hAnsi="Times New Roman" w:cs="Times New Roman"/>
          <w:sz w:val="24"/>
          <w:szCs w:val="24"/>
        </w:rPr>
        <w:t xml:space="preserve"> Despite the inconsistencies between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and previous books, it seems undermining to suggest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required any less ‘labour’ than Books I—VI. More likely,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were composed ‘as a brief philosophical poem to complete his otherwise fragmentary epic.’</w:t>
      </w:r>
      <w:r w:rsidRPr="006A0C0B">
        <w:rPr>
          <w:rFonts w:ascii="Times New Roman" w:eastAsia="Times New Roman" w:hAnsi="Times New Roman" w:cs="Times New Roman"/>
          <w:sz w:val="24"/>
          <w:szCs w:val="24"/>
          <w:vertAlign w:val="superscript"/>
        </w:rPr>
        <w:t>9</w:t>
      </w:r>
      <w:r w:rsidRPr="006A0C0B">
        <w:rPr>
          <w:rFonts w:ascii="Times New Roman" w:eastAsia="Times New Roman" w:hAnsi="Times New Roman" w:cs="Times New Roman"/>
          <w:sz w:val="24"/>
          <w:szCs w:val="24"/>
        </w:rPr>
        <w:t xml:space="preserve"> The narrative of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is notably different from the previous six books of </w:t>
      </w:r>
      <w:r w:rsidRPr="006A0C0B">
        <w:rPr>
          <w:rFonts w:ascii="Times New Roman" w:eastAsia="Times New Roman" w:hAnsi="Times New Roman" w:cs="Times New Roman"/>
          <w:i/>
          <w:iCs/>
          <w:sz w:val="24"/>
          <w:szCs w:val="24"/>
        </w:rPr>
        <w:t>The Faerie Queen</w:t>
      </w:r>
      <w:r w:rsidR="00EE48D8">
        <w:rPr>
          <w:rFonts w:ascii="Times New Roman" w:eastAsia="Times New Roman" w:hAnsi="Times New Roman" w:cs="Times New Roman"/>
          <w:i/>
          <w:iCs/>
          <w:sz w:val="24"/>
          <w:szCs w:val="24"/>
        </w:rPr>
        <w:t xml:space="preserve">e; </w:t>
      </w:r>
      <w:r w:rsidRPr="006A0C0B">
        <w:rPr>
          <w:rFonts w:ascii="Times New Roman" w:eastAsia="Times New Roman" w:hAnsi="Times New Roman" w:cs="Times New Roman"/>
          <w:sz w:val="24"/>
          <w:szCs w:val="24"/>
        </w:rPr>
        <w:t xml:space="preserve">differing from the central knight figure plowing ahead through trials meant to undermine </w:t>
      </w:r>
      <w:r>
        <w:rPr>
          <w:rFonts w:ascii="Times New Roman" w:eastAsia="Times New Roman" w:hAnsi="Times New Roman" w:cs="Times New Roman"/>
          <w:sz w:val="24"/>
          <w:szCs w:val="24"/>
        </w:rPr>
        <w:t>as well as</w:t>
      </w:r>
      <w:r w:rsidRPr="006A0C0B">
        <w:rPr>
          <w:rFonts w:ascii="Times New Roman" w:eastAsia="Times New Roman" w:hAnsi="Times New Roman" w:cs="Times New Roman"/>
          <w:sz w:val="24"/>
          <w:szCs w:val="24"/>
        </w:rPr>
        <w:t xml:space="preserve"> </w:t>
      </w:r>
      <w:r w:rsidR="00373BDB">
        <w:rPr>
          <w:rFonts w:ascii="Times New Roman" w:eastAsia="Times New Roman" w:hAnsi="Times New Roman" w:cs="Times New Roman"/>
          <w:sz w:val="24"/>
          <w:szCs w:val="24"/>
        </w:rPr>
        <w:t>emphasize</w:t>
      </w:r>
      <w:r w:rsidRPr="006A0C0B">
        <w:rPr>
          <w:rFonts w:ascii="Times New Roman" w:eastAsia="Times New Roman" w:hAnsi="Times New Roman" w:cs="Times New Roman"/>
          <w:sz w:val="24"/>
          <w:szCs w:val="24"/>
        </w:rPr>
        <w:t xml:space="preserve"> virtues present in Books I—VI. Instead,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invoke themes that are present in all previous books</w:t>
      </w:r>
      <w:r w:rsidR="00373BDB">
        <w:rPr>
          <w:rFonts w:ascii="Times New Roman" w:eastAsia="Times New Roman" w:hAnsi="Times New Roman" w:cs="Times New Roman"/>
          <w:sz w:val="24"/>
          <w:szCs w:val="24"/>
        </w:rPr>
        <w:t>,</w:t>
      </w:r>
      <w:r w:rsidRPr="006A0C0B">
        <w:rPr>
          <w:rFonts w:ascii="Times New Roman" w:eastAsia="Times New Roman" w:hAnsi="Times New Roman" w:cs="Times New Roman"/>
          <w:sz w:val="24"/>
          <w:szCs w:val="24"/>
        </w:rPr>
        <w:t xml:space="preserve"> such as the misunderstood concept</w:t>
      </w:r>
      <w:r w:rsidR="00E87A4A">
        <w:rPr>
          <w:rFonts w:ascii="Times New Roman" w:eastAsia="Times New Roman" w:hAnsi="Times New Roman" w:cs="Times New Roman"/>
          <w:sz w:val="24"/>
          <w:szCs w:val="24"/>
        </w:rPr>
        <w:t>s</w:t>
      </w:r>
      <w:r w:rsidRPr="006A0C0B">
        <w:rPr>
          <w:rFonts w:ascii="Times New Roman" w:eastAsia="Times New Roman" w:hAnsi="Times New Roman" w:cs="Times New Roman"/>
          <w:sz w:val="24"/>
          <w:szCs w:val="24"/>
        </w:rPr>
        <w:t xml:space="preserve"> of change and growth. Throughout the completed six books the ‘Years and months and quests revolve towards their destination through a series of what we figuratively call beginnings and ends’</w:t>
      </w:r>
      <w:r w:rsidRPr="006A0C0B">
        <w:rPr>
          <w:rFonts w:ascii="Times New Roman" w:eastAsia="Times New Roman" w:hAnsi="Times New Roman" w:cs="Times New Roman"/>
          <w:sz w:val="24"/>
          <w:szCs w:val="24"/>
          <w:vertAlign w:val="superscript"/>
        </w:rPr>
        <w:t>10</w:t>
      </w:r>
      <w:r w:rsidRPr="006A0C0B">
        <w:rPr>
          <w:rFonts w:ascii="Times New Roman" w:eastAsia="Times New Roman" w:hAnsi="Times New Roman" w:cs="Times New Roman"/>
          <w:sz w:val="24"/>
          <w:szCs w:val="24"/>
        </w:rPr>
        <w:t xml:space="preserve"> which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suggest is not as linear or </w:t>
      </w:r>
      <w:r>
        <w:rPr>
          <w:rFonts w:ascii="Times New Roman" w:eastAsia="Times New Roman" w:hAnsi="Times New Roman" w:cs="Times New Roman"/>
          <w:sz w:val="24"/>
          <w:szCs w:val="24"/>
        </w:rPr>
        <w:t>explicable</w:t>
      </w:r>
      <w:r w:rsidRPr="006A0C0B">
        <w:rPr>
          <w:rFonts w:ascii="Times New Roman" w:eastAsia="Times New Roman" w:hAnsi="Times New Roman" w:cs="Times New Roman"/>
          <w:sz w:val="24"/>
          <w:szCs w:val="24"/>
        </w:rPr>
        <w:t xml:space="preserve"> as thought. There is the argument ‘that </w:t>
      </w:r>
      <w:r w:rsidRPr="006A0C0B">
        <w:rPr>
          <w:rFonts w:ascii="Times New Roman" w:hAnsi="Times New Roman" w:cs="Times New Roman"/>
          <w:sz w:val="24"/>
          <w:szCs w:val="24"/>
        </w:rPr>
        <w:t>these differences are significant and that they embody Spenser’s retrospective comment on his major work—a comment on the generic evolution of the poem.’</w:t>
      </w:r>
      <w:r w:rsidRPr="006A0C0B">
        <w:rPr>
          <w:rFonts w:ascii="Times New Roman" w:hAnsi="Times New Roman" w:cs="Times New Roman"/>
          <w:sz w:val="24"/>
          <w:szCs w:val="24"/>
          <w:vertAlign w:val="superscript"/>
        </w:rPr>
        <w:t>11</w:t>
      </w:r>
      <w:r w:rsidRPr="006A0C0B">
        <w:rPr>
          <w:rFonts w:ascii="Times New Roman" w:eastAsia="Times New Roman" w:hAnsi="Times New Roman" w:cs="Times New Roman"/>
          <w:sz w:val="24"/>
          <w:szCs w:val="24"/>
        </w:rPr>
        <w:t xml:space="preserve"> If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are considered to be Spenser’s statement on the entire thematic and narrative evolution of </w:t>
      </w:r>
      <w:r w:rsidRPr="006A0C0B">
        <w:rPr>
          <w:rFonts w:ascii="Times New Roman" w:eastAsia="Times New Roman" w:hAnsi="Times New Roman" w:cs="Times New Roman"/>
          <w:i/>
          <w:iCs/>
          <w:sz w:val="24"/>
          <w:szCs w:val="24"/>
        </w:rPr>
        <w:t xml:space="preserve">The Faerie </w:t>
      </w:r>
      <w:r w:rsidRPr="006A0C0B">
        <w:rPr>
          <w:rFonts w:ascii="Times New Roman" w:eastAsia="Times New Roman" w:hAnsi="Times New Roman" w:cs="Times New Roman"/>
          <w:i/>
          <w:iCs/>
          <w:sz w:val="24"/>
          <w:szCs w:val="24"/>
        </w:rPr>
        <w:lastRenderedPageBreak/>
        <w:t>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another perspective for analysis and cohesion may be </w:t>
      </w:r>
      <w:r w:rsidR="004E5C09">
        <w:rPr>
          <w:rFonts w:ascii="Times New Roman" w:eastAsia="Times New Roman" w:hAnsi="Times New Roman" w:cs="Times New Roman"/>
          <w:sz w:val="24"/>
          <w:szCs w:val="24"/>
        </w:rPr>
        <w:t>acknowledged</w:t>
      </w:r>
      <w:r>
        <w:rPr>
          <w:rFonts w:ascii="Times New Roman" w:eastAsia="Times New Roman" w:hAnsi="Times New Roman" w:cs="Times New Roman"/>
          <w:sz w:val="24"/>
          <w:szCs w:val="24"/>
        </w:rPr>
        <w:t>.</w:t>
      </w:r>
      <w:r w:rsidRPr="006A0C0B">
        <w:rPr>
          <w:rFonts w:ascii="Times New Roman" w:eastAsia="Times New Roman" w:hAnsi="Times New Roman" w:cs="Times New Roman"/>
          <w:sz w:val="24"/>
          <w:szCs w:val="24"/>
        </w:rPr>
        <w:t xml:space="preserve"> </w:t>
      </w:r>
    </w:p>
    <w:p w14:paraId="0343E6AC" w14:textId="5035F19F" w:rsidR="001868C7" w:rsidRPr="006A0C0B" w:rsidRDefault="001868C7" w:rsidP="001868C7">
      <w:pPr>
        <w:widowControl w:val="0"/>
        <w:spacing w:after="0" w:line="480" w:lineRule="auto"/>
        <w:ind w:firstLine="720"/>
        <w:rPr>
          <w:rFonts w:ascii="Times New Roman" w:eastAsia="Times New Roman" w:hAnsi="Times New Roman" w:cs="Times New Roman"/>
          <w:i/>
          <w:iCs/>
          <w:sz w:val="24"/>
          <w:szCs w:val="24"/>
          <w:vertAlign w:val="superscript"/>
        </w:rPr>
      </w:pPr>
      <w:r w:rsidRPr="006A0C0B">
        <w:rPr>
          <w:rFonts w:ascii="Times New Roman" w:eastAsia="Times New Roman" w:hAnsi="Times New Roman" w:cs="Times New Roman"/>
          <w:sz w:val="24"/>
          <w:szCs w:val="24"/>
        </w:rPr>
        <w:t xml:space="preserve">While it may have been possible that Lownes had undisclosed knowledge of Spenser’s intent for </w:t>
      </w:r>
      <w:r w:rsidR="00E87A4A">
        <w:rPr>
          <w:rFonts w:ascii="Times New Roman" w:eastAsia="Times New Roman" w:hAnsi="Times New Roman" w:cs="Times New Roman"/>
          <w:i/>
          <w:iCs/>
          <w:sz w:val="24"/>
          <w:szCs w:val="24"/>
        </w:rPr>
        <w:t xml:space="preserve">Two </w:t>
      </w:r>
      <w:r w:rsidRPr="006A0C0B">
        <w:rPr>
          <w:rFonts w:ascii="Times New Roman" w:eastAsia="Times New Roman" w:hAnsi="Times New Roman" w:cs="Times New Roman"/>
          <w:i/>
          <w:iCs/>
          <w:sz w:val="24"/>
          <w:szCs w:val="24"/>
        </w:rPr>
        <w:t>Cantos</w:t>
      </w:r>
      <w:r w:rsidR="00E87A4A">
        <w:rPr>
          <w:rFonts w:ascii="Times New Roman" w:eastAsia="Times New Roman" w:hAnsi="Times New Roman" w:cs="Times New Roman"/>
          <w:i/>
          <w:iCs/>
          <w:sz w:val="24"/>
          <w:szCs w:val="24"/>
        </w:rPr>
        <w:t xml:space="preserve"> of Mutabilitie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it is more probable that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were classified as</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Book VI</w:t>
      </w:r>
      <w:r w:rsidR="00E87A4A">
        <w:rPr>
          <w:rFonts w:ascii="Times New Roman" w:eastAsia="Times New Roman" w:hAnsi="Times New Roman" w:cs="Times New Roman"/>
          <w:sz w:val="24"/>
          <w:szCs w:val="24"/>
        </w:rPr>
        <w:t>I</w:t>
      </w:r>
      <w:r w:rsidRPr="006A0C0B">
        <w:rPr>
          <w:rFonts w:ascii="Times New Roman" w:eastAsia="Times New Roman" w:hAnsi="Times New Roman" w:cs="Times New Roman"/>
          <w:sz w:val="24"/>
          <w:szCs w:val="24"/>
        </w:rPr>
        <w:t xml:space="preserve"> for the sake of consistency: providing an unfinished but elongated ending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for readers and increasing the sale value for Lownes. It was understood, through Spenser’s ‘Letter to Raleigh’ published alongside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sz w:val="24"/>
          <w:szCs w:val="24"/>
        </w:rPr>
        <w:t xml:space="preserve"> that Spenser intended the work to be composed of twelve books.</w:t>
      </w:r>
      <w:r w:rsidRPr="006A0C0B">
        <w:rPr>
          <w:rFonts w:ascii="Times New Roman" w:eastAsia="Times New Roman" w:hAnsi="Times New Roman" w:cs="Times New Roman"/>
          <w:sz w:val="24"/>
          <w:szCs w:val="24"/>
          <w:vertAlign w:val="superscript"/>
        </w:rPr>
        <w:t>12</w:t>
      </w:r>
      <w:r w:rsidRPr="006A0C0B">
        <w:rPr>
          <w:rFonts w:ascii="Times New Roman" w:eastAsia="Times New Roman" w:hAnsi="Times New Roman" w:cs="Times New Roman"/>
          <w:sz w:val="24"/>
          <w:szCs w:val="24"/>
        </w:rPr>
        <w:t xml:space="preserve"> It would have been a lucrative financial move for Lownes to publish, not only a new edition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sz w:val="24"/>
          <w:szCs w:val="24"/>
        </w:rPr>
        <w:t xml:space="preserve">, but an edition that suggested a stronger sense of the full story for readers. Yet,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do not seem to provide much of a foreshadowing of a theoretical Book VIII or support the intended twelve books. It seems likely if Spenser was composing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as fragments of Book VII, there would have been at least some understanding of a following book within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themselves. While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do not provide any further details on beloved characters,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do offer a sense of an ending through the idea of Constancy and, in a way, suggest the unrealistic nature of ending. If one section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could be considered a closing statement for the work as whole, </w:t>
      </w:r>
      <w:r w:rsidRPr="006A0C0B">
        <w:rPr>
          <w:rFonts w:ascii="Times New Roman" w:eastAsia="Times New Roman" w:hAnsi="Times New Roman" w:cs="Times New Roman"/>
          <w:i/>
          <w:iCs/>
          <w:sz w:val="24"/>
          <w:szCs w:val="24"/>
        </w:rPr>
        <w:t>T</w:t>
      </w:r>
      <w:r w:rsidR="00E87A4A">
        <w:rPr>
          <w:rFonts w:ascii="Times New Roman" w:eastAsia="Times New Roman" w:hAnsi="Times New Roman" w:cs="Times New Roman"/>
          <w:i/>
          <w:iCs/>
          <w:sz w:val="24"/>
          <w:szCs w:val="24"/>
        </w:rPr>
        <w:t>wo Cantos of Mutabilitie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was aptly chosen. Due to all of the inconsistencies in the classification of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critics of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do not take Lownes</w:t>
      </w:r>
      <w:r>
        <w:rPr>
          <w:rFonts w:ascii="Times New Roman" w:eastAsia="Times New Roman" w:hAnsi="Times New Roman" w:cs="Times New Roman"/>
          <w:sz w:val="24"/>
          <w:szCs w:val="24"/>
        </w:rPr>
        <w:t>’</w:t>
      </w:r>
      <w:r w:rsidRPr="006A0C0B">
        <w:rPr>
          <w:rFonts w:ascii="Times New Roman" w:eastAsia="Times New Roman" w:hAnsi="Times New Roman" w:cs="Times New Roman"/>
          <w:sz w:val="24"/>
          <w:szCs w:val="24"/>
        </w:rPr>
        <w:t xml:space="preserve"> classification at face value and the true intent of the </w:t>
      </w:r>
      <w:r w:rsidRPr="006A0C0B">
        <w:rPr>
          <w:rFonts w:ascii="Times New Roman" w:eastAsia="Times New Roman" w:hAnsi="Times New Roman" w:cs="Times New Roman"/>
          <w:i/>
          <w:iCs/>
          <w:sz w:val="24"/>
          <w:szCs w:val="24"/>
        </w:rPr>
        <w:t xml:space="preserve">Cantos </w:t>
      </w:r>
      <w:r w:rsidRPr="006A0C0B">
        <w:rPr>
          <w:rFonts w:ascii="Times New Roman" w:eastAsia="Times New Roman" w:hAnsi="Times New Roman" w:cs="Times New Roman"/>
          <w:sz w:val="24"/>
          <w:szCs w:val="24"/>
        </w:rPr>
        <w:t xml:space="preserve">is still being discussed.  </w:t>
      </w:r>
      <w:r w:rsidRPr="006A0C0B">
        <w:rPr>
          <w:rFonts w:ascii="Times New Roman" w:hAnsi="Times New Roman" w:cs="Times New Roman"/>
          <w:sz w:val="24"/>
          <w:szCs w:val="24"/>
        </w:rPr>
        <w:t xml:space="preserve">Due to the influx of questions that surround the classification of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as the unfinished Book VII of </w:t>
      </w:r>
      <w:r w:rsidRPr="006A0C0B">
        <w:rPr>
          <w:rFonts w:ascii="Times New Roman" w:hAnsi="Times New Roman" w:cs="Times New Roman"/>
          <w:i/>
          <w:iCs/>
          <w:sz w:val="24"/>
          <w:szCs w:val="24"/>
        </w:rPr>
        <w:t>The Faerie Queen</w:t>
      </w:r>
      <w:r>
        <w:rPr>
          <w:rFonts w:ascii="Times New Roman" w:hAnsi="Times New Roman" w:cs="Times New Roman"/>
          <w:i/>
          <w:iCs/>
          <w:sz w:val="24"/>
          <w:szCs w:val="24"/>
        </w:rPr>
        <w:t>e</w:t>
      </w:r>
      <w:r w:rsidRPr="006A0C0B">
        <w:rPr>
          <w:rFonts w:ascii="Times New Roman" w:hAnsi="Times New Roman" w:cs="Times New Roman"/>
          <w:sz w:val="24"/>
          <w:szCs w:val="24"/>
        </w:rPr>
        <w:t xml:space="preserve">, later publications of the text suggest to readers that Book VII may not be correctly classified according to Spenser’s intent, although most publications still introduce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as Book VII.</w:t>
      </w:r>
      <w:r w:rsidRPr="006A0C0B">
        <w:rPr>
          <w:rFonts w:ascii="Times New Roman" w:hAnsi="Times New Roman" w:cs="Times New Roman"/>
          <w:sz w:val="24"/>
          <w:szCs w:val="24"/>
          <w:vertAlign w:val="superscript"/>
        </w:rPr>
        <w:t>13</w:t>
      </w:r>
    </w:p>
    <w:p w14:paraId="5EF50EB4" w14:textId="43D58747" w:rsidR="001868C7" w:rsidRPr="006A0C0B" w:rsidRDefault="001868C7" w:rsidP="001868C7">
      <w:pPr>
        <w:widowControl w:val="0"/>
        <w:spacing w:after="0" w:line="480" w:lineRule="auto"/>
        <w:ind w:firstLine="720"/>
        <w:rPr>
          <w:rFonts w:ascii="Times New Roman" w:hAnsi="Times New Roman" w:cs="Times New Roman"/>
          <w:sz w:val="24"/>
          <w:szCs w:val="24"/>
        </w:rPr>
      </w:pPr>
      <w:r w:rsidRPr="006A0C0B">
        <w:rPr>
          <w:rFonts w:ascii="Times New Roman" w:hAnsi="Times New Roman" w:cs="Times New Roman"/>
          <w:sz w:val="24"/>
          <w:szCs w:val="24"/>
        </w:rPr>
        <w:t xml:space="preserve">While it may ultimately rely </w:t>
      </w:r>
      <w:r>
        <w:rPr>
          <w:rFonts w:ascii="Times New Roman" w:hAnsi="Times New Roman" w:cs="Times New Roman"/>
          <w:sz w:val="24"/>
          <w:szCs w:val="24"/>
        </w:rPr>
        <w:t>on</w:t>
      </w:r>
      <w:r w:rsidRPr="006A0C0B">
        <w:rPr>
          <w:rFonts w:ascii="Times New Roman" w:hAnsi="Times New Roman" w:cs="Times New Roman"/>
          <w:sz w:val="24"/>
          <w:szCs w:val="24"/>
        </w:rPr>
        <w:t xml:space="preserve"> an individual reader’s perception how </w:t>
      </w:r>
      <w:r w:rsidR="00FE1B66">
        <w:rPr>
          <w:rFonts w:ascii="Times New Roman" w:hAnsi="Times New Roman" w:cs="Times New Roman"/>
          <w:i/>
          <w:iCs/>
          <w:sz w:val="24"/>
          <w:szCs w:val="24"/>
        </w:rPr>
        <w:t>Two Cantos of</w:t>
      </w:r>
      <w:r w:rsidRPr="006A0C0B">
        <w:rPr>
          <w:rFonts w:ascii="Times New Roman" w:hAnsi="Times New Roman" w:cs="Times New Roman"/>
          <w:i/>
          <w:iCs/>
          <w:sz w:val="24"/>
          <w:szCs w:val="24"/>
        </w:rPr>
        <w:t xml:space="preserve"> </w:t>
      </w:r>
      <w:r w:rsidRPr="006A0C0B">
        <w:rPr>
          <w:rFonts w:ascii="Times New Roman" w:hAnsi="Times New Roman" w:cs="Times New Roman"/>
          <w:i/>
          <w:iCs/>
          <w:sz w:val="24"/>
          <w:szCs w:val="24"/>
        </w:rPr>
        <w:lastRenderedPageBreak/>
        <w:t xml:space="preserve">Mutabilitie </w:t>
      </w:r>
      <w:r w:rsidRPr="006A0C0B">
        <w:rPr>
          <w:rFonts w:ascii="Times New Roman" w:hAnsi="Times New Roman" w:cs="Times New Roman"/>
          <w:sz w:val="24"/>
          <w:szCs w:val="24"/>
        </w:rPr>
        <w:t xml:space="preserve">fit within the narrative of </w:t>
      </w:r>
      <w:r w:rsidRPr="006A0C0B">
        <w:rPr>
          <w:rFonts w:ascii="Times New Roman" w:hAnsi="Times New Roman" w:cs="Times New Roman"/>
          <w:i/>
          <w:iCs/>
          <w:sz w:val="24"/>
          <w:szCs w:val="24"/>
        </w:rPr>
        <w:t>The Faerie Queen</w:t>
      </w:r>
      <w:r>
        <w:rPr>
          <w:rFonts w:ascii="Times New Roman" w:hAnsi="Times New Roman" w:cs="Times New Roman"/>
          <w:i/>
          <w:iCs/>
          <w:sz w:val="24"/>
          <w:szCs w:val="24"/>
        </w:rPr>
        <w:t>e</w:t>
      </w:r>
      <w:r w:rsidRPr="006A0C0B">
        <w:rPr>
          <w:rFonts w:ascii="Times New Roman" w:hAnsi="Times New Roman" w:cs="Times New Roman"/>
          <w:i/>
          <w:iCs/>
          <w:sz w:val="24"/>
          <w:szCs w:val="24"/>
        </w:rPr>
        <w:t xml:space="preserve">, </w:t>
      </w:r>
      <w:r w:rsidRPr="006A0C0B">
        <w:rPr>
          <w:rFonts w:ascii="Times New Roman" w:hAnsi="Times New Roman" w:cs="Times New Roman"/>
          <w:sz w:val="24"/>
          <w:szCs w:val="24"/>
        </w:rPr>
        <w:t xml:space="preserve">there is more of an inclination to consider Lownes’ classification of ‘Two Cantos of Mutabilitie’ as the unfinished Book VII inaccurate. Due to the lack of information surrounding the way in which Lownes obtained the manuscript for 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 xml:space="preserve">and what exactly Spenser had intended for the fragmented cantos undoubtedly related to </w:t>
      </w:r>
      <w:r w:rsidRPr="006A0C0B">
        <w:rPr>
          <w:rFonts w:ascii="Times New Roman" w:hAnsi="Times New Roman" w:cs="Times New Roman"/>
          <w:i/>
          <w:iCs/>
          <w:sz w:val="24"/>
          <w:szCs w:val="24"/>
        </w:rPr>
        <w:t>The Faerie Queene</w:t>
      </w:r>
      <w:r w:rsidRPr="006A0C0B">
        <w:rPr>
          <w:rFonts w:ascii="Times New Roman" w:hAnsi="Times New Roman" w:cs="Times New Roman"/>
          <w:sz w:val="24"/>
          <w:szCs w:val="24"/>
        </w:rPr>
        <w:t>, there will continue to be a fluid construct of opinions. Lownes did, however, publish a steadfast although unfinished set of</w:t>
      </w:r>
      <w:r w:rsidR="00FE1B66">
        <w:rPr>
          <w:rFonts w:ascii="Times New Roman" w:hAnsi="Times New Roman" w:cs="Times New Roman"/>
          <w:sz w:val="24"/>
          <w:szCs w:val="24"/>
        </w:rPr>
        <w:t xml:space="preserve"> cantos</w:t>
      </w:r>
      <w:r w:rsidRPr="006A0C0B">
        <w:rPr>
          <w:rFonts w:ascii="Times New Roman" w:hAnsi="Times New Roman" w:cs="Times New Roman"/>
          <w:i/>
          <w:iCs/>
          <w:sz w:val="24"/>
          <w:szCs w:val="24"/>
        </w:rPr>
        <w:t xml:space="preserve"> </w:t>
      </w:r>
      <w:r w:rsidRPr="006A0C0B">
        <w:rPr>
          <w:rFonts w:ascii="Times New Roman" w:hAnsi="Times New Roman" w:cs="Times New Roman"/>
          <w:sz w:val="24"/>
          <w:szCs w:val="24"/>
        </w:rPr>
        <w:t xml:space="preserve">that undeniably deserve to be read. The virtue of Constancy may be one of the most inclusive virtues discussed within </w:t>
      </w:r>
      <w:r w:rsidRPr="006A0C0B">
        <w:rPr>
          <w:rFonts w:ascii="Times New Roman" w:hAnsi="Times New Roman" w:cs="Times New Roman"/>
          <w:i/>
          <w:iCs/>
          <w:sz w:val="24"/>
          <w:szCs w:val="24"/>
        </w:rPr>
        <w:t xml:space="preserve">The Faerie Queene. </w:t>
      </w:r>
      <w:r w:rsidRPr="006A0C0B">
        <w:rPr>
          <w:rFonts w:ascii="Times New Roman" w:hAnsi="Times New Roman" w:cs="Times New Roman"/>
          <w:sz w:val="24"/>
          <w:szCs w:val="24"/>
        </w:rPr>
        <w:t xml:space="preserve">‘The </w:t>
      </w:r>
      <w:r w:rsidRPr="006A0C0B">
        <w:rPr>
          <w:rFonts w:ascii="Times New Roman" w:hAnsi="Times New Roman" w:cs="Times New Roman"/>
          <w:i/>
          <w:iCs/>
          <w:sz w:val="24"/>
          <w:szCs w:val="24"/>
        </w:rPr>
        <w:t xml:space="preserve">Cantos </w:t>
      </w:r>
      <w:r w:rsidRPr="006A0C0B">
        <w:rPr>
          <w:rFonts w:ascii="Times New Roman" w:hAnsi="Times New Roman" w:cs="Times New Roman"/>
          <w:sz w:val="24"/>
          <w:szCs w:val="24"/>
        </w:rPr>
        <w:t>sift their past in search of the transformative formulation buried in the poem’s history that can dismantle false forms of constancy and unlock a form of the virtue capable of accommodating temporality and change.’</w:t>
      </w:r>
      <w:r w:rsidRPr="006A0C0B">
        <w:rPr>
          <w:rFonts w:ascii="Times New Roman" w:hAnsi="Times New Roman" w:cs="Times New Roman"/>
          <w:sz w:val="24"/>
          <w:szCs w:val="24"/>
          <w:vertAlign w:val="superscript"/>
        </w:rPr>
        <w:t>14</w:t>
      </w:r>
      <w:r w:rsidRPr="006A0C0B">
        <w:rPr>
          <w:rFonts w:ascii="Times New Roman" w:hAnsi="Times New Roman" w:cs="Times New Roman"/>
          <w:sz w:val="24"/>
          <w:szCs w:val="24"/>
        </w:rPr>
        <w:t xml:space="preserve"> While the 1609 edition of </w:t>
      </w:r>
      <w:r w:rsidRPr="006A0C0B">
        <w:rPr>
          <w:rFonts w:ascii="Times New Roman" w:hAnsi="Times New Roman" w:cs="Times New Roman"/>
          <w:i/>
          <w:iCs/>
          <w:sz w:val="24"/>
          <w:szCs w:val="24"/>
        </w:rPr>
        <w:t>The Faerie Queen</w:t>
      </w:r>
      <w:r>
        <w:rPr>
          <w:rFonts w:ascii="Times New Roman" w:hAnsi="Times New Roman" w:cs="Times New Roman"/>
          <w:i/>
          <w:iCs/>
          <w:sz w:val="24"/>
          <w:szCs w:val="24"/>
        </w:rPr>
        <w:t>e</w:t>
      </w:r>
      <w:r w:rsidRPr="006A0C0B">
        <w:rPr>
          <w:rFonts w:ascii="Times New Roman" w:hAnsi="Times New Roman" w:cs="Times New Roman"/>
          <w:i/>
          <w:iCs/>
          <w:sz w:val="24"/>
          <w:szCs w:val="24"/>
        </w:rPr>
        <w:t xml:space="preserve"> </w:t>
      </w:r>
      <w:r w:rsidRPr="006A0C0B">
        <w:rPr>
          <w:rFonts w:ascii="Times New Roman" w:hAnsi="Times New Roman" w:cs="Times New Roman"/>
          <w:sz w:val="24"/>
          <w:szCs w:val="24"/>
        </w:rPr>
        <w:t>introducing the ‘Two Cantos of Mutabilit</w:t>
      </w:r>
      <w:r w:rsidR="00FE1B66">
        <w:rPr>
          <w:rFonts w:ascii="Times New Roman" w:hAnsi="Times New Roman" w:cs="Times New Roman"/>
          <w:sz w:val="24"/>
          <w:szCs w:val="24"/>
        </w:rPr>
        <w:t>ie</w:t>
      </w:r>
      <w:r w:rsidRPr="006A0C0B">
        <w:rPr>
          <w:rFonts w:ascii="Times New Roman" w:hAnsi="Times New Roman" w:cs="Times New Roman"/>
          <w:sz w:val="24"/>
          <w:szCs w:val="24"/>
        </w:rPr>
        <w:t>’ may raise prominent questions about a well-</w:t>
      </w:r>
      <w:r>
        <w:rPr>
          <w:rFonts w:ascii="Times New Roman" w:hAnsi="Times New Roman" w:cs="Times New Roman"/>
          <w:sz w:val="24"/>
          <w:szCs w:val="24"/>
        </w:rPr>
        <w:t xml:space="preserve">renowned </w:t>
      </w:r>
      <w:r w:rsidRPr="006A0C0B">
        <w:rPr>
          <w:rFonts w:ascii="Times New Roman" w:hAnsi="Times New Roman" w:cs="Times New Roman"/>
          <w:sz w:val="24"/>
          <w:szCs w:val="24"/>
        </w:rPr>
        <w:t>literary work, it also provide</w:t>
      </w:r>
      <w:r>
        <w:rPr>
          <w:rFonts w:ascii="Times New Roman" w:hAnsi="Times New Roman" w:cs="Times New Roman"/>
          <w:sz w:val="24"/>
          <w:szCs w:val="24"/>
        </w:rPr>
        <w:t>s</w:t>
      </w:r>
      <w:r w:rsidRPr="006A0C0B">
        <w:rPr>
          <w:rFonts w:ascii="Times New Roman" w:hAnsi="Times New Roman" w:cs="Times New Roman"/>
          <w:sz w:val="24"/>
          <w:szCs w:val="24"/>
        </w:rPr>
        <w:t xml:space="preserve"> a new facet which only stands to emphasize that work.  </w:t>
      </w:r>
    </w:p>
    <w:p w14:paraId="7A41EE66" w14:textId="73A735FC" w:rsidR="001868C7" w:rsidRPr="006019AB" w:rsidRDefault="001868C7" w:rsidP="001868C7">
      <w:pPr>
        <w:spacing w:after="0" w:line="480" w:lineRule="auto"/>
        <w:rPr>
          <w:rFonts w:ascii="Times New Roman" w:eastAsia="Times New Roman" w:hAnsi="Times New Roman" w:cs="Times New Roman"/>
          <w:i/>
          <w:iCs/>
          <w:sz w:val="24"/>
          <w:szCs w:val="24"/>
        </w:rPr>
      </w:pPr>
      <w:r w:rsidRPr="006019AB">
        <w:rPr>
          <w:rFonts w:ascii="Times New Roman" w:eastAsia="Times New Roman" w:hAnsi="Times New Roman" w:cs="Times New Roman"/>
          <w:i/>
          <w:iCs/>
          <w:sz w:val="24"/>
          <w:szCs w:val="24"/>
        </w:rPr>
        <w:t>[15</w:t>
      </w:r>
      <w:r w:rsidR="00085562">
        <w:rPr>
          <w:rFonts w:ascii="Times New Roman" w:eastAsia="Times New Roman" w:hAnsi="Times New Roman" w:cs="Times New Roman"/>
          <w:i/>
          <w:iCs/>
          <w:sz w:val="24"/>
          <w:szCs w:val="24"/>
        </w:rPr>
        <w:t>6</w:t>
      </w:r>
      <w:r w:rsidR="00622D10">
        <w:rPr>
          <w:rFonts w:ascii="Times New Roman" w:eastAsia="Times New Roman" w:hAnsi="Times New Roman" w:cs="Times New Roman"/>
          <w:i/>
          <w:iCs/>
          <w:sz w:val="24"/>
          <w:szCs w:val="24"/>
        </w:rPr>
        <w:t>6</w:t>
      </w:r>
      <w:bookmarkStart w:id="0" w:name="_GoBack"/>
      <w:bookmarkEnd w:id="0"/>
      <w:r w:rsidR="00085562">
        <w:rPr>
          <w:rFonts w:ascii="Times New Roman" w:eastAsia="Times New Roman" w:hAnsi="Times New Roman" w:cs="Times New Roman"/>
          <w:i/>
          <w:iCs/>
          <w:sz w:val="24"/>
          <w:szCs w:val="24"/>
        </w:rPr>
        <w:t xml:space="preserve"> </w:t>
      </w:r>
      <w:r w:rsidRPr="006019AB">
        <w:rPr>
          <w:rFonts w:ascii="Times New Roman" w:eastAsia="Times New Roman" w:hAnsi="Times New Roman" w:cs="Times New Roman"/>
          <w:i/>
          <w:iCs/>
          <w:sz w:val="24"/>
          <w:szCs w:val="24"/>
        </w:rPr>
        <w:t>word</w:t>
      </w:r>
      <w:r w:rsidR="00085562">
        <w:rPr>
          <w:rFonts w:ascii="Times New Roman" w:eastAsia="Times New Roman" w:hAnsi="Times New Roman" w:cs="Times New Roman"/>
          <w:i/>
          <w:iCs/>
          <w:sz w:val="24"/>
          <w:szCs w:val="24"/>
        </w:rPr>
        <w:t>s</w:t>
      </w:r>
      <w:r w:rsidRPr="006019AB">
        <w:rPr>
          <w:rFonts w:ascii="Times New Roman" w:eastAsia="Times New Roman" w:hAnsi="Times New Roman" w:cs="Times New Roman"/>
          <w:i/>
          <w:iCs/>
          <w:sz w:val="24"/>
          <w:szCs w:val="24"/>
        </w:rPr>
        <w:t>]</w:t>
      </w:r>
    </w:p>
    <w:p w14:paraId="4E63BC2F" w14:textId="77777777" w:rsidR="001868C7" w:rsidRPr="006A0C0B" w:rsidRDefault="001868C7" w:rsidP="001868C7">
      <w:pPr>
        <w:spacing w:after="0" w:line="480" w:lineRule="auto"/>
        <w:rPr>
          <w:rFonts w:ascii="Times New Roman" w:eastAsia="Times New Roman" w:hAnsi="Times New Roman" w:cs="Times New Roman"/>
          <w:sz w:val="24"/>
          <w:szCs w:val="24"/>
        </w:rPr>
      </w:pPr>
    </w:p>
    <w:p w14:paraId="63373E19" w14:textId="77777777" w:rsidR="001868C7" w:rsidRPr="006A0C0B" w:rsidRDefault="001868C7" w:rsidP="001868C7">
      <w:pPr>
        <w:spacing w:after="0" w:line="480" w:lineRule="auto"/>
        <w:rPr>
          <w:rFonts w:ascii="Times New Roman" w:eastAsia="Times New Roman" w:hAnsi="Times New Roman" w:cs="Times New Roman"/>
          <w:sz w:val="24"/>
          <w:szCs w:val="24"/>
        </w:rPr>
      </w:pPr>
    </w:p>
    <w:p w14:paraId="59563BEB" w14:textId="77777777" w:rsidR="001868C7" w:rsidRPr="006A0C0B" w:rsidRDefault="001868C7" w:rsidP="001868C7">
      <w:pPr>
        <w:spacing w:after="0" w:line="480" w:lineRule="auto"/>
        <w:rPr>
          <w:rFonts w:ascii="Times New Roman" w:eastAsia="Times New Roman" w:hAnsi="Times New Roman" w:cs="Times New Roman"/>
          <w:sz w:val="24"/>
          <w:szCs w:val="24"/>
        </w:rPr>
      </w:pPr>
    </w:p>
    <w:p w14:paraId="5C45835B" w14:textId="77777777" w:rsidR="001868C7" w:rsidRPr="006A0C0B" w:rsidRDefault="001868C7" w:rsidP="001868C7">
      <w:pPr>
        <w:spacing w:after="0" w:line="480" w:lineRule="auto"/>
        <w:rPr>
          <w:rFonts w:ascii="Times New Roman" w:hAnsi="Times New Roman" w:cs="Times New Roman"/>
          <w:sz w:val="24"/>
          <w:szCs w:val="24"/>
        </w:rPr>
      </w:pPr>
    </w:p>
    <w:p w14:paraId="71CD23DB" w14:textId="77777777" w:rsidR="001868C7" w:rsidRPr="006A0C0B" w:rsidRDefault="001868C7" w:rsidP="001868C7">
      <w:pPr>
        <w:spacing w:after="0" w:line="480" w:lineRule="auto"/>
        <w:rPr>
          <w:rFonts w:ascii="Times New Roman" w:eastAsia="Times New Roman" w:hAnsi="Times New Roman" w:cs="Times New Roman"/>
          <w:sz w:val="24"/>
          <w:szCs w:val="24"/>
        </w:rPr>
      </w:pPr>
    </w:p>
    <w:p w14:paraId="65E574AE" w14:textId="77777777" w:rsidR="001868C7" w:rsidRPr="006A0C0B" w:rsidRDefault="001868C7" w:rsidP="001868C7">
      <w:pPr>
        <w:spacing w:after="0" w:line="480" w:lineRule="auto"/>
        <w:jc w:val="center"/>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br w:type="page"/>
      </w:r>
      <w:r w:rsidRPr="006A0C0B">
        <w:rPr>
          <w:rFonts w:ascii="Times New Roman" w:eastAsia="Times New Roman" w:hAnsi="Times New Roman" w:cs="Times New Roman"/>
          <w:sz w:val="24"/>
          <w:szCs w:val="24"/>
        </w:rPr>
        <w:lastRenderedPageBreak/>
        <w:t>Endnotes</w:t>
      </w:r>
    </w:p>
    <w:p w14:paraId="2EBA153F"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1</w:t>
      </w:r>
      <w:r w:rsidRPr="006A0C0B">
        <w:rPr>
          <w:rFonts w:ascii="Times New Roman" w:hAnsi="Times New Roman" w:cs="Times New Roman"/>
          <w:sz w:val="24"/>
          <w:szCs w:val="24"/>
          <w:shd w:val="clear" w:color="auto" w:fill="FFFFFF"/>
        </w:rPr>
        <w:t xml:space="preserve">Edmund Spenser, </w:t>
      </w:r>
      <w:r w:rsidRPr="006A0C0B">
        <w:rPr>
          <w:rFonts w:ascii="Times New Roman" w:hAnsi="Times New Roman" w:cs="Times New Roman"/>
          <w:i/>
          <w:iCs/>
          <w:sz w:val="24"/>
          <w:szCs w:val="24"/>
        </w:rPr>
        <w:t>The Faerie Queene Disposed into XII. Bookes, Fashioning Twelue Morall Vertues</w:t>
      </w:r>
      <w:r w:rsidRPr="006A0C0B">
        <w:rPr>
          <w:rFonts w:ascii="Times New Roman" w:hAnsi="Times New Roman" w:cs="Times New Roman"/>
          <w:sz w:val="24"/>
          <w:szCs w:val="24"/>
          <w:shd w:val="clear" w:color="auto" w:fill="FFFFFF"/>
        </w:rPr>
        <w:t xml:space="preserve"> (London, Printed by H.L. for Mathew Lownes, 1609) https://search.proquest.com/docview/2240861806?accountid=130472 (p. 353).</w:t>
      </w:r>
    </w:p>
    <w:p w14:paraId="33CDEA27"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2</w:t>
      </w:r>
      <w:r w:rsidRPr="006A0C0B">
        <w:rPr>
          <w:rFonts w:ascii="Times New Roman" w:eastAsia="Times New Roman" w:hAnsi="Times New Roman" w:cs="Times New Roman"/>
          <w:sz w:val="24"/>
          <w:szCs w:val="24"/>
        </w:rPr>
        <w:t xml:space="preserve">Edmund Spenser, </w:t>
      </w:r>
      <w:r w:rsidRPr="006A0C0B">
        <w:rPr>
          <w:rFonts w:ascii="Times New Roman" w:eastAsia="Times New Roman" w:hAnsi="Times New Roman" w:cs="Times New Roman"/>
          <w:i/>
          <w:iCs/>
          <w:sz w:val="24"/>
          <w:szCs w:val="24"/>
        </w:rPr>
        <w:t xml:space="preserve">The Works of Edmund </w:t>
      </w:r>
      <w:r>
        <w:rPr>
          <w:rFonts w:ascii="Times New Roman" w:eastAsia="Times New Roman" w:hAnsi="Times New Roman" w:cs="Times New Roman"/>
          <w:i/>
          <w:iCs/>
          <w:sz w:val="24"/>
          <w:szCs w:val="24"/>
        </w:rPr>
        <w:t>Spenser</w:t>
      </w:r>
      <w:r w:rsidRPr="006A0C0B">
        <w:rPr>
          <w:rFonts w:ascii="Times New Roman" w:eastAsia="Times New Roman" w:hAnsi="Times New Roman" w:cs="Times New Roman"/>
          <w:i/>
          <w:iCs/>
          <w:sz w:val="24"/>
          <w:szCs w:val="24"/>
        </w:rPr>
        <w:t xml:space="preserve">: Volume 1 </w:t>
      </w:r>
      <w:r w:rsidRPr="006A0C0B">
        <w:rPr>
          <w:rFonts w:ascii="Times New Roman" w:eastAsia="Times New Roman" w:hAnsi="Times New Roman" w:cs="Times New Roman"/>
          <w:sz w:val="24"/>
          <w:szCs w:val="24"/>
        </w:rPr>
        <w:t>ed. by J. Payne Callier (London: Bell and Daldy Fleet Street, 1862), p. cxx.</w:t>
      </w:r>
    </w:p>
    <w:p w14:paraId="7D9CB2F4" w14:textId="77777777"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3</w:t>
      </w:r>
      <w:r w:rsidRPr="006A0C0B">
        <w:rPr>
          <w:rFonts w:ascii="Times New Roman" w:hAnsi="Times New Roman" w:cs="Times New Roman"/>
          <w:sz w:val="24"/>
          <w:szCs w:val="24"/>
          <w:shd w:val="clear" w:color="auto" w:fill="FFFFFF"/>
        </w:rPr>
        <w:t xml:space="preserve">Spenser, </w:t>
      </w:r>
      <w:r w:rsidRPr="006A0C0B">
        <w:rPr>
          <w:rFonts w:ascii="Times New Roman" w:hAnsi="Times New Roman" w:cs="Times New Roman"/>
          <w:i/>
          <w:iCs/>
          <w:sz w:val="24"/>
          <w:szCs w:val="24"/>
        </w:rPr>
        <w:t xml:space="preserve">The Faerie Queene Disposed into XII. Bookes, Fashioning Twelue Morall Vertues </w:t>
      </w:r>
      <w:r w:rsidRPr="006A0C0B">
        <w:rPr>
          <w:rFonts w:ascii="Times New Roman" w:hAnsi="Times New Roman" w:cs="Times New Roman"/>
          <w:sz w:val="24"/>
          <w:szCs w:val="24"/>
        </w:rPr>
        <w:t>(1609), p. 353.</w:t>
      </w:r>
    </w:p>
    <w:p w14:paraId="7F8A4435"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4</w:t>
      </w:r>
      <w:r w:rsidRPr="006A0C0B">
        <w:rPr>
          <w:rFonts w:ascii="Times New Roman" w:eastAsia="Times New Roman" w:hAnsi="Times New Roman" w:cs="Times New Roman"/>
          <w:sz w:val="24"/>
          <w:szCs w:val="24"/>
        </w:rPr>
        <w:t xml:space="preserve">Edmund Spenser,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ed. by A. C. Hamilton, 2nd edn. (New York: Routledge, 2013), p. 17.</w:t>
      </w:r>
    </w:p>
    <w:p w14:paraId="766791F9" w14:textId="77777777"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5</w:t>
      </w:r>
      <w:r w:rsidRPr="006A0C0B">
        <w:rPr>
          <w:rFonts w:ascii="Times New Roman" w:eastAsia="Times New Roman" w:hAnsi="Times New Roman" w:cs="Times New Roman"/>
          <w:sz w:val="24"/>
          <w:szCs w:val="24"/>
        </w:rPr>
        <w:t xml:space="preserve">Edmund Spenser, </w:t>
      </w:r>
      <w:r w:rsidRPr="006A0C0B">
        <w:rPr>
          <w:rFonts w:ascii="Times New Roman" w:eastAsia="Times New Roman" w:hAnsi="Times New Roman" w:cs="Times New Roman"/>
          <w:i/>
          <w:iCs/>
          <w:sz w:val="24"/>
          <w:szCs w:val="24"/>
        </w:rPr>
        <w:t xml:space="preserve">The Works of Edmund </w:t>
      </w:r>
      <w:r>
        <w:rPr>
          <w:rFonts w:ascii="Times New Roman" w:eastAsia="Times New Roman" w:hAnsi="Times New Roman" w:cs="Times New Roman"/>
          <w:i/>
          <w:iCs/>
          <w:sz w:val="24"/>
          <w:szCs w:val="24"/>
        </w:rPr>
        <w:t>Spenser</w:t>
      </w:r>
      <w:r w:rsidRPr="006A0C0B">
        <w:rPr>
          <w:rFonts w:ascii="Times New Roman" w:eastAsia="Times New Roman" w:hAnsi="Times New Roman" w:cs="Times New Roman"/>
          <w:i/>
          <w:iCs/>
          <w:sz w:val="24"/>
          <w:szCs w:val="24"/>
        </w:rPr>
        <w:t>: Volume 1</w:t>
      </w:r>
      <w:r w:rsidRPr="006A0C0B">
        <w:rPr>
          <w:rFonts w:ascii="Times New Roman" w:eastAsia="Times New Roman" w:hAnsi="Times New Roman" w:cs="Times New Roman"/>
          <w:sz w:val="24"/>
          <w:szCs w:val="24"/>
        </w:rPr>
        <w:t xml:space="preserve"> (1862), p. cxxi.</w:t>
      </w:r>
    </w:p>
    <w:p w14:paraId="7E57ECDF"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6</w:t>
      </w:r>
      <w:r w:rsidRPr="006A0C0B">
        <w:rPr>
          <w:rFonts w:ascii="Times New Roman" w:eastAsia="Times New Roman" w:hAnsi="Times New Roman" w:cs="Times New Roman"/>
          <w:sz w:val="24"/>
          <w:szCs w:val="24"/>
        </w:rPr>
        <w:t xml:space="preserve">Andrew Hadfield, ‘“All shall changed be”: “Two Cantos of Mutabilitie” and the Sense of an Ending’ in </w:t>
      </w:r>
      <w:r w:rsidRPr="006A0C0B">
        <w:rPr>
          <w:rFonts w:ascii="Times New Roman" w:eastAsia="Times New Roman" w:hAnsi="Times New Roman" w:cs="Times New Roman"/>
          <w:i/>
          <w:iCs/>
          <w:sz w:val="24"/>
          <w:szCs w:val="24"/>
        </w:rPr>
        <w:t xml:space="preserve">Edmund </w:t>
      </w:r>
      <w:r>
        <w:rPr>
          <w:rFonts w:ascii="Times New Roman" w:eastAsia="Times New Roman" w:hAnsi="Times New Roman" w:cs="Times New Roman"/>
          <w:i/>
          <w:iCs/>
          <w:sz w:val="24"/>
          <w:szCs w:val="24"/>
        </w:rPr>
        <w:t>Spenser</w:t>
      </w:r>
      <w:r w:rsidRPr="006A0C0B">
        <w:rPr>
          <w:rFonts w:ascii="Times New Roman" w:eastAsia="Times New Roman" w:hAnsi="Times New Roman" w:cs="Times New Roman"/>
          <w:i/>
          <w:iCs/>
          <w:sz w:val="24"/>
          <w:szCs w:val="24"/>
        </w:rPr>
        <w:t xml:space="preserve">’s Irish Experience </w:t>
      </w:r>
      <w:r w:rsidRPr="006A0C0B">
        <w:rPr>
          <w:rFonts w:ascii="Times New Roman" w:eastAsia="Times New Roman" w:hAnsi="Times New Roman" w:cs="Times New Roman"/>
          <w:sz w:val="24"/>
          <w:szCs w:val="24"/>
        </w:rPr>
        <w:t>(Oxford: Clarendon Press, 1997), p. 187.</w:t>
      </w:r>
    </w:p>
    <w:p w14:paraId="0E272B1D" w14:textId="007060D7"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7</w:t>
      </w:r>
      <w:r w:rsidRPr="006A0C0B">
        <w:rPr>
          <w:rFonts w:ascii="Times New Roman" w:eastAsia="Times New Roman" w:hAnsi="Times New Roman" w:cs="Times New Roman"/>
          <w:sz w:val="24"/>
          <w:szCs w:val="24"/>
        </w:rPr>
        <w:t xml:space="preserve">Spenser,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(2013), p. </w:t>
      </w:r>
      <w:r w:rsidR="007C67A3">
        <w:rPr>
          <w:rFonts w:ascii="Times New Roman" w:eastAsia="Times New Roman" w:hAnsi="Times New Roman" w:cs="Times New Roman"/>
          <w:sz w:val="24"/>
          <w:szCs w:val="24"/>
        </w:rPr>
        <w:t>714-18.</w:t>
      </w:r>
    </w:p>
    <w:p w14:paraId="0FADB401" w14:textId="77777777"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8</w:t>
      </w:r>
      <w:r w:rsidRPr="006A0C0B">
        <w:rPr>
          <w:rFonts w:ascii="Times New Roman" w:eastAsia="Times New Roman" w:hAnsi="Times New Roman" w:cs="Times New Roman"/>
          <w:sz w:val="24"/>
          <w:szCs w:val="24"/>
        </w:rPr>
        <w:t xml:space="preserve">Spenser,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(2013), p. 17</w:t>
      </w:r>
    </w:p>
    <w:p w14:paraId="15DF543F"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9</w:t>
      </w:r>
      <w:r w:rsidRPr="006A0C0B">
        <w:rPr>
          <w:rFonts w:ascii="Times New Roman" w:eastAsia="Times New Roman" w:hAnsi="Times New Roman" w:cs="Times New Roman"/>
          <w:sz w:val="24"/>
          <w:szCs w:val="24"/>
        </w:rPr>
        <w:t xml:space="preserve">Judah L. Stampfer, ‘The </w:t>
      </w:r>
      <w:r w:rsidRPr="006A0C0B">
        <w:rPr>
          <w:rFonts w:ascii="Times New Roman" w:eastAsia="Times New Roman" w:hAnsi="Times New Roman" w:cs="Times New Roman"/>
          <w:i/>
          <w:iCs/>
          <w:sz w:val="24"/>
          <w:szCs w:val="24"/>
        </w:rPr>
        <w:t>Cantos of Mutability</w:t>
      </w:r>
      <w:r w:rsidRPr="006A0C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Spenser</w:t>
      </w:r>
      <w:r w:rsidRPr="006A0C0B">
        <w:rPr>
          <w:rFonts w:ascii="Times New Roman" w:eastAsia="Times New Roman" w:hAnsi="Times New Roman" w:cs="Times New Roman"/>
          <w:sz w:val="24"/>
          <w:szCs w:val="24"/>
        </w:rPr>
        <w:t xml:space="preserve">’s Last Testament of Faith’, </w:t>
      </w:r>
      <w:r w:rsidRPr="006A0C0B">
        <w:rPr>
          <w:rFonts w:ascii="Times New Roman" w:eastAsia="Times New Roman" w:hAnsi="Times New Roman" w:cs="Times New Roman"/>
          <w:i/>
          <w:iCs/>
          <w:sz w:val="24"/>
          <w:szCs w:val="24"/>
        </w:rPr>
        <w:t xml:space="preserve">University of Toronto Quarterly </w:t>
      </w:r>
      <w:r w:rsidRPr="006A0C0B">
        <w:rPr>
          <w:rFonts w:ascii="Times New Roman" w:eastAsia="Times New Roman" w:hAnsi="Times New Roman" w:cs="Times New Roman"/>
          <w:sz w:val="24"/>
          <w:szCs w:val="24"/>
        </w:rPr>
        <w:t>21 (1952) &lt;</w:t>
      </w:r>
      <w:r w:rsidRPr="006A0C0B">
        <w:rPr>
          <w:rFonts w:ascii="Times New Roman" w:hAnsi="Times New Roman" w:cs="Times New Roman"/>
          <w:sz w:val="24"/>
          <w:szCs w:val="24"/>
        </w:rPr>
        <w:t xml:space="preserve"> </w:t>
      </w:r>
      <w:r w:rsidRPr="006A0C0B">
        <w:rPr>
          <w:rFonts w:ascii="Times New Roman" w:eastAsia="Times New Roman" w:hAnsi="Times New Roman" w:cs="Times New Roman"/>
          <w:sz w:val="24"/>
          <w:szCs w:val="24"/>
        </w:rPr>
        <w:t>https://muse.jhu.edu/article/551896/pdf&gt; (p. 140).</w:t>
      </w:r>
    </w:p>
    <w:p w14:paraId="33AFAC1C" w14:textId="77777777" w:rsidR="001868C7" w:rsidRPr="006A0C0B" w:rsidRDefault="001868C7" w:rsidP="001868C7">
      <w:pPr>
        <w:spacing w:after="0" w:line="480" w:lineRule="auto"/>
        <w:textAlignment w:val="baseline"/>
        <w:rPr>
          <w:rFonts w:ascii="Times New Roman" w:hAnsi="Times New Roman" w:cs="Times New Roman"/>
          <w:sz w:val="24"/>
          <w:szCs w:val="24"/>
          <w:shd w:val="clear" w:color="auto" w:fill="FFFFFF"/>
        </w:rPr>
      </w:pPr>
      <w:r w:rsidRPr="006A0C0B">
        <w:rPr>
          <w:rFonts w:ascii="Times New Roman" w:eastAsia="Times New Roman" w:hAnsi="Times New Roman" w:cs="Times New Roman"/>
          <w:sz w:val="24"/>
          <w:szCs w:val="24"/>
          <w:vertAlign w:val="superscript"/>
        </w:rPr>
        <w:t>10</w:t>
      </w:r>
      <w:r w:rsidRPr="006A0C0B">
        <w:rPr>
          <w:rFonts w:ascii="Times New Roman" w:hAnsi="Times New Roman" w:cs="Times New Roman"/>
          <w:sz w:val="24"/>
          <w:szCs w:val="24"/>
          <w:shd w:val="clear" w:color="auto" w:fill="FFFFFF"/>
        </w:rPr>
        <w:t xml:space="preserve">Joanne Field Holland, ‘The Cantos of Mutabilitie and the Form of The Faerie Queene’, </w:t>
      </w:r>
      <w:r w:rsidRPr="006A0C0B">
        <w:rPr>
          <w:rFonts w:ascii="Times New Roman" w:hAnsi="Times New Roman" w:cs="Times New Roman"/>
          <w:i/>
          <w:iCs/>
          <w:sz w:val="24"/>
          <w:szCs w:val="24"/>
        </w:rPr>
        <w:t>ELH</w:t>
      </w:r>
      <w:r w:rsidRPr="006A0C0B">
        <w:rPr>
          <w:rFonts w:ascii="Times New Roman" w:hAnsi="Times New Roman" w:cs="Times New Roman"/>
          <w:sz w:val="24"/>
          <w:szCs w:val="24"/>
          <w:shd w:val="clear" w:color="auto" w:fill="FFFFFF"/>
        </w:rPr>
        <w:t xml:space="preserve"> 35 (1968) &lt;doi:10.2307/2872334&gt; (p. 31).</w:t>
      </w:r>
    </w:p>
    <w:p w14:paraId="756A82FD"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11</w:t>
      </w:r>
      <w:r w:rsidRPr="006A0C0B">
        <w:rPr>
          <w:rFonts w:ascii="Times New Roman" w:eastAsia="Times New Roman" w:hAnsi="Times New Roman" w:cs="Times New Roman"/>
          <w:sz w:val="24"/>
          <w:szCs w:val="24"/>
        </w:rPr>
        <w:t xml:space="preserve">William Oram, ‘Looking Backward: The Evolving Genre of </w:t>
      </w:r>
      <w:r w:rsidRPr="006A0C0B">
        <w:rPr>
          <w:rFonts w:ascii="Times New Roman" w:eastAsia="Times New Roman" w:hAnsi="Times New Roman" w:cs="Times New Roman"/>
          <w:i/>
          <w:iCs/>
          <w:sz w:val="24"/>
          <w:szCs w:val="24"/>
        </w:rPr>
        <w:t>The Faerie Queene</w:t>
      </w:r>
      <w:r w:rsidRPr="006A0C0B">
        <w:rPr>
          <w:rFonts w:ascii="Times New Roman" w:eastAsia="Times New Roman" w:hAnsi="Times New Roman" w:cs="Times New Roman"/>
          <w:sz w:val="24"/>
          <w:szCs w:val="24"/>
        </w:rPr>
        <w:t xml:space="preserve">’, </w:t>
      </w:r>
      <w:r w:rsidRPr="006A0C0B">
        <w:rPr>
          <w:rFonts w:ascii="Times New Roman" w:hAnsi="Times New Roman" w:cs="Times New Roman"/>
          <w:i/>
          <w:iCs/>
          <w:sz w:val="24"/>
          <w:szCs w:val="24"/>
        </w:rPr>
        <w:t>Modern Philology</w:t>
      </w:r>
      <w:r w:rsidRPr="006A0C0B">
        <w:rPr>
          <w:rFonts w:ascii="Times New Roman" w:hAnsi="Times New Roman" w:cs="Times New Roman"/>
          <w:sz w:val="24"/>
          <w:szCs w:val="24"/>
          <w:shd w:val="clear" w:color="auto" w:fill="FFFFFF"/>
        </w:rPr>
        <w:t xml:space="preserve"> 115 (2018) &lt;doi:10.1086/694768&gt; (p. 327).</w:t>
      </w:r>
    </w:p>
    <w:p w14:paraId="1230156E" w14:textId="5234DAEC"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12</w:t>
      </w:r>
      <w:r w:rsidRPr="006A0C0B">
        <w:rPr>
          <w:rFonts w:ascii="Times New Roman" w:eastAsia="Times New Roman" w:hAnsi="Times New Roman" w:cs="Times New Roman"/>
          <w:sz w:val="24"/>
          <w:szCs w:val="24"/>
        </w:rPr>
        <w:t xml:space="preserve">Spenser,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(2013), p. </w:t>
      </w:r>
      <w:r w:rsidR="007C67A3">
        <w:rPr>
          <w:rFonts w:ascii="Times New Roman" w:eastAsia="Times New Roman" w:hAnsi="Times New Roman" w:cs="Times New Roman"/>
          <w:sz w:val="24"/>
          <w:szCs w:val="24"/>
        </w:rPr>
        <w:t>717.</w:t>
      </w:r>
    </w:p>
    <w:p w14:paraId="59B2D7A1" w14:textId="4783D270" w:rsidR="001868C7" w:rsidRPr="006A0C0B" w:rsidRDefault="001868C7" w:rsidP="001868C7">
      <w:pPr>
        <w:spacing w:after="0" w:line="480" w:lineRule="auto"/>
        <w:rPr>
          <w:rFonts w:ascii="Times New Roman" w:eastAsia="Times New Roman" w:hAnsi="Times New Roman" w:cs="Times New Roman"/>
          <w:sz w:val="24"/>
          <w:szCs w:val="24"/>
          <w:vertAlign w:val="superscript"/>
        </w:rPr>
      </w:pPr>
      <w:r w:rsidRPr="006A0C0B">
        <w:rPr>
          <w:rFonts w:ascii="Times New Roman" w:eastAsia="Times New Roman" w:hAnsi="Times New Roman" w:cs="Times New Roman"/>
          <w:sz w:val="24"/>
          <w:szCs w:val="24"/>
          <w:vertAlign w:val="superscript"/>
        </w:rPr>
        <w:t>13</w:t>
      </w:r>
      <w:r w:rsidRPr="006A0C0B">
        <w:rPr>
          <w:rFonts w:ascii="Times New Roman" w:eastAsia="Times New Roman" w:hAnsi="Times New Roman" w:cs="Times New Roman"/>
          <w:sz w:val="24"/>
          <w:szCs w:val="24"/>
        </w:rPr>
        <w:t xml:space="preserve">Spenser,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 xml:space="preserve">(2013), p. </w:t>
      </w:r>
      <w:r w:rsidR="007C67A3">
        <w:rPr>
          <w:rFonts w:ascii="Times New Roman" w:eastAsia="Times New Roman" w:hAnsi="Times New Roman" w:cs="Times New Roman"/>
          <w:sz w:val="24"/>
          <w:szCs w:val="24"/>
        </w:rPr>
        <w:t>691.</w:t>
      </w:r>
    </w:p>
    <w:p w14:paraId="3D071DF2" w14:textId="77777777" w:rsidR="001868C7" w:rsidRPr="006A0C0B" w:rsidRDefault="001868C7" w:rsidP="001868C7">
      <w:pPr>
        <w:spacing w:after="0" w:line="480" w:lineRule="auto"/>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vertAlign w:val="superscript"/>
        </w:rPr>
        <w:lastRenderedPageBreak/>
        <w:t>14</w:t>
      </w:r>
      <w:r w:rsidRPr="006A0C0B">
        <w:rPr>
          <w:rFonts w:ascii="Times New Roman" w:eastAsia="Times New Roman" w:hAnsi="Times New Roman" w:cs="Times New Roman"/>
          <w:sz w:val="24"/>
          <w:szCs w:val="24"/>
        </w:rPr>
        <w:t xml:space="preserve">Alex David, ‘Between Courtesy and Constancy: </w:t>
      </w:r>
      <w:r w:rsidRPr="006A0C0B">
        <w:rPr>
          <w:rFonts w:ascii="Times New Roman" w:eastAsia="Times New Roman" w:hAnsi="Times New Roman" w:cs="Times New Roman"/>
          <w:i/>
          <w:iCs/>
          <w:sz w:val="24"/>
          <w:szCs w:val="24"/>
        </w:rPr>
        <w:t>The Faerie Queene</w:t>
      </w:r>
      <w:r w:rsidRPr="006A0C0B">
        <w:rPr>
          <w:rFonts w:ascii="Times New Roman" w:eastAsia="Times New Roman" w:hAnsi="Times New Roman" w:cs="Times New Roman"/>
          <w:sz w:val="24"/>
          <w:szCs w:val="24"/>
        </w:rPr>
        <w:t xml:space="preserve">, Books 6 and 7’, </w:t>
      </w:r>
      <w:r w:rsidRPr="006A0C0B">
        <w:rPr>
          <w:rFonts w:ascii="Times New Roman" w:eastAsia="Times New Roman" w:hAnsi="Times New Roman" w:cs="Times New Roman"/>
          <w:i/>
          <w:iCs/>
          <w:sz w:val="24"/>
          <w:szCs w:val="24"/>
          <w:bdr w:val="none" w:sz="0" w:space="0" w:color="auto" w:frame="1"/>
        </w:rPr>
        <w:t>ELH</w:t>
      </w:r>
      <w:r w:rsidRPr="006A0C0B">
        <w:rPr>
          <w:rFonts w:ascii="Times New Roman" w:eastAsia="Times New Roman" w:hAnsi="Times New Roman" w:cs="Times New Roman"/>
          <w:sz w:val="24"/>
          <w:szCs w:val="24"/>
        </w:rPr>
        <w:t xml:space="preserve"> 83 (2016) &lt;doi:10.1353/elh.2016.0025&gt; (p. 556).</w:t>
      </w:r>
      <w:r w:rsidRPr="006A0C0B">
        <w:rPr>
          <w:rFonts w:ascii="Times New Roman" w:eastAsia="Times New Roman" w:hAnsi="Times New Roman" w:cs="Times New Roman"/>
          <w:sz w:val="24"/>
          <w:szCs w:val="24"/>
        </w:rPr>
        <w:br w:type="page"/>
      </w:r>
    </w:p>
    <w:p w14:paraId="55149A50" w14:textId="77777777" w:rsidR="001868C7" w:rsidRPr="006A0C0B" w:rsidRDefault="001868C7" w:rsidP="001868C7">
      <w:pPr>
        <w:spacing w:after="0" w:line="480" w:lineRule="auto"/>
        <w:jc w:val="center"/>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lastRenderedPageBreak/>
        <w:t>Bibliography</w:t>
      </w:r>
    </w:p>
    <w:p w14:paraId="1270E142"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David, Alex, ‘Between Courtesy and Constancy: </w:t>
      </w:r>
      <w:r w:rsidRPr="006A0C0B">
        <w:rPr>
          <w:rFonts w:ascii="Times New Roman" w:eastAsia="Times New Roman" w:hAnsi="Times New Roman" w:cs="Times New Roman"/>
          <w:i/>
          <w:iCs/>
          <w:sz w:val="24"/>
          <w:szCs w:val="24"/>
        </w:rPr>
        <w:t>The Faerie Queene</w:t>
      </w:r>
      <w:r w:rsidRPr="006A0C0B">
        <w:rPr>
          <w:rFonts w:ascii="Times New Roman" w:eastAsia="Times New Roman" w:hAnsi="Times New Roman" w:cs="Times New Roman"/>
          <w:sz w:val="24"/>
          <w:szCs w:val="24"/>
        </w:rPr>
        <w:t xml:space="preserve">, Books 6 and 7’, </w:t>
      </w:r>
      <w:r w:rsidRPr="006A0C0B">
        <w:rPr>
          <w:rFonts w:ascii="Times New Roman" w:eastAsia="Times New Roman" w:hAnsi="Times New Roman" w:cs="Times New Roman"/>
          <w:i/>
          <w:iCs/>
          <w:sz w:val="24"/>
          <w:szCs w:val="24"/>
          <w:bdr w:val="none" w:sz="0" w:space="0" w:color="auto" w:frame="1"/>
        </w:rPr>
        <w:t>ELH</w:t>
      </w:r>
      <w:r w:rsidRPr="006A0C0B">
        <w:rPr>
          <w:rFonts w:ascii="Times New Roman" w:eastAsia="Times New Roman" w:hAnsi="Times New Roman" w:cs="Times New Roman"/>
          <w:sz w:val="24"/>
          <w:szCs w:val="24"/>
        </w:rPr>
        <w:t xml:space="preserve"> 83 (2016) &lt;doi:10.1353/elh.2016.0025&gt;</w:t>
      </w:r>
    </w:p>
    <w:p w14:paraId="0F7E4D90"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Hadfield, Andrew, ‘“All shall changed be”: “Two Cantos of Mutabilitie” and the Sense of an Ending’ in </w:t>
      </w:r>
      <w:r w:rsidRPr="006A0C0B">
        <w:rPr>
          <w:rFonts w:ascii="Times New Roman" w:eastAsia="Times New Roman" w:hAnsi="Times New Roman" w:cs="Times New Roman"/>
          <w:i/>
          <w:iCs/>
          <w:sz w:val="24"/>
          <w:szCs w:val="24"/>
        </w:rPr>
        <w:t xml:space="preserve">Edmund </w:t>
      </w:r>
      <w:r>
        <w:rPr>
          <w:rFonts w:ascii="Times New Roman" w:eastAsia="Times New Roman" w:hAnsi="Times New Roman" w:cs="Times New Roman"/>
          <w:i/>
          <w:iCs/>
          <w:sz w:val="24"/>
          <w:szCs w:val="24"/>
        </w:rPr>
        <w:t>Spenser</w:t>
      </w:r>
      <w:r w:rsidRPr="006A0C0B">
        <w:rPr>
          <w:rFonts w:ascii="Times New Roman" w:eastAsia="Times New Roman" w:hAnsi="Times New Roman" w:cs="Times New Roman"/>
          <w:i/>
          <w:iCs/>
          <w:sz w:val="24"/>
          <w:szCs w:val="24"/>
        </w:rPr>
        <w:t xml:space="preserve">’s Irish Experience </w:t>
      </w:r>
      <w:r w:rsidRPr="006A0C0B">
        <w:rPr>
          <w:rFonts w:ascii="Times New Roman" w:eastAsia="Times New Roman" w:hAnsi="Times New Roman" w:cs="Times New Roman"/>
          <w:sz w:val="24"/>
          <w:szCs w:val="24"/>
        </w:rPr>
        <w:t>(Oxford: Clarendon Press, 1997)</w:t>
      </w:r>
    </w:p>
    <w:p w14:paraId="7B7243B5" w14:textId="77777777" w:rsidR="001868C7" w:rsidRPr="006A0C0B" w:rsidRDefault="001868C7" w:rsidP="001868C7">
      <w:pPr>
        <w:spacing w:after="0" w:line="480" w:lineRule="auto"/>
        <w:ind w:left="720" w:hanging="720"/>
        <w:textAlignment w:val="baseline"/>
        <w:rPr>
          <w:rFonts w:ascii="Times New Roman" w:hAnsi="Times New Roman" w:cs="Times New Roman"/>
          <w:sz w:val="24"/>
          <w:szCs w:val="24"/>
          <w:shd w:val="clear" w:color="auto" w:fill="FFFFFF"/>
        </w:rPr>
      </w:pPr>
      <w:r w:rsidRPr="006A0C0B">
        <w:rPr>
          <w:rFonts w:ascii="Times New Roman" w:hAnsi="Times New Roman" w:cs="Times New Roman"/>
          <w:sz w:val="24"/>
          <w:szCs w:val="24"/>
          <w:shd w:val="clear" w:color="auto" w:fill="FFFFFF"/>
        </w:rPr>
        <w:t xml:space="preserve">Holland, Joanne Field, ‘The Cantos of Mutabilitie and the Form of The Faerie Queene’, </w:t>
      </w:r>
      <w:r w:rsidRPr="006A0C0B">
        <w:rPr>
          <w:rFonts w:ascii="Times New Roman" w:hAnsi="Times New Roman" w:cs="Times New Roman"/>
          <w:i/>
          <w:iCs/>
          <w:sz w:val="24"/>
          <w:szCs w:val="24"/>
        </w:rPr>
        <w:t>ELH</w:t>
      </w:r>
      <w:r w:rsidRPr="006A0C0B">
        <w:rPr>
          <w:rFonts w:ascii="Times New Roman" w:hAnsi="Times New Roman" w:cs="Times New Roman"/>
          <w:sz w:val="24"/>
          <w:szCs w:val="24"/>
          <w:shd w:val="clear" w:color="auto" w:fill="FFFFFF"/>
        </w:rPr>
        <w:t xml:space="preserve"> 35 (1968) &lt;doi:10.2307/2872334&gt;</w:t>
      </w:r>
    </w:p>
    <w:p w14:paraId="699C7202"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Oram, William, ‘Looking Backward: The Evolving Genre of </w:t>
      </w:r>
      <w:r w:rsidRPr="006A0C0B">
        <w:rPr>
          <w:rFonts w:ascii="Times New Roman" w:eastAsia="Times New Roman" w:hAnsi="Times New Roman" w:cs="Times New Roman"/>
          <w:i/>
          <w:iCs/>
          <w:sz w:val="24"/>
          <w:szCs w:val="24"/>
        </w:rPr>
        <w:t>The Faerie Queene</w:t>
      </w:r>
      <w:r w:rsidRPr="006A0C0B">
        <w:rPr>
          <w:rFonts w:ascii="Times New Roman" w:eastAsia="Times New Roman" w:hAnsi="Times New Roman" w:cs="Times New Roman"/>
          <w:sz w:val="24"/>
          <w:szCs w:val="24"/>
        </w:rPr>
        <w:t xml:space="preserve">’, </w:t>
      </w:r>
      <w:r w:rsidRPr="006A0C0B">
        <w:rPr>
          <w:rFonts w:ascii="Times New Roman" w:hAnsi="Times New Roman" w:cs="Times New Roman"/>
          <w:i/>
          <w:iCs/>
          <w:sz w:val="24"/>
          <w:szCs w:val="24"/>
        </w:rPr>
        <w:t>Modern Philology</w:t>
      </w:r>
      <w:r w:rsidRPr="006A0C0B">
        <w:rPr>
          <w:rFonts w:ascii="Times New Roman" w:hAnsi="Times New Roman" w:cs="Times New Roman"/>
          <w:sz w:val="24"/>
          <w:szCs w:val="24"/>
          <w:shd w:val="clear" w:color="auto" w:fill="FFFFFF"/>
        </w:rPr>
        <w:t xml:space="preserve"> 115 (2018) &lt;doi:10.1086/694768&gt;</w:t>
      </w:r>
    </w:p>
    <w:p w14:paraId="31CEAF4A"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Stampfer, Judah L., ‘The </w:t>
      </w:r>
      <w:r w:rsidRPr="006A0C0B">
        <w:rPr>
          <w:rFonts w:ascii="Times New Roman" w:eastAsia="Times New Roman" w:hAnsi="Times New Roman" w:cs="Times New Roman"/>
          <w:i/>
          <w:iCs/>
          <w:sz w:val="24"/>
          <w:szCs w:val="24"/>
        </w:rPr>
        <w:t>Cantos of Mutability</w:t>
      </w:r>
      <w:r w:rsidRPr="006A0C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Spenser</w:t>
      </w:r>
      <w:r w:rsidRPr="006A0C0B">
        <w:rPr>
          <w:rFonts w:ascii="Times New Roman" w:eastAsia="Times New Roman" w:hAnsi="Times New Roman" w:cs="Times New Roman"/>
          <w:sz w:val="24"/>
          <w:szCs w:val="24"/>
        </w:rPr>
        <w:t xml:space="preserve">’s Last Testament of Faith’, </w:t>
      </w:r>
      <w:r w:rsidRPr="006A0C0B">
        <w:rPr>
          <w:rFonts w:ascii="Times New Roman" w:eastAsia="Times New Roman" w:hAnsi="Times New Roman" w:cs="Times New Roman"/>
          <w:i/>
          <w:iCs/>
          <w:sz w:val="24"/>
          <w:szCs w:val="24"/>
        </w:rPr>
        <w:t xml:space="preserve">University of Toronto Quarterly </w:t>
      </w:r>
      <w:r w:rsidRPr="006A0C0B">
        <w:rPr>
          <w:rFonts w:ascii="Times New Roman" w:eastAsia="Times New Roman" w:hAnsi="Times New Roman" w:cs="Times New Roman"/>
          <w:sz w:val="24"/>
          <w:szCs w:val="24"/>
        </w:rPr>
        <w:t>21 (1952) &lt;</w:t>
      </w:r>
      <w:r w:rsidRPr="006A0C0B">
        <w:rPr>
          <w:rFonts w:ascii="Times New Roman" w:hAnsi="Times New Roman" w:cs="Times New Roman"/>
          <w:sz w:val="24"/>
          <w:szCs w:val="24"/>
        </w:rPr>
        <w:t xml:space="preserve"> </w:t>
      </w:r>
      <w:r w:rsidRPr="006A0C0B">
        <w:rPr>
          <w:rFonts w:ascii="Times New Roman" w:eastAsia="Times New Roman" w:hAnsi="Times New Roman" w:cs="Times New Roman"/>
          <w:sz w:val="24"/>
          <w:szCs w:val="24"/>
        </w:rPr>
        <w:t>https://muse.jhu.edu/article/551896/pdf&gt;</w:t>
      </w:r>
    </w:p>
    <w:p w14:paraId="61276753"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Spenser, Edmund, </w:t>
      </w:r>
      <w:r w:rsidRPr="006A0C0B">
        <w:rPr>
          <w:rFonts w:ascii="Times New Roman" w:eastAsia="Times New Roman" w:hAnsi="Times New Roman" w:cs="Times New Roman"/>
          <w:i/>
          <w:iCs/>
          <w:sz w:val="24"/>
          <w:szCs w:val="24"/>
        </w:rPr>
        <w:t>The Faerie Queen</w:t>
      </w:r>
      <w:r>
        <w:rPr>
          <w:rFonts w:ascii="Times New Roman" w:eastAsia="Times New Roman" w:hAnsi="Times New Roman" w:cs="Times New Roman"/>
          <w:i/>
          <w:iCs/>
          <w:sz w:val="24"/>
          <w:szCs w:val="24"/>
        </w:rPr>
        <w:t>e</w:t>
      </w:r>
      <w:r w:rsidRPr="006A0C0B">
        <w:rPr>
          <w:rFonts w:ascii="Times New Roman" w:eastAsia="Times New Roman" w:hAnsi="Times New Roman" w:cs="Times New Roman"/>
          <w:i/>
          <w:iCs/>
          <w:sz w:val="24"/>
          <w:szCs w:val="24"/>
        </w:rPr>
        <w:t xml:space="preserve"> </w:t>
      </w:r>
      <w:r w:rsidRPr="006A0C0B">
        <w:rPr>
          <w:rFonts w:ascii="Times New Roman" w:eastAsia="Times New Roman" w:hAnsi="Times New Roman" w:cs="Times New Roman"/>
          <w:sz w:val="24"/>
          <w:szCs w:val="24"/>
        </w:rPr>
        <w:t>ed. by A. C. Hamilton, 2nd edn. (New York: Routledge, 2013)</w:t>
      </w:r>
    </w:p>
    <w:p w14:paraId="3FB3B2E5" w14:textId="77777777" w:rsidR="001868C7" w:rsidRPr="006A0C0B" w:rsidRDefault="001868C7" w:rsidP="001868C7">
      <w:pPr>
        <w:spacing w:after="0" w:line="480" w:lineRule="auto"/>
        <w:ind w:left="720" w:hanging="720"/>
        <w:textAlignment w:val="baseline"/>
        <w:rPr>
          <w:rFonts w:ascii="Times New Roman" w:eastAsia="Times New Roman" w:hAnsi="Times New Roman" w:cs="Times New Roman"/>
          <w:sz w:val="24"/>
          <w:szCs w:val="24"/>
        </w:rPr>
      </w:pPr>
      <w:r w:rsidRPr="006A0C0B">
        <w:rPr>
          <w:rFonts w:ascii="Times New Roman" w:eastAsia="Times New Roman" w:hAnsi="Times New Roman" w:cs="Times New Roman"/>
          <w:sz w:val="24"/>
          <w:szCs w:val="24"/>
        </w:rPr>
        <w:t xml:space="preserve">Spenser, Edmund, </w:t>
      </w:r>
      <w:r w:rsidRPr="006A0C0B">
        <w:rPr>
          <w:rFonts w:ascii="Times New Roman" w:eastAsia="Times New Roman" w:hAnsi="Times New Roman" w:cs="Times New Roman"/>
          <w:i/>
          <w:iCs/>
          <w:sz w:val="24"/>
          <w:szCs w:val="24"/>
        </w:rPr>
        <w:t xml:space="preserve">The Works of Edmund </w:t>
      </w:r>
      <w:r>
        <w:rPr>
          <w:rFonts w:ascii="Times New Roman" w:eastAsia="Times New Roman" w:hAnsi="Times New Roman" w:cs="Times New Roman"/>
          <w:i/>
          <w:iCs/>
          <w:sz w:val="24"/>
          <w:szCs w:val="24"/>
        </w:rPr>
        <w:t>Spenser</w:t>
      </w:r>
      <w:r w:rsidRPr="006A0C0B">
        <w:rPr>
          <w:rFonts w:ascii="Times New Roman" w:eastAsia="Times New Roman" w:hAnsi="Times New Roman" w:cs="Times New Roman"/>
          <w:i/>
          <w:iCs/>
          <w:sz w:val="24"/>
          <w:szCs w:val="24"/>
        </w:rPr>
        <w:t xml:space="preserve">: Volume 1 </w:t>
      </w:r>
      <w:r w:rsidRPr="006A0C0B">
        <w:rPr>
          <w:rFonts w:ascii="Times New Roman" w:eastAsia="Times New Roman" w:hAnsi="Times New Roman" w:cs="Times New Roman"/>
          <w:sz w:val="24"/>
          <w:szCs w:val="24"/>
        </w:rPr>
        <w:t>ed. by J. Payne Callier (London: Bell and Daldy Fleet Street, 1862)</w:t>
      </w:r>
    </w:p>
    <w:p w14:paraId="6BE2C990" w14:textId="77777777" w:rsidR="001868C7" w:rsidRPr="006A0C0B" w:rsidRDefault="001868C7" w:rsidP="001868C7">
      <w:pPr>
        <w:spacing w:after="0" w:line="480" w:lineRule="auto"/>
        <w:ind w:left="720" w:hanging="720"/>
        <w:textAlignment w:val="baseline"/>
        <w:rPr>
          <w:rFonts w:ascii="Times New Roman" w:hAnsi="Times New Roman" w:cs="Times New Roman"/>
          <w:sz w:val="24"/>
          <w:szCs w:val="24"/>
          <w:shd w:val="clear" w:color="auto" w:fill="FFFFFF"/>
        </w:rPr>
      </w:pPr>
      <w:r w:rsidRPr="006A0C0B">
        <w:rPr>
          <w:rFonts w:ascii="Times New Roman" w:hAnsi="Times New Roman" w:cs="Times New Roman"/>
          <w:sz w:val="24"/>
          <w:szCs w:val="24"/>
          <w:shd w:val="clear" w:color="auto" w:fill="FFFFFF"/>
        </w:rPr>
        <w:t xml:space="preserve">Spenser, Edmund, </w:t>
      </w:r>
      <w:r w:rsidRPr="006A0C0B">
        <w:rPr>
          <w:rFonts w:ascii="Times New Roman" w:hAnsi="Times New Roman" w:cs="Times New Roman"/>
          <w:i/>
          <w:iCs/>
          <w:sz w:val="24"/>
          <w:szCs w:val="24"/>
        </w:rPr>
        <w:t>The Faerie Queene Disposed into XII. Bookes, Fashioning Twelue Morall Vertues</w:t>
      </w:r>
      <w:r w:rsidRPr="006A0C0B">
        <w:rPr>
          <w:rFonts w:ascii="Times New Roman" w:hAnsi="Times New Roman" w:cs="Times New Roman"/>
          <w:sz w:val="24"/>
          <w:szCs w:val="24"/>
          <w:shd w:val="clear" w:color="auto" w:fill="FFFFFF"/>
        </w:rPr>
        <w:t xml:space="preserve"> (London, Printed by H.L. for Mathew Lownes, 1609) &lt;https://search.proquest.com/docview/2240861806?accountid=130472&gt;</w:t>
      </w:r>
    </w:p>
    <w:p w14:paraId="70B67945" w14:textId="77777777" w:rsidR="00B36EB9" w:rsidRPr="006A0C0B" w:rsidRDefault="00B36EB9" w:rsidP="001868C7">
      <w:pPr>
        <w:widowControl w:val="0"/>
        <w:spacing w:after="0" w:line="480" w:lineRule="auto"/>
        <w:ind w:firstLine="720"/>
        <w:rPr>
          <w:rFonts w:ascii="Times New Roman" w:hAnsi="Times New Roman" w:cs="Times New Roman"/>
          <w:i/>
          <w:iCs/>
          <w:sz w:val="24"/>
          <w:szCs w:val="24"/>
        </w:rPr>
      </w:pPr>
    </w:p>
    <w:sectPr w:rsidR="00B36EB9" w:rsidRPr="006A0C0B" w:rsidSect="000B6543">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F9E59" w14:textId="77777777" w:rsidR="00DE56B9" w:rsidRDefault="00DE56B9" w:rsidP="000B6543">
      <w:pPr>
        <w:spacing w:after="0" w:line="240" w:lineRule="auto"/>
      </w:pPr>
      <w:r>
        <w:separator/>
      </w:r>
    </w:p>
  </w:endnote>
  <w:endnote w:type="continuationSeparator" w:id="0">
    <w:p w14:paraId="777FE1A7" w14:textId="77777777" w:rsidR="00DE56B9" w:rsidRDefault="00DE56B9" w:rsidP="000B6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02E0E4" w14:textId="77777777" w:rsidR="00DE56B9" w:rsidRDefault="00DE56B9" w:rsidP="000B6543">
      <w:pPr>
        <w:spacing w:after="0" w:line="240" w:lineRule="auto"/>
      </w:pPr>
      <w:r>
        <w:separator/>
      </w:r>
    </w:p>
  </w:footnote>
  <w:footnote w:type="continuationSeparator" w:id="0">
    <w:p w14:paraId="40DF7807" w14:textId="77777777" w:rsidR="00DE56B9" w:rsidRDefault="00DE56B9" w:rsidP="000B6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392681"/>
      <w:docPartObj>
        <w:docPartGallery w:val="Page Numbers (Top of Page)"/>
        <w:docPartUnique/>
      </w:docPartObj>
    </w:sdtPr>
    <w:sdtEndPr>
      <w:rPr>
        <w:noProof/>
      </w:rPr>
    </w:sdtEndPr>
    <w:sdtContent>
      <w:p w14:paraId="1608DDBF" w14:textId="55F704E8" w:rsidR="000B6543" w:rsidRDefault="000B6543">
        <w:pPr>
          <w:pStyle w:val="Header"/>
          <w:jc w:val="right"/>
        </w:pPr>
        <w:r w:rsidRPr="000B6543">
          <w:rPr>
            <w:rFonts w:ascii="Times New Roman" w:hAnsi="Times New Roman" w:cs="Times New Roman"/>
            <w:sz w:val="24"/>
            <w:szCs w:val="24"/>
          </w:rPr>
          <w:fldChar w:fldCharType="begin"/>
        </w:r>
        <w:r w:rsidRPr="000B6543">
          <w:rPr>
            <w:rFonts w:ascii="Times New Roman" w:hAnsi="Times New Roman" w:cs="Times New Roman"/>
            <w:sz w:val="24"/>
            <w:szCs w:val="24"/>
          </w:rPr>
          <w:instrText xml:space="preserve"> PAGE   \* MERGEFORMAT </w:instrText>
        </w:r>
        <w:r w:rsidRPr="000B6543">
          <w:rPr>
            <w:rFonts w:ascii="Times New Roman" w:hAnsi="Times New Roman" w:cs="Times New Roman"/>
            <w:sz w:val="24"/>
            <w:szCs w:val="24"/>
          </w:rPr>
          <w:fldChar w:fldCharType="separate"/>
        </w:r>
        <w:r w:rsidRPr="000B6543">
          <w:rPr>
            <w:rFonts w:ascii="Times New Roman" w:hAnsi="Times New Roman" w:cs="Times New Roman"/>
            <w:noProof/>
            <w:sz w:val="24"/>
            <w:szCs w:val="24"/>
          </w:rPr>
          <w:t>2</w:t>
        </w:r>
        <w:r w:rsidRPr="000B6543">
          <w:rPr>
            <w:rFonts w:ascii="Times New Roman" w:hAnsi="Times New Roman" w:cs="Times New Roman"/>
            <w:noProof/>
            <w:sz w:val="24"/>
            <w:szCs w:val="24"/>
          </w:rPr>
          <w:fldChar w:fldCharType="end"/>
        </w:r>
      </w:p>
    </w:sdtContent>
  </w:sdt>
  <w:p w14:paraId="292B98A7" w14:textId="77777777" w:rsidR="000B6543" w:rsidRDefault="000B65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F74F64"/>
    <w:multiLevelType w:val="hybridMultilevel"/>
    <w:tmpl w:val="EBE439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EB9"/>
    <w:rsid w:val="0002565F"/>
    <w:rsid w:val="00085562"/>
    <w:rsid w:val="000B6543"/>
    <w:rsid w:val="000C4C17"/>
    <w:rsid w:val="000F01BB"/>
    <w:rsid w:val="000F3A15"/>
    <w:rsid w:val="00107788"/>
    <w:rsid w:val="001134D2"/>
    <w:rsid w:val="0012643E"/>
    <w:rsid w:val="00145566"/>
    <w:rsid w:val="0016469D"/>
    <w:rsid w:val="00166744"/>
    <w:rsid w:val="001868C7"/>
    <w:rsid w:val="0026043D"/>
    <w:rsid w:val="0026492C"/>
    <w:rsid w:val="0029435E"/>
    <w:rsid w:val="002C1ADF"/>
    <w:rsid w:val="00306E08"/>
    <w:rsid w:val="003154DC"/>
    <w:rsid w:val="00326446"/>
    <w:rsid w:val="0033291F"/>
    <w:rsid w:val="00347A38"/>
    <w:rsid w:val="00364D4F"/>
    <w:rsid w:val="00373BDB"/>
    <w:rsid w:val="00382C7D"/>
    <w:rsid w:val="003903F7"/>
    <w:rsid w:val="004019FD"/>
    <w:rsid w:val="0045529A"/>
    <w:rsid w:val="0045551A"/>
    <w:rsid w:val="00456132"/>
    <w:rsid w:val="004A3D62"/>
    <w:rsid w:val="004A7229"/>
    <w:rsid w:val="004C2BCC"/>
    <w:rsid w:val="004E5C09"/>
    <w:rsid w:val="004F5250"/>
    <w:rsid w:val="00594E12"/>
    <w:rsid w:val="005A61EE"/>
    <w:rsid w:val="005B053F"/>
    <w:rsid w:val="005E1F80"/>
    <w:rsid w:val="006019AB"/>
    <w:rsid w:val="00616885"/>
    <w:rsid w:val="006205E8"/>
    <w:rsid w:val="00620FA4"/>
    <w:rsid w:val="00622D10"/>
    <w:rsid w:val="00627C6B"/>
    <w:rsid w:val="0067410D"/>
    <w:rsid w:val="006A0C0B"/>
    <w:rsid w:val="006B1DA8"/>
    <w:rsid w:val="006C54F7"/>
    <w:rsid w:val="00793DCD"/>
    <w:rsid w:val="007A064C"/>
    <w:rsid w:val="007A0852"/>
    <w:rsid w:val="007C5C72"/>
    <w:rsid w:val="007C67A3"/>
    <w:rsid w:val="007D6048"/>
    <w:rsid w:val="007E65E2"/>
    <w:rsid w:val="007E692C"/>
    <w:rsid w:val="00824EA1"/>
    <w:rsid w:val="008A459D"/>
    <w:rsid w:val="008B7111"/>
    <w:rsid w:val="00921FE1"/>
    <w:rsid w:val="00981AEA"/>
    <w:rsid w:val="009843FA"/>
    <w:rsid w:val="0099029A"/>
    <w:rsid w:val="009B5019"/>
    <w:rsid w:val="009C3CAF"/>
    <w:rsid w:val="009F35A3"/>
    <w:rsid w:val="00A77EBB"/>
    <w:rsid w:val="00A96B20"/>
    <w:rsid w:val="00AA0875"/>
    <w:rsid w:val="00AD7D83"/>
    <w:rsid w:val="00B15A26"/>
    <w:rsid w:val="00B16AF3"/>
    <w:rsid w:val="00B2079C"/>
    <w:rsid w:val="00B36EB9"/>
    <w:rsid w:val="00B40601"/>
    <w:rsid w:val="00B711EB"/>
    <w:rsid w:val="00BE01A8"/>
    <w:rsid w:val="00C0239C"/>
    <w:rsid w:val="00C21BF1"/>
    <w:rsid w:val="00C22C4F"/>
    <w:rsid w:val="00C30F7A"/>
    <w:rsid w:val="00C423AB"/>
    <w:rsid w:val="00C44C41"/>
    <w:rsid w:val="00C56BFF"/>
    <w:rsid w:val="00C71178"/>
    <w:rsid w:val="00C80DA0"/>
    <w:rsid w:val="00C80EB3"/>
    <w:rsid w:val="00CF0380"/>
    <w:rsid w:val="00CF040B"/>
    <w:rsid w:val="00CF7D01"/>
    <w:rsid w:val="00D052BC"/>
    <w:rsid w:val="00D55752"/>
    <w:rsid w:val="00D63DC8"/>
    <w:rsid w:val="00D63E3E"/>
    <w:rsid w:val="00D74F62"/>
    <w:rsid w:val="00D80EB9"/>
    <w:rsid w:val="00DB5CEE"/>
    <w:rsid w:val="00DC004B"/>
    <w:rsid w:val="00DD34C8"/>
    <w:rsid w:val="00DE56B9"/>
    <w:rsid w:val="00DF0B35"/>
    <w:rsid w:val="00DF395A"/>
    <w:rsid w:val="00E15FCC"/>
    <w:rsid w:val="00E21144"/>
    <w:rsid w:val="00E31F2D"/>
    <w:rsid w:val="00E742F9"/>
    <w:rsid w:val="00E87A4A"/>
    <w:rsid w:val="00EA042C"/>
    <w:rsid w:val="00EC1F3E"/>
    <w:rsid w:val="00ED54A0"/>
    <w:rsid w:val="00EE48D8"/>
    <w:rsid w:val="00EF5105"/>
    <w:rsid w:val="00F147A8"/>
    <w:rsid w:val="00F15689"/>
    <w:rsid w:val="00F37168"/>
    <w:rsid w:val="00F81106"/>
    <w:rsid w:val="00FC2FD7"/>
    <w:rsid w:val="00FE1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B8D0"/>
  <w15:chartTrackingRefBased/>
  <w15:docId w15:val="{4F2C3409-7F7D-4F91-BF87-BA07D25F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paragraph">
    <w:name w:val="body-paragraph"/>
    <w:basedOn w:val="Normal"/>
    <w:rsid w:val="00A77EB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6744"/>
    <w:pPr>
      <w:ind w:left="720"/>
      <w:contextualSpacing/>
    </w:pPr>
  </w:style>
  <w:style w:type="character" w:styleId="Hyperlink">
    <w:name w:val="Hyperlink"/>
    <w:basedOn w:val="DefaultParagraphFont"/>
    <w:uiPriority w:val="99"/>
    <w:unhideWhenUsed/>
    <w:rsid w:val="00C22C4F"/>
    <w:rPr>
      <w:color w:val="0563C1" w:themeColor="hyperlink"/>
      <w:u w:val="single"/>
    </w:rPr>
  </w:style>
  <w:style w:type="character" w:styleId="UnresolvedMention">
    <w:name w:val="Unresolved Mention"/>
    <w:basedOn w:val="DefaultParagraphFont"/>
    <w:uiPriority w:val="99"/>
    <w:semiHidden/>
    <w:unhideWhenUsed/>
    <w:rsid w:val="00C22C4F"/>
    <w:rPr>
      <w:color w:val="605E5C"/>
      <w:shd w:val="clear" w:color="auto" w:fill="E1DFDD"/>
    </w:rPr>
  </w:style>
  <w:style w:type="character" w:styleId="FollowedHyperlink">
    <w:name w:val="FollowedHyperlink"/>
    <w:basedOn w:val="DefaultParagraphFont"/>
    <w:uiPriority w:val="99"/>
    <w:semiHidden/>
    <w:unhideWhenUsed/>
    <w:rsid w:val="00E742F9"/>
    <w:rPr>
      <w:color w:val="954F72" w:themeColor="followedHyperlink"/>
      <w:u w:val="single"/>
    </w:rPr>
  </w:style>
  <w:style w:type="character" w:styleId="Emphasis">
    <w:name w:val="Emphasis"/>
    <w:basedOn w:val="DefaultParagraphFont"/>
    <w:uiPriority w:val="20"/>
    <w:qFormat/>
    <w:rsid w:val="000C4C17"/>
    <w:rPr>
      <w:i/>
      <w:iCs/>
    </w:rPr>
  </w:style>
  <w:style w:type="paragraph" w:styleId="Header">
    <w:name w:val="header"/>
    <w:basedOn w:val="Normal"/>
    <w:link w:val="HeaderChar"/>
    <w:uiPriority w:val="99"/>
    <w:unhideWhenUsed/>
    <w:rsid w:val="000B65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543"/>
  </w:style>
  <w:style w:type="paragraph" w:styleId="Footer">
    <w:name w:val="footer"/>
    <w:basedOn w:val="Normal"/>
    <w:link w:val="FooterChar"/>
    <w:uiPriority w:val="99"/>
    <w:unhideWhenUsed/>
    <w:rsid w:val="000B65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54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1551</TotalTime>
  <Pages>9</Pages>
  <Words>1865</Words>
  <Characters>10635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102</cp:revision>
  <dcterms:created xsi:type="dcterms:W3CDTF">2020-03-31T01:17:00Z</dcterms:created>
  <dcterms:modified xsi:type="dcterms:W3CDTF">2020-05-27T22:26:00Z</dcterms:modified>
</cp:coreProperties>
</file>