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3D87B4D" w14:textId="0C756778" w:rsidR="005E7DBE" w:rsidRDefault="005E7DBE" w:rsidP="33CE6EB0">
      <w:r>
        <w:br/>
      </w:r>
      <w:r w:rsidR="7B7BE2E1">
        <w:rPr>
          <w:noProof/>
        </w:rPr>
        <w:drawing>
          <wp:inline distT="0" distB="0" distL="0" distR="0" wp14:anchorId="173F30A4" wp14:editId="698EFDDF">
            <wp:extent cx="2076450" cy="904875"/>
            <wp:effectExtent l="0" t="0" r="0" b="0"/>
            <wp:docPr id="1407195479" name="drawing">
              <a:extLst xmlns:a="http://schemas.openxmlformats.org/drawingml/2006/main">
                <a:ext uri="{FF2B5EF4-FFF2-40B4-BE49-F238E27FC236}">
                  <a16:creationId xmlns:a16="http://schemas.microsoft.com/office/drawing/2014/main" id="{A1AD43A8-9D97-405B-83A4-14A8C011B0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195479" name="Picture 1407195479"/>
                    <pic:cNvPicPr/>
                  </pic:nvPicPr>
                  <pic:blipFill>
                    <a:blip r:embed="rId4">
                      <a:extLst>
                        <a:ext uri="{28A0092B-C50C-407E-A947-70E740481C1C}">
                          <a14:useLocalDpi xmlns:a14="http://schemas.microsoft.com/office/drawing/2010/main"/>
                        </a:ext>
                      </a:extLst>
                    </a:blip>
                    <a:stretch>
                      <a:fillRect/>
                    </a:stretch>
                  </pic:blipFill>
                  <pic:spPr>
                    <a:xfrm>
                      <a:off x="0" y="0"/>
                      <a:ext cx="2076450" cy="904875"/>
                    </a:xfrm>
                    <a:prstGeom prst="rect">
                      <a:avLst/>
                    </a:prstGeom>
                  </pic:spPr>
                </pic:pic>
              </a:graphicData>
            </a:graphic>
          </wp:inline>
        </w:drawing>
      </w:r>
      <w:r w:rsidR="7F0625D4" w:rsidRPr="33CE6EB0">
        <w:rPr>
          <w:rFonts w:ascii="Aptos" w:eastAsia="Aptos" w:hAnsi="Aptos" w:cs="Aptos"/>
          <w:color w:val="000000" w:themeColor="text1"/>
          <w:sz w:val="32"/>
          <w:szCs w:val="32"/>
        </w:rPr>
        <w:t>Academic Report</w:t>
      </w:r>
    </w:p>
    <w:p w14:paraId="1EF9A382" w14:textId="28159F48" w:rsidR="005E7DBE" w:rsidRDefault="3630F4CA" w:rsidP="12D73F5A">
      <w:pPr>
        <w:ind w:left="2160"/>
        <w:rPr>
          <w:rFonts w:ascii="Calibri" w:eastAsia="Calibri" w:hAnsi="Calibri" w:cs="Calibri"/>
          <w:color w:val="000000" w:themeColor="text1"/>
          <w:sz w:val="32"/>
          <w:szCs w:val="32"/>
        </w:rPr>
      </w:pPr>
      <w:r w:rsidRPr="47A4BC68">
        <w:rPr>
          <w:rFonts w:ascii="Calibri" w:eastAsia="Calibri" w:hAnsi="Calibri" w:cs="Calibri"/>
          <w:color w:val="000000" w:themeColor="text1"/>
          <w:sz w:val="32"/>
          <w:szCs w:val="32"/>
        </w:rPr>
        <w:t>The Role of a Social Care Counsellor</w:t>
      </w:r>
    </w:p>
    <w:p w14:paraId="3E4B0632" w14:textId="2984B304" w:rsidR="005E7DBE" w:rsidRDefault="7F0625D4" w:rsidP="33CE6EB0">
      <w:pPr>
        <w:ind w:left="2160"/>
        <w:rPr>
          <w:rFonts w:ascii="Aptos" w:eastAsia="Aptos" w:hAnsi="Aptos" w:cs="Aptos"/>
          <w:color w:val="000000" w:themeColor="text1"/>
          <w:sz w:val="32"/>
          <w:szCs w:val="32"/>
        </w:rPr>
      </w:pPr>
      <w:r w:rsidRPr="33CE6EB0">
        <w:rPr>
          <w:rFonts w:ascii="Aptos" w:eastAsia="Aptos" w:hAnsi="Aptos" w:cs="Aptos"/>
          <w:b/>
          <w:bCs/>
          <w:color w:val="000000" w:themeColor="text1"/>
          <w:sz w:val="32"/>
          <w:szCs w:val="32"/>
        </w:rPr>
        <w:t xml:space="preserve">Student Name: </w:t>
      </w:r>
      <w:r w:rsidR="541D6A99" w:rsidRPr="33CE6EB0">
        <w:rPr>
          <w:rFonts w:ascii="Aptos" w:eastAsia="Aptos" w:hAnsi="Aptos" w:cs="Aptos"/>
          <w:color w:val="000000" w:themeColor="text1"/>
          <w:sz w:val="32"/>
          <w:szCs w:val="32"/>
        </w:rPr>
        <w:t>Catalina Caravan</w:t>
      </w:r>
    </w:p>
    <w:p w14:paraId="555DE100" w14:textId="3A9205BE" w:rsidR="005E7DBE" w:rsidRDefault="7F0625D4" w:rsidP="33CE6EB0">
      <w:pPr>
        <w:ind w:left="2160"/>
        <w:rPr>
          <w:rFonts w:ascii="Aptos" w:eastAsia="Aptos" w:hAnsi="Aptos" w:cs="Aptos"/>
          <w:color w:val="000000" w:themeColor="text1"/>
          <w:sz w:val="32"/>
          <w:szCs w:val="32"/>
        </w:rPr>
      </w:pPr>
      <w:r w:rsidRPr="33CE6EB0">
        <w:rPr>
          <w:rFonts w:ascii="Aptos" w:eastAsia="Aptos" w:hAnsi="Aptos" w:cs="Aptos"/>
          <w:b/>
          <w:bCs/>
          <w:color w:val="000000" w:themeColor="text1"/>
          <w:sz w:val="32"/>
          <w:szCs w:val="32"/>
        </w:rPr>
        <w:t>Student ID</w:t>
      </w:r>
      <w:r w:rsidRPr="33CE6EB0">
        <w:rPr>
          <w:rFonts w:ascii="Aptos" w:eastAsia="Aptos" w:hAnsi="Aptos" w:cs="Aptos"/>
          <w:color w:val="000000" w:themeColor="text1"/>
          <w:sz w:val="32"/>
          <w:szCs w:val="32"/>
        </w:rPr>
        <w:t xml:space="preserve">: </w:t>
      </w:r>
      <w:r w:rsidR="05B1FCD9" w:rsidRPr="470D8667">
        <w:rPr>
          <w:rFonts w:ascii="Aptos" w:eastAsia="Aptos" w:hAnsi="Aptos" w:cs="Aptos"/>
          <w:color w:val="000000" w:themeColor="text1"/>
          <w:sz w:val="32"/>
          <w:szCs w:val="32"/>
        </w:rPr>
        <w:t>2541270</w:t>
      </w:r>
    </w:p>
    <w:p w14:paraId="26EB33F3" w14:textId="5968FAF2" w:rsidR="005E7DBE" w:rsidRDefault="7F0625D4" w:rsidP="33CE6EB0">
      <w:pPr>
        <w:ind w:left="2160"/>
        <w:rPr>
          <w:rFonts w:ascii="Aptos" w:eastAsia="Aptos" w:hAnsi="Aptos" w:cs="Aptos"/>
          <w:color w:val="000000" w:themeColor="text1"/>
          <w:sz w:val="32"/>
          <w:szCs w:val="32"/>
        </w:rPr>
      </w:pPr>
      <w:r w:rsidRPr="33CE6EB0">
        <w:rPr>
          <w:rFonts w:ascii="Aptos" w:eastAsia="Aptos" w:hAnsi="Aptos" w:cs="Aptos"/>
          <w:b/>
          <w:bCs/>
          <w:color w:val="000000" w:themeColor="text1"/>
          <w:sz w:val="32"/>
          <w:szCs w:val="32"/>
        </w:rPr>
        <w:t>Module Code</w:t>
      </w:r>
      <w:r w:rsidRPr="33CE6EB0">
        <w:rPr>
          <w:rFonts w:ascii="Aptos" w:eastAsia="Aptos" w:hAnsi="Aptos" w:cs="Aptos"/>
          <w:color w:val="000000" w:themeColor="text1"/>
          <w:sz w:val="32"/>
          <w:szCs w:val="32"/>
        </w:rPr>
        <w:t>: LCHS4001</w:t>
      </w:r>
    </w:p>
    <w:p w14:paraId="5FF941B9" w14:textId="7883C7FC" w:rsidR="005E7DBE" w:rsidRDefault="7F0625D4" w:rsidP="33CE6EB0">
      <w:pPr>
        <w:ind w:left="2160"/>
        <w:rPr>
          <w:rFonts w:ascii="Aptos" w:eastAsia="Aptos" w:hAnsi="Aptos" w:cs="Aptos"/>
          <w:color w:val="000000" w:themeColor="text1"/>
          <w:sz w:val="32"/>
          <w:szCs w:val="32"/>
        </w:rPr>
      </w:pPr>
      <w:r w:rsidRPr="33CE6EB0">
        <w:rPr>
          <w:rFonts w:ascii="Aptos" w:eastAsia="Aptos" w:hAnsi="Aptos" w:cs="Aptos"/>
          <w:b/>
          <w:bCs/>
          <w:color w:val="000000" w:themeColor="text1"/>
          <w:sz w:val="32"/>
          <w:szCs w:val="32"/>
        </w:rPr>
        <w:t>Assignment</w:t>
      </w:r>
      <w:r w:rsidRPr="33CE6EB0">
        <w:rPr>
          <w:rFonts w:ascii="Aptos" w:eastAsia="Aptos" w:hAnsi="Aptos" w:cs="Aptos"/>
          <w:color w:val="000000" w:themeColor="text1"/>
          <w:sz w:val="32"/>
          <w:szCs w:val="32"/>
        </w:rPr>
        <w:t>: Task 3 Academic Report</w:t>
      </w:r>
    </w:p>
    <w:p w14:paraId="153F8964" w14:textId="7B6F9A2C" w:rsidR="005E7DBE" w:rsidRDefault="7F0625D4" w:rsidP="33CE6EB0">
      <w:pPr>
        <w:ind w:left="2160"/>
        <w:rPr>
          <w:rFonts w:ascii="Aptos" w:eastAsia="Aptos" w:hAnsi="Aptos" w:cs="Aptos"/>
          <w:color w:val="000000" w:themeColor="text1"/>
          <w:sz w:val="32"/>
          <w:szCs w:val="32"/>
        </w:rPr>
      </w:pPr>
      <w:r w:rsidRPr="33CE6EB0">
        <w:rPr>
          <w:rFonts w:ascii="Aptos" w:eastAsia="Aptos" w:hAnsi="Aptos" w:cs="Aptos"/>
          <w:b/>
          <w:bCs/>
          <w:color w:val="000000" w:themeColor="text1"/>
          <w:sz w:val="32"/>
          <w:szCs w:val="32"/>
        </w:rPr>
        <w:t>Lecture Name</w:t>
      </w:r>
      <w:r w:rsidRPr="33CE6EB0">
        <w:rPr>
          <w:rFonts w:ascii="Aptos" w:eastAsia="Aptos" w:hAnsi="Aptos" w:cs="Aptos"/>
          <w:color w:val="000000" w:themeColor="text1"/>
          <w:sz w:val="32"/>
          <w:szCs w:val="32"/>
        </w:rPr>
        <w:t>: Dr. Emmanuel Assante</w:t>
      </w:r>
    </w:p>
    <w:p w14:paraId="2103CDAE" w14:textId="27F19351" w:rsidR="005E7DBE" w:rsidRDefault="7F0625D4" w:rsidP="33CE6EB0">
      <w:pPr>
        <w:ind w:left="2160"/>
        <w:rPr>
          <w:rFonts w:ascii="Aptos" w:eastAsia="Aptos" w:hAnsi="Aptos" w:cs="Aptos"/>
          <w:color w:val="000000" w:themeColor="text1"/>
          <w:sz w:val="32"/>
          <w:szCs w:val="32"/>
        </w:rPr>
      </w:pPr>
      <w:r w:rsidRPr="33CE6EB0">
        <w:rPr>
          <w:rFonts w:ascii="Aptos" w:eastAsia="Aptos" w:hAnsi="Aptos" w:cs="Aptos"/>
          <w:b/>
          <w:bCs/>
          <w:color w:val="000000" w:themeColor="text1"/>
          <w:sz w:val="32"/>
          <w:szCs w:val="32"/>
        </w:rPr>
        <w:t>Submission Date</w:t>
      </w:r>
      <w:r w:rsidRPr="33CE6EB0">
        <w:rPr>
          <w:rFonts w:ascii="Aptos" w:eastAsia="Aptos" w:hAnsi="Aptos" w:cs="Aptos"/>
          <w:color w:val="000000" w:themeColor="text1"/>
          <w:sz w:val="32"/>
          <w:szCs w:val="32"/>
        </w:rPr>
        <w:t>: 24</w:t>
      </w:r>
      <w:r w:rsidRPr="33CE6EB0">
        <w:rPr>
          <w:rFonts w:ascii="Aptos" w:eastAsia="Aptos" w:hAnsi="Aptos" w:cs="Aptos"/>
          <w:color w:val="000000" w:themeColor="text1"/>
          <w:sz w:val="32"/>
          <w:szCs w:val="32"/>
          <w:vertAlign w:val="superscript"/>
        </w:rPr>
        <w:t>th</w:t>
      </w:r>
      <w:r w:rsidRPr="33CE6EB0">
        <w:rPr>
          <w:rFonts w:ascii="Aptos" w:eastAsia="Aptos" w:hAnsi="Aptos" w:cs="Aptos"/>
          <w:color w:val="000000" w:themeColor="text1"/>
          <w:sz w:val="32"/>
          <w:szCs w:val="32"/>
        </w:rPr>
        <w:t xml:space="preserve"> July 2026</w:t>
      </w:r>
    </w:p>
    <w:p w14:paraId="2F4A60D8" w14:textId="1EB4104C" w:rsidR="005E7DBE" w:rsidRDefault="7F0625D4" w:rsidP="33CE6EB0">
      <w:pPr>
        <w:ind w:left="2160"/>
        <w:rPr>
          <w:rFonts w:ascii="Aptos" w:eastAsia="Aptos" w:hAnsi="Aptos" w:cs="Aptos"/>
          <w:color w:val="000000" w:themeColor="text1"/>
          <w:sz w:val="32"/>
          <w:szCs w:val="32"/>
        </w:rPr>
      </w:pPr>
      <w:r w:rsidRPr="33CE6EB0">
        <w:rPr>
          <w:rFonts w:ascii="Aptos" w:eastAsia="Aptos" w:hAnsi="Aptos" w:cs="Aptos"/>
          <w:b/>
          <w:bCs/>
          <w:color w:val="000000" w:themeColor="text1"/>
          <w:sz w:val="32"/>
          <w:szCs w:val="32"/>
        </w:rPr>
        <w:t>Word Count</w:t>
      </w:r>
      <w:r w:rsidRPr="33CE6EB0">
        <w:rPr>
          <w:rFonts w:ascii="Aptos" w:eastAsia="Aptos" w:hAnsi="Aptos" w:cs="Aptos"/>
          <w:color w:val="000000" w:themeColor="text1"/>
          <w:sz w:val="32"/>
          <w:szCs w:val="32"/>
        </w:rPr>
        <w:t>: 1200 words</w:t>
      </w:r>
    </w:p>
    <w:p w14:paraId="69F25A7E" w14:textId="54F3E4DA" w:rsidR="005E7DBE" w:rsidRDefault="005E7DBE" w:rsidP="33CE6EB0">
      <w:pPr>
        <w:ind w:left="2160"/>
        <w:rPr>
          <w:rFonts w:ascii="Aptos" w:eastAsia="Aptos" w:hAnsi="Aptos" w:cs="Aptos"/>
          <w:color w:val="000000" w:themeColor="text1"/>
        </w:rPr>
      </w:pPr>
    </w:p>
    <w:p w14:paraId="20FD00DF" w14:textId="1E0A16BA" w:rsidR="005E7DBE" w:rsidRDefault="005E7DBE" w:rsidP="33CE6EB0">
      <w:pPr>
        <w:ind w:left="2160"/>
        <w:rPr>
          <w:rFonts w:ascii="Aptos" w:eastAsia="Aptos" w:hAnsi="Aptos" w:cs="Aptos"/>
          <w:color w:val="000000" w:themeColor="text1"/>
        </w:rPr>
      </w:pPr>
    </w:p>
    <w:p w14:paraId="0C9073E9" w14:textId="32A9C3B6" w:rsidR="001752A3" w:rsidRPr="001752A3" w:rsidRDefault="005E7DBE" w:rsidP="001752A3">
      <w:r>
        <w:br/>
      </w:r>
    </w:p>
    <w:p w14:paraId="7675EF3E" w14:textId="6CC9075C" w:rsidR="41758599" w:rsidRDefault="41758599"/>
    <w:p w14:paraId="42023622" w14:textId="5BBF09F7" w:rsidR="41758599" w:rsidRDefault="41758599"/>
    <w:p w14:paraId="4DCAA517" w14:textId="1098E498" w:rsidR="41758599" w:rsidRDefault="41758599"/>
    <w:p w14:paraId="1E50371D" w14:textId="2ACD71F6" w:rsidR="2C2A652A" w:rsidRDefault="2C2A652A"/>
    <w:p w14:paraId="59FEEFCC" w14:textId="327E91FB" w:rsidR="1EBD68FE" w:rsidRDefault="1EBD68FE"/>
    <w:p w14:paraId="2120FADC" w14:textId="73D85BE2" w:rsidR="1EBD68FE" w:rsidRDefault="1EBD68FE"/>
    <w:p w14:paraId="528377B2" w14:textId="392D9A4D" w:rsidR="1EBD68FE" w:rsidRDefault="1EBD68FE"/>
    <w:p w14:paraId="5B353E04" w14:textId="4BA3AAF0" w:rsidR="1EBD68FE" w:rsidRDefault="1EBD68FE"/>
    <w:p w14:paraId="0DD4E201" w14:textId="3F12234C" w:rsidR="1EBD68FE" w:rsidRDefault="1EBD68FE"/>
    <w:p w14:paraId="433AE5B3" w14:textId="79758C57" w:rsidR="1EBD68FE" w:rsidRDefault="1EBD68FE"/>
    <w:p w14:paraId="0C540717" w14:textId="77777777" w:rsidR="001752A3" w:rsidRPr="001752A3" w:rsidRDefault="001752A3" w:rsidP="001752A3">
      <w:pPr>
        <w:rPr>
          <w:rFonts w:ascii="Segoe UI" w:eastAsia="Segoe UI" w:hAnsi="Segoe UI" w:cs="Segoe UI"/>
          <w:color w:val="000000" w:themeColor="text1"/>
          <w:sz w:val="18"/>
          <w:szCs w:val="18"/>
        </w:rPr>
      </w:pPr>
    </w:p>
    <w:p w14:paraId="48980B6D" w14:textId="2F21C751"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Table of Contents</w:t>
      </w:r>
    </w:p>
    <w:p w14:paraId="3E878C7B" w14:textId="32260BB9"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1. Introduction</w:t>
      </w:r>
    </w:p>
    <w:p w14:paraId="379E09DF" w14:textId="2A18119F"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2. Role, Duties and Responsibilities of a Social Care Counsellor</w:t>
      </w:r>
    </w:p>
    <w:p w14:paraId="671C09E2" w14:textId="62B76899"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3. Essential Skills for the Role</w:t>
      </w:r>
    </w:p>
    <w:p w14:paraId="4CB5D049" w14:textId="79122649"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4. Strategies for Skill Development</w:t>
      </w:r>
    </w:p>
    <w:p w14:paraId="21E877A1" w14:textId="7039BDBC"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5. Conclusion</w:t>
      </w:r>
    </w:p>
    <w:p w14:paraId="6E4214F5"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6. Reference List</w:t>
      </w:r>
    </w:p>
    <w:p w14:paraId="7FCB58BE" w14:textId="732E5D83" w:rsidR="6EFF6B18" w:rsidRDefault="6EFF6B18" w:rsidP="6EFF6B18">
      <w:pPr>
        <w:rPr>
          <w:rFonts w:ascii="Calibri" w:eastAsia="Calibri" w:hAnsi="Calibri" w:cs="Calibri"/>
          <w:color w:val="000000" w:themeColor="text1"/>
          <w:sz w:val="28"/>
          <w:szCs w:val="28"/>
        </w:rPr>
      </w:pPr>
    </w:p>
    <w:p w14:paraId="24775E54" w14:textId="523086CB" w:rsidR="0BA7A2BA" w:rsidRDefault="0BA7A2BA" w:rsidP="0BA7A2BA">
      <w:pPr>
        <w:rPr>
          <w:rFonts w:ascii="Calibri" w:eastAsia="Calibri" w:hAnsi="Calibri" w:cs="Calibri"/>
          <w:color w:val="000000" w:themeColor="text1"/>
          <w:sz w:val="28"/>
          <w:szCs w:val="28"/>
        </w:rPr>
      </w:pPr>
    </w:p>
    <w:p w14:paraId="140FDAE1" w14:textId="25318988" w:rsidR="0BA7A2BA" w:rsidRDefault="0BA7A2BA" w:rsidP="0BA7A2BA">
      <w:pPr>
        <w:rPr>
          <w:rFonts w:ascii="Calibri" w:eastAsia="Calibri" w:hAnsi="Calibri" w:cs="Calibri"/>
          <w:color w:val="000000" w:themeColor="text1"/>
          <w:sz w:val="28"/>
          <w:szCs w:val="28"/>
        </w:rPr>
      </w:pPr>
    </w:p>
    <w:p w14:paraId="39D1F4A0" w14:textId="4B997FF1" w:rsidR="0BA7A2BA" w:rsidRDefault="0BA7A2BA" w:rsidP="0BA7A2BA">
      <w:pPr>
        <w:rPr>
          <w:rFonts w:ascii="Calibri" w:eastAsia="Calibri" w:hAnsi="Calibri" w:cs="Calibri"/>
          <w:color w:val="000000" w:themeColor="text1"/>
          <w:sz w:val="28"/>
          <w:szCs w:val="28"/>
        </w:rPr>
      </w:pPr>
    </w:p>
    <w:p w14:paraId="5540D652" w14:textId="150F8D43" w:rsidR="0BA7A2BA" w:rsidRDefault="0BA7A2BA" w:rsidP="0BA7A2BA">
      <w:pPr>
        <w:rPr>
          <w:rFonts w:ascii="Calibri" w:eastAsia="Calibri" w:hAnsi="Calibri" w:cs="Calibri"/>
          <w:color w:val="000000" w:themeColor="text1"/>
          <w:sz w:val="28"/>
          <w:szCs w:val="28"/>
        </w:rPr>
      </w:pPr>
    </w:p>
    <w:p w14:paraId="0A57DA5A" w14:textId="6927D9C8" w:rsidR="0BA7A2BA" w:rsidRDefault="0BA7A2BA" w:rsidP="0BA7A2BA">
      <w:pPr>
        <w:rPr>
          <w:rFonts w:ascii="Calibri" w:eastAsia="Calibri" w:hAnsi="Calibri" w:cs="Calibri"/>
          <w:color w:val="000000" w:themeColor="text1"/>
          <w:sz w:val="28"/>
          <w:szCs w:val="28"/>
        </w:rPr>
      </w:pPr>
    </w:p>
    <w:p w14:paraId="5C54F451" w14:textId="565A5D0D" w:rsidR="0BA7A2BA" w:rsidRDefault="0BA7A2BA" w:rsidP="0BA7A2BA">
      <w:pPr>
        <w:rPr>
          <w:rFonts w:ascii="Calibri" w:eastAsia="Calibri" w:hAnsi="Calibri" w:cs="Calibri"/>
          <w:color w:val="000000" w:themeColor="text1"/>
          <w:sz w:val="28"/>
          <w:szCs w:val="28"/>
        </w:rPr>
      </w:pPr>
    </w:p>
    <w:p w14:paraId="13DC9D89" w14:textId="14D99D4F" w:rsidR="0BA7A2BA" w:rsidRDefault="0BA7A2BA" w:rsidP="0BA7A2BA">
      <w:pPr>
        <w:rPr>
          <w:rFonts w:ascii="Calibri" w:eastAsia="Calibri" w:hAnsi="Calibri" w:cs="Calibri"/>
          <w:color w:val="000000" w:themeColor="text1"/>
          <w:sz w:val="28"/>
          <w:szCs w:val="28"/>
        </w:rPr>
      </w:pPr>
    </w:p>
    <w:p w14:paraId="1C837DC9" w14:textId="023D9D15" w:rsidR="0BA7A2BA" w:rsidRDefault="0BA7A2BA" w:rsidP="0BA7A2BA">
      <w:pPr>
        <w:rPr>
          <w:rFonts w:ascii="Calibri" w:eastAsia="Calibri" w:hAnsi="Calibri" w:cs="Calibri"/>
          <w:color w:val="000000" w:themeColor="text1"/>
          <w:sz w:val="28"/>
          <w:szCs w:val="28"/>
        </w:rPr>
      </w:pPr>
    </w:p>
    <w:p w14:paraId="2E9C70ED" w14:textId="31C01ED3" w:rsidR="0BA7A2BA" w:rsidRDefault="0BA7A2BA" w:rsidP="0BA7A2BA">
      <w:pPr>
        <w:rPr>
          <w:rFonts w:ascii="Calibri" w:eastAsia="Calibri" w:hAnsi="Calibri" w:cs="Calibri"/>
          <w:color w:val="000000" w:themeColor="text1"/>
          <w:sz w:val="28"/>
          <w:szCs w:val="28"/>
        </w:rPr>
      </w:pPr>
    </w:p>
    <w:p w14:paraId="1ACE76B3" w14:textId="224D89CF" w:rsidR="0BA7A2BA" w:rsidRDefault="0BA7A2BA" w:rsidP="0BA7A2BA">
      <w:pPr>
        <w:rPr>
          <w:rFonts w:ascii="Calibri" w:eastAsia="Calibri" w:hAnsi="Calibri" w:cs="Calibri"/>
          <w:color w:val="000000" w:themeColor="text1"/>
          <w:sz w:val="28"/>
          <w:szCs w:val="28"/>
        </w:rPr>
      </w:pPr>
    </w:p>
    <w:p w14:paraId="649116A2" w14:textId="5688F2CB" w:rsidR="0BA7A2BA" w:rsidRDefault="0BA7A2BA" w:rsidP="0BA7A2BA">
      <w:pPr>
        <w:rPr>
          <w:rFonts w:ascii="Calibri" w:eastAsia="Calibri" w:hAnsi="Calibri" w:cs="Calibri"/>
          <w:color w:val="000000" w:themeColor="text1"/>
          <w:sz w:val="28"/>
          <w:szCs w:val="28"/>
        </w:rPr>
      </w:pPr>
    </w:p>
    <w:p w14:paraId="0BADAC86" w14:textId="37E9EC30" w:rsidR="0BA7A2BA" w:rsidRDefault="0BA7A2BA" w:rsidP="0BA7A2BA">
      <w:pPr>
        <w:rPr>
          <w:rFonts w:ascii="Calibri" w:eastAsia="Calibri" w:hAnsi="Calibri" w:cs="Calibri"/>
          <w:color w:val="000000" w:themeColor="text1"/>
          <w:sz w:val="28"/>
          <w:szCs w:val="28"/>
        </w:rPr>
      </w:pPr>
    </w:p>
    <w:p w14:paraId="79D35F8A" w14:textId="48F2E4F9" w:rsidR="5541FED4" w:rsidRDefault="5541FED4" w:rsidP="5541FED4">
      <w:pPr>
        <w:rPr>
          <w:rFonts w:ascii="Calibri" w:eastAsia="Calibri" w:hAnsi="Calibri" w:cs="Calibri"/>
          <w:color w:val="000000" w:themeColor="text1"/>
          <w:sz w:val="28"/>
          <w:szCs w:val="28"/>
        </w:rPr>
      </w:pPr>
    </w:p>
    <w:p w14:paraId="560D111B" w14:textId="12F19309" w:rsidR="5541FED4" w:rsidRDefault="5541FED4" w:rsidP="5541FED4">
      <w:pPr>
        <w:rPr>
          <w:rFonts w:ascii="Calibri" w:eastAsia="Calibri" w:hAnsi="Calibri" w:cs="Calibri"/>
          <w:color w:val="000000" w:themeColor="text1"/>
          <w:sz w:val="28"/>
          <w:szCs w:val="28"/>
        </w:rPr>
      </w:pPr>
    </w:p>
    <w:p w14:paraId="07BB4EA0" w14:textId="0650A6CF" w:rsidR="0825E7E1" w:rsidRDefault="0825E7E1" w:rsidP="0825E7E1">
      <w:pPr>
        <w:rPr>
          <w:rFonts w:ascii="Calibri" w:eastAsia="Calibri" w:hAnsi="Calibri" w:cs="Calibri"/>
          <w:color w:val="000000" w:themeColor="text1"/>
          <w:sz w:val="28"/>
          <w:szCs w:val="28"/>
        </w:rPr>
      </w:pPr>
    </w:p>
    <w:p w14:paraId="7AFD7861" w14:textId="3ACBC4D0" w:rsidR="758C50B7" w:rsidRDefault="758C50B7" w:rsidP="758C50B7">
      <w:pPr>
        <w:rPr>
          <w:rFonts w:ascii="Calibri" w:eastAsia="Calibri" w:hAnsi="Calibri" w:cs="Calibri"/>
          <w:color w:val="000000" w:themeColor="text1"/>
          <w:sz w:val="28"/>
          <w:szCs w:val="28"/>
        </w:rPr>
      </w:pPr>
    </w:p>
    <w:p w14:paraId="2008BF10" w14:textId="40B72D31"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1. Introduction</w:t>
      </w:r>
    </w:p>
    <w:p w14:paraId="0A968EB9"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This report focuses on the role of a Social Care Counsellor, a key position within the health and social care sector that supports individuals, families and communities facing emotional, social or practical challenges. It outlines core duties, explains three essential skills required for effective practice, and describes targeted strategies to develop these skills further. The discussion draws on professional standards and guidance relevant to UK social care settings.</w:t>
      </w:r>
    </w:p>
    <w:p w14:paraId="7FDD6785" w14:textId="4907402B" w:rsidR="2F973D5A" w:rsidRDefault="2F973D5A" w:rsidP="2F973D5A">
      <w:pPr>
        <w:rPr>
          <w:rFonts w:ascii="Calibri" w:eastAsia="Calibri" w:hAnsi="Calibri" w:cs="Calibri"/>
          <w:color w:val="000000" w:themeColor="text1"/>
          <w:sz w:val="28"/>
          <w:szCs w:val="28"/>
        </w:rPr>
      </w:pPr>
    </w:p>
    <w:p w14:paraId="649E8614" w14:textId="2819F0FD"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2. Role, Duties and Responsibilities of a Social Care Counsellor</w:t>
      </w:r>
    </w:p>
    <w:p w14:paraId="308A8AED"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A Social Care Counsellor works with people across all ages and backgrounds, helping them address difficulties such as bereavement, relationship breakdown, mental health struggles, addiction, disability adjustment or safeguarding concerns. Unlike clinical psychologists, they focus on holistic, person-centred support that links emotional wellbeing with practical life circumstances, often working alongside social workers, healthcare teams and community services.</w:t>
      </w:r>
    </w:p>
    <w:p w14:paraId="4E0081E2" w14:textId="77777777" w:rsidR="001752A3" w:rsidRPr="001752A3" w:rsidRDefault="001752A3" w:rsidP="001752A3">
      <w:pPr>
        <w:rPr>
          <w:rFonts w:ascii="Calibri" w:eastAsia="Calibri" w:hAnsi="Calibri" w:cs="Calibri"/>
          <w:color w:val="000000" w:themeColor="text1"/>
          <w:sz w:val="28"/>
          <w:szCs w:val="28"/>
        </w:rPr>
      </w:pPr>
    </w:p>
    <w:p w14:paraId="49E3F178" w14:textId="0B6279C9"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Key duties and responsibilities include:</w:t>
      </w:r>
    </w:p>
    <w:p w14:paraId="248C313B" w14:textId="465F954E"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 Assessing needs: Conduct initial and ongoing assessments to understand a person’s situation, strengths, risks and support goals. For example, meeting with a young person leaving care to identify anxiety about independent living and housing uncertainty.</w:t>
      </w:r>
    </w:p>
    <w:p w14:paraId="314971C3"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 Providing one-to-one and group support: Deliver structured counselling sessions using evidence-based approaches such as person-centred therapy or cognitive behavioural principles. This may include supporting families affected by domestic abuse to rebuild trust and communication.</w:t>
      </w:r>
    </w:p>
    <w:p w14:paraId="699E0AB2" w14:textId="77777777" w:rsidR="001752A3" w:rsidRPr="001752A3" w:rsidRDefault="001752A3" w:rsidP="001752A3">
      <w:pPr>
        <w:rPr>
          <w:rFonts w:ascii="Calibri" w:eastAsia="Calibri" w:hAnsi="Calibri" w:cs="Calibri"/>
          <w:color w:val="000000" w:themeColor="text1"/>
          <w:sz w:val="28"/>
          <w:szCs w:val="28"/>
        </w:rPr>
      </w:pPr>
    </w:p>
    <w:p w14:paraId="6C2D111A" w14:textId="5DE64AE2"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 Developing support plans: Co-create action plans with service users, setting realistic goals such as building confidence to attend appointments or managing stress.</w:t>
      </w:r>
    </w:p>
    <w:p w14:paraId="56027E61" w14:textId="714CD26D"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 Advocacy and signposting: Speak up for service users’ rights or direct them to specialist services like housing advice, mental health teams or financial support. For instance, helping an older adult access community transport or care services.</w:t>
      </w:r>
    </w:p>
    <w:p w14:paraId="66480F15" w14:textId="7B528B49"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 Record keeping and compliance: Maintain accurate, confidential records in line with GDPR and professional standards, ensuring all interactions are documented appropriately.</w:t>
      </w:r>
    </w:p>
    <w:p w14:paraId="75777DC7"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 Safeguarding: Identify and report concerns about harm or neglect, following local authority procedures to protect vulnerable people.</w:t>
      </w:r>
    </w:p>
    <w:p w14:paraId="5D511DD2" w14:textId="3ECEC5D4" w:rsidR="53125EAD" w:rsidRDefault="53125EAD" w:rsidP="53125EAD">
      <w:pPr>
        <w:rPr>
          <w:rFonts w:ascii="Calibri" w:eastAsia="Calibri" w:hAnsi="Calibri" w:cs="Calibri"/>
          <w:color w:val="000000" w:themeColor="text1"/>
          <w:sz w:val="28"/>
          <w:szCs w:val="28"/>
        </w:rPr>
      </w:pPr>
    </w:p>
    <w:p w14:paraId="0B307AA9" w14:textId="115CA73F"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3. Essential Skills for the Role</w:t>
      </w:r>
    </w:p>
    <w:p w14:paraId="5DDE666E"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Three skills are fundamental to performing this role effectively: active listening and communication, empathy and emotional resilience, and ethical decision-making.</w:t>
      </w:r>
    </w:p>
    <w:p w14:paraId="380C7D47" w14:textId="77777777" w:rsidR="001752A3" w:rsidRPr="001752A3" w:rsidRDefault="001752A3" w:rsidP="001752A3">
      <w:pPr>
        <w:rPr>
          <w:rFonts w:ascii="Calibri" w:eastAsia="Calibri" w:hAnsi="Calibri" w:cs="Calibri"/>
          <w:color w:val="000000" w:themeColor="text1"/>
          <w:sz w:val="28"/>
          <w:szCs w:val="28"/>
        </w:rPr>
      </w:pPr>
    </w:p>
    <w:p w14:paraId="69B4E4A7" w14:textId="63BE1AFB"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Active Listening and Communication</w:t>
      </w:r>
    </w:p>
    <w:p w14:paraId="5BB4DB8B" w14:textId="1865072D"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 xml:space="preserve">This </w:t>
      </w:r>
      <w:r w:rsidRPr="579588E3">
        <w:rPr>
          <w:rFonts w:ascii="Calibri" w:eastAsia="Calibri" w:hAnsi="Calibri" w:cs="Calibri"/>
          <w:color w:val="000000" w:themeColor="text1"/>
          <w:sz w:val="28"/>
          <w:szCs w:val="28"/>
        </w:rPr>
        <w:t>me</w:t>
      </w:r>
      <w:r w:rsidR="0565C43F" w:rsidRPr="579588E3">
        <w:rPr>
          <w:rFonts w:ascii="Calibri" w:eastAsia="Calibri" w:hAnsi="Calibri" w:cs="Calibri"/>
          <w:color w:val="000000" w:themeColor="text1"/>
          <w:sz w:val="28"/>
          <w:szCs w:val="28"/>
        </w:rPr>
        <w:t>a</w:t>
      </w:r>
      <w:r w:rsidRPr="579588E3">
        <w:rPr>
          <w:rFonts w:ascii="Calibri" w:eastAsia="Calibri" w:hAnsi="Calibri" w:cs="Calibri"/>
          <w:color w:val="000000" w:themeColor="text1"/>
          <w:sz w:val="28"/>
          <w:szCs w:val="28"/>
        </w:rPr>
        <w:t>ns</w:t>
      </w:r>
      <w:r w:rsidRPr="27AE18B1">
        <w:rPr>
          <w:rFonts w:ascii="Calibri" w:eastAsia="Calibri" w:hAnsi="Calibri" w:cs="Calibri"/>
          <w:color w:val="000000" w:themeColor="text1"/>
          <w:sz w:val="28"/>
          <w:szCs w:val="28"/>
        </w:rPr>
        <w:t xml:space="preserve"> not only hearing what is said but understanding feelings, tone and unspoken needs, while adapting language to suit age, culture or communication preferences. For example, using visual aids or simple wording when supporting someone with learning difficulties, or using an interpreter for non-English speakers. It also includes clear written communication for reports and case notes. This skill is essential because service users must feel heard and understood to build trust; without it, important information may be missed, and support will not meet their actual needs.</w:t>
      </w:r>
    </w:p>
    <w:p w14:paraId="44574D85" w14:textId="77777777" w:rsidR="001752A3" w:rsidRPr="001752A3" w:rsidRDefault="001752A3" w:rsidP="001752A3">
      <w:pPr>
        <w:rPr>
          <w:rFonts w:ascii="Calibri" w:eastAsia="Calibri" w:hAnsi="Calibri" w:cs="Calibri"/>
          <w:color w:val="000000" w:themeColor="text1"/>
          <w:sz w:val="28"/>
          <w:szCs w:val="28"/>
        </w:rPr>
      </w:pPr>
    </w:p>
    <w:p w14:paraId="002AA9BB" w14:textId="2E8FA6E2" w:rsidR="7813E7C7" w:rsidRDefault="7813E7C7" w:rsidP="7813E7C7">
      <w:pPr>
        <w:rPr>
          <w:rFonts w:ascii="Calibri" w:eastAsia="Calibri" w:hAnsi="Calibri" w:cs="Calibri"/>
          <w:color w:val="000000" w:themeColor="text1"/>
          <w:sz w:val="28"/>
          <w:szCs w:val="28"/>
        </w:rPr>
      </w:pPr>
    </w:p>
    <w:p w14:paraId="3EB1790C" w14:textId="55364929" w:rsidR="14653452" w:rsidRDefault="14653452" w:rsidP="14653452">
      <w:pPr>
        <w:rPr>
          <w:rFonts w:ascii="Calibri" w:eastAsia="Calibri" w:hAnsi="Calibri" w:cs="Calibri"/>
          <w:color w:val="000000" w:themeColor="text1"/>
          <w:sz w:val="28"/>
          <w:szCs w:val="28"/>
        </w:rPr>
      </w:pPr>
    </w:p>
    <w:p w14:paraId="632F8BC7" w14:textId="560480EB" w:rsidR="001752A3" w:rsidRPr="001752A3" w:rsidRDefault="001752A3" w:rsidP="001752A3">
      <w:pPr>
        <w:rPr>
          <w:rFonts w:ascii="Calibri" w:eastAsia="Calibri" w:hAnsi="Calibri" w:cs="Calibri"/>
          <w:color w:val="000000" w:themeColor="text1"/>
          <w:sz w:val="28"/>
          <w:szCs w:val="28"/>
          <w:highlight w:val="yellow"/>
        </w:rPr>
      </w:pPr>
      <w:r w:rsidRPr="2B490643">
        <w:rPr>
          <w:rFonts w:ascii="Calibri" w:eastAsia="Calibri" w:hAnsi="Calibri" w:cs="Calibri"/>
          <w:color w:val="000000" w:themeColor="text1"/>
          <w:sz w:val="28"/>
          <w:szCs w:val="28"/>
          <w:highlight w:val="yellow"/>
        </w:rPr>
        <w:t>Empathy and Emotional Resilience</w:t>
      </w:r>
    </w:p>
    <w:p w14:paraId="32124A14"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Empathy involves understanding another person’s experience without judgement, while resilience means managing personal feelings to stay effective when supporting people in distressing situations. For example, supporting a family through the loss of a loved one requires showing compassion while maintaining professional boundaries. This skill is vital because counsellors work with high levels of trauma and difficulty; empathy builds connection, while resilience prevents burnout and ensures consistent, reliable support.</w:t>
      </w:r>
    </w:p>
    <w:p w14:paraId="02B0B39E" w14:textId="77777777" w:rsidR="001752A3" w:rsidRPr="001752A3" w:rsidRDefault="001752A3" w:rsidP="001752A3">
      <w:pPr>
        <w:rPr>
          <w:rFonts w:ascii="Calibri" w:eastAsia="Calibri" w:hAnsi="Calibri" w:cs="Calibri"/>
          <w:color w:val="000000" w:themeColor="text1"/>
          <w:sz w:val="28"/>
          <w:szCs w:val="28"/>
          <w:highlight w:val="yellow"/>
        </w:rPr>
      </w:pPr>
    </w:p>
    <w:p w14:paraId="795E0702" w14:textId="22FE5541" w:rsidR="001752A3" w:rsidRPr="001752A3" w:rsidRDefault="001752A3" w:rsidP="001752A3">
      <w:pPr>
        <w:rPr>
          <w:rFonts w:ascii="Calibri" w:eastAsia="Calibri" w:hAnsi="Calibri" w:cs="Calibri"/>
          <w:color w:val="000000" w:themeColor="text1"/>
          <w:sz w:val="28"/>
          <w:szCs w:val="28"/>
          <w:highlight w:val="yellow"/>
        </w:rPr>
      </w:pPr>
      <w:r w:rsidRPr="01040E73">
        <w:rPr>
          <w:rFonts w:ascii="Calibri" w:eastAsia="Calibri" w:hAnsi="Calibri" w:cs="Calibri"/>
          <w:color w:val="000000" w:themeColor="text1"/>
          <w:sz w:val="28"/>
          <w:szCs w:val="28"/>
          <w:highlight w:val="yellow"/>
        </w:rPr>
        <w:t>Ethical Decision-Making</w:t>
      </w:r>
    </w:p>
    <w:p w14:paraId="273FBDDB"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This involves applying professional codes of practice, legal requirements and moral values to complex situations, balancing the rights, safety and wellbeing of service users. For example, deciding whether to share information when a service user discusses self-harm, weighing their right to confidentiality against their immediate safety. This skill is essential to protect service users, uphold professional integrity, and ensure practice complies with laws such as the Data Protection Act 2018 and the Care Act 2014.</w:t>
      </w:r>
    </w:p>
    <w:p w14:paraId="2BC624C7" w14:textId="4E114306" w:rsidR="2AB9D542" w:rsidRDefault="2AB9D542" w:rsidP="2AB9D542">
      <w:pPr>
        <w:rPr>
          <w:rFonts w:ascii="Calibri" w:eastAsia="Calibri" w:hAnsi="Calibri" w:cs="Calibri"/>
          <w:color w:val="000000" w:themeColor="text1"/>
          <w:sz w:val="28"/>
          <w:szCs w:val="28"/>
        </w:rPr>
      </w:pPr>
    </w:p>
    <w:p w14:paraId="223CBAAA" w14:textId="15485EC2"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4. Strategies for Skill Development</w:t>
      </w:r>
    </w:p>
    <w:p w14:paraId="20BBE5CC" w14:textId="107B07BE"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Three targeted strategies are outlined for each skill:</w:t>
      </w:r>
    </w:p>
    <w:p w14:paraId="2F578BA5" w14:textId="491C30CE"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Improving Active Listening and Communication</w:t>
      </w:r>
    </w:p>
    <w:p w14:paraId="0BE7AC63" w14:textId="6B28BE25"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1. Attend specialist training: Complete accredited courses in counselling communication skills or supporting people with communication barriers. This builds practical techniques such as reflecting back feelings, asking open questions, and recognising non-verbal cues.</w:t>
      </w:r>
    </w:p>
    <w:p w14:paraId="51CD043E"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2. Seek structured feedback: Ask supervisors or experienced colleagues to observe sessions and provide specific feedback on listening habits, tone and clarity of expression. This highlights areas for improvement that self-reflection may miss.</w:t>
      </w:r>
    </w:p>
    <w:p w14:paraId="412893CB" w14:textId="77777777" w:rsidR="001752A3" w:rsidRPr="001752A3" w:rsidRDefault="001752A3" w:rsidP="001752A3">
      <w:pPr>
        <w:rPr>
          <w:rFonts w:ascii="Calibri" w:eastAsia="Calibri" w:hAnsi="Calibri" w:cs="Calibri"/>
          <w:color w:val="000000" w:themeColor="text1"/>
          <w:sz w:val="28"/>
          <w:szCs w:val="28"/>
        </w:rPr>
      </w:pPr>
    </w:p>
    <w:p w14:paraId="4CBAA158"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3. Practice reflective journaling: After sessions, note moments where communication was effective or challenging, and consider how phrasing or body language could be adjusted next time. This builds ongoing awareness and improvement.</w:t>
      </w:r>
    </w:p>
    <w:p w14:paraId="2ECC9B90" w14:textId="77777777" w:rsidR="001752A3" w:rsidRPr="001752A3" w:rsidRDefault="001752A3" w:rsidP="001752A3">
      <w:pPr>
        <w:rPr>
          <w:rFonts w:ascii="Calibri" w:eastAsia="Calibri" w:hAnsi="Calibri" w:cs="Calibri"/>
          <w:color w:val="000000" w:themeColor="text1"/>
          <w:sz w:val="28"/>
          <w:szCs w:val="28"/>
        </w:rPr>
      </w:pPr>
    </w:p>
    <w:p w14:paraId="0592CC1E" w14:textId="01D5C3D3"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Developing Empathy and Emotional Resilience</w:t>
      </w:r>
    </w:p>
    <w:p w14:paraId="74F4AFE7" w14:textId="1F151ACB"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1. Access reflective supervision: Regular one-to-one sessions with a qualified supervisor to discuss difficult cases, process feelings and maintain professional boundaries. This provides a safe space to reflect without compromising service user care.</w:t>
      </w:r>
    </w:p>
    <w:p w14:paraId="16534D53" w14:textId="0548229E"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2. Complete self-care and wellbeing training: Learn practical strategies such as mindfulness, stress management and setting personal limits. This builds long-term resilience and prevents emotional exhaustion.</w:t>
      </w:r>
    </w:p>
    <w:p w14:paraId="14CA18F6"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3. Study lived experience perspectives: Read accounts, join discussion groups or attend events led by people who have received support. This deepens understanding of diverse experiences and strengthens genuine empathy.</w:t>
      </w:r>
    </w:p>
    <w:p w14:paraId="282C4480" w14:textId="77777777" w:rsidR="001752A3" w:rsidRPr="001752A3" w:rsidRDefault="001752A3" w:rsidP="001752A3">
      <w:pPr>
        <w:rPr>
          <w:rFonts w:ascii="Calibri" w:eastAsia="Calibri" w:hAnsi="Calibri" w:cs="Calibri"/>
          <w:color w:val="000000" w:themeColor="text1"/>
          <w:sz w:val="28"/>
          <w:szCs w:val="28"/>
        </w:rPr>
      </w:pPr>
    </w:p>
    <w:p w14:paraId="279538D0" w14:textId="1DAA2512" w:rsidR="001752A3" w:rsidRPr="001752A3" w:rsidRDefault="001752A3" w:rsidP="001752A3">
      <w:pPr>
        <w:rPr>
          <w:rFonts w:ascii="Calibri" w:eastAsia="Calibri" w:hAnsi="Calibri" w:cs="Calibri"/>
          <w:color w:val="000000" w:themeColor="text1"/>
          <w:sz w:val="28"/>
          <w:szCs w:val="28"/>
          <w:highlight w:val="yellow"/>
        </w:rPr>
      </w:pPr>
      <w:r w:rsidRPr="7676F0E0">
        <w:rPr>
          <w:rFonts w:ascii="Calibri" w:eastAsia="Calibri" w:hAnsi="Calibri" w:cs="Calibri"/>
          <w:color w:val="000000" w:themeColor="text1"/>
          <w:sz w:val="28"/>
          <w:szCs w:val="28"/>
          <w:highlight w:val="yellow"/>
        </w:rPr>
        <w:t>Strengthening Ethical Decision-Making</w:t>
      </w:r>
    </w:p>
    <w:p w14:paraId="0459E3A5" w14:textId="76703E70"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1. Review professional codes and guidance: Regularly study standards from the British Association for Counselling and Psychotherapy (BACP) and relevant UK legislation. This builds knowledge of legal and ethical expectations.</w:t>
      </w:r>
    </w:p>
    <w:p w14:paraId="28DA1C62" w14:textId="6ED3520A"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2. Participate in case study discussions: Work through complex ethical scenarios with peers or supervisors, exploring different viewpoints and justifying decisions against professional frameworks.</w:t>
      </w:r>
    </w:p>
    <w:p w14:paraId="527FA195"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3. Consult guidance protocols: When facing uncertainty, refer to organisational policies or contact professional bodies for advice. This develops the habit of seeking support rather than acting alone, ensuring decisions are safe and accountable.</w:t>
      </w:r>
    </w:p>
    <w:p w14:paraId="4170B647" w14:textId="7DA0A80D" w:rsidR="735651ED" w:rsidRDefault="735651ED" w:rsidP="735651ED">
      <w:pPr>
        <w:rPr>
          <w:rFonts w:ascii="Calibri" w:eastAsia="Calibri" w:hAnsi="Calibri" w:cs="Calibri"/>
          <w:color w:val="000000" w:themeColor="text1"/>
          <w:sz w:val="28"/>
          <w:szCs w:val="28"/>
        </w:rPr>
      </w:pPr>
    </w:p>
    <w:p w14:paraId="48B81216" w14:textId="6BF8DAF9" w:rsidR="735651ED" w:rsidRDefault="735651ED" w:rsidP="735651ED">
      <w:pPr>
        <w:rPr>
          <w:rFonts w:ascii="Calibri" w:eastAsia="Calibri" w:hAnsi="Calibri" w:cs="Calibri"/>
          <w:color w:val="000000" w:themeColor="text1"/>
          <w:sz w:val="28"/>
          <w:szCs w:val="28"/>
        </w:rPr>
      </w:pPr>
    </w:p>
    <w:p w14:paraId="5CFBAFE1" w14:textId="65129FAB" w:rsidR="376FDFB6" w:rsidRDefault="376FDFB6" w:rsidP="376FDFB6">
      <w:pPr>
        <w:rPr>
          <w:rFonts w:ascii="Calibri" w:eastAsia="Calibri" w:hAnsi="Calibri" w:cs="Calibri"/>
          <w:color w:val="000000" w:themeColor="text1"/>
          <w:sz w:val="28"/>
          <w:szCs w:val="28"/>
        </w:rPr>
      </w:pPr>
    </w:p>
    <w:p w14:paraId="5279D292" w14:textId="102E12E2"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5. Conclusion</w:t>
      </w:r>
    </w:p>
    <w:p w14:paraId="26900913"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The Social Care Counsellor plays a vital role in supporting people to overcome challenges, build resilience and improve their quality of life. Success in this role depends on strong active listening and communication, empathy paired with emotional resilience, and sound ethical decision-making. By applying targeted strategies such as training, supervision and reflective practice, individuals can develop these skills to deliver high-quality, person-centred care that meets professional standards and supports the rights and wellbeing of all service users.</w:t>
      </w:r>
    </w:p>
    <w:p w14:paraId="1B64E48B" w14:textId="5D669B07" w:rsidR="10D81C34" w:rsidRDefault="10D81C34" w:rsidP="10D81C34">
      <w:pPr>
        <w:rPr>
          <w:rFonts w:ascii="Calibri" w:eastAsia="Calibri" w:hAnsi="Calibri" w:cs="Calibri"/>
          <w:color w:val="000000" w:themeColor="text1"/>
          <w:sz w:val="28"/>
          <w:szCs w:val="28"/>
        </w:rPr>
      </w:pPr>
    </w:p>
    <w:p w14:paraId="18C8A86A" w14:textId="08611039"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6. Reference List (Harvard Style)</w:t>
      </w:r>
    </w:p>
    <w:p w14:paraId="25B0CDED" w14:textId="76EB89C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1. British Association for Counselling and Psychotherapy (BACP) (2022) Ethical framework for the counselling professions. Lutterworth: BACP.</w:t>
      </w:r>
      <w:r w:rsidR="50BE9405" w:rsidRPr="7072DF35">
        <w:rPr>
          <w:rFonts w:ascii="Calibri" w:eastAsia="Calibri" w:hAnsi="Calibri" w:cs="Calibri"/>
          <w:color w:val="000000" w:themeColor="text1"/>
          <w:sz w:val="28"/>
          <w:szCs w:val="28"/>
        </w:rPr>
        <w:t xml:space="preserve"> </w:t>
      </w:r>
      <w:r w:rsidR="50BE9405" w:rsidRPr="37C5B371">
        <w:rPr>
          <w:rFonts w:ascii="Calibri" w:eastAsia="Calibri" w:hAnsi="Calibri" w:cs="Calibri"/>
          <w:color w:val="000000" w:themeColor="text1"/>
          <w:sz w:val="28"/>
          <w:szCs w:val="28"/>
        </w:rPr>
        <w:t>(Accessed: 16 July 2026)</w:t>
      </w:r>
    </w:p>
    <w:p w14:paraId="3895AB12" w14:textId="3BF0ECD9"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2. Department of Health and Social Care (2014) Care Act 2014: guidance. London: The Stationery Office.</w:t>
      </w:r>
      <w:r w:rsidR="48D36BAC" w:rsidRPr="5F2A6DA1">
        <w:rPr>
          <w:rFonts w:ascii="Calibri" w:eastAsia="Calibri" w:hAnsi="Calibri" w:cs="Calibri"/>
          <w:color w:val="000000" w:themeColor="text1"/>
          <w:sz w:val="28"/>
          <w:szCs w:val="28"/>
        </w:rPr>
        <w:t xml:space="preserve"> (Accessed: 16 July 2026)</w:t>
      </w:r>
    </w:p>
    <w:p w14:paraId="40AD3583" w14:textId="5D5E9B85"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3. Health and Care Professions Council (HCPC) (2023) Standards of proficiency for social workers in England. London: HCPC.</w:t>
      </w:r>
      <w:r w:rsidR="2758197F" w:rsidRPr="7B9405E6">
        <w:rPr>
          <w:rFonts w:ascii="Calibri" w:eastAsia="Calibri" w:hAnsi="Calibri" w:cs="Calibri"/>
          <w:color w:val="000000" w:themeColor="text1"/>
          <w:sz w:val="28"/>
          <w:szCs w:val="28"/>
        </w:rPr>
        <w:t xml:space="preserve"> (Accessed: 16 July 2026)</w:t>
      </w:r>
    </w:p>
    <w:p w14:paraId="7D3A0363" w14:textId="05B4FBD8"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4. NHS Employers (2022) Role profile: Counsellor in health and social care. London: NHS Confederation. Available at: https://www.nhsemployers.org/ (Accessed: 16 July 2026).</w:t>
      </w:r>
    </w:p>
    <w:p w14:paraId="35A0DA70" w14:textId="77777777" w:rsidR="001752A3" w:rsidRPr="001752A3" w:rsidRDefault="001752A3" w:rsidP="001752A3">
      <w:pPr>
        <w:rPr>
          <w:rFonts w:ascii="Calibri" w:eastAsia="Calibri" w:hAnsi="Calibri" w:cs="Calibri"/>
          <w:color w:val="000000" w:themeColor="text1"/>
          <w:sz w:val="28"/>
          <w:szCs w:val="28"/>
        </w:rPr>
      </w:pPr>
      <w:r w:rsidRPr="27AE18B1">
        <w:rPr>
          <w:rFonts w:ascii="Calibri" w:eastAsia="Calibri" w:hAnsi="Calibri" w:cs="Calibri"/>
          <w:color w:val="000000" w:themeColor="text1"/>
          <w:sz w:val="28"/>
          <w:szCs w:val="28"/>
        </w:rPr>
        <w:t>5. Social Care Institute for Excellence (SCIE) (2023) Person-centred practice in social care. London: SCIE. Available at: https://www.scie.org.uk/ (Accessed: 16 July 2026).</w:t>
      </w:r>
    </w:p>
    <w:p w14:paraId="78F991EF" w14:textId="4DBE9457" w:rsidR="33CE6EB0" w:rsidRDefault="33CE6EB0"/>
    <w:p w14:paraId="01F31D00" w14:textId="4C001FDD" w:rsidR="33CE6EB0" w:rsidRDefault="33CE6EB0"/>
    <w:p w14:paraId="1DC69404" w14:textId="1E236734" w:rsidR="33CE6EB0" w:rsidRDefault="33CE6EB0"/>
    <w:p w14:paraId="6A4B85F7" w14:textId="2676F2CB" w:rsidR="33CE6EB0" w:rsidRDefault="33CE6EB0"/>
    <w:p w14:paraId="1F3322DE" w14:textId="6ABB123F" w:rsidR="33CE6EB0" w:rsidRDefault="33CE6EB0"/>
    <w:p w14:paraId="50663EBE" w14:textId="78D90FF2" w:rsidR="33CE6EB0" w:rsidRDefault="33CE6EB0"/>
    <w:p w14:paraId="02467B75" w14:textId="60287363" w:rsidR="33CE6EB0" w:rsidRDefault="33CE6EB0"/>
    <w:p w14:paraId="734C6E53" w14:textId="1186A791" w:rsidR="33CE6EB0" w:rsidRDefault="33CE6EB0" w:rsidP="33CE6EB0"/>
    <w:sectPr w:rsidR="33CE6E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DBE"/>
    <w:rsid w:val="000018BB"/>
    <w:rsid w:val="000225AB"/>
    <w:rsid w:val="00032E53"/>
    <w:rsid w:val="000A327E"/>
    <w:rsid w:val="000A6496"/>
    <w:rsid w:val="000B27CF"/>
    <w:rsid w:val="000E10A5"/>
    <w:rsid w:val="000F5365"/>
    <w:rsid w:val="001216E8"/>
    <w:rsid w:val="00143418"/>
    <w:rsid w:val="00167A11"/>
    <w:rsid w:val="001752A3"/>
    <w:rsid w:val="002F5574"/>
    <w:rsid w:val="003318CC"/>
    <w:rsid w:val="003645AD"/>
    <w:rsid w:val="003765EF"/>
    <w:rsid w:val="00376D99"/>
    <w:rsid w:val="003E05D1"/>
    <w:rsid w:val="004328D0"/>
    <w:rsid w:val="00434223"/>
    <w:rsid w:val="004C1E10"/>
    <w:rsid w:val="00530B2F"/>
    <w:rsid w:val="00564226"/>
    <w:rsid w:val="0056655A"/>
    <w:rsid w:val="0058514C"/>
    <w:rsid w:val="005E7DBE"/>
    <w:rsid w:val="005F22F5"/>
    <w:rsid w:val="005F2B54"/>
    <w:rsid w:val="005F7A9C"/>
    <w:rsid w:val="006631C8"/>
    <w:rsid w:val="00694200"/>
    <w:rsid w:val="006D1D89"/>
    <w:rsid w:val="006F02E4"/>
    <w:rsid w:val="006F409F"/>
    <w:rsid w:val="006F4C11"/>
    <w:rsid w:val="00712535"/>
    <w:rsid w:val="00734E9E"/>
    <w:rsid w:val="007F44C2"/>
    <w:rsid w:val="008217B1"/>
    <w:rsid w:val="008366C4"/>
    <w:rsid w:val="00837FBC"/>
    <w:rsid w:val="00840194"/>
    <w:rsid w:val="00840F56"/>
    <w:rsid w:val="0084476F"/>
    <w:rsid w:val="008B4EAB"/>
    <w:rsid w:val="008C4953"/>
    <w:rsid w:val="008E29CD"/>
    <w:rsid w:val="009051A7"/>
    <w:rsid w:val="0091738E"/>
    <w:rsid w:val="009256DE"/>
    <w:rsid w:val="00934252"/>
    <w:rsid w:val="00944849"/>
    <w:rsid w:val="009509BE"/>
    <w:rsid w:val="009D306B"/>
    <w:rsid w:val="009D5E29"/>
    <w:rsid w:val="009D71B8"/>
    <w:rsid w:val="009E65EB"/>
    <w:rsid w:val="00A159E3"/>
    <w:rsid w:val="00AF50B8"/>
    <w:rsid w:val="00B0446D"/>
    <w:rsid w:val="00B21215"/>
    <w:rsid w:val="00B86E15"/>
    <w:rsid w:val="00C00996"/>
    <w:rsid w:val="00C41CF7"/>
    <w:rsid w:val="00C567A1"/>
    <w:rsid w:val="00C87D78"/>
    <w:rsid w:val="00CB2E23"/>
    <w:rsid w:val="00CD18C4"/>
    <w:rsid w:val="00CD1B5A"/>
    <w:rsid w:val="00DA19FA"/>
    <w:rsid w:val="00DD4DD9"/>
    <w:rsid w:val="00DD5162"/>
    <w:rsid w:val="00E016E7"/>
    <w:rsid w:val="00E647A2"/>
    <w:rsid w:val="00EA798F"/>
    <w:rsid w:val="00EB1000"/>
    <w:rsid w:val="00EE1DC3"/>
    <w:rsid w:val="00F27ADB"/>
    <w:rsid w:val="00F330F6"/>
    <w:rsid w:val="00F476AA"/>
    <w:rsid w:val="00F61139"/>
    <w:rsid w:val="00FB3EED"/>
    <w:rsid w:val="01040E73"/>
    <w:rsid w:val="023F6F1A"/>
    <w:rsid w:val="03588776"/>
    <w:rsid w:val="0565C43F"/>
    <w:rsid w:val="05B1FCD9"/>
    <w:rsid w:val="062D457A"/>
    <w:rsid w:val="0825E7E1"/>
    <w:rsid w:val="0A907157"/>
    <w:rsid w:val="0B107A26"/>
    <w:rsid w:val="0BA7A2BA"/>
    <w:rsid w:val="0C95BB0E"/>
    <w:rsid w:val="0D8FED07"/>
    <w:rsid w:val="10AF0790"/>
    <w:rsid w:val="10D81C34"/>
    <w:rsid w:val="12AF10CF"/>
    <w:rsid w:val="12D73F5A"/>
    <w:rsid w:val="13B21243"/>
    <w:rsid w:val="14653452"/>
    <w:rsid w:val="172D8B57"/>
    <w:rsid w:val="185FCD8F"/>
    <w:rsid w:val="19B1C5DF"/>
    <w:rsid w:val="1B18D381"/>
    <w:rsid w:val="1EBD68FE"/>
    <w:rsid w:val="2295CA78"/>
    <w:rsid w:val="2457F4FF"/>
    <w:rsid w:val="2650CFBE"/>
    <w:rsid w:val="2659D119"/>
    <w:rsid w:val="2758197F"/>
    <w:rsid w:val="27AE18B1"/>
    <w:rsid w:val="28F35A4E"/>
    <w:rsid w:val="2AB9D542"/>
    <w:rsid w:val="2B490643"/>
    <w:rsid w:val="2C2A652A"/>
    <w:rsid w:val="2F973D5A"/>
    <w:rsid w:val="2FB02078"/>
    <w:rsid w:val="32A5A15E"/>
    <w:rsid w:val="3310E334"/>
    <w:rsid w:val="33CE6EB0"/>
    <w:rsid w:val="35003A93"/>
    <w:rsid w:val="3525FB82"/>
    <w:rsid w:val="3630F4CA"/>
    <w:rsid w:val="376FDFB6"/>
    <w:rsid w:val="37C5B371"/>
    <w:rsid w:val="3BD6AAFB"/>
    <w:rsid w:val="3C7E05D1"/>
    <w:rsid w:val="40F32EF0"/>
    <w:rsid w:val="41758599"/>
    <w:rsid w:val="44842344"/>
    <w:rsid w:val="469D5637"/>
    <w:rsid w:val="470D8667"/>
    <w:rsid w:val="47A4BC68"/>
    <w:rsid w:val="48D36BAC"/>
    <w:rsid w:val="4A99911F"/>
    <w:rsid w:val="4DB3B524"/>
    <w:rsid w:val="4EE459C0"/>
    <w:rsid w:val="4F274804"/>
    <w:rsid w:val="4FF98A80"/>
    <w:rsid w:val="50BE9405"/>
    <w:rsid w:val="50D2C624"/>
    <w:rsid w:val="512ED313"/>
    <w:rsid w:val="513E20D0"/>
    <w:rsid w:val="53125EAD"/>
    <w:rsid w:val="541D6A99"/>
    <w:rsid w:val="54980C7C"/>
    <w:rsid w:val="5541FED4"/>
    <w:rsid w:val="55C3CA11"/>
    <w:rsid w:val="5752C273"/>
    <w:rsid w:val="579588E3"/>
    <w:rsid w:val="5C5A13C1"/>
    <w:rsid w:val="5E8598AA"/>
    <w:rsid w:val="5EF39E0A"/>
    <w:rsid w:val="5F2A6DA1"/>
    <w:rsid w:val="621CFAB0"/>
    <w:rsid w:val="63440998"/>
    <w:rsid w:val="650FB339"/>
    <w:rsid w:val="67A1235E"/>
    <w:rsid w:val="6C5E7021"/>
    <w:rsid w:val="6CC7BFD9"/>
    <w:rsid w:val="6EC855D1"/>
    <w:rsid w:val="6EFF6B18"/>
    <w:rsid w:val="7072DF35"/>
    <w:rsid w:val="70A72EAF"/>
    <w:rsid w:val="735651ED"/>
    <w:rsid w:val="758C50B7"/>
    <w:rsid w:val="7676F0E0"/>
    <w:rsid w:val="7813E7C7"/>
    <w:rsid w:val="7886321E"/>
    <w:rsid w:val="7B36464E"/>
    <w:rsid w:val="7B7BE2E1"/>
    <w:rsid w:val="7B9405E6"/>
    <w:rsid w:val="7C2A4BBB"/>
    <w:rsid w:val="7DE65E9C"/>
    <w:rsid w:val="7F0625D4"/>
    <w:rsid w:val="7F65141E"/>
    <w:rsid w:val="7F762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492ECB"/>
  <w15:chartTrackingRefBased/>
  <w15:docId w15:val="{DFD4EC85-62E0-134E-9E4C-285CAD7FE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D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D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D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D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D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D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D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D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D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D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D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D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D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D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D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D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D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DBE"/>
    <w:rPr>
      <w:rFonts w:eastAsiaTheme="majorEastAsia" w:cstheme="majorBidi"/>
      <w:color w:val="272727" w:themeColor="text1" w:themeTint="D8"/>
    </w:rPr>
  </w:style>
  <w:style w:type="paragraph" w:styleId="Title">
    <w:name w:val="Title"/>
    <w:basedOn w:val="Normal"/>
    <w:next w:val="Normal"/>
    <w:link w:val="TitleChar"/>
    <w:uiPriority w:val="10"/>
    <w:qFormat/>
    <w:rsid w:val="005E7D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D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D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D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DBE"/>
    <w:pPr>
      <w:spacing w:before="160"/>
      <w:jc w:val="center"/>
    </w:pPr>
    <w:rPr>
      <w:i/>
      <w:iCs/>
      <w:color w:val="404040" w:themeColor="text1" w:themeTint="BF"/>
    </w:rPr>
  </w:style>
  <w:style w:type="character" w:customStyle="1" w:styleId="QuoteChar">
    <w:name w:val="Quote Char"/>
    <w:basedOn w:val="DefaultParagraphFont"/>
    <w:link w:val="Quote"/>
    <w:uiPriority w:val="29"/>
    <w:rsid w:val="005E7DBE"/>
    <w:rPr>
      <w:i/>
      <w:iCs/>
      <w:color w:val="404040" w:themeColor="text1" w:themeTint="BF"/>
    </w:rPr>
  </w:style>
  <w:style w:type="paragraph" w:styleId="ListParagraph">
    <w:name w:val="List Paragraph"/>
    <w:basedOn w:val="Normal"/>
    <w:uiPriority w:val="34"/>
    <w:qFormat/>
    <w:rsid w:val="005E7DBE"/>
    <w:pPr>
      <w:ind w:left="720"/>
      <w:contextualSpacing/>
    </w:pPr>
  </w:style>
  <w:style w:type="character" w:styleId="IntenseEmphasis">
    <w:name w:val="Intense Emphasis"/>
    <w:basedOn w:val="DefaultParagraphFont"/>
    <w:uiPriority w:val="21"/>
    <w:qFormat/>
    <w:rsid w:val="005E7DBE"/>
    <w:rPr>
      <w:i/>
      <w:iCs/>
      <w:color w:val="0F4761" w:themeColor="accent1" w:themeShade="BF"/>
    </w:rPr>
  </w:style>
  <w:style w:type="paragraph" w:styleId="IntenseQuote">
    <w:name w:val="Intense Quote"/>
    <w:basedOn w:val="Normal"/>
    <w:next w:val="Normal"/>
    <w:link w:val="IntenseQuoteChar"/>
    <w:uiPriority w:val="30"/>
    <w:qFormat/>
    <w:rsid w:val="005E7D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DBE"/>
    <w:rPr>
      <w:i/>
      <w:iCs/>
      <w:color w:val="0F4761" w:themeColor="accent1" w:themeShade="BF"/>
    </w:rPr>
  </w:style>
  <w:style w:type="character" w:styleId="IntenseReference">
    <w:name w:val="Intense Reference"/>
    <w:basedOn w:val="DefaultParagraphFont"/>
    <w:uiPriority w:val="32"/>
    <w:qFormat/>
    <w:rsid w:val="005E7DB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1260</Words>
  <Characters>7184</Characters>
  <Application>Microsoft Office Word</Application>
  <DocSecurity>0</DocSecurity>
  <Lines>59</Lines>
  <Paragraphs>16</Paragraphs>
  <ScaleCrop>false</ScaleCrop>
  <Company/>
  <LinksUpToDate>false</LinksUpToDate>
  <CharactersWithSpaces>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Andrada-Maria Aniculaesei (2540015)</cp:lastModifiedBy>
  <cp:revision>2</cp:revision>
  <dcterms:created xsi:type="dcterms:W3CDTF">2026-07-16T21:25:00Z</dcterms:created>
  <dcterms:modified xsi:type="dcterms:W3CDTF">2026-07-16T21:25:00Z</dcterms:modified>
</cp:coreProperties>
</file>