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4B11E4" w14:textId="0F4789C6" w:rsidR="0092489D" w:rsidRDefault="00322238" w:rsidP="00B567F8">
      <w:pPr>
        <w:spacing w:line="480" w:lineRule="auto"/>
        <w:rPr>
          <w:rFonts w:ascii="Arial" w:hAnsi="Arial" w:cs="Arial"/>
          <w:sz w:val="24"/>
          <w:szCs w:val="24"/>
        </w:rPr>
      </w:pPr>
      <w:r>
        <w:rPr>
          <w:rFonts w:ascii="Arial" w:hAnsi="Arial" w:cs="Arial"/>
          <w:sz w:val="24"/>
          <w:szCs w:val="24"/>
        </w:rPr>
        <w:t>S</w:t>
      </w:r>
      <w:r w:rsidR="00AD6067" w:rsidRPr="0022682B">
        <w:rPr>
          <w:rFonts w:ascii="Arial" w:hAnsi="Arial" w:cs="Arial"/>
          <w:sz w:val="24"/>
          <w:szCs w:val="24"/>
        </w:rPr>
        <w:t xml:space="preserve">ince </w:t>
      </w:r>
      <w:r w:rsidR="00967F3D" w:rsidRPr="0022682B">
        <w:rPr>
          <w:rFonts w:ascii="Arial" w:hAnsi="Arial" w:cs="Arial"/>
          <w:sz w:val="24"/>
          <w:szCs w:val="24"/>
        </w:rPr>
        <w:t>52% of the British population</w:t>
      </w:r>
      <w:r w:rsidR="00AD6067" w:rsidRPr="0022682B">
        <w:rPr>
          <w:rFonts w:ascii="Arial" w:hAnsi="Arial" w:cs="Arial"/>
          <w:sz w:val="24"/>
          <w:szCs w:val="24"/>
        </w:rPr>
        <w:t xml:space="preserve"> voted to leave the E</w:t>
      </w:r>
      <w:r w:rsidR="0092761C" w:rsidRPr="0022682B">
        <w:rPr>
          <w:rFonts w:ascii="Arial" w:hAnsi="Arial" w:cs="Arial"/>
          <w:sz w:val="24"/>
          <w:szCs w:val="24"/>
        </w:rPr>
        <w:t xml:space="preserve">uropean </w:t>
      </w:r>
      <w:r w:rsidR="00AD6067" w:rsidRPr="0022682B">
        <w:rPr>
          <w:rFonts w:ascii="Arial" w:hAnsi="Arial" w:cs="Arial"/>
          <w:sz w:val="24"/>
          <w:szCs w:val="24"/>
        </w:rPr>
        <w:t>U</w:t>
      </w:r>
      <w:r w:rsidR="0092761C" w:rsidRPr="0022682B">
        <w:rPr>
          <w:rFonts w:ascii="Arial" w:hAnsi="Arial" w:cs="Arial"/>
          <w:sz w:val="24"/>
          <w:szCs w:val="24"/>
        </w:rPr>
        <w:t>nion (E.U.)</w:t>
      </w:r>
      <w:r w:rsidR="00AD6067" w:rsidRPr="0022682B">
        <w:rPr>
          <w:rFonts w:ascii="Arial" w:hAnsi="Arial" w:cs="Arial"/>
          <w:sz w:val="24"/>
          <w:szCs w:val="24"/>
        </w:rPr>
        <w:t xml:space="preserve"> in Ju</w:t>
      </w:r>
      <w:r w:rsidR="00BD077D" w:rsidRPr="0022682B">
        <w:rPr>
          <w:rFonts w:ascii="Arial" w:hAnsi="Arial" w:cs="Arial"/>
          <w:sz w:val="24"/>
          <w:szCs w:val="24"/>
        </w:rPr>
        <w:t>ne</w:t>
      </w:r>
      <w:r w:rsidR="00AD6067" w:rsidRPr="0022682B">
        <w:rPr>
          <w:rFonts w:ascii="Arial" w:hAnsi="Arial" w:cs="Arial"/>
          <w:sz w:val="24"/>
          <w:szCs w:val="24"/>
        </w:rPr>
        <w:t xml:space="preserve"> 2016, </w:t>
      </w:r>
      <w:r>
        <w:rPr>
          <w:rFonts w:ascii="Arial" w:hAnsi="Arial" w:cs="Arial"/>
          <w:sz w:val="24"/>
          <w:szCs w:val="24"/>
        </w:rPr>
        <w:t xml:space="preserve">with a 72.2% turnout of eligible voters, </w:t>
      </w:r>
      <w:r w:rsidR="00AD6067" w:rsidRPr="0022682B">
        <w:rPr>
          <w:rFonts w:ascii="Arial" w:hAnsi="Arial" w:cs="Arial"/>
          <w:sz w:val="24"/>
          <w:szCs w:val="24"/>
        </w:rPr>
        <w:t xml:space="preserve">Brexit </w:t>
      </w:r>
      <w:r w:rsidR="00967F3D" w:rsidRPr="0022682B">
        <w:rPr>
          <w:rFonts w:ascii="Arial" w:hAnsi="Arial" w:cs="Arial"/>
          <w:sz w:val="24"/>
          <w:szCs w:val="24"/>
        </w:rPr>
        <w:t>has been at</w:t>
      </w:r>
      <w:r w:rsidR="00AD6067" w:rsidRPr="0022682B">
        <w:rPr>
          <w:rFonts w:ascii="Arial" w:hAnsi="Arial" w:cs="Arial"/>
          <w:sz w:val="24"/>
          <w:szCs w:val="24"/>
        </w:rPr>
        <w:t xml:space="preserve"> the forefront of the news and minds of the Brit</w:t>
      </w:r>
      <w:r w:rsidR="00967F3D" w:rsidRPr="0022682B">
        <w:rPr>
          <w:rFonts w:ascii="Arial" w:hAnsi="Arial" w:cs="Arial"/>
          <w:sz w:val="24"/>
          <w:szCs w:val="24"/>
        </w:rPr>
        <w:t xml:space="preserve">ish </w:t>
      </w:r>
      <w:r w:rsidR="008742DC" w:rsidRPr="0022682B">
        <w:rPr>
          <w:rFonts w:ascii="Arial" w:hAnsi="Arial" w:cs="Arial"/>
          <w:sz w:val="24"/>
          <w:szCs w:val="24"/>
        </w:rPr>
        <w:t>population</w:t>
      </w:r>
      <w:r w:rsidR="00AD6067" w:rsidRPr="0022682B">
        <w:rPr>
          <w:rFonts w:ascii="Arial" w:hAnsi="Arial" w:cs="Arial"/>
          <w:sz w:val="24"/>
          <w:szCs w:val="24"/>
        </w:rPr>
        <w:t xml:space="preserve">. </w:t>
      </w:r>
      <w:r w:rsidR="00D96715" w:rsidRPr="0022682B">
        <w:rPr>
          <w:rFonts w:ascii="Arial" w:hAnsi="Arial" w:cs="Arial"/>
          <w:sz w:val="24"/>
          <w:szCs w:val="24"/>
        </w:rPr>
        <w:t>The referendum</w:t>
      </w:r>
      <w:r w:rsidR="008A419C" w:rsidRPr="0022682B">
        <w:rPr>
          <w:rFonts w:ascii="Arial" w:hAnsi="Arial" w:cs="Arial"/>
          <w:sz w:val="24"/>
          <w:szCs w:val="24"/>
        </w:rPr>
        <w:t xml:space="preserve"> reflected a broader societal division between those who were willing to embrace modern globalisation and those who were seemingly ‘left behind’ by the economic growth (Goodwin &amp; Heath, 2016)</w:t>
      </w:r>
      <w:r w:rsidR="00AD6067" w:rsidRPr="0022682B">
        <w:rPr>
          <w:rFonts w:ascii="Arial" w:hAnsi="Arial" w:cs="Arial"/>
          <w:sz w:val="24"/>
          <w:szCs w:val="24"/>
        </w:rPr>
        <w:t xml:space="preserve">. With the two major parties, the left wing and </w:t>
      </w:r>
      <w:r w:rsidR="006550FA" w:rsidRPr="0022682B">
        <w:rPr>
          <w:rFonts w:ascii="Arial" w:hAnsi="Arial" w:cs="Arial"/>
          <w:sz w:val="24"/>
          <w:szCs w:val="24"/>
        </w:rPr>
        <w:t>right wing</w:t>
      </w:r>
      <w:r w:rsidR="008A419C" w:rsidRPr="0022682B">
        <w:rPr>
          <w:rFonts w:ascii="Arial" w:hAnsi="Arial" w:cs="Arial"/>
          <w:sz w:val="24"/>
          <w:szCs w:val="24"/>
        </w:rPr>
        <w:t xml:space="preserve"> </w:t>
      </w:r>
      <w:r w:rsidR="00DF61A3" w:rsidRPr="0022682B">
        <w:rPr>
          <w:rFonts w:ascii="Arial" w:hAnsi="Arial" w:cs="Arial"/>
          <w:sz w:val="24"/>
          <w:szCs w:val="24"/>
        </w:rPr>
        <w:t>politicians</w:t>
      </w:r>
      <w:r w:rsidR="006550FA" w:rsidRPr="0022682B">
        <w:rPr>
          <w:rFonts w:ascii="Arial" w:hAnsi="Arial" w:cs="Arial"/>
          <w:sz w:val="24"/>
          <w:szCs w:val="24"/>
        </w:rPr>
        <w:t xml:space="preserve"> holding opposing views</w:t>
      </w:r>
      <w:r w:rsidR="00330A5A" w:rsidRPr="0022682B">
        <w:rPr>
          <w:rFonts w:ascii="Arial" w:hAnsi="Arial" w:cs="Arial"/>
          <w:sz w:val="24"/>
          <w:szCs w:val="24"/>
        </w:rPr>
        <w:t xml:space="preserve"> and a divide in the conservative party</w:t>
      </w:r>
      <w:r w:rsidR="006550FA" w:rsidRPr="0022682B">
        <w:rPr>
          <w:rFonts w:ascii="Arial" w:hAnsi="Arial" w:cs="Arial"/>
          <w:sz w:val="24"/>
          <w:szCs w:val="24"/>
        </w:rPr>
        <w:t xml:space="preserve">, </w:t>
      </w:r>
      <w:r w:rsidR="00330A5A" w:rsidRPr="0022682B">
        <w:rPr>
          <w:rFonts w:ascii="Arial" w:hAnsi="Arial" w:cs="Arial"/>
          <w:sz w:val="24"/>
          <w:szCs w:val="24"/>
        </w:rPr>
        <w:t xml:space="preserve">was Brexit a rebellion vote against authority and a way for the British public </w:t>
      </w:r>
      <w:r w:rsidR="00343FFC" w:rsidRPr="0022682B">
        <w:rPr>
          <w:rFonts w:ascii="Arial" w:hAnsi="Arial" w:cs="Arial"/>
          <w:sz w:val="24"/>
          <w:szCs w:val="24"/>
        </w:rPr>
        <w:t xml:space="preserve">concerns </w:t>
      </w:r>
      <w:r w:rsidR="00330A5A" w:rsidRPr="0022682B">
        <w:rPr>
          <w:rFonts w:ascii="Arial" w:hAnsi="Arial" w:cs="Arial"/>
          <w:sz w:val="24"/>
          <w:szCs w:val="24"/>
        </w:rPr>
        <w:t>to be heard</w:t>
      </w:r>
      <w:r w:rsidR="00B3108C">
        <w:rPr>
          <w:rFonts w:ascii="Arial" w:hAnsi="Arial" w:cs="Arial"/>
          <w:sz w:val="24"/>
          <w:szCs w:val="24"/>
        </w:rPr>
        <w:t>,</w:t>
      </w:r>
      <w:r w:rsidR="00FD5713" w:rsidRPr="0022682B">
        <w:rPr>
          <w:rFonts w:ascii="Arial" w:hAnsi="Arial" w:cs="Arial"/>
          <w:sz w:val="24"/>
          <w:szCs w:val="24"/>
        </w:rPr>
        <w:t xml:space="preserve"> over</w:t>
      </w:r>
      <w:r w:rsidR="00330A5A" w:rsidRPr="0022682B">
        <w:rPr>
          <w:rFonts w:ascii="Arial" w:hAnsi="Arial" w:cs="Arial"/>
          <w:sz w:val="24"/>
          <w:szCs w:val="24"/>
        </w:rPr>
        <w:t xml:space="preserve"> their disgruntled attitudes towards the government, relative deprivation, immigration control</w:t>
      </w:r>
      <w:r w:rsidR="00343FFC" w:rsidRPr="0022682B">
        <w:rPr>
          <w:rFonts w:ascii="Arial" w:hAnsi="Arial" w:cs="Arial"/>
          <w:sz w:val="24"/>
          <w:szCs w:val="24"/>
        </w:rPr>
        <w:t>,</w:t>
      </w:r>
      <w:r w:rsidR="00330A5A" w:rsidRPr="0022682B">
        <w:rPr>
          <w:rFonts w:ascii="Arial" w:hAnsi="Arial" w:cs="Arial"/>
          <w:sz w:val="24"/>
          <w:szCs w:val="24"/>
        </w:rPr>
        <w:t xml:space="preserve"> security, sovereignty, democracy, and devolution (</w:t>
      </w:r>
      <w:proofErr w:type="spellStart"/>
      <w:r w:rsidR="00330A5A" w:rsidRPr="0022682B">
        <w:rPr>
          <w:rFonts w:ascii="Arial" w:hAnsi="Arial" w:cs="Arial"/>
          <w:sz w:val="24"/>
          <w:szCs w:val="24"/>
        </w:rPr>
        <w:t>Hobolt</w:t>
      </w:r>
      <w:proofErr w:type="spellEnd"/>
      <w:r w:rsidR="00330A5A" w:rsidRPr="0022682B">
        <w:rPr>
          <w:rFonts w:ascii="Arial" w:hAnsi="Arial" w:cs="Arial"/>
          <w:sz w:val="24"/>
          <w:szCs w:val="24"/>
        </w:rPr>
        <w:t xml:space="preserve">, 2016), </w:t>
      </w:r>
      <w:r w:rsidR="00FD5713" w:rsidRPr="0022682B">
        <w:rPr>
          <w:rFonts w:ascii="Arial" w:hAnsi="Arial" w:cs="Arial"/>
          <w:sz w:val="24"/>
          <w:szCs w:val="24"/>
        </w:rPr>
        <w:t>or an expression of racism</w:t>
      </w:r>
      <w:r w:rsidR="00330A5A" w:rsidRPr="0022682B">
        <w:rPr>
          <w:rFonts w:ascii="Arial" w:hAnsi="Arial" w:cs="Arial"/>
          <w:sz w:val="24"/>
          <w:szCs w:val="24"/>
        </w:rPr>
        <w:t xml:space="preserve">. </w:t>
      </w:r>
      <w:r w:rsidR="00343FFC" w:rsidRPr="0022682B">
        <w:rPr>
          <w:rFonts w:ascii="Arial" w:hAnsi="Arial" w:cs="Arial"/>
          <w:sz w:val="24"/>
          <w:szCs w:val="24"/>
        </w:rPr>
        <w:t>An</w:t>
      </w:r>
      <w:r w:rsidR="006550FA" w:rsidRPr="0022682B">
        <w:rPr>
          <w:rFonts w:ascii="Arial" w:hAnsi="Arial" w:cs="Arial"/>
          <w:sz w:val="24"/>
          <w:szCs w:val="24"/>
        </w:rPr>
        <w:t xml:space="preserve"> investigation into the relationship that </w:t>
      </w:r>
      <w:r w:rsidR="00F43E80" w:rsidRPr="0022682B">
        <w:rPr>
          <w:rFonts w:ascii="Arial" w:hAnsi="Arial" w:cs="Arial"/>
          <w:sz w:val="24"/>
          <w:szCs w:val="24"/>
        </w:rPr>
        <w:t>voters</w:t>
      </w:r>
      <w:r w:rsidR="006550FA" w:rsidRPr="0022682B">
        <w:rPr>
          <w:rFonts w:ascii="Arial" w:hAnsi="Arial" w:cs="Arial"/>
          <w:sz w:val="24"/>
          <w:szCs w:val="24"/>
        </w:rPr>
        <w:t xml:space="preserve"> </w:t>
      </w:r>
      <w:r w:rsidR="0092761C" w:rsidRPr="0022682B">
        <w:rPr>
          <w:rFonts w:ascii="Arial" w:hAnsi="Arial" w:cs="Arial"/>
          <w:sz w:val="24"/>
          <w:szCs w:val="24"/>
        </w:rPr>
        <w:t xml:space="preserve">age, </w:t>
      </w:r>
      <w:r w:rsidR="00F43E80" w:rsidRPr="0022682B">
        <w:rPr>
          <w:rFonts w:ascii="Arial" w:hAnsi="Arial" w:cs="Arial"/>
          <w:sz w:val="24"/>
          <w:szCs w:val="24"/>
        </w:rPr>
        <w:t xml:space="preserve">economic situation, </w:t>
      </w:r>
      <w:r w:rsidR="0092761C" w:rsidRPr="0022682B">
        <w:rPr>
          <w:rFonts w:ascii="Arial" w:hAnsi="Arial" w:cs="Arial"/>
          <w:sz w:val="24"/>
          <w:szCs w:val="24"/>
        </w:rPr>
        <w:t xml:space="preserve">education levels, ethnic diversity levels amongst British populations </w:t>
      </w:r>
      <w:r w:rsidR="00145C7C" w:rsidRPr="0022682B">
        <w:rPr>
          <w:rFonts w:ascii="Arial" w:hAnsi="Arial" w:cs="Arial"/>
          <w:sz w:val="24"/>
          <w:szCs w:val="24"/>
        </w:rPr>
        <w:t xml:space="preserve">and </w:t>
      </w:r>
      <w:r w:rsidR="0028275E">
        <w:rPr>
          <w:rFonts w:ascii="Arial" w:hAnsi="Arial" w:cs="Arial"/>
          <w:sz w:val="24"/>
          <w:szCs w:val="24"/>
        </w:rPr>
        <w:t xml:space="preserve">potentially </w:t>
      </w:r>
      <w:r w:rsidR="0028275E">
        <w:rPr>
          <w:rFonts w:ascii="Arial" w:hAnsi="Arial" w:cs="Arial"/>
          <w:sz w:val="24"/>
          <w:szCs w:val="24"/>
        </w:rPr>
        <w:t xml:space="preserve">modern </w:t>
      </w:r>
      <w:r w:rsidR="0028275E" w:rsidRPr="0022682B">
        <w:rPr>
          <w:rFonts w:ascii="Arial" w:hAnsi="Arial" w:cs="Arial"/>
          <w:sz w:val="24"/>
          <w:szCs w:val="24"/>
        </w:rPr>
        <w:t xml:space="preserve">prejudice played amongst the </w:t>
      </w:r>
      <w:r w:rsidR="0028275E">
        <w:rPr>
          <w:rFonts w:ascii="Arial" w:hAnsi="Arial" w:cs="Arial"/>
          <w:sz w:val="24"/>
          <w:szCs w:val="24"/>
        </w:rPr>
        <w:t xml:space="preserve">voting </w:t>
      </w:r>
      <w:r w:rsidR="00DF61A3" w:rsidRPr="0022682B">
        <w:rPr>
          <w:rFonts w:ascii="Arial" w:hAnsi="Arial" w:cs="Arial"/>
          <w:sz w:val="24"/>
          <w:szCs w:val="24"/>
        </w:rPr>
        <w:t xml:space="preserve">are some of the things that </w:t>
      </w:r>
      <w:r w:rsidR="0092761C" w:rsidRPr="0022682B">
        <w:rPr>
          <w:rFonts w:ascii="Arial" w:hAnsi="Arial" w:cs="Arial"/>
          <w:sz w:val="24"/>
          <w:szCs w:val="24"/>
        </w:rPr>
        <w:t xml:space="preserve">will be discussed. </w:t>
      </w:r>
    </w:p>
    <w:p w14:paraId="224DF6FF" w14:textId="77777777" w:rsidR="0028275E" w:rsidRDefault="0028275E" w:rsidP="00B567F8">
      <w:pPr>
        <w:spacing w:line="480" w:lineRule="auto"/>
        <w:rPr>
          <w:rFonts w:ascii="Arial" w:hAnsi="Arial" w:cs="Arial"/>
          <w:sz w:val="24"/>
          <w:szCs w:val="24"/>
        </w:rPr>
      </w:pPr>
    </w:p>
    <w:p w14:paraId="7FF34EB3" w14:textId="77777777" w:rsidR="00791A70" w:rsidRDefault="00791A70" w:rsidP="00791A70">
      <w:pPr>
        <w:spacing w:line="480" w:lineRule="auto"/>
        <w:rPr>
          <w:rFonts w:ascii="Arial" w:hAnsi="Arial" w:cs="Arial"/>
          <w:sz w:val="24"/>
          <w:szCs w:val="24"/>
        </w:rPr>
      </w:pPr>
      <w:r w:rsidRPr="0022682B">
        <w:rPr>
          <w:rFonts w:ascii="Arial" w:hAnsi="Arial" w:cs="Arial"/>
          <w:sz w:val="24"/>
          <w:szCs w:val="24"/>
        </w:rPr>
        <w:t xml:space="preserve">Whilst there may be many contributing factors that led to Brexit, one suggestion made by multiple studies after the referendum, is the mobilisation of unfavourable attitudes and prejudice towards ethnic minority groups and low feelings of wanting to remain in the international community (Clarke et al, 2016). A lot of voters believed that by leaving the E.U. this would restrict access to Britain, </w:t>
      </w:r>
      <w:r>
        <w:rPr>
          <w:rFonts w:ascii="Arial" w:hAnsi="Arial" w:cs="Arial"/>
          <w:sz w:val="24"/>
          <w:szCs w:val="24"/>
        </w:rPr>
        <w:t>and</w:t>
      </w:r>
      <w:r w:rsidRPr="0022682B">
        <w:rPr>
          <w:rFonts w:ascii="Arial" w:hAnsi="Arial" w:cs="Arial"/>
          <w:sz w:val="24"/>
          <w:szCs w:val="24"/>
        </w:rPr>
        <w:t xml:space="preserve"> limit immigration as a way to protect the nation</w:t>
      </w:r>
      <w:r w:rsidRPr="0022682B">
        <w:rPr>
          <w:rFonts w:ascii="Arial" w:hAnsi="Arial" w:cs="Arial"/>
          <w:noProof/>
          <w:sz w:val="24"/>
          <w:szCs w:val="24"/>
        </w:rPr>
        <w:t xml:space="preserve"> (Hobolt, 2016)</w:t>
      </w:r>
      <w:r w:rsidRPr="0022682B">
        <w:rPr>
          <w:rFonts w:ascii="Arial" w:hAnsi="Arial" w:cs="Arial"/>
          <w:sz w:val="24"/>
          <w:szCs w:val="24"/>
        </w:rPr>
        <w:t xml:space="preserve">. In an attempt to influence and mobilise individuals to vote for the Eurosceptic campaign, the conservative party placed their most popular political candidate at the forefront of their campaign, who emphasised the alleged threat to the country’s sovereignty, and heavily campaigned the threat that immigrants played. </w:t>
      </w:r>
    </w:p>
    <w:p w14:paraId="341F1A18" w14:textId="77777777" w:rsidR="00791A70" w:rsidRDefault="00791A70" w:rsidP="00791A70">
      <w:pPr>
        <w:spacing w:line="480" w:lineRule="auto"/>
        <w:rPr>
          <w:rFonts w:ascii="Arial" w:hAnsi="Arial" w:cs="Arial"/>
          <w:sz w:val="24"/>
          <w:szCs w:val="24"/>
        </w:rPr>
      </w:pPr>
    </w:p>
    <w:p w14:paraId="2838E84E" w14:textId="77777777" w:rsidR="00791A70" w:rsidRPr="0022682B" w:rsidRDefault="00791A70" w:rsidP="00791A70">
      <w:pPr>
        <w:spacing w:line="480" w:lineRule="auto"/>
        <w:rPr>
          <w:rFonts w:ascii="Arial" w:hAnsi="Arial" w:cs="Arial"/>
          <w:sz w:val="24"/>
          <w:szCs w:val="24"/>
        </w:rPr>
      </w:pPr>
      <w:r w:rsidRPr="0022682B">
        <w:rPr>
          <w:rFonts w:ascii="Arial" w:hAnsi="Arial" w:cs="Arial"/>
          <w:sz w:val="24"/>
          <w:szCs w:val="24"/>
        </w:rPr>
        <w:t>The dynamic which arose from this effect, caused an ingroup/outgroup situation, and led many Britain’s to attribute blame to ethnic minorities, for the struggles of this country, and increase immigration control. Contradictory to this, the remain party drew upon the potential economic disaster that would arise from leaving the E.U., however, when voters were asked if Britain would be worse off after leaving, despite experts confirming that this would be the case, only 4% of leave voters believed it, in contrast to 78% of Remainers (</w:t>
      </w:r>
      <w:proofErr w:type="spellStart"/>
      <w:r w:rsidRPr="0022682B">
        <w:rPr>
          <w:rFonts w:ascii="Arial" w:hAnsi="Arial" w:cs="Arial"/>
          <w:sz w:val="24"/>
          <w:szCs w:val="24"/>
        </w:rPr>
        <w:t>Hobolt</w:t>
      </w:r>
      <w:proofErr w:type="spellEnd"/>
      <w:r w:rsidRPr="0022682B">
        <w:rPr>
          <w:rFonts w:ascii="Arial" w:hAnsi="Arial" w:cs="Arial"/>
          <w:sz w:val="24"/>
          <w:szCs w:val="24"/>
        </w:rPr>
        <w:t xml:space="preserve">, 2016). </w:t>
      </w:r>
      <w:r>
        <w:rPr>
          <w:rFonts w:ascii="Arial" w:hAnsi="Arial" w:cs="Arial"/>
          <w:sz w:val="24"/>
          <w:szCs w:val="24"/>
        </w:rPr>
        <w:t xml:space="preserve"> </w:t>
      </w:r>
    </w:p>
    <w:p w14:paraId="2A34CD28" w14:textId="77777777" w:rsidR="00791A70" w:rsidRPr="0022682B" w:rsidRDefault="00791A70" w:rsidP="00791A70">
      <w:pPr>
        <w:spacing w:line="480" w:lineRule="auto"/>
        <w:rPr>
          <w:rFonts w:ascii="Arial" w:hAnsi="Arial" w:cs="Arial"/>
          <w:sz w:val="24"/>
          <w:szCs w:val="24"/>
        </w:rPr>
      </w:pPr>
    </w:p>
    <w:p w14:paraId="46AF42AF" w14:textId="58AD4D5F" w:rsidR="00791A70" w:rsidRPr="0022682B" w:rsidRDefault="00791A70" w:rsidP="00791A70">
      <w:pPr>
        <w:spacing w:line="480" w:lineRule="auto"/>
        <w:rPr>
          <w:rFonts w:ascii="Arial" w:hAnsi="Arial" w:cs="Arial"/>
          <w:sz w:val="24"/>
          <w:szCs w:val="24"/>
        </w:rPr>
      </w:pPr>
      <w:r w:rsidRPr="0022682B">
        <w:rPr>
          <w:rFonts w:ascii="Arial" w:hAnsi="Arial" w:cs="Arial"/>
          <w:sz w:val="24"/>
          <w:szCs w:val="24"/>
        </w:rPr>
        <w:t xml:space="preserve">One explanation by </w:t>
      </w:r>
      <w:r w:rsidRPr="00272638">
        <w:rPr>
          <w:rFonts w:ascii="Arial" w:hAnsi="Arial" w:cs="Arial"/>
          <w:sz w:val="24"/>
          <w:szCs w:val="24"/>
        </w:rPr>
        <w:t xml:space="preserve">Gilmore, Meeks &amp; </w:t>
      </w:r>
      <w:proofErr w:type="spellStart"/>
      <w:r w:rsidRPr="00272638">
        <w:rPr>
          <w:rFonts w:ascii="Arial" w:hAnsi="Arial" w:cs="Arial"/>
          <w:sz w:val="24"/>
          <w:szCs w:val="24"/>
        </w:rPr>
        <w:t>Domke</w:t>
      </w:r>
      <w:proofErr w:type="spellEnd"/>
      <w:r w:rsidRPr="0022682B">
        <w:rPr>
          <w:rFonts w:ascii="Arial" w:hAnsi="Arial" w:cs="Arial"/>
          <w:sz w:val="24"/>
          <w:szCs w:val="24"/>
        </w:rPr>
        <w:t>, (2013) who suggest that media consumers tend to prefer messages that present their ingroup in a favourable light. Suggesting that confirmation bias may cause individuals to respond more to messages aligned with their political group or personal attitude (</w:t>
      </w:r>
      <w:r w:rsidRPr="004672B9">
        <w:rPr>
          <w:rFonts w:ascii="Arial" w:hAnsi="Arial" w:cs="Arial"/>
          <w:sz w:val="24"/>
          <w:szCs w:val="24"/>
        </w:rPr>
        <w:t>Knobloch-</w:t>
      </w:r>
      <w:proofErr w:type="spellStart"/>
      <w:r w:rsidRPr="004672B9">
        <w:rPr>
          <w:rFonts w:ascii="Arial" w:hAnsi="Arial" w:cs="Arial"/>
          <w:sz w:val="24"/>
          <w:szCs w:val="24"/>
        </w:rPr>
        <w:t>Westerwick</w:t>
      </w:r>
      <w:proofErr w:type="spellEnd"/>
      <w:r w:rsidRPr="004672B9">
        <w:rPr>
          <w:rFonts w:ascii="Arial" w:hAnsi="Arial" w:cs="Arial"/>
          <w:sz w:val="24"/>
          <w:szCs w:val="24"/>
        </w:rPr>
        <w:t xml:space="preserve">, </w:t>
      </w:r>
      <w:r w:rsidRPr="0022682B">
        <w:rPr>
          <w:rFonts w:ascii="Arial" w:hAnsi="Arial" w:cs="Arial"/>
          <w:sz w:val="24"/>
          <w:szCs w:val="24"/>
        </w:rPr>
        <w:t>2015) and may foster political polarization</w:t>
      </w:r>
      <w:r w:rsidR="004672B9">
        <w:rPr>
          <w:rFonts w:ascii="Arial" w:hAnsi="Arial" w:cs="Arial"/>
          <w:noProof/>
          <w:sz w:val="24"/>
          <w:szCs w:val="24"/>
        </w:rPr>
        <w:t xml:space="preserve"> </w:t>
      </w:r>
      <w:r w:rsidR="004672B9" w:rsidRPr="004672B9">
        <w:rPr>
          <w:rFonts w:ascii="Arial" w:hAnsi="Arial" w:cs="Arial"/>
          <w:noProof/>
          <w:sz w:val="24"/>
          <w:szCs w:val="24"/>
        </w:rPr>
        <w:t>(Towner, &amp; Dulio, 2012)</w:t>
      </w:r>
      <w:r w:rsidRPr="0022682B">
        <w:rPr>
          <w:rFonts w:ascii="Arial" w:hAnsi="Arial" w:cs="Arial"/>
          <w:sz w:val="24"/>
          <w:szCs w:val="24"/>
        </w:rPr>
        <w:t xml:space="preserve">. With the conservatives dominating media coverage on both sides of the campaign, with its leaders David Cameron the most popular ‘in voter’, and Boris Johnson the most popular ‘out campaigner’, totalling almost two-thirds of the referendum media coverage, the Labour party with its leader Jeremy Corbyn did not receive equal coverage, and was mentioned a lot less, </w:t>
      </w:r>
      <w:r>
        <w:rPr>
          <w:rFonts w:ascii="Arial" w:hAnsi="Arial" w:cs="Arial"/>
          <w:sz w:val="24"/>
          <w:szCs w:val="24"/>
        </w:rPr>
        <w:t xml:space="preserve">resulting in </w:t>
      </w:r>
      <w:r w:rsidRPr="0022682B">
        <w:rPr>
          <w:rFonts w:ascii="Arial" w:hAnsi="Arial" w:cs="Arial"/>
          <w:sz w:val="24"/>
          <w:szCs w:val="24"/>
        </w:rPr>
        <w:t xml:space="preserve">its campaign </w:t>
      </w:r>
      <w:r>
        <w:rPr>
          <w:rFonts w:ascii="Arial" w:hAnsi="Arial" w:cs="Arial"/>
          <w:sz w:val="24"/>
          <w:szCs w:val="24"/>
        </w:rPr>
        <w:t xml:space="preserve">to </w:t>
      </w:r>
      <w:r w:rsidRPr="0022682B">
        <w:rPr>
          <w:rFonts w:ascii="Arial" w:hAnsi="Arial" w:cs="Arial"/>
          <w:sz w:val="24"/>
          <w:szCs w:val="24"/>
        </w:rPr>
        <w:t xml:space="preserve">lack </w:t>
      </w:r>
      <w:r>
        <w:rPr>
          <w:rFonts w:ascii="Arial" w:hAnsi="Arial" w:cs="Arial"/>
          <w:sz w:val="24"/>
          <w:szCs w:val="24"/>
        </w:rPr>
        <w:t>impact</w:t>
      </w:r>
      <w:r w:rsidRPr="0022682B">
        <w:rPr>
          <w:rFonts w:ascii="Arial" w:hAnsi="Arial" w:cs="Arial"/>
          <w:sz w:val="24"/>
          <w:szCs w:val="24"/>
        </w:rPr>
        <w:t xml:space="preserve"> (</w:t>
      </w:r>
      <w:proofErr w:type="spellStart"/>
      <w:r w:rsidRPr="0022682B">
        <w:rPr>
          <w:rFonts w:ascii="Arial" w:hAnsi="Arial" w:cs="Arial"/>
          <w:sz w:val="24"/>
          <w:szCs w:val="24"/>
        </w:rPr>
        <w:t>Hobolt</w:t>
      </w:r>
      <w:proofErr w:type="spellEnd"/>
      <w:r w:rsidRPr="0022682B">
        <w:rPr>
          <w:rFonts w:ascii="Arial" w:hAnsi="Arial" w:cs="Arial"/>
          <w:sz w:val="24"/>
          <w:szCs w:val="24"/>
        </w:rPr>
        <w:t>, 2016). Therefore, this would suggest that political polarization and confirmation bias, would be mobilised by dominating media coverage, and the group that individuals identify themselves with the most, would potentially gain the stronger vote</w:t>
      </w:r>
      <w:r>
        <w:rPr>
          <w:rFonts w:ascii="Arial" w:hAnsi="Arial" w:cs="Arial"/>
          <w:sz w:val="24"/>
          <w:szCs w:val="24"/>
        </w:rPr>
        <w:t>. T</w:t>
      </w:r>
      <w:r w:rsidRPr="0022682B">
        <w:rPr>
          <w:rFonts w:ascii="Arial" w:hAnsi="Arial" w:cs="Arial"/>
          <w:sz w:val="24"/>
          <w:szCs w:val="24"/>
        </w:rPr>
        <w:t xml:space="preserve">his may also </w:t>
      </w:r>
      <w:r>
        <w:rPr>
          <w:rFonts w:ascii="Arial" w:hAnsi="Arial" w:cs="Arial"/>
          <w:sz w:val="24"/>
          <w:szCs w:val="24"/>
        </w:rPr>
        <w:t xml:space="preserve">expose </w:t>
      </w:r>
      <w:r w:rsidRPr="0022682B">
        <w:rPr>
          <w:rFonts w:ascii="Arial" w:hAnsi="Arial" w:cs="Arial"/>
          <w:sz w:val="24"/>
          <w:szCs w:val="24"/>
        </w:rPr>
        <w:t xml:space="preserve">a type of prejudice present amongst the U.K. </w:t>
      </w:r>
    </w:p>
    <w:p w14:paraId="4C9E1488" w14:textId="77777777" w:rsidR="00791A70" w:rsidRPr="0022682B" w:rsidRDefault="00791A70" w:rsidP="00791A70">
      <w:pPr>
        <w:spacing w:line="480" w:lineRule="auto"/>
        <w:rPr>
          <w:rFonts w:ascii="Arial" w:hAnsi="Arial" w:cs="Arial"/>
          <w:sz w:val="24"/>
          <w:szCs w:val="24"/>
        </w:rPr>
      </w:pPr>
    </w:p>
    <w:p w14:paraId="678680E4" w14:textId="20457571" w:rsidR="00791A70" w:rsidRPr="0022682B" w:rsidRDefault="00791A70" w:rsidP="00791A70">
      <w:pPr>
        <w:spacing w:line="480" w:lineRule="auto"/>
        <w:rPr>
          <w:rFonts w:ascii="Arial" w:hAnsi="Arial" w:cs="Arial"/>
          <w:sz w:val="24"/>
          <w:szCs w:val="24"/>
        </w:rPr>
      </w:pPr>
      <w:r w:rsidRPr="0022682B">
        <w:rPr>
          <w:rFonts w:ascii="Arial" w:hAnsi="Arial" w:cs="Arial"/>
          <w:sz w:val="24"/>
          <w:szCs w:val="24"/>
        </w:rPr>
        <w:lastRenderedPageBreak/>
        <w:t xml:space="preserve">Whilst prejudice has declined in Britain within the last 50 years, unconscious prejudice may still be at large, these Prejudices or pre-judgments can lead to social hierarchy (Hutchings and Sullivan, 2018). The types of prejudice, explicit prejudice which is prejudice that can be described here as an ingroup attitude, and would cause the ingroup to hold prejudiced attitudes towards an outgroup, which also leads to the portrayal of outgroups in a stereotypic and negative way. And implicit prejudice, which are not consciously accessible to individuals, however, still plays a vital role in behaviours, interpersonal relations, voting, medical decisions and employment decisions </w:t>
      </w:r>
      <w:r w:rsidR="00937C0C" w:rsidRPr="00937C0C">
        <w:rPr>
          <w:rFonts w:ascii="Arial" w:hAnsi="Arial" w:cs="Arial"/>
          <w:noProof/>
          <w:sz w:val="24"/>
          <w:szCs w:val="24"/>
        </w:rPr>
        <w:t>(Kite, &amp; Whiteley, 2016)</w:t>
      </w:r>
      <w:r w:rsidRPr="0022682B">
        <w:rPr>
          <w:rFonts w:ascii="Arial" w:hAnsi="Arial" w:cs="Arial"/>
          <w:color w:val="FF0000"/>
          <w:sz w:val="24"/>
          <w:szCs w:val="24"/>
        </w:rPr>
        <w:t xml:space="preserve">. </w:t>
      </w:r>
      <w:r w:rsidRPr="0022682B">
        <w:rPr>
          <w:rFonts w:ascii="Arial" w:hAnsi="Arial" w:cs="Arial"/>
          <w:sz w:val="24"/>
          <w:szCs w:val="24"/>
        </w:rPr>
        <w:t xml:space="preserve">This would contribute to the justification of individuals personal attitudes and prejudices, and a strong sense of ingroup/outgroup dynamic.  </w:t>
      </w:r>
    </w:p>
    <w:p w14:paraId="2E0BA2B7" w14:textId="77777777" w:rsidR="00791A70" w:rsidRPr="0022682B" w:rsidRDefault="00791A70" w:rsidP="00791A70">
      <w:pPr>
        <w:spacing w:line="480" w:lineRule="auto"/>
        <w:rPr>
          <w:rFonts w:ascii="Arial" w:hAnsi="Arial" w:cs="Arial"/>
          <w:sz w:val="24"/>
          <w:szCs w:val="24"/>
        </w:rPr>
      </w:pPr>
    </w:p>
    <w:p w14:paraId="196B4E3F" w14:textId="66695522" w:rsidR="007D11E9" w:rsidRDefault="00791A70" w:rsidP="00791A70">
      <w:pPr>
        <w:spacing w:line="480" w:lineRule="auto"/>
        <w:rPr>
          <w:rFonts w:ascii="Arial" w:hAnsi="Arial" w:cs="Arial"/>
          <w:sz w:val="24"/>
          <w:szCs w:val="24"/>
        </w:rPr>
      </w:pPr>
      <w:r w:rsidRPr="0022682B">
        <w:rPr>
          <w:rFonts w:ascii="Arial" w:hAnsi="Arial" w:cs="Arial"/>
          <w:sz w:val="24"/>
          <w:szCs w:val="24"/>
        </w:rPr>
        <w:t>Social identity theory (</w:t>
      </w:r>
      <w:proofErr w:type="spellStart"/>
      <w:r w:rsidRPr="0022682B">
        <w:rPr>
          <w:rFonts w:ascii="Arial" w:hAnsi="Arial" w:cs="Arial"/>
          <w:sz w:val="24"/>
          <w:szCs w:val="24"/>
        </w:rPr>
        <w:t>Taifel</w:t>
      </w:r>
      <w:proofErr w:type="spellEnd"/>
      <w:r w:rsidRPr="0022682B">
        <w:rPr>
          <w:rFonts w:ascii="Arial" w:hAnsi="Arial" w:cs="Arial"/>
          <w:sz w:val="24"/>
          <w:szCs w:val="24"/>
        </w:rPr>
        <w:t xml:space="preserve"> &amp; Turner, 19</w:t>
      </w:r>
      <w:r w:rsidR="00D03620">
        <w:rPr>
          <w:rFonts w:ascii="Arial" w:hAnsi="Arial" w:cs="Arial"/>
          <w:sz w:val="24"/>
          <w:szCs w:val="24"/>
        </w:rPr>
        <w:t>86</w:t>
      </w:r>
      <w:r w:rsidRPr="0022682B">
        <w:rPr>
          <w:rFonts w:ascii="Arial" w:hAnsi="Arial" w:cs="Arial"/>
          <w:sz w:val="24"/>
          <w:szCs w:val="24"/>
        </w:rPr>
        <w:t xml:space="preserve">) suggests that individuals categorise themselves and others, which is known as stereotyping. The group that individuals identify themselves with the most is referred to as the ingroup and anyone else is classed as the outgroup. Typically, </w:t>
      </w:r>
      <w:r w:rsidR="00D03620">
        <w:rPr>
          <w:rFonts w:ascii="Arial" w:hAnsi="Arial" w:cs="Arial"/>
          <w:sz w:val="24"/>
          <w:szCs w:val="24"/>
        </w:rPr>
        <w:t>the identification with an ingroup can cause an unearned favour state, can cause fear and anxiety towards the outgroup. E</w:t>
      </w:r>
      <w:r w:rsidRPr="0022682B">
        <w:rPr>
          <w:rFonts w:ascii="Arial" w:hAnsi="Arial" w:cs="Arial"/>
          <w:sz w:val="24"/>
          <w:szCs w:val="24"/>
        </w:rPr>
        <w:t>vidence suggests that communities that had little or low interaction with ethnic diversity had the highest rate of support votes to leave the EU (</w:t>
      </w:r>
      <w:r w:rsidRPr="00750559">
        <w:rPr>
          <w:rFonts w:ascii="Arial" w:hAnsi="Arial" w:cs="Arial"/>
          <w:sz w:val="24"/>
          <w:szCs w:val="24"/>
        </w:rPr>
        <w:t xml:space="preserve">Lawton and </w:t>
      </w:r>
      <w:proofErr w:type="spellStart"/>
      <w:r w:rsidRPr="00750559">
        <w:rPr>
          <w:rFonts w:ascii="Arial" w:hAnsi="Arial" w:cs="Arial"/>
          <w:sz w:val="24"/>
          <w:szCs w:val="24"/>
        </w:rPr>
        <w:t>A</w:t>
      </w:r>
      <w:r w:rsidR="00750559">
        <w:rPr>
          <w:rFonts w:ascii="Arial" w:hAnsi="Arial" w:cs="Arial"/>
          <w:sz w:val="24"/>
          <w:szCs w:val="24"/>
        </w:rPr>
        <w:t>c</w:t>
      </w:r>
      <w:r w:rsidRPr="00750559">
        <w:rPr>
          <w:rFonts w:ascii="Arial" w:hAnsi="Arial" w:cs="Arial"/>
          <w:sz w:val="24"/>
          <w:szCs w:val="24"/>
        </w:rPr>
        <w:t>krill</w:t>
      </w:r>
      <w:proofErr w:type="spellEnd"/>
      <w:r w:rsidRPr="00750559">
        <w:rPr>
          <w:rFonts w:ascii="Arial" w:hAnsi="Arial" w:cs="Arial"/>
          <w:sz w:val="24"/>
          <w:szCs w:val="24"/>
        </w:rPr>
        <w:t>, 2016).</w:t>
      </w:r>
      <w:r w:rsidR="002E2C65" w:rsidRPr="00750559">
        <w:rPr>
          <w:rFonts w:ascii="Arial" w:hAnsi="Arial" w:cs="Arial"/>
          <w:sz w:val="24"/>
          <w:szCs w:val="24"/>
        </w:rPr>
        <w:t xml:space="preserve"> </w:t>
      </w:r>
      <w:r w:rsidRPr="0022682B">
        <w:rPr>
          <w:rFonts w:ascii="Arial" w:hAnsi="Arial" w:cs="Arial"/>
          <w:sz w:val="24"/>
          <w:szCs w:val="24"/>
        </w:rPr>
        <w:t>Moreover, what was found was that areas that had experienced a sudden influx of immigrants into their community of above a 7% level also caused a higher average for a leave vote</w:t>
      </w:r>
      <w:r w:rsidR="00143705">
        <w:rPr>
          <w:rFonts w:ascii="Arial" w:hAnsi="Arial" w:cs="Arial"/>
          <w:sz w:val="24"/>
          <w:szCs w:val="24"/>
        </w:rPr>
        <w:t xml:space="preserve"> </w:t>
      </w:r>
      <w:r w:rsidRPr="0022682B">
        <w:rPr>
          <w:rFonts w:ascii="Arial" w:hAnsi="Arial" w:cs="Arial"/>
          <w:sz w:val="24"/>
          <w:szCs w:val="24"/>
        </w:rPr>
        <w:t xml:space="preserve">. However, </w:t>
      </w:r>
      <w:r>
        <w:rPr>
          <w:rFonts w:ascii="Arial" w:hAnsi="Arial" w:cs="Arial"/>
          <w:sz w:val="24"/>
          <w:szCs w:val="24"/>
        </w:rPr>
        <w:t xml:space="preserve">contradictory to this </w:t>
      </w:r>
      <w:r w:rsidRPr="0022682B">
        <w:rPr>
          <w:rFonts w:ascii="Arial" w:hAnsi="Arial" w:cs="Arial"/>
          <w:sz w:val="24"/>
          <w:szCs w:val="24"/>
        </w:rPr>
        <w:t xml:space="preserve">Kaufmann </w:t>
      </w:r>
      <w:r w:rsidR="007D11E9">
        <w:rPr>
          <w:rFonts w:ascii="Arial" w:hAnsi="Arial" w:cs="Arial"/>
          <w:sz w:val="24"/>
          <w:szCs w:val="24"/>
        </w:rPr>
        <w:t>&amp;</w:t>
      </w:r>
      <w:r w:rsidRPr="0022682B">
        <w:rPr>
          <w:rFonts w:ascii="Arial" w:hAnsi="Arial" w:cs="Arial"/>
          <w:sz w:val="24"/>
          <w:szCs w:val="24"/>
        </w:rPr>
        <w:t xml:space="preserve"> Harris (2015) found </w:t>
      </w:r>
      <w:r w:rsidR="002E2C65">
        <w:rPr>
          <w:rFonts w:ascii="Arial" w:hAnsi="Arial" w:cs="Arial"/>
          <w:sz w:val="24"/>
          <w:szCs w:val="24"/>
        </w:rPr>
        <w:t>with</w:t>
      </w:r>
      <w:r w:rsidRPr="0022682B">
        <w:rPr>
          <w:rFonts w:ascii="Arial" w:hAnsi="Arial" w:cs="Arial"/>
          <w:sz w:val="24"/>
          <w:szCs w:val="24"/>
        </w:rPr>
        <w:t>in</w:t>
      </w:r>
      <w:r>
        <w:rPr>
          <w:rFonts w:ascii="Arial" w:hAnsi="Arial" w:cs="Arial"/>
          <w:sz w:val="24"/>
          <w:szCs w:val="24"/>
        </w:rPr>
        <w:t xml:space="preserve"> their </w:t>
      </w:r>
      <w:r w:rsidRPr="0022682B">
        <w:rPr>
          <w:rFonts w:ascii="Arial" w:hAnsi="Arial" w:cs="Arial"/>
          <w:sz w:val="24"/>
          <w:szCs w:val="24"/>
        </w:rPr>
        <w:t xml:space="preserve">study, that areas with the highest number of immigrants were viewed more positively. Potentially indicating that the British public may have had difficulty adapting to a rapidly changing climate, </w:t>
      </w:r>
      <w:r>
        <w:rPr>
          <w:rFonts w:ascii="Arial" w:hAnsi="Arial" w:cs="Arial"/>
          <w:sz w:val="24"/>
          <w:szCs w:val="24"/>
        </w:rPr>
        <w:t xml:space="preserve">and may offer an explanation why those are </w:t>
      </w:r>
      <w:r>
        <w:rPr>
          <w:rFonts w:ascii="Arial" w:hAnsi="Arial" w:cs="Arial"/>
          <w:sz w:val="24"/>
          <w:szCs w:val="24"/>
        </w:rPr>
        <w:lastRenderedPageBreak/>
        <w:t xml:space="preserve">less likely to identify and European, affecting their sense if self-identity (Ruyter, &amp; Nielsen, 2018). </w:t>
      </w:r>
    </w:p>
    <w:p w14:paraId="1EAF8CCA" w14:textId="77777777" w:rsidR="007D11E9" w:rsidRDefault="007D11E9" w:rsidP="00791A70">
      <w:pPr>
        <w:spacing w:line="480" w:lineRule="auto"/>
        <w:rPr>
          <w:rFonts w:ascii="Arial" w:hAnsi="Arial" w:cs="Arial"/>
          <w:sz w:val="24"/>
          <w:szCs w:val="24"/>
        </w:rPr>
      </w:pPr>
    </w:p>
    <w:p w14:paraId="0F6E11F0" w14:textId="17A98EF0" w:rsidR="00791A70" w:rsidRPr="0022682B" w:rsidRDefault="002E2C65" w:rsidP="00791A70">
      <w:pPr>
        <w:spacing w:line="480" w:lineRule="auto"/>
        <w:rPr>
          <w:rFonts w:ascii="Arial" w:hAnsi="Arial" w:cs="Arial"/>
          <w:sz w:val="24"/>
          <w:szCs w:val="24"/>
        </w:rPr>
      </w:pPr>
      <w:r>
        <w:rPr>
          <w:rFonts w:ascii="Arial" w:hAnsi="Arial" w:cs="Arial"/>
          <w:sz w:val="24"/>
          <w:szCs w:val="24"/>
        </w:rPr>
        <w:t>Furthermore, contradictory to popular belief net immigration withi</w:t>
      </w:r>
      <w:r w:rsidR="00734562">
        <w:rPr>
          <w:rFonts w:ascii="Arial" w:hAnsi="Arial" w:cs="Arial"/>
          <w:sz w:val="24"/>
          <w:szCs w:val="24"/>
        </w:rPr>
        <w:t>n</w:t>
      </w:r>
      <w:r>
        <w:rPr>
          <w:rFonts w:ascii="Arial" w:hAnsi="Arial" w:cs="Arial"/>
          <w:sz w:val="24"/>
          <w:szCs w:val="24"/>
        </w:rPr>
        <w:t xml:space="preserve"> the U.K </w:t>
      </w:r>
      <w:r w:rsidR="00734562">
        <w:rPr>
          <w:rFonts w:ascii="Arial" w:hAnsi="Arial" w:cs="Arial"/>
          <w:sz w:val="24"/>
          <w:szCs w:val="24"/>
        </w:rPr>
        <w:t xml:space="preserve">was actually lower than </w:t>
      </w:r>
      <w:r>
        <w:rPr>
          <w:rFonts w:ascii="Arial" w:hAnsi="Arial" w:cs="Arial"/>
          <w:sz w:val="24"/>
          <w:szCs w:val="24"/>
        </w:rPr>
        <w:t>within other non-E.U countries</w:t>
      </w:r>
      <w:r w:rsidR="00734562">
        <w:rPr>
          <w:rFonts w:ascii="Arial" w:hAnsi="Arial" w:cs="Arial"/>
          <w:sz w:val="24"/>
          <w:szCs w:val="24"/>
        </w:rPr>
        <w:t xml:space="preserve"> </w:t>
      </w:r>
      <w:sdt>
        <w:sdtPr>
          <w:rPr>
            <w:rFonts w:ascii="Arial" w:hAnsi="Arial" w:cs="Arial"/>
            <w:sz w:val="24"/>
            <w:szCs w:val="24"/>
          </w:rPr>
          <w:id w:val="-725600787"/>
          <w:citation/>
        </w:sdtPr>
        <w:sdtContent>
          <w:r w:rsidR="00734562">
            <w:rPr>
              <w:rFonts w:ascii="Arial" w:hAnsi="Arial" w:cs="Arial"/>
              <w:sz w:val="24"/>
              <w:szCs w:val="24"/>
            </w:rPr>
            <w:fldChar w:fldCharType="begin"/>
          </w:r>
          <w:r w:rsidR="00734562">
            <w:rPr>
              <w:rFonts w:ascii="Arial" w:hAnsi="Arial" w:cs="Arial"/>
              <w:sz w:val="24"/>
              <w:szCs w:val="24"/>
            </w:rPr>
            <w:instrText xml:space="preserve"> CITATION Off16 \l 2057 </w:instrText>
          </w:r>
          <w:r w:rsidR="00734562">
            <w:rPr>
              <w:rFonts w:ascii="Arial" w:hAnsi="Arial" w:cs="Arial"/>
              <w:sz w:val="24"/>
              <w:szCs w:val="24"/>
            </w:rPr>
            <w:fldChar w:fldCharType="separate"/>
          </w:r>
          <w:r w:rsidR="00E97E5A" w:rsidRPr="00E97E5A">
            <w:rPr>
              <w:rFonts w:ascii="Arial" w:hAnsi="Arial" w:cs="Arial"/>
              <w:noProof/>
              <w:sz w:val="24"/>
              <w:szCs w:val="24"/>
            </w:rPr>
            <w:t>(Office for National Statistics, 2016)</w:t>
          </w:r>
          <w:r w:rsidR="00734562">
            <w:rPr>
              <w:rFonts w:ascii="Arial" w:hAnsi="Arial" w:cs="Arial"/>
              <w:sz w:val="24"/>
              <w:szCs w:val="24"/>
            </w:rPr>
            <w:fldChar w:fldCharType="end"/>
          </w:r>
        </w:sdtContent>
      </w:sdt>
      <w:r>
        <w:rPr>
          <w:rFonts w:ascii="Arial" w:hAnsi="Arial" w:cs="Arial"/>
          <w:sz w:val="24"/>
          <w:szCs w:val="24"/>
        </w:rPr>
        <w:t xml:space="preserve">. </w:t>
      </w:r>
      <w:r w:rsidR="00791A70" w:rsidRPr="0022682B">
        <w:rPr>
          <w:rFonts w:ascii="Arial" w:hAnsi="Arial" w:cs="Arial"/>
          <w:sz w:val="24"/>
          <w:szCs w:val="24"/>
        </w:rPr>
        <w:t>Ethnographic research suggests that racist groups depict whites as being discriminated against and being the victim, using immigrants and welfare recipients as the source of strain and scarcity on resources and the economy (</w:t>
      </w:r>
      <w:proofErr w:type="spellStart"/>
      <w:r w:rsidR="00791A70" w:rsidRPr="0022682B">
        <w:rPr>
          <w:rFonts w:ascii="Arial" w:hAnsi="Arial" w:cs="Arial"/>
          <w:sz w:val="24"/>
          <w:szCs w:val="24"/>
        </w:rPr>
        <w:t>Blee</w:t>
      </w:r>
      <w:proofErr w:type="spellEnd"/>
      <w:r w:rsidR="00791A70" w:rsidRPr="0022682B">
        <w:rPr>
          <w:rFonts w:ascii="Arial" w:hAnsi="Arial" w:cs="Arial"/>
          <w:sz w:val="24"/>
          <w:szCs w:val="24"/>
        </w:rPr>
        <w:t>, 2002).  Moreover, insinuating that racial minorities are capable of over throwing the majority group turning the true victims into victimisers.</w:t>
      </w:r>
      <w:r>
        <w:rPr>
          <w:rFonts w:ascii="Arial" w:hAnsi="Arial" w:cs="Arial"/>
          <w:sz w:val="24"/>
          <w:szCs w:val="24"/>
        </w:rPr>
        <w:t xml:space="preserve"> </w:t>
      </w:r>
    </w:p>
    <w:p w14:paraId="0CB2D44C" w14:textId="77777777" w:rsidR="00791A70" w:rsidRPr="0022682B" w:rsidRDefault="00791A70" w:rsidP="00791A70">
      <w:pPr>
        <w:spacing w:line="480" w:lineRule="auto"/>
        <w:rPr>
          <w:rFonts w:ascii="Arial" w:hAnsi="Arial" w:cs="Arial"/>
          <w:sz w:val="24"/>
          <w:szCs w:val="24"/>
        </w:rPr>
      </w:pPr>
    </w:p>
    <w:p w14:paraId="43870C40" w14:textId="580C249B" w:rsidR="00791A70" w:rsidRPr="0022682B" w:rsidRDefault="00791A70" w:rsidP="00791A70">
      <w:pPr>
        <w:spacing w:line="480" w:lineRule="auto"/>
        <w:rPr>
          <w:rFonts w:ascii="Arial" w:hAnsi="Arial" w:cs="Arial"/>
          <w:sz w:val="24"/>
          <w:szCs w:val="24"/>
        </w:rPr>
      </w:pPr>
      <w:r w:rsidRPr="0022682B">
        <w:rPr>
          <w:rFonts w:ascii="Arial" w:hAnsi="Arial" w:cs="Arial"/>
          <w:sz w:val="24"/>
          <w:szCs w:val="24"/>
        </w:rPr>
        <w:t xml:space="preserve">More interestingly, whilst no one can confirm that racist attitudes are to blame for the vote, it would be naïve not to acknowledge that it is a possibility. </w:t>
      </w:r>
      <w:r>
        <w:rPr>
          <w:rFonts w:ascii="Arial" w:hAnsi="Arial" w:cs="Arial"/>
          <w:sz w:val="24"/>
          <w:szCs w:val="24"/>
        </w:rPr>
        <w:t xml:space="preserve">And whilst identity is individual, and many of these processes are on an individual level, they are fundamentally social, and embedded in social identity and collective decision making </w:t>
      </w:r>
      <w:r w:rsidR="00144DD7" w:rsidRPr="00144DD7">
        <w:rPr>
          <w:rFonts w:ascii="Arial" w:hAnsi="Arial" w:cs="Arial"/>
          <w:noProof/>
          <w:sz w:val="24"/>
          <w:szCs w:val="24"/>
        </w:rPr>
        <w:t>(Kite, &amp; Whiteley, 2016)</w:t>
      </w:r>
      <w:r>
        <w:rPr>
          <w:rFonts w:ascii="Arial" w:hAnsi="Arial" w:cs="Arial"/>
          <w:sz w:val="24"/>
          <w:szCs w:val="24"/>
        </w:rPr>
        <w:t xml:space="preserve">. </w:t>
      </w:r>
      <w:r w:rsidRPr="0022682B">
        <w:rPr>
          <w:rFonts w:ascii="Arial" w:hAnsi="Arial" w:cs="Arial"/>
          <w:sz w:val="24"/>
          <w:szCs w:val="24"/>
        </w:rPr>
        <w:t xml:space="preserve">Different personality types have been categorised into prejudiced subtypes, and below have been used to describe individuals with varying combinations of implicit and explicit prejudice. The Social dominance orientation groups (SDO) </w:t>
      </w:r>
      <w:r>
        <w:rPr>
          <w:rFonts w:ascii="Arial" w:hAnsi="Arial" w:cs="Arial"/>
          <w:sz w:val="24"/>
          <w:szCs w:val="24"/>
        </w:rPr>
        <w:t xml:space="preserve">are </w:t>
      </w:r>
      <w:r w:rsidRPr="0022682B">
        <w:rPr>
          <w:rFonts w:ascii="Arial" w:hAnsi="Arial" w:cs="Arial"/>
          <w:sz w:val="24"/>
          <w:szCs w:val="24"/>
        </w:rPr>
        <w:t xml:space="preserve">those who believe in maintaining social hierarchies, </w:t>
      </w:r>
      <w:r w:rsidRPr="008108C1">
        <w:rPr>
          <w:rFonts w:ascii="Arial" w:hAnsi="Arial" w:cs="Arial"/>
          <w:sz w:val="24"/>
          <w:szCs w:val="24"/>
        </w:rPr>
        <w:t>(</w:t>
      </w:r>
      <w:proofErr w:type="spellStart"/>
      <w:r w:rsidRPr="008108C1">
        <w:rPr>
          <w:rFonts w:ascii="Arial" w:hAnsi="Arial" w:cs="Arial"/>
          <w:sz w:val="24"/>
          <w:szCs w:val="24"/>
        </w:rPr>
        <w:t>Pratto</w:t>
      </w:r>
      <w:proofErr w:type="spellEnd"/>
      <w:r w:rsidRPr="008108C1">
        <w:rPr>
          <w:rFonts w:ascii="Arial" w:hAnsi="Arial" w:cs="Arial"/>
          <w:sz w:val="24"/>
          <w:szCs w:val="24"/>
        </w:rPr>
        <w:t xml:space="preserve">, </w:t>
      </w:r>
      <w:r w:rsidRPr="008108C1">
        <w:rPr>
          <w:rFonts w:ascii="Arial" w:hAnsi="Arial" w:cs="Arial"/>
          <w:i/>
          <w:iCs/>
          <w:sz w:val="24"/>
          <w:szCs w:val="24"/>
        </w:rPr>
        <w:t>et al</w:t>
      </w:r>
      <w:r w:rsidRPr="008108C1">
        <w:rPr>
          <w:rFonts w:ascii="Arial" w:hAnsi="Arial" w:cs="Arial"/>
          <w:sz w:val="24"/>
          <w:szCs w:val="24"/>
        </w:rPr>
        <w:t>, 1994),</w:t>
      </w:r>
      <w:r w:rsidRPr="0022682B">
        <w:rPr>
          <w:rFonts w:ascii="Arial" w:hAnsi="Arial" w:cs="Arial"/>
          <w:sz w:val="24"/>
          <w:szCs w:val="24"/>
        </w:rPr>
        <w:t xml:space="preserve"> </w:t>
      </w:r>
      <w:r>
        <w:rPr>
          <w:rFonts w:ascii="Arial" w:hAnsi="Arial" w:cs="Arial"/>
          <w:sz w:val="24"/>
          <w:szCs w:val="24"/>
        </w:rPr>
        <w:t xml:space="preserve">and </w:t>
      </w:r>
      <w:r w:rsidRPr="0022682B">
        <w:rPr>
          <w:rFonts w:ascii="Arial" w:hAnsi="Arial" w:cs="Arial"/>
          <w:sz w:val="24"/>
          <w:szCs w:val="24"/>
        </w:rPr>
        <w:t xml:space="preserve">were suggested to be more likely to vote leave due to feeling threatened by immigrants. SDO’s hold views that the world is a competitive jungle, believing that individuals and groups need to fight for superiority, resulting in a prejudice attitude towards outgroups, creating concern and need for protection of the higher status of Britain.  </w:t>
      </w:r>
    </w:p>
    <w:p w14:paraId="2EEDC646" w14:textId="77777777" w:rsidR="00791A70" w:rsidRPr="0022682B" w:rsidRDefault="00791A70" w:rsidP="00791A70">
      <w:pPr>
        <w:spacing w:line="480" w:lineRule="auto"/>
        <w:rPr>
          <w:rFonts w:ascii="Arial" w:hAnsi="Arial" w:cs="Arial"/>
          <w:sz w:val="24"/>
          <w:szCs w:val="24"/>
        </w:rPr>
      </w:pPr>
    </w:p>
    <w:p w14:paraId="72DC28CB" w14:textId="228FD0C8" w:rsidR="00791A70" w:rsidRPr="0022682B" w:rsidRDefault="00791A70" w:rsidP="00791A70">
      <w:pPr>
        <w:spacing w:line="480" w:lineRule="auto"/>
        <w:rPr>
          <w:rFonts w:ascii="Arial" w:hAnsi="Arial" w:cs="Arial"/>
          <w:sz w:val="24"/>
          <w:szCs w:val="24"/>
        </w:rPr>
      </w:pPr>
      <w:r w:rsidRPr="0022682B">
        <w:rPr>
          <w:rFonts w:ascii="Arial" w:hAnsi="Arial" w:cs="Arial"/>
          <w:sz w:val="24"/>
          <w:szCs w:val="24"/>
        </w:rPr>
        <w:t>Authoritarians group, are those who uphold authority and social principles and reject rebels, (</w:t>
      </w:r>
      <w:r w:rsidRPr="004928FD">
        <w:rPr>
          <w:rFonts w:ascii="Arial" w:hAnsi="Arial" w:cs="Arial"/>
          <w:sz w:val="24"/>
          <w:szCs w:val="24"/>
        </w:rPr>
        <w:t xml:space="preserve">Altemeyer, </w:t>
      </w:r>
      <w:r w:rsidRPr="0022682B">
        <w:rPr>
          <w:rFonts w:ascii="Arial" w:hAnsi="Arial" w:cs="Arial"/>
          <w:sz w:val="24"/>
          <w:szCs w:val="24"/>
        </w:rPr>
        <w:t>1988) both groups (SDO and authoritarians) have been implicated in voting for radical right wing parties because of this supposed threat from immigrants (</w:t>
      </w:r>
      <w:proofErr w:type="spellStart"/>
      <w:r w:rsidRPr="004928FD">
        <w:rPr>
          <w:rFonts w:ascii="Arial" w:hAnsi="Arial" w:cs="Arial"/>
          <w:sz w:val="24"/>
          <w:szCs w:val="24"/>
        </w:rPr>
        <w:t>Aichholzer</w:t>
      </w:r>
      <w:proofErr w:type="spellEnd"/>
      <w:r w:rsidRPr="004928FD">
        <w:rPr>
          <w:rFonts w:ascii="Arial" w:hAnsi="Arial" w:cs="Arial"/>
          <w:sz w:val="24"/>
          <w:szCs w:val="24"/>
        </w:rPr>
        <w:t xml:space="preserve"> &amp; </w:t>
      </w:r>
      <w:proofErr w:type="spellStart"/>
      <w:r w:rsidRPr="004928FD">
        <w:rPr>
          <w:rFonts w:ascii="Arial" w:hAnsi="Arial" w:cs="Arial"/>
          <w:sz w:val="24"/>
          <w:szCs w:val="24"/>
        </w:rPr>
        <w:t>Zandonella</w:t>
      </w:r>
      <w:proofErr w:type="spellEnd"/>
      <w:r w:rsidRPr="004928FD">
        <w:rPr>
          <w:rFonts w:ascii="Arial" w:hAnsi="Arial" w:cs="Arial"/>
          <w:sz w:val="24"/>
          <w:szCs w:val="24"/>
        </w:rPr>
        <w:t>, 2016</w:t>
      </w:r>
      <w:r w:rsidRPr="0022682B">
        <w:rPr>
          <w:rFonts w:ascii="Arial" w:hAnsi="Arial" w:cs="Arial"/>
          <w:sz w:val="24"/>
          <w:szCs w:val="24"/>
        </w:rPr>
        <w:t xml:space="preserve">). However, the right wing authoritarianism and SDO are linked with prejudice, it is a three faced attitude combining strong authority based submission, aggressiveness towards social deviants, support for conventionalism and a non-diverse environment </w:t>
      </w:r>
      <w:r w:rsidRPr="004928FD">
        <w:rPr>
          <w:rFonts w:ascii="Arial" w:hAnsi="Arial" w:cs="Arial"/>
          <w:sz w:val="24"/>
          <w:szCs w:val="24"/>
        </w:rPr>
        <w:t xml:space="preserve">(Altemeyer, </w:t>
      </w:r>
      <w:r w:rsidRPr="0022682B">
        <w:rPr>
          <w:rFonts w:ascii="Arial" w:hAnsi="Arial" w:cs="Arial"/>
          <w:sz w:val="24"/>
          <w:szCs w:val="24"/>
        </w:rPr>
        <w:t>1988). This brings about an attitude and belief that the world isn’t a safe plac</w:t>
      </w:r>
      <w:r>
        <w:rPr>
          <w:rFonts w:ascii="Arial" w:hAnsi="Arial" w:cs="Arial"/>
          <w:sz w:val="24"/>
          <w:szCs w:val="24"/>
        </w:rPr>
        <w:t xml:space="preserve">e, and potentially an aversion to change. </w:t>
      </w:r>
    </w:p>
    <w:p w14:paraId="0315EAE3" w14:textId="77777777" w:rsidR="00791A70" w:rsidRPr="0022682B" w:rsidRDefault="00791A70" w:rsidP="00791A70">
      <w:pPr>
        <w:spacing w:line="480" w:lineRule="auto"/>
        <w:rPr>
          <w:rFonts w:ascii="Arial" w:hAnsi="Arial" w:cs="Arial"/>
          <w:sz w:val="24"/>
          <w:szCs w:val="24"/>
        </w:rPr>
      </w:pPr>
    </w:p>
    <w:p w14:paraId="7AE0B2BF" w14:textId="77777777" w:rsidR="00791A70" w:rsidRPr="0022682B" w:rsidRDefault="00791A70" w:rsidP="00791A70">
      <w:pPr>
        <w:spacing w:line="480" w:lineRule="auto"/>
        <w:rPr>
          <w:rFonts w:ascii="Arial" w:hAnsi="Arial" w:cs="Arial"/>
          <w:sz w:val="24"/>
          <w:szCs w:val="24"/>
        </w:rPr>
      </w:pPr>
      <w:r w:rsidRPr="0022682B">
        <w:rPr>
          <w:rFonts w:ascii="Arial" w:hAnsi="Arial" w:cs="Arial"/>
          <w:sz w:val="24"/>
          <w:szCs w:val="24"/>
        </w:rPr>
        <w:t>Whilst collective narcissism (CN), another subgroup type, who believe in their nations greatness (</w:t>
      </w:r>
      <w:proofErr w:type="spellStart"/>
      <w:r w:rsidRPr="0022682B">
        <w:rPr>
          <w:rFonts w:ascii="Arial" w:hAnsi="Arial" w:cs="Arial"/>
          <w:sz w:val="24"/>
          <w:szCs w:val="24"/>
        </w:rPr>
        <w:t>Golec</w:t>
      </w:r>
      <w:proofErr w:type="spellEnd"/>
      <w:r w:rsidRPr="0022682B">
        <w:rPr>
          <w:rFonts w:ascii="Arial" w:hAnsi="Arial" w:cs="Arial"/>
          <w:sz w:val="24"/>
          <w:szCs w:val="24"/>
        </w:rPr>
        <w:t xml:space="preserve"> de Zavala, </w:t>
      </w:r>
      <w:r w:rsidRPr="0022682B">
        <w:rPr>
          <w:rFonts w:ascii="Arial" w:hAnsi="Arial" w:cs="Arial"/>
          <w:i/>
          <w:iCs/>
          <w:sz w:val="24"/>
          <w:szCs w:val="24"/>
        </w:rPr>
        <w:t>et al,</w:t>
      </w:r>
      <w:r w:rsidRPr="0022682B">
        <w:rPr>
          <w:rFonts w:ascii="Arial" w:hAnsi="Arial" w:cs="Arial"/>
          <w:sz w:val="24"/>
          <w:szCs w:val="24"/>
        </w:rPr>
        <w:t xml:space="preserve"> 2009) provide evidence of a strong rejection of outgroups more systemically than national identification or attachment (</w:t>
      </w:r>
      <w:r w:rsidRPr="004928FD">
        <w:rPr>
          <w:rFonts w:ascii="Arial" w:hAnsi="Arial" w:cs="Arial"/>
          <w:sz w:val="24"/>
          <w:szCs w:val="24"/>
        </w:rPr>
        <w:t xml:space="preserve">Hermann, </w:t>
      </w:r>
      <w:r w:rsidRPr="004928FD">
        <w:rPr>
          <w:rFonts w:ascii="Arial" w:hAnsi="Arial" w:cs="Arial"/>
          <w:i/>
          <w:iCs/>
          <w:sz w:val="24"/>
          <w:szCs w:val="24"/>
        </w:rPr>
        <w:t>et al</w:t>
      </w:r>
      <w:r w:rsidRPr="004928FD">
        <w:rPr>
          <w:rFonts w:ascii="Arial" w:hAnsi="Arial" w:cs="Arial"/>
          <w:sz w:val="24"/>
          <w:szCs w:val="24"/>
        </w:rPr>
        <w:t xml:space="preserve"> , 2009</w:t>
      </w:r>
      <w:r w:rsidRPr="0022682B">
        <w:rPr>
          <w:rFonts w:ascii="Arial" w:hAnsi="Arial" w:cs="Arial"/>
          <w:sz w:val="24"/>
          <w:szCs w:val="24"/>
        </w:rPr>
        <w:t>). Collective narcissists form a positive ingroup attitude, and are driven by prejudice and rejection of outgroups in order to ensure the ingroups safety (</w:t>
      </w:r>
      <w:proofErr w:type="spellStart"/>
      <w:r w:rsidRPr="0022682B">
        <w:rPr>
          <w:rFonts w:ascii="Arial" w:hAnsi="Arial" w:cs="Arial"/>
          <w:sz w:val="24"/>
          <w:szCs w:val="24"/>
        </w:rPr>
        <w:t>Golec</w:t>
      </w:r>
      <w:proofErr w:type="spellEnd"/>
      <w:r w:rsidRPr="0022682B">
        <w:rPr>
          <w:rFonts w:ascii="Arial" w:hAnsi="Arial" w:cs="Arial"/>
          <w:sz w:val="24"/>
          <w:szCs w:val="24"/>
        </w:rPr>
        <w:t xml:space="preserve"> de Zavala, </w:t>
      </w:r>
      <w:r w:rsidRPr="0022682B">
        <w:rPr>
          <w:rFonts w:ascii="Arial" w:hAnsi="Arial" w:cs="Arial"/>
          <w:i/>
          <w:iCs/>
          <w:sz w:val="24"/>
          <w:szCs w:val="24"/>
        </w:rPr>
        <w:t>et al,</w:t>
      </w:r>
      <w:r w:rsidRPr="0022682B">
        <w:rPr>
          <w:rFonts w:ascii="Arial" w:hAnsi="Arial" w:cs="Arial"/>
          <w:sz w:val="24"/>
          <w:szCs w:val="24"/>
        </w:rPr>
        <w:t xml:space="preserve"> 2009)</w:t>
      </w:r>
      <w:r>
        <w:rPr>
          <w:rFonts w:ascii="Arial" w:hAnsi="Arial" w:cs="Arial"/>
          <w:sz w:val="24"/>
          <w:szCs w:val="24"/>
        </w:rPr>
        <w:t>.</w:t>
      </w:r>
      <w:r w:rsidRPr="0022682B">
        <w:rPr>
          <w:rFonts w:ascii="Arial" w:hAnsi="Arial" w:cs="Arial"/>
          <w:sz w:val="24"/>
          <w:szCs w:val="24"/>
        </w:rPr>
        <w:t xml:space="preserve"> </w:t>
      </w:r>
      <w:r>
        <w:rPr>
          <w:rFonts w:ascii="Arial" w:hAnsi="Arial" w:cs="Arial"/>
          <w:sz w:val="24"/>
          <w:szCs w:val="24"/>
        </w:rPr>
        <w:t>W</w:t>
      </w:r>
      <w:r w:rsidRPr="0022682B">
        <w:rPr>
          <w:rFonts w:ascii="Arial" w:hAnsi="Arial" w:cs="Arial"/>
          <w:sz w:val="24"/>
          <w:szCs w:val="24"/>
        </w:rPr>
        <w:t xml:space="preserve">hen applied nationally, it displays as a rejection of foreigners and ethnic minorities, </w:t>
      </w:r>
      <w:r w:rsidRPr="004928FD">
        <w:rPr>
          <w:rFonts w:ascii="Arial" w:hAnsi="Arial" w:cs="Arial"/>
          <w:sz w:val="24"/>
          <w:szCs w:val="24"/>
        </w:rPr>
        <w:t xml:space="preserve">(Cai &amp; </w:t>
      </w:r>
      <w:proofErr w:type="spellStart"/>
      <w:r w:rsidRPr="004928FD">
        <w:rPr>
          <w:rFonts w:ascii="Arial" w:hAnsi="Arial" w:cs="Arial"/>
          <w:sz w:val="24"/>
          <w:szCs w:val="24"/>
        </w:rPr>
        <w:t>Gries</w:t>
      </w:r>
      <w:proofErr w:type="spellEnd"/>
      <w:r w:rsidRPr="004928FD">
        <w:rPr>
          <w:rFonts w:ascii="Arial" w:hAnsi="Arial" w:cs="Arial"/>
          <w:sz w:val="24"/>
          <w:szCs w:val="24"/>
        </w:rPr>
        <w:t xml:space="preserve">, </w:t>
      </w:r>
      <w:r w:rsidRPr="0022682B">
        <w:rPr>
          <w:rFonts w:ascii="Arial" w:hAnsi="Arial" w:cs="Arial"/>
          <w:sz w:val="24"/>
          <w:szCs w:val="24"/>
        </w:rPr>
        <w:t xml:space="preserve">2013) along with the rejection of foreigners vales and customs, as these may be perceived as undermining British sovereignty. </w:t>
      </w:r>
    </w:p>
    <w:p w14:paraId="193630A5" w14:textId="77777777" w:rsidR="00791A70" w:rsidRPr="0022682B" w:rsidRDefault="00791A70" w:rsidP="00791A70">
      <w:pPr>
        <w:spacing w:line="480" w:lineRule="auto"/>
        <w:rPr>
          <w:rFonts w:ascii="Arial" w:hAnsi="Arial" w:cs="Arial"/>
          <w:sz w:val="24"/>
          <w:szCs w:val="24"/>
        </w:rPr>
      </w:pPr>
    </w:p>
    <w:p w14:paraId="4EF4D9AC" w14:textId="667F9D2E" w:rsidR="00791A70" w:rsidRDefault="00791A70" w:rsidP="00791A70">
      <w:pPr>
        <w:spacing w:line="480" w:lineRule="auto"/>
        <w:rPr>
          <w:rFonts w:ascii="Arial" w:hAnsi="Arial" w:cs="Arial"/>
          <w:sz w:val="24"/>
          <w:szCs w:val="24"/>
        </w:rPr>
      </w:pPr>
      <w:r w:rsidRPr="0022682B">
        <w:rPr>
          <w:rFonts w:ascii="Arial" w:hAnsi="Arial" w:cs="Arial"/>
          <w:sz w:val="24"/>
          <w:szCs w:val="24"/>
        </w:rPr>
        <w:t xml:space="preserve">However, Egalitarianism, contradictory to those described above, are </w:t>
      </w:r>
      <w:r w:rsidR="003E5967">
        <w:rPr>
          <w:rFonts w:ascii="Arial" w:hAnsi="Arial" w:cs="Arial"/>
          <w:sz w:val="24"/>
          <w:szCs w:val="24"/>
        </w:rPr>
        <w:t>individuals</w:t>
      </w:r>
      <w:r w:rsidRPr="0022682B">
        <w:rPr>
          <w:rFonts w:ascii="Arial" w:hAnsi="Arial" w:cs="Arial"/>
          <w:sz w:val="24"/>
          <w:szCs w:val="24"/>
        </w:rPr>
        <w:t xml:space="preserve"> who score low on both implicit and explicit prejudice, show low bias </w:t>
      </w:r>
      <w:r w:rsidR="003E5967" w:rsidRPr="0022682B">
        <w:rPr>
          <w:rFonts w:ascii="Arial" w:hAnsi="Arial" w:cs="Arial"/>
          <w:sz w:val="24"/>
          <w:szCs w:val="24"/>
        </w:rPr>
        <w:t>concerning</w:t>
      </w:r>
      <w:r w:rsidRPr="0022682B">
        <w:rPr>
          <w:rFonts w:ascii="Arial" w:hAnsi="Arial" w:cs="Arial"/>
          <w:sz w:val="24"/>
          <w:szCs w:val="24"/>
        </w:rPr>
        <w:t xml:space="preserve"> their ingroup over the outgroup, this subgroup type </w:t>
      </w:r>
      <w:r w:rsidR="003E5967">
        <w:rPr>
          <w:rFonts w:ascii="Arial" w:hAnsi="Arial" w:cs="Arial"/>
          <w:sz w:val="24"/>
          <w:szCs w:val="24"/>
        </w:rPr>
        <w:t>display</w:t>
      </w:r>
      <w:r w:rsidRPr="0022682B">
        <w:rPr>
          <w:rFonts w:ascii="Arial" w:hAnsi="Arial" w:cs="Arial"/>
          <w:sz w:val="24"/>
          <w:szCs w:val="24"/>
        </w:rPr>
        <w:t xml:space="preserve"> empathy, and least likely to </w:t>
      </w:r>
      <w:r w:rsidRPr="0022682B">
        <w:rPr>
          <w:rFonts w:ascii="Arial" w:hAnsi="Arial" w:cs="Arial"/>
          <w:sz w:val="24"/>
          <w:szCs w:val="24"/>
        </w:rPr>
        <w:lastRenderedPageBreak/>
        <w:t xml:space="preserve">discriminate against </w:t>
      </w:r>
      <w:r w:rsidR="003E5967">
        <w:rPr>
          <w:rFonts w:ascii="Arial" w:hAnsi="Arial" w:cs="Arial"/>
          <w:sz w:val="24"/>
          <w:szCs w:val="24"/>
        </w:rPr>
        <w:t xml:space="preserve">the </w:t>
      </w:r>
      <w:r w:rsidRPr="0022682B">
        <w:rPr>
          <w:rFonts w:ascii="Arial" w:hAnsi="Arial" w:cs="Arial"/>
          <w:sz w:val="24"/>
          <w:szCs w:val="24"/>
        </w:rPr>
        <w:t xml:space="preserve">outgroup members, displaying understanding over issues that affect outgroup members (Son Hing, </w:t>
      </w:r>
      <w:r w:rsidRPr="00A002D5">
        <w:rPr>
          <w:rFonts w:ascii="Arial" w:hAnsi="Arial" w:cs="Arial"/>
          <w:i/>
          <w:iCs/>
          <w:sz w:val="24"/>
          <w:szCs w:val="24"/>
        </w:rPr>
        <w:t>et al</w:t>
      </w:r>
      <w:r w:rsidRPr="0022682B">
        <w:rPr>
          <w:rFonts w:ascii="Arial" w:hAnsi="Arial" w:cs="Arial"/>
          <w:sz w:val="24"/>
          <w:szCs w:val="24"/>
        </w:rPr>
        <w:t xml:space="preserve">, 2008). Aversive racists, who are high in implicit prejudice but low explicit prejudiced, may not be consciously aware that they hold racist attitudes, but their conative actions display their subconscious attitudes and this </w:t>
      </w:r>
      <w:r w:rsidR="003E5967">
        <w:rPr>
          <w:rFonts w:ascii="Arial" w:hAnsi="Arial" w:cs="Arial"/>
          <w:sz w:val="24"/>
          <w:szCs w:val="24"/>
        </w:rPr>
        <w:t>may</w:t>
      </w:r>
      <w:r w:rsidRPr="0022682B">
        <w:rPr>
          <w:rFonts w:ascii="Arial" w:hAnsi="Arial" w:cs="Arial"/>
          <w:sz w:val="24"/>
          <w:szCs w:val="24"/>
        </w:rPr>
        <w:t xml:space="preserve"> result in discrimination (Dovidio &amp; Gaertner, 2004). Whilst the AR </w:t>
      </w:r>
      <w:r w:rsidR="003E5967" w:rsidRPr="0022682B">
        <w:rPr>
          <w:rFonts w:ascii="Arial" w:hAnsi="Arial" w:cs="Arial"/>
          <w:sz w:val="24"/>
          <w:szCs w:val="24"/>
        </w:rPr>
        <w:t>might</w:t>
      </w:r>
      <w:r w:rsidRPr="0022682B">
        <w:rPr>
          <w:rFonts w:ascii="Arial" w:hAnsi="Arial" w:cs="Arial"/>
          <w:sz w:val="24"/>
          <w:szCs w:val="24"/>
        </w:rPr>
        <w:t xml:space="preserve"> not actively dislike other groups, it has been suggested that they would feel uneasy around them, so may avoid interacting, however i</w:t>
      </w:r>
      <w:r>
        <w:rPr>
          <w:rFonts w:ascii="Arial" w:hAnsi="Arial" w:cs="Arial"/>
          <w:sz w:val="24"/>
          <w:szCs w:val="24"/>
        </w:rPr>
        <w:t>f</w:t>
      </w:r>
      <w:r w:rsidRPr="0022682B">
        <w:rPr>
          <w:rFonts w:ascii="Arial" w:hAnsi="Arial" w:cs="Arial"/>
          <w:sz w:val="24"/>
          <w:szCs w:val="24"/>
        </w:rPr>
        <w:t xml:space="preserve"> suggested that they were racist, they would be horrified, however this is still a display of discrimination, and would have the same impact on an outgroup member (Hutchings &amp; Sullivan, 2018). </w:t>
      </w:r>
    </w:p>
    <w:p w14:paraId="224F6A03" w14:textId="77777777" w:rsidR="00791A70" w:rsidRPr="0022682B" w:rsidRDefault="00791A70" w:rsidP="00791A70">
      <w:pPr>
        <w:spacing w:line="480" w:lineRule="auto"/>
        <w:rPr>
          <w:rFonts w:ascii="Arial" w:hAnsi="Arial" w:cs="Arial"/>
          <w:sz w:val="24"/>
          <w:szCs w:val="24"/>
        </w:rPr>
      </w:pPr>
    </w:p>
    <w:p w14:paraId="5BA2B65A" w14:textId="24335F85" w:rsidR="00791A70" w:rsidRPr="0022682B" w:rsidRDefault="00791A70" w:rsidP="00791A70">
      <w:pPr>
        <w:spacing w:line="480" w:lineRule="auto"/>
        <w:rPr>
          <w:rFonts w:ascii="Arial" w:hAnsi="Arial" w:cs="Arial"/>
          <w:sz w:val="24"/>
          <w:szCs w:val="24"/>
        </w:rPr>
      </w:pPr>
      <w:r w:rsidRPr="0022682B">
        <w:rPr>
          <w:rFonts w:ascii="Arial" w:hAnsi="Arial" w:cs="Arial"/>
          <w:sz w:val="24"/>
          <w:szCs w:val="24"/>
        </w:rPr>
        <w:t>The principled conservative, another subgroup, are defined by high explicit prejudice but low on implicit prejudice. These individuals have beliefs that it is down to the individual to take responsibility for themselves, and have an issue with the state providing support to help those at a disadvantage or the outgroup, creating an unfair advantage or discrimination to the ingroup. However, no discrimination is being shown, and not all groups are equal, legal intervention concerns could be interpreted as prejudice. These subgroup types may offer an insight into whether prejudice increased the related political choices of the public that undermine diversity and harmonious intergroup relations</w:t>
      </w:r>
      <w:r>
        <w:rPr>
          <w:rFonts w:ascii="Arial" w:hAnsi="Arial" w:cs="Arial"/>
          <w:sz w:val="24"/>
          <w:szCs w:val="24"/>
        </w:rPr>
        <w:t xml:space="preserve">, and potential rejection of a more globalised community. </w:t>
      </w:r>
      <w:r>
        <w:rPr>
          <w:rFonts w:ascii="Arial" w:hAnsi="Arial" w:cs="Arial"/>
          <w:sz w:val="24"/>
          <w:szCs w:val="24"/>
        </w:rPr>
        <w:t>E</w:t>
      </w:r>
      <w:r>
        <w:rPr>
          <w:rFonts w:ascii="Arial" w:hAnsi="Arial" w:cs="Arial"/>
          <w:sz w:val="24"/>
          <w:szCs w:val="24"/>
        </w:rPr>
        <w:t>vidence provided by Hutchings &amp; Sullivan, (2018) shows that there is a significant relationship between political party preference and voting behaviour, and prejudice subtype.</w:t>
      </w:r>
    </w:p>
    <w:p w14:paraId="54F15FB4" w14:textId="77777777" w:rsidR="00AF2E65" w:rsidRPr="0022682B" w:rsidRDefault="00AF2E65" w:rsidP="00B567F8">
      <w:pPr>
        <w:spacing w:line="480" w:lineRule="auto"/>
        <w:rPr>
          <w:rFonts w:ascii="Arial" w:hAnsi="Arial" w:cs="Arial"/>
          <w:sz w:val="24"/>
          <w:szCs w:val="24"/>
        </w:rPr>
      </w:pPr>
    </w:p>
    <w:p w14:paraId="628B5771" w14:textId="24F58321" w:rsidR="0092489D" w:rsidRPr="0022682B" w:rsidRDefault="0092489D" w:rsidP="0092489D">
      <w:pPr>
        <w:spacing w:line="480" w:lineRule="auto"/>
        <w:rPr>
          <w:rFonts w:ascii="Arial" w:hAnsi="Arial" w:cs="Arial"/>
          <w:sz w:val="24"/>
          <w:szCs w:val="24"/>
        </w:rPr>
      </w:pPr>
      <w:r w:rsidRPr="0022682B">
        <w:rPr>
          <w:rFonts w:ascii="Arial" w:hAnsi="Arial" w:cs="Arial"/>
          <w:sz w:val="24"/>
          <w:szCs w:val="24"/>
        </w:rPr>
        <w:lastRenderedPageBreak/>
        <w:t>Amongst the modern economy, an increasingly diverse and rapidly changing social environment</w:t>
      </w:r>
      <w:r w:rsidR="00B3108C">
        <w:rPr>
          <w:rFonts w:ascii="Arial" w:hAnsi="Arial" w:cs="Arial"/>
          <w:sz w:val="24"/>
          <w:szCs w:val="24"/>
        </w:rPr>
        <w:t xml:space="preserve"> is developing</w:t>
      </w:r>
      <w:r w:rsidRPr="0022682B">
        <w:rPr>
          <w:rFonts w:ascii="Arial" w:hAnsi="Arial" w:cs="Arial"/>
          <w:sz w:val="24"/>
          <w:szCs w:val="24"/>
        </w:rPr>
        <w:t>,</w:t>
      </w:r>
      <w:r w:rsidR="00B3108C">
        <w:rPr>
          <w:rFonts w:ascii="Arial" w:hAnsi="Arial" w:cs="Arial"/>
          <w:sz w:val="24"/>
          <w:szCs w:val="24"/>
        </w:rPr>
        <w:t xml:space="preserve"> and</w:t>
      </w:r>
      <w:r w:rsidRPr="0022682B">
        <w:rPr>
          <w:rFonts w:ascii="Arial" w:hAnsi="Arial" w:cs="Arial"/>
          <w:sz w:val="24"/>
          <w:szCs w:val="24"/>
        </w:rPr>
        <w:t xml:space="preserve"> would appear to</w:t>
      </w:r>
      <w:r>
        <w:rPr>
          <w:rFonts w:ascii="Arial" w:hAnsi="Arial" w:cs="Arial"/>
          <w:sz w:val="24"/>
          <w:szCs w:val="24"/>
        </w:rPr>
        <w:t xml:space="preserve"> be</w:t>
      </w:r>
      <w:r w:rsidRPr="0022682B">
        <w:rPr>
          <w:rFonts w:ascii="Arial" w:hAnsi="Arial" w:cs="Arial"/>
          <w:sz w:val="24"/>
          <w:szCs w:val="24"/>
        </w:rPr>
        <w:t xml:space="preserve"> extremely difficult for some individuals to adapt and prosper </w:t>
      </w:r>
      <w:r w:rsidR="00B3108C">
        <w:rPr>
          <w:rFonts w:ascii="Arial" w:hAnsi="Arial" w:cs="Arial"/>
          <w:sz w:val="24"/>
          <w:szCs w:val="24"/>
        </w:rPr>
        <w:t>with</w:t>
      </w:r>
      <w:r w:rsidRPr="0022682B">
        <w:rPr>
          <w:rFonts w:ascii="Arial" w:hAnsi="Arial" w:cs="Arial"/>
          <w:sz w:val="24"/>
          <w:szCs w:val="24"/>
        </w:rPr>
        <w:t xml:space="preserve">in the new climate (Goodwin &amp; Heath, 2016). Various studies have shown a correlation between relative deprivation and prejudice </w:t>
      </w:r>
      <w:r w:rsidR="00A002D5" w:rsidRPr="00A002D5">
        <w:rPr>
          <w:rFonts w:ascii="Arial" w:hAnsi="Arial" w:cs="Arial"/>
          <w:noProof/>
          <w:sz w:val="24"/>
          <w:szCs w:val="24"/>
        </w:rPr>
        <w:t xml:space="preserve">(Pettigrew, </w:t>
      </w:r>
      <w:r w:rsidR="00A002D5" w:rsidRPr="00A002D5">
        <w:rPr>
          <w:rFonts w:ascii="Arial" w:hAnsi="Arial" w:cs="Arial"/>
          <w:i/>
          <w:iCs/>
          <w:noProof/>
          <w:sz w:val="24"/>
          <w:szCs w:val="24"/>
        </w:rPr>
        <w:t>et al</w:t>
      </w:r>
      <w:r w:rsidR="00A002D5">
        <w:rPr>
          <w:rFonts w:ascii="Arial" w:hAnsi="Arial" w:cs="Arial"/>
          <w:noProof/>
          <w:sz w:val="24"/>
          <w:szCs w:val="24"/>
        </w:rPr>
        <w:t xml:space="preserve">, </w:t>
      </w:r>
      <w:r w:rsidR="00A002D5" w:rsidRPr="00A002D5">
        <w:rPr>
          <w:rFonts w:ascii="Arial" w:hAnsi="Arial" w:cs="Arial"/>
          <w:noProof/>
          <w:sz w:val="24"/>
          <w:szCs w:val="24"/>
        </w:rPr>
        <w:t>2008</w:t>
      </w:r>
      <w:r w:rsidR="00D15B40">
        <w:rPr>
          <w:rFonts w:ascii="Arial" w:hAnsi="Arial" w:cs="Arial"/>
          <w:noProof/>
          <w:sz w:val="24"/>
          <w:szCs w:val="24"/>
        </w:rPr>
        <w:t>:</w:t>
      </w:r>
      <w:r w:rsidR="00F10234">
        <w:rPr>
          <w:rFonts w:ascii="Arial" w:hAnsi="Arial" w:cs="Arial"/>
          <w:noProof/>
          <w:sz w:val="24"/>
          <w:szCs w:val="24"/>
        </w:rPr>
        <w:t xml:space="preserve"> </w:t>
      </w:r>
      <w:r w:rsidR="00F10234" w:rsidRPr="00F10234">
        <w:rPr>
          <w:rFonts w:ascii="Arial" w:hAnsi="Arial" w:cs="Arial"/>
          <w:noProof/>
          <w:sz w:val="24"/>
          <w:szCs w:val="24"/>
        </w:rPr>
        <w:t>Smith,</w:t>
      </w:r>
      <w:r w:rsidR="00F10234">
        <w:rPr>
          <w:rFonts w:ascii="Arial" w:hAnsi="Arial" w:cs="Arial"/>
          <w:noProof/>
          <w:sz w:val="24"/>
          <w:szCs w:val="24"/>
        </w:rPr>
        <w:t xml:space="preserve"> </w:t>
      </w:r>
      <w:r w:rsidR="00F10234" w:rsidRPr="00F10234">
        <w:rPr>
          <w:rFonts w:ascii="Arial" w:hAnsi="Arial" w:cs="Arial"/>
          <w:noProof/>
          <w:sz w:val="24"/>
          <w:szCs w:val="24"/>
        </w:rPr>
        <w:t>&amp; Pettigrew, 2015)</w:t>
      </w:r>
      <w:r w:rsidRPr="0022682B">
        <w:rPr>
          <w:rFonts w:ascii="Arial" w:hAnsi="Arial" w:cs="Arial"/>
          <w:sz w:val="24"/>
          <w:szCs w:val="24"/>
        </w:rPr>
        <w:t xml:space="preserve"> as there are few</w:t>
      </w:r>
      <w:r w:rsidR="00B3108C">
        <w:rPr>
          <w:rFonts w:ascii="Arial" w:hAnsi="Arial" w:cs="Arial"/>
          <w:sz w:val="24"/>
          <w:szCs w:val="24"/>
        </w:rPr>
        <w:t>er</w:t>
      </w:r>
      <w:r w:rsidRPr="0022682B">
        <w:rPr>
          <w:rFonts w:ascii="Arial" w:hAnsi="Arial" w:cs="Arial"/>
          <w:sz w:val="24"/>
          <w:szCs w:val="24"/>
        </w:rPr>
        <w:t xml:space="preserve"> opportunities to get ahead. </w:t>
      </w:r>
      <w:r w:rsidR="00B3108C">
        <w:rPr>
          <w:rFonts w:ascii="Arial" w:hAnsi="Arial" w:cs="Arial"/>
          <w:sz w:val="24"/>
          <w:szCs w:val="24"/>
        </w:rPr>
        <w:t>B</w:t>
      </w:r>
      <w:r w:rsidRPr="0022682B">
        <w:rPr>
          <w:rFonts w:ascii="Arial" w:hAnsi="Arial" w:cs="Arial"/>
          <w:sz w:val="24"/>
          <w:szCs w:val="24"/>
        </w:rPr>
        <w:t xml:space="preserve">etween 2011 and 2014, nearly one-third of the UK population </w:t>
      </w:r>
      <w:r w:rsidR="003E5967">
        <w:rPr>
          <w:rFonts w:ascii="Arial" w:hAnsi="Arial" w:cs="Arial"/>
          <w:sz w:val="24"/>
          <w:szCs w:val="24"/>
        </w:rPr>
        <w:t>faced</w:t>
      </w:r>
      <w:r w:rsidRPr="0022682B">
        <w:rPr>
          <w:rFonts w:ascii="Arial" w:hAnsi="Arial" w:cs="Arial"/>
          <w:sz w:val="24"/>
          <w:szCs w:val="24"/>
        </w:rPr>
        <w:t xml:space="preserve"> relative income poverty at least once </w:t>
      </w:r>
      <w:r w:rsidRPr="0022682B">
        <w:rPr>
          <w:rFonts w:ascii="Arial" w:hAnsi="Arial" w:cs="Arial"/>
          <w:noProof/>
          <w:sz w:val="24"/>
          <w:szCs w:val="24"/>
        </w:rPr>
        <w:t>(Goodwin, &amp; Health, 2016)</w:t>
      </w:r>
      <w:r w:rsidRPr="0022682B">
        <w:rPr>
          <w:rFonts w:ascii="Arial" w:hAnsi="Arial" w:cs="Arial"/>
          <w:sz w:val="24"/>
          <w:szCs w:val="24"/>
        </w:rPr>
        <w:t xml:space="preserve">. Additionally, </w:t>
      </w:r>
      <w:r>
        <w:rPr>
          <w:rFonts w:ascii="Arial" w:hAnsi="Arial" w:cs="Arial"/>
          <w:sz w:val="24"/>
          <w:szCs w:val="24"/>
        </w:rPr>
        <w:t xml:space="preserve">on an individual-level, polling data suggests that several demographic factors have </w:t>
      </w:r>
      <w:r w:rsidR="00B3108C">
        <w:rPr>
          <w:rFonts w:ascii="Arial" w:hAnsi="Arial" w:cs="Arial"/>
          <w:sz w:val="24"/>
          <w:szCs w:val="24"/>
        </w:rPr>
        <w:t xml:space="preserve">a </w:t>
      </w:r>
      <w:r>
        <w:rPr>
          <w:rFonts w:ascii="Arial" w:hAnsi="Arial" w:cs="Arial"/>
          <w:sz w:val="24"/>
          <w:szCs w:val="24"/>
        </w:rPr>
        <w:t xml:space="preserve">significant </w:t>
      </w:r>
      <w:r w:rsidR="00B3108C">
        <w:rPr>
          <w:rFonts w:ascii="Arial" w:hAnsi="Arial" w:cs="Arial"/>
          <w:sz w:val="24"/>
          <w:szCs w:val="24"/>
        </w:rPr>
        <w:t xml:space="preserve">impact on poverty </w:t>
      </w:r>
      <w:r>
        <w:rPr>
          <w:rFonts w:ascii="Arial" w:hAnsi="Arial" w:cs="Arial"/>
          <w:sz w:val="24"/>
          <w:szCs w:val="24"/>
        </w:rPr>
        <w:t>(Ashcroft,</w:t>
      </w:r>
      <w:r w:rsidR="00F030CB">
        <w:rPr>
          <w:rFonts w:ascii="Arial" w:hAnsi="Arial" w:cs="Arial"/>
          <w:sz w:val="24"/>
          <w:szCs w:val="24"/>
        </w:rPr>
        <w:t xml:space="preserve"> &amp; </w:t>
      </w:r>
      <w:proofErr w:type="spellStart"/>
      <w:r w:rsidR="00F030CB">
        <w:rPr>
          <w:rFonts w:ascii="Arial" w:hAnsi="Arial" w:cs="Arial"/>
          <w:sz w:val="24"/>
          <w:szCs w:val="24"/>
        </w:rPr>
        <w:t>Bevir</w:t>
      </w:r>
      <w:proofErr w:type="spellEnd"/>
      <w:r w:rsidR="00F030CB">
        <w:rPr>
          <w:rFonts w:ascii="Arial" w:hAnsi="Arial" w:cs="Arial"/>
          <w:sz w:val="24"/>
          <w:szCs w:val="24"/>
        </w:rPr>
        <w:t>,</w:t>
      </w:r>
      <w:r w:rsidR="007C662D">
        <w:rPr>
          <w:rFonts w:ascii="Arial" w:hAnsi="Arial" w:cs="Arial"/>
          <w:sz w:val="24"/>
          <w:szCs w:val="24"/>
        </w:rPr>
        <w:t xml:space="preserve"> </w:t>
      </w:r>
      <w:r>
        <w:rPr>
          <w:rFonts w:ascii="Arial" w:hAnsi="Arial" w:cs="Arial"/>
          <w:sz w:val="24"/>
          <w:szCs w:val="24"/>
        </w:rPr>
        <w:t xml:space="preserve">2016). </w:t>
      </w:r>
      <w:r w:rsidRPr="0022682B">
        <w:rPr>
          <w:rFonts w:ascii="Arial" w:hAnsi="Arial" w:cs="Arial"/>
          <w:sz w:val="24"/>
          <w:szCs w:val="24"/>
        </w:rPr>
        <w:t xml:space="preserve">Goodwin &amp; Heath (2016) suggest that with their research, </w:t>
      </w:r>
      <w:r>
        <w:rPr>
          <w:rFonts w:ascii="Arial" w:hAnsi="Arial" w:cs="Arial"/>
          <w:sz w:val="24"/>
          <w:szCs w:val="24"/>
        </w:rPr>
        <w:t xml:space="preserve">the </w:t>
      </w:r>
      <w:r w:rsidRPr="0022682B">
        <w:rPr>
          <w:rFonts w:ascii="Arial" w:hAnsi="Arial" w:cs="Arial"/>
          <w:sz w:val="24"/>
          <w:szCs w:val="24"/>
        </w:rPr>
        <w:t xml:space="preserve">local authorities with larger number of resident’s containing pensioner’s, low skilled workers, and less well educated individuals, tended to show a stronger leave vote. </w:t>
      </w:r>
      <w:r>
        <w:rPr>
          <w:rFonts w:ascii="Arial" w:hAnsi="Arial" w:cs="Arial"/>
          <w:sz w:val="24"/>
          <w:szCs w:val="24"/>
        </w:rPr>
        <w:t>The</w:t>
      </w:r>
      <w:r w:rsidRPr="0022682B">
        <w:rPr>
          <w:rFonts w:ascii="Arial" w:hAnsi="Arial" w:cs="Arial"/>
          <w:sz w:val="24"/>
          <w:szCs w:val="24"/>
        </w:rPr>
        <w:t xml:space="preserve"> </w:t>
      </w:r>
      <w:r w:rsidR="005112D9">
        <w:rPr>
          <w:rFonts w:ascii="Arial" w:hAnsi="Arial" w:cs="Arial"/>
          <w:sz w:val="24"/>
          <w:szCs w:val="24"/>
        </w:rPr>
        <w:t>realist conflict Theory</w:t>
      </w:r>
      <w:r w:rsidRPr="0022682B">
        <w:rPr>
          <w:rFonts w:ascii="Arial" w:hAnsi="Arial" w:cs="Arial"/>
          <w:sz w:val="24"/>
          <w:szCs w:val="24"/>
        </w:rPr>
        <w:t xml:space="preserve"> (</w:t>
      </w:r>
      <w:r w:rsidR="00093583" w:rsidRPr="00937C0C">
        <w:rPr>
          <w:rFonts w:ascii="Arial" w:hAnsi="Arial" w:cs="Arial"/>
          <w:sz w:val="24"/>
          <w:szCs w:val="24"/>
        </w:rPr>
        <w:t>Campbell</w:t>
      </w:r>
      <w:r w:rsidR="005112D9" w:rsidRPr="00937C0C">
        <w:rPr>
          <w:rFonts w:ascii="Arial" w:hAnsi="Arial" w:cs="Arial"/>
          <w:sz w:val="24"/>
          <w:szCs w:val="24"/>
        </w:rPr>
        <w:t>, 1965</w:t>
      </w:r>
      <w:r w:rsidRPr="0022682B">
        <w:rPr>
          <w:rFonts w:ascii="Arial" w:hAnsi="Arial" w:cs="Arial"/>
          <w:sz w:val="24"/>
          <w:szCs w:val="24"/>
        </w:rPr>
        <w:t xml:space="preserve">) suggests when resources are critical amongst society, the competition with the outgroups to draw on those resources will cause an impact on individuals attitudes. </w:t>
      </w:r>
      <w:r w:rsidR="00B3108C">
        <w:rPr>
          <w:rFonts w:ascii="Arial" w:hAnsi="Arial" w:cs="Arial"/>
          <w:sz w:val="24"/>
          <w:szCs w:val="24"/>
        </w:rPr>
        <w:t xml:space="preserve">However, </w:t>
      </w:r>
      <w:r w:rsidR="00B3108C">
        <w:rPr>
          <w:rFonts w:ascii="Arial" w:hAnsi="Arial" w:cs="Arial"/>
          <w:sz w:val="24"/>
          <w:szCs w:val="24"/>
        </w:rPr>
        <w:t xml:space="preserve">according to </w:t>
      </w:r>
      <w:proofErr w:type="spellStart"/>
      <w:r w:rsidR="00B3108C">
        <w:rPr>
          <w:rFonts w:ascii="Arial" w:hAnsi="Arial" w:cs="Arial"/>
          <w:sz w:val="24"/>
          <w:szCs w:val="24"/>
        </w:rPr>
        <w:t>Dustmann</w:t>
      </w:r>
      <w:proofErr w:type="spellEnd"/>
      <w:r w:rsidR="00B3108C">
        <w:rPr>
          <w:rFonts w:ascii="Arial" w:hAnsi="Arial" w:cs="Arial"/>
          <w:sz w:val="24"/>
          <w:szCs w:val="24"/>
        </w:rPr>
        <w:t xml:space="preserve">, Frattini, &amp; </w:t>
      </w:r>
      <w:proofErr w:type="spellStart"/>
      <w:r w:rsidR="00B3108C">
        <w:rPr>
          <w:rFonts w:ascii="Arial" w:hAnsi="Arial" w:cs="Arial"/>
          <w:sz w:val="24"/>
          <w:szCs w:val="24"/>
        </w:rPr>
        <w:t>Preson</w:t>
      </w:r>
      <w:proofErr w:type="spellEnd"/>
      <w:r w:rsidR="00B3108C">
        <w:rPr>
          <w:rFonts w:ascii="Arial" w:hAnsi="Arial" w:cs="Arial"/>
          <w:sz w:val="24"/>
          <w:szCs w:val="24"/>
        </w:rPr>
        <w:t xml:space="preserve">, </w:t>
      </w:r>
      <w:r w:rsidR="00B3108C">
        <w:rPr>
          <w:rFonts w:ascii="Arial" w:hAnsi="Arial" w:cs="Arial"/>
          <w:sz w:val="24"/>
          <w:szCs w:val="24"/>
        </w:rPr>
        <w:t>(</w:t>
      </w:r>
      <w:r w:rsidR="00B3108C">
        <w:rPr>
          <w:rFonts w:ascii="Arial" w:hAnsi="Arial" w:cs="Arial"/>
          <w:sz w:val="24"/>
          <w:szCs w:val="24"/>
        </w:rPr>
        <w:t>201</w:t>
      </w:r>
      <w:r w:rsidR="00E97E5A">
        <w:rPr>
          <w:rFonts w:ascii="Arial" w:hAnsi="Arial" w:cs="Arial"/>
          <w:sz w:val="24"/>
          <w:szCs w:val="24"/>
        </w:rPr>
        <w:t>2</w:t>
      </w:r>
      <w:r w:rsidR="00B3108C">
        <w:rPr>
          <w:rFonts w:ascii="Arial" w:hAnsi="Arial" w:cs="Arial"/>
          <w:sz w:val="24"/>
          <w:szCs w:val="24"/>
        </w:rPr>
        <w:t>),</w:t>
      </w:r>
      <w:r w:rsidR="00B3108C">
        <w:rPr>
          <w:rFonts w:ascii="Arial" w:hAnsi="Arial" w:cs="Arial"/>
          <w:sz w:val="24"/>
          <w:szCs w:val="24"/>
        </w:rPr>
        <w:t xml:space="preserve"> </w:t>
      </w:r>
      <w:r w:rsidR="00B3108C">
        <w:rPr>
          <w:rFonts w:ascii="Arial" w:hAnsi="Arial" w:cs="Arial"/>
          <w:sz w:val="24"/>
          <w:szCs w:val="24"/>
        </w:rPr>
        <w:t>immigration only has modest and usually positive effect on the wages of natives</w:t>
      </w:r>
      <w:r w:rsidR="00B3108C">
        <w:rPr>
          <w:rFonts w:ascii="Arial" w:hAnsi="Arial" w:cs="Arial"/>
          <w:sz w:val="24"/>
          <w:szCs w:val="24"/>
        </w:rPr>
        <w:t xml:space="preserve">. </w:t>
      </w:r>
    </w:p>
    <w:p w14:paraId="16A67D71" w14:textId="77777777" w:rsidR="0092489D" w:rsidRPr="0022682B" w:rsidRDefault="0092489D" w:rsidP="0092489D">
      <w:pPr>
        <w:spacing w:line="480" w:lineRule="auto"/>
        <w:rPr>
          <w:rFonts w:ascii="Arial" w:hAnsi="Arial" w:cs="Arial"/>
          <w:color w:val="FF0000"/>
          <w:sz w:val="24"/>
          <w:szCs w:val="24"/>
        </w:rPr>
      </w:pPr>
    </w:p>
    <w:p w14:paraId="399EF899" w14:textId="77777777" w:rsidR="00866A5F" w:rsidRPr="00F865F1" w:rsidRDefault="0092489D" w:rsidP="00866A5F">
      <w:pPr>
        <w:spacing w:line="480" w:lineRule="auto"/>
        <w:rPr>
          <w:rFonts w:ascii="Arial" w:hAnsi="Arial" w:cs="Arial"/>
          <w:sz w:val="24"/>
          <w:szCs w:val="24"/>
        </w:rPr>
      </w:pPr>
      <w:r w:rsidRPr="0022682B">
        <w:rPr>
          <w:rFonts w:ascii="Arial" w:hAnsi="Arial" w:cs="Arial"/>
          <w:sz w:val="24"/>
          <w:szCs w:val="24"/>
        </w:rPr>
        <w:t>Goodwin &amp; Heaths (2016) study suggests that pensioners, and low skilled workers were the groups that would be affected most by the countries welfare and internal stability. Households that earned less than £20,000 per year or those aged 65 and over, and whilst age received a lot of attention during the campaign, 65 year olds were reported to have 31% higher vote than 18-24 year olds to leave</w:t>
      </w:r>
      <w:r w:rsidRPr="00F865F1">
        <w:rPr>
          <w:rFonts w:ascii="Arial" w:hAnsi="Arial" w:cs="Arial"/>
          <w:color w:val="00B0F0"/>
          <w:sz w:val="24"/>
          <w:szCs w:val="24"/>
        </w:rPr>
        <w:t>.</w:t>
      </w:r>
      <w:r>
        <w:rPr>
          <w:rFonts w:ascii="Arial" w:hAnsi="Arial" w:cs="Arial"/>
          <w:color w:val="00B0F0"/>
          <w:sz w:val="24"/>
          <w:szCs w:val="24"/>
        </w:rPr>
        <w:t xml:space="preserve"> </w:t>
      </w:r>
      <w:r w:rsidRPr="000644DB">
        <w:rPr>
          <w:rFonts w:ascii="Arial" w:hAnsi="Arial" w:cs="Arial"/>
          <w:sz w:val="24"/>
          <w:szCs w:val="24"/>
        </w:rPr>
        <w:t xml:space="preserve">Contradictory to this, </w:t>
      </w:r>
      <w:r>
        <w:rPr>
          <w:rFonts w:ascii="Arial" w:hAnsi="Arial" w:cs="Arial"/>
          <w:sz w:val="24"/>
          <w:szCs w:val="24"/>
        </w:rPr>
        <w:t>Ruyter &amp; Nielsen (2018)</w:t>
      </w:r>
      <w:r w:rsidRPr="000644DB">
        <w:rPr>
          <w:rFonts w:ascii="Arial" w:hAnsi="Arial" w:cs="Arial"/>
          <w:sz w:val="24"/>
          <w:szCs w:val="24"/>
        </w:rPr>
        <w:t xml:space="preserve"> study provides evidence that the proportion of over 65 year olds, </w:t>
      </w:r>
      <w:r w:rsidR="001D0222">
        <w:rPr>
          <w:rFonts w:ascii="Arial" w:hAnsi="Arial" w:cs="Arial"/>
          <w:sz w:val="24"/>
          <w:szCs w:val="24"/>
        </w:rPr>
        <w:t xml:space="preserve">had </w:t>
      </w:r>
      <w:r w:rsidRPr="000644DB">
        <w:rPr>
          <w:rFonts w:ascii="Arial" w:hAnsi="Arial" w:cs="Arial"/>
          <w:sz w:val="24"/>
          <w:szCs w:val="24"/>
        </w:rPr>
        <w:t>no significant</w:t>
      </w:r>
      <w:r w:rsidR="001D0222">
        <w:rPr>
          <w:rFonts w:ascii="Arial" w:hAnsi="Arial" w:cs="Arial"/>
          <w:sz w:val="24"/>
          <w:szCs w:val="24"/>
        </w:rPr>
        <w:t xml:space="preserve"> effect on voting, after controlling other factors such </w:t>
      </w:r>
      <w:r w:rsidR="001D0222">
        <w:rPr>
          <w:rFonts w:ascii="Arial" w:hAnsi="Arial" w:cs="Arial"/>
          <w:sz w:val="24"/>
          <w:szCs w:val="24"/>
        </w:rPr>
        <w:lastRenderedPageBreak/>
        <w:t xml:space="preserve">as </w:t>
      </w:r>
      <w:r w:rsidR="00AF2E65">
        <w:rPr>
          <w:rFonts w:ascii="Arial" w:hAnsi="Arial" w:cs="Arial"/>
          <w:sz w:val="24"/>
          <w:szCs w:val="24"/>
        </w:rPr>
        <w:t xml:space="preserve">lower </w:t>
      </w:r>
      <w:r w:rsidR="001D0222">
        <w:rPr>
          <w:rFonts w:ascii="Arial" w:hAnsi="Arial" w:cs="Arial"/>
          <w:sz w:val="24"/>
          <w:szCs w:val="24"/>
        </w:rPr>
        <w:t>education</w:t>
      </w:r>
      <w:r w:rsidRPr="000644DB">
        <w:rPr>
          <w:rFonts w:ascii="Arial" w:hAnsi="Arial" w:cs="Arial"/>
          <w:sz w:val="24"/>
          <w:szCs w:val="24"/>
        </w:rPr>
        <w:t xml:space="preserve">. </w:t>
      </w:r>
      <w:r w:rsidR="00866A5F">
        <w:rPr>
          <w:rFonts w:ascii="Arial" w:hAnsi="Arial" w:cs="Arial"/>
          <w:sz w:val="24"/>
          <w:szCs w:val="24"/>
        </w:rPr>
        <w:t xml:space="preserve">This may suggest that education levels are pivotal for individuals to feel that they have the necessary skills to cope with the adapting environment. </w:t>
      </w:r>
    </w:p>
    <w:p w14:paraId="4539DFB7" w14:textId="77777777" w:rsidR="00866A5F" w:rsidRDefault="00866A5F" w:rsidP="0092489D">
      <w:pPr>
        <w:spacing w:line="480" w:lineRule="auto"/>
        <w:rPr>
          <w:rFonts w:ascii="Arial" w:hAnsi="Arial" w:cs="Arial"/>
          <w:sz w:val="24"/>
          <w:szCs w:val="24"/>
        </w:rPr>
      </w:pPr>
    </w:p>
    <w:p w14:paraId="0C272767" w14:textId="53F76A77" w:rsidR="0092489D" w:rsidRPr="00F865F1" w:rsidRDefault="0092489D" w:rsidP="0092489D">
      <w:pPr>
        <w:spacing w:line="480" w:lineRule="auto"/>
        <w:rPr>
          <w:rFonts w:ascii="Arial" w:hAnsi="Arial" w:cs="Arial"/>
          <w:sz w:val="24"/>
          <w:szCs w:val="24"/>
        </w:rPr>
      </w:pPr>
      <w:r w:rsidRPr="000644DB">
        <w:rPr>
          <w:rFonts w:ascii="Arial" w:hAnsi="Arial" w:cs="Arial"/>
          <w:sz w:val="24"/>
          <w:szCs w:val="24"/>
        </w:rPr>
        <w:t xml:space="preserve">Therefore, if individuals </w:t>
      </w:r>
      <w:r w:rsidR="00866A5F">
        <w:rPr>
          <w:rFonts w:ascii="Arial" w:hAnsi="Arial" w:cs="Arial"/>
          <w:sz w:val="24"/>
          <w:szCs w:val="24"/>
        </w:rPr>
        <w:t>should</w:t>
      </w:r>
      <w:r w:rsidRPr="000644DB">
        <w:rPr>
          <w:rFonts w:ascii="Arial" w:hAnsi="Arial" w:cs="Arial"/>
          <w:sz w:val="24"/>
          <w:szCs w:val="24"/>
        </w:rPr>
        <w:t xml:space="preserve"> be </w:t>
      </w:r>
      <w:r w:rsidR="0040488B">
        <w:rPr>
          <w:rFonts w:ascii="Arial" w:hAnsi="Arial" w:cs="Arial"/>
          <w:sz w:val="24"/>
          <w:szCs w:val="24"/>
        </w:rPr>
        <w:t>concerned</w:t>
      </w:r>
      <w:r w:rsidRPr="000644DB">
        <w:rPr>
          <w:rFonts w:ascii="Arial" w:hAnsi="Arial" w:cs="Arial"/>
          <w:sz w:val="24"/>
          <w:szCs w:val="24"/>
        </w:rPr>
        <w:t xml:space="preserve"> by the economic downturn of Brexit as suggested by the </w:t>
      </w:r>
      <w:r>
        <w:rPr>
          <w:rFonts w:ascii="Arial" w:hAnsi="Arial" w:cs="Arial"/>
          <w:sz w:val="24"/>
          <w:szCs w:val="24"/>
        </w:rPr>
        <w:t>labour party, why were there so many in the majority leave group, and</w:t>
      </w:r>
      <w:r w:rsidRPr="00F865F1">
        <w:rPr>
          <w:rFonts w:ascii="Arial" w:hAnsi="Arial" w:cs="Arial"/>
          <w:color w:val="00B0F0"/>
          <w:sz w:val="24"/>
          <w:szCs w:val="24"/>
        </w:rPr>
        <w:t xml:space="preserve"> </w:t>
      </w:r>
      <w:r>
        <w:rPr>
          <w:rFonts w:ascii="Arial" w:hAnsi="Arial" w:cs="Arial"/>
          <w:sz w:val="24"/>
          <w:szCs w:val="24"/>
        </w:rPr>
        <w:t>c</w:t>
      </w:r>
      <w:r w:rsidRPr="00F865F1">
        <w:rPr>
          <w:rFonts w:ascii="Arial" w:hAnsi="Arial" w:cs="Arial"/>
          <w:sz w:val="24"/>
          <w:szCs w:val="24"/>
        </w:rPr>
        <w:t>ontradictory</w:t>
      </w:r>
      <w:r>
        <w:rPr>
          <w:rFonts w:ascii="Arial" w:hAnsi="Arial" w:cs="Arial"/>
          <w:sz w:val="24"/>
          <w:szCs w:val="24"/>
        </w:rPr>
        <w:t xml:space="preserve">, to the </w:t>
      </w:r>
      <w:r w:rsidRPr="00F865F1">
        <w:rPr>
          <w:rFonts w:ascii="Arial" w:hAnsi="Arial" w:cs="Arial"/>
          <w:sz w:val="24"/>
          <w:szCs w:val="24"/>
        </w:rPr>
        <w:t xml:space="preserve">1975 </w:t>
      </w:r>
      <w:r>
        <w:rPr>
          <w:rFonts w:ascii="Arial" w:hAnsi="Arial" w:cs="Arial"/>
          <w:sz w:val="24"/>
          <w:szCs w:val="24"/>
        </w:rPr>
        <w:t xml:space="preserve">referendum which </w:t>
      </w:r>
      <w:r w:rsidRPr="00F865F1">
        <w:rPr>
          <w:rFonts w:ascii="Arial" w:hAnsi="Arial" w:cs="Arial"/>
          <w:sz w:val="24"/>
          <w:szCs w:val="24"/>
        </w:rPr>
        <w:t xml:space="preserve">obtained a 67% remain vote </w:t>
      </w:r>
      <w:r>
        <w:rPr>
          <w:rFonts w:ascii="Arial" w:hAnsi="Arial" w:cs="Arial"/>
          <w:sz w:val="24"/>
          <w:szCs w:val="24"/>
        </w:rPr>
        <w:t xml:space="preserve">in comparison </w:t>
      </w:r>
      <w:r w:rsidRPr="00F865F1">
        <w:rPr>
          <w:rFonts w:ascii="Arial" w:hAnsi="Arial" w:cs="Arial"/>
          <w:sz w:val="24"/>
          <w:szCs w:val="24"/>
        </w:rPr>
        <w:t>to the 2016 referendum,</w:t>
      </w:r>
      <w:r>
        <w:rPr>
          <w:rFonts w:ascii="Arial" w:hAnsi="Arial" w:cs="Arial"/>
          <w:sz w:val="24"/>
          <w:szCs w:val="24"/>
        </w:rPr>
        <w:t xml:space="preserve"> which obtained a 48% remain vote</w:t>
      </w:r>
      <w:r w:rsidRPr="00F865F1">
        <w:rPr>
          <w:rFonts w:ascii="Arial" w:hAnsi="Arial" w:cs="Arial"/>
          <w:sz w:val="24"/>
          <w:szCs w:val="24"/>
        </w:rPr>
        <w:t xml:space="preserve"> (</w:t>
      </w:r>
      <w:proofErr w:type="spellStart"/>
      <w:r w:rsidRPr="00F865F1">
        <w:rPr>
          <w:rFonts w:ascii="Arial" w:hAnsi="Arial" w:cs="Arial"/>
          <w:sz w:val="24"/>
          <w:szCs w:val="24"/>
        </w:rPr>
        <w:t>Hobolt</w:t>
      </w:r>
      <w:proofErr w:type="spellEnd"/>
      <w:r w:rsidRPr="00F865F1">
        <w:rPr>
          <w:rFonts w:ascii="Arial" w:hAnsi="Arial" w:cs="Arial"/>
          <w:sz w:val="24"/>
          <w:szCs w:val="24"/>
        </w:rPr>
        <w:t>, 2016)</w:t>
      </w:r>
      <w:r>
        <w:rPr>
          <w:rFonts w:ascii="Arial" w:hAnsi="Arial" w:cs="Arial"/>
          <w:sz w:val="24"/>
          <w:szCs w:val="24"/>
        </w:rPr>
        <w:t xml:space="preserve">. </w:t>
      </w:r>
      <w:r w:rsidR="00866A5F">
        <w:rPr>
          <w:rFonts w:ascii="Arial" w:hAnsi="Arial" w:cs="Arial"/>
          <w:sz w:val="24"/>
          <w:szCs w:val="24"/>
        </w:rPr>
        <w:t xml:space="preserve">However, Butler and Kitzinger (1976) warned against interpreting the remain vote as a broader public support for European membership. Additionally, What had caused the change of attitude during this time. One suggestion by </w:t>
      </w:r>
      <w:r w:rsidR="00137734" w:rsidRPr="00137734">
        <w:rPr>
          <w:rFonts w:ascii="Arial" w:hAnsi="Arial" w:cs="Arial"/>
          <w:noProof/>
          <w:sz w:val="24"/>
          <w:szCs w:val="24"/>
        </w:rPr>
        <w:t>Swami</w:t>
      </w:r>
      <w:r w:rsidR="00137734" w:rsidRPr="00137734">
        <w:rPr>
          <w:rFonts w:ascii="Arial" w:hAnsi="Arial" w:cs="Arial"/>
          <w:i/>
          <w:iCs/>
          <w:noProof/>
          <w:sz w:val="24"/>
          <w:szCs w:val="24"/>
        </w:rPr>
        <w:t>, et al,</w:t>
      </w:r>
      <w:r w:rsidR="00137734">
        <w:rPr>
          <w:rFonts w:ascii="Arial" w:hAnsi="Arial" w:cs="Arial"/>
          <w:noProof/>
          <w:sz w:val="24"/>
          <w:szCs w:val="24"/>
        </w:rPr>
        <w:t xml:space="preserve"> (</w:t>
      </w:r>
      <w:r w:rsidR="00137734" w:rsidRPr="00137734">
        <w:rPr>
          <w:rFonts w:ascii="Arial" w:hAnsi="Arial" w:cs="Arial"/>
          <w:noProof/>
          <w:sz w:val="24"/>
          <w:szCs w:val="24"/>
        </w:rPr>
        <w:t>2018)</w:t>
      </w:r>
      <w:r w:rsidR="00137734">
        <w:rPr>
          <w:rFonts w:ascii="Arial" w:hAnsi="Arial" w:cs="Arial"/>
          <w:noProof/>
          <w:sz w:val="24"/>
          <w:szCs w:val="24"/>
        </w:rPr>
        <w:t xml:space="preserve"> </w:t>
      </w:r>
      <w:r w:rsidR="00866A5F">
        <w:rPr>
          <w:rFonts w:ascii="Arial" w:hAnsi="Arial" w:cs="Arial"/>
          <w:sz w:val="24"/>
          <w:szCs w:val="24"/>
        </w:rPr>
        <w:t xml:space="preserve">is the perceived threat from Muslims. Islamophobia in addition to </w:t>
      </w:r>
      <w:r w:rsidR="008C5CCF">
        <w:rPr>
          <w:rFonts w:ascii="Arial" w:hAnsi="Arial" w:cs="Arial"/>
          <w:sz w:val="24"/>
          <w:szCs w:val="24"/>
        </w:rPr>
        <w:t xml:space="preserve">outgroup treat may have also created a stronger ingroup identification amongst Britain’s. Islamophobic conspiracy theory suggests that Europe is becoming Islamised due to mass migration. This was particularly mobilised during the campaigns leading up to the referendum to raise concerns about boarder control. </w:t>
      </w:r>
    </w:p>
    <w:p w14:paraId="551F5B9B" w14:textId="77777777" w:rsidR="0092489D" w:rsidRPr="0022682B" w:rsidRDefault="0092489D" w:rsidP="0092489D">
      <w:pPr>
        <w:spacing w:line="480" w:lineRule="auto"/>
        <w:rPr>
          <w:rFonts w:ascii="Arial" w:hAnsi="Arial" w:cs="Arial"/>
          <w:sz w:val="24"/>
          <w:szCs w:val="24"/>
        </w:rPr>
      </w:pPr>
    </w:p>
    <w:p w14:paraId="671908E3" w14:textId="6F1EE5BA" w:rsidR="00D40735" w:rsidRDefault="0092489D" w:rsidP="00B567F8">
      <w:pPr>
        <w:spacing w:line="480" w:lineRule="auto"/>
        <w:rPr>
          <w:rFonts w:ascii="Arial" w:hAnsi="Arial" w:cs="Arial"/>
          <w:sz w:val="24"/>
          <w:szCs w:val="24"/>
        </w:rPr>
      </w:pPr>
      <w:r w:rsidRPr="0022682B">
        <w:rPr>
          <w:rFonts w:ascii="Arial" w:hAnsi="Arial" w:cs="Arial"/>
          <w:sz w:val="24"/>
          <w:szCs w:val="24"/>
        </w:rPr>
        <w:t xml:space="preserve">Furthermore, </w:t>
      </w:r>
      <w:r>
        <w:rPr>
          <w:rFonts w:ascii="Arial" w:hAnsi="Arial" w:cs="Arial"/>
          <w:sz w:val="24"/>
          <w:szCs w:val="24"/>
        </w:rPr>
        <w:t xml:space="preserve">it was revealed that </w:t>
      </w:r>
      <w:r w:rsidRPr="0022682B">
        <w:rPr>
          <w:rFonts w:ascii="Arial" w:hAnsi="Arial" w:cs="Arial"/>
          <w:sz w:val="24"/>
          <w:szCs w:val="24"/>
        </w:rPr>
        <w:t xml:space="preserve">education levels are important, as this created a 30% increase for those who were at GCSE level and below, in comparison to those at degree level and above. In areas that have higher educated individuals and were classed as being able to prosper by having the advantage of being a skilled worker and able to take advantage of new opportunities, higher educated people provided the highest support for the remain vote </w:t>
      </w:r>
      <w:r w:rsidRPr="0022682B">
        <w:rPr>
          <w:rFonts w:ascii="Arial" w:hAnsi="Arial" w:cs="Arial"/>
          <w:noProof/>
          <w:sz w:val="24"/>
          <w:szCs w:val="24"/>
        </w:rPr>
        <w:t>(Goodwin, &amp; Health, 2016)</w:t>
      </w:r>
      <w:r w:rsidRPr="0022682B">
        <w:rPr>
          <w:rFonts w:ascii="Arial" w:hAnsi="Arial" w:cs="Arial"/>
          <w:sz w:val="24"/>
          <w:szCs w:val="24"/>
        </w:rPr>
        <w:t xml:space="preserve">. </w:t>
      </w:r>
      <w:r w:rsidRPr="000644DB">
        <w:rPr>
          <w:rFonts w:ascii="Arial" w:hAnsi="Arial" w:cs="Arial"/>
          <w:sz w:val="24"/>
          <w:szCs w:val="24"/>
        </w:rPr>
        <w:t xml:space="preserve">Contradictory to this, </w:t>
      </w:r>
      <w:r>
        <w:rPr>
          <w:rFonts w:ascii="Arial" w:hAnsi="Arial" w:cs="Arial"/>
          <w:sz w:val="24"/>
          <w:szCs w:val="24"/>
        </w:rPr>
        <w:t>Ruyter &amp; Nielsen (2018)</w:t>
      </w:r>
      <w:r w:rsidRPr="000644DB">
        <w:rPr>
          <w:rFonts w:ascii="Arial" w:hAnsi="Arial" w:cs="Arial"/>
          <w:sz w:val="24"/>
          <w:szCs w:val="24"/>
        </w:rPr>
        <w:t xml:space="preserve"> study provides evidence that</w:t>
      </w:r>
      <w:r>
        <w:rPr>
          <w:rFonts w:ascii="Arial" w:hAnsi="Arial" w:cs="Arial"/>
          <w:sz w:val="24"/>
          <w:szCs w:val="24"/>
        </w:rPr>
        <w:t xml:space="preserve"> </w:t>
      </w:r>
      <w:r w:rsidRPr="000644DB">
        <w:rPr>
          <w:rFonts w:ascii="Arial" w:hAnsi="Arial" w:cs="Arial"/>
          <w:sz w:val="24"/>
          <w:szCs w:val="24"/>
        </w:rPr>
        <w:t xml:space="preserve">and those </w:t>
      </w:r>
      <w:r>
        <w:rPr>
          <w:rFonts w:ascii="Arial" w:hAnsi="Arial" w:cs="Arial"/>
          <w:sz w:val="24"/>
          <w:szCs w:val="24"/>
        </w:rPr>
        <w:t>who obtained</w:t>
      </w:r>
      <w:r w:rsidRPr="000644DB">
        <w:rPr>
          <w:rFonts w:ascii="Arial" w:hAnsi="Arial" w:cs="Arial"/>
          <w:sz w:val="24"/>
          <w:szCs w:val="24"/>
        </w:rPr>
        <w:t xml:space="preserve"> A-level</w:t>
      </w:r>
      <w:r>
        <w:rPr>
          <w:rFonts w:ascii="Arial" w:hAnsi="Arial" w:cs="Arial"/>
          <w:sz w:val="24"/>
          <w:szCs w:val="24"/>
        </w:rPr>
        <w:t>s</w:t>
      </w:r>
      <w:r w:rsidRPr="000644DB">
        <w:rPr>
          <w:rFonts w:ascii="Arial" w:hAnsi="Arial" w:cs="Arial"/>
          <w:sz w:val="24"/>
          <w:szCs w:val="24"/>
        </w:rPr>
        <w:t xml:space="preserve"> and those that left school at 16 years old w</w:t>
      </w:r>
      <w:r>
        <w:rPr>
          <w:rFonts w:ascii="Arial" w:hAnsi="Arial" w:cs="Arial"/>
          <w:sz w:val="24"/>
          <w:szCs w:val="24"/>
        </w:rPr>
        <w:t>ere</w:t>
      </w:r>
      <w:r w:rsidRPr="000644DB">
        <w:rPr>
          <w:rFonts w:ascii="Arial" w:hAnsi="Arial" w:cs="Arial"/>
          <w:sz w:val="24"/>
          <w:szCs w:val="24"/>
        </w:rPr>
        <w:t xml:space="preserve"> also not significant</w:t>
      </w:r>
      <w:r>
        <w:rPr>
          <w:rFonts w:ascii="Arial" w:hAnsi="Arial" w:cs="Arial"/>
          <w:sz w:val="24"/>
          <w:szCs w:val="24"/>
        </w:rPr>
        <w:t xml:space="preserve">. </w:t>
      </w:r>
      <w:r w:rsidR="00AF2E65">
        <w:rPr>
          <w:rFonts w:ascii="Arial" w:hAnsi="Arial" w:cs="Arial"/>
          <w:sz w:val="24"/>
          <w:szCs w:val="24"/>
        </w:rPr>
        <w:t xml:space="preserve">This </w:t>
      </w:r>
      <w:r w:rsidR="00AF2E65">
        <w:rPr>
          <w:rFonts w:ascii="Arial" w:hAnsi="Arial" w:cs="Arial"/>
          <w:sz w:val="24"/>
          <w:szCs w:val="24"/>
        </w:rPr>
        <w:lastRenderedPageBreak/>
        <w:t xml:space="preserve">would suggest again that education plays an important role for individuals to adopt a more liberal attitude. </w:t>
      </w:r>
    </w:p>
    <w:p w14:paraId="0F5FF8E0" w14:textId="77777777" w:rsidR="00E97E5A" w:rsidRPr="0022682B" w:rsidRDefault="00E97E5A" w:rsidP="00B567F8">
      <w:pPr>
        <w:spacing w:line="480" w:lineRule="auto"/>
        <w:rPr>
          <w:rFonts w:ascii="Arial" w:hAnsi="Arial" w:cs="Arial"/>
          <w:sz w:val="24"/>
          <w:szCs w:val="24"/>
        </w:rPr>
      </w:pPr>
    </w:p>
    <w:p w14:paraId="6EEA9CA6" w14:textId="2209BBB0" w:rsidR="00F25D1F" w:rsidRPr="0022682B" w:rsidRDefault="00B9471C" w:rsidP="00B567F8">
      <w:pPr>
        <w:spacing w:line="480" w:lineRule="auto"/>
        <w:rPr>
          <w:rFonts w:ascii="Arial" w:hAnsi="Arial" w:cs="Arial"/>
          <w:sz w:val="24"/>
          <w:szCs w:val="24"/>
        </w:rPr>
      </w:pPr>
      <w:r w:rsidRPr="0022682B">
        <w:rPr>
          <w:rFonts w:ascii="Arial" w:hAnsi="Arial" w:cs="Arial"/>
          <w:sz w:val="24"/>
          <w:szCs w:val="24"/>
        </w:rPr>
        <w:t>In conclusion, w</w:t>
      </w:r>
      <w:r w:rsidR="00F25D1F" w:rsidRPr="0022682B">
        <w:rPr>
          <w:rFonts w:ascii="Arial" w:hAnsi="Arial" w:cs="Arial"/>
          <w:sz w:val="24"/>
          <w:szCs w:val="24"/>
        </w:rPr>
        <w:t xml:space="preserve">hat this shows is that </w:t>
      </w:r>
      <w:r w:rsidR="007A631C" w:rsidRPr="0022682B">
        <w:rPr>
          <w:rFonts w:ascii="Arial" w:hAnsi="Arial" w:cs="Arial"/>
          <w:sz w:val="24"/>
          <w:szCs w:val="24"/>
        </w:rPr>
        <w:t xml:space="preserve">the </w:t>
      </w:r>
      <w:r w:rsidR="00F25D1F" w:rsidRPr="0022682B">
        <w:rPr>
          <w:rFonts w:ascii="Arial" w:hAnsi="Arial" w:cs="Arial"/>
          <w:sz w:val="24"/>
          <w:szCs w:val="24"/>
        </w:rPr>
        <w:t xml:space="preserve">people who tended to fall in </w:t>
      </w:r>
      <w:r w:rsidR="007A631C" w:rsidRPr="0022682B">
        <w:rPr>
          <w:rFonts w:ascii="Arial" w:hAnsi="Arial" w:cs="Arial"/>
          <w:sz w:val="24"/>
          <w:szCs w:val="24"/>
        </w:rPr>
        <w:t xml:space="preserve">to </w:t>
      </w:r>
      <w:r w:rsidR="00F25D1F" w:rsidRPr="0022682B">
        <w:rPr>
          <w:rFonts w:ascii="Arial" w:hAnsi="Arial" w:cs="Arial"/>
          <w:sz w:val="24"/>
          <w:szCs w:val="24"/>
        </w:rPr>
        <w:t xml:space="preserve">the higher age bracket </w:t>
      </w:r>
      <w:r w:rsidR="007A631C" w:rsidRPr="0022682B">
        <w:rPr>
          <w:rFonts w:ascii="Arial" w:hAnsi="Arial" w:cs="Arial"/>
          <w:sz w:val="24"/>
          <w:szCs w:val="24"/>
        </w:rPr>
        <w:t xml:space="preserve">of </w:t>
      </w:r>
      <w:r w:rsidR="00F25D1F" w:rsidRPr="0022682B">
        <w:rPr>
          <w:rFonts w:ascii="Arial" w:hAnsi="Arial" w:cs="Arial"/>
          <w:sz w:val="24"/>
          <w:szCs w:val="24"/>
        </w:rPr>
        <w:t xml:space="preserve">65 and over and those with lower education levels, that live in places with more deprived areas with less </w:t>
      </w:r>
      <w:r w:rsidR="007A631C" w:rsidRPr="0022682B">
        <w:rPr>
          <w:rFonts w:ascii="Arial" w:hAnsi="Arial" w:cs="Arial"/>
          <w:sz w:val="24"/>
          <w:szCs w:val="24"/>
        </w:rPr>
        <w:t xml:space="preserve">job </w:t>
      </w:r>
      <w:r w:rsidR="00F25D1F" w:rsidRPr="0022682B">
        <w:rPr>
          <w:rFonts w:ascii="Arial" w:hAnsi="Arial" w:cs="Arial"/>
          <w:sz w:val="24"/>
          <w:szCs w:val="24"/>
        </w:rPr>
        <w:t xml:space="preserve">opportunities tend to hold more conservative views, and held more support for the vote to leave. There was a divide between classes, </w:t>
      </w:r>
      <w:r w:rsidR="008958A6" w:rsidRPr="0022682B">
        <w:rPr>
          <w:rFonts w:ascii="Arial" w:hAnsi="Arial" w:cs="Arial"/>
          <w:sz w:val="24"/>
          <w:szCs w:val="24"/>
        </w:rPr>
        <w:t xml:space="preserve">of </w:t>
      </w:r>
      <w:r w:rsidR="00F25D1F" w:rsidRPr="0022682B">
        <w:rPr>
          <w:rFonts w:ascii="Arial" w:hAnsi="Arial" w:cs="Arial"/>
          <w:sz w:val="24"/>
          <w:szCs w:val="24"/>
        </w:rPr>
        <w:t>those who have higher education</w:t>
      </w:r>
      <w:r w:rsidR="007A631C" w:rsidRPr="0022682B">
        <w:rPr>
          <w:rFonts w:ascii="Arial" w:hAnsi="Arial" w:cs="Arial"/>
          <w:sz w:val="24"/>
          <w:szCs w:val="24"/>
        </w:rPr>
        <w:t>, are able to have</w:t>
      </w:r>
      <w:r w:rsidR="00F25D1F" w:rsidRPr="0022682B">
        <w:rPr>
          <w:rFonts w:ascii="Arial" w:hAnsi="Arial" w:cs="Arial"/>
          <w:sz w:val="24"/>
          <w:szCs w:val="24"/>
        </w:rPr>
        <w:t xml:space="preserve"> </w:t>
      </w:r>
      <w:r w:rsidR="008958A6" w:rsidRPr="0022682B">
        <w:rPr>
          <w:rFonts w:ascii="Arial" w:hAnsi="Arial" w:cs="Arial"/>
          <w:sz w:val="24"/>
          <w:szCs w:val="24"/>
        </w:rPr>
        <w:t xml:space="preserve">better </w:t>
      </w:r>
      <w:r w:rsidR="00F25D1F" w:rsidRPr="0022682B">
        <w:rPr>
          <w:rFonts w:ascii="Arial" w:hAnsi="Arial" w:cs="Arial"/>
          <w:sz w:val="24"/>
          <w:szCs w:val="24"/>
        </w:rPr>
        <w:t>job prospects</w:t>
      </w:r>
      <w:r w:rsidR="007A631C" w:rsidRPr="0022682B">
        <w:rPr>
          <w:rFonts w:ascii="Arial" w:hAnsi="Arial" w:cs="Arial"/>
          <w:sz w:val="24"/>
          <w:szCs w:val="24"/>
        </w:rPr>
        <w:t>, and</w:t>
      </w:r>
      <w:r w:rsidR="00F25D1F" w:rsidRPr="0022682B">
        <w:rPr>
          <w:rFonts w:ascii="Arial" w:hAnsi="Arial" w:cs="Arial"/>
          <w:sz w:val="24"/>
          <w:szCs w:val="24"/>
        </w:rPr>
        <w:t xml:space="preserve"> tended to hold more liberal views, </w:t>
      </w:r>
      <w:r w:rsidR="007A631C" w:rsidRPr="0022682B">
        <w:rPr>
          <w:rFonts w:ascii="Arial" w:hAnsi="Arial" w:cs="Arial"/>
          <w:sz w:val="24"/>
          <w:szCs w:val="24"/>
        </w:rPr>
        <w:t>these people</w:t>
      </w:r>
      <w:r w:rsidR="00F25D1F" w:rsidRPr="0022682B">
        <w:rPr>
          <w:rFonts w:ascii="Arial" w:hAnsi="Arial" w:cs="Arial"/>
          <w:sz w:val="24"/>
          <w:szCs w:val="24"/>
        </w:rPr>
        <w:t xml:space="preserve"> voted to remain within the E.U. (Kaufman, </w:t>
      </w:r>
      <w:r w:rsidR="00AA640B" w:rsidRPr="0022682B">
        <w:rPr>
          <w:rFonts w:ascii="Arial" w:hAnsi="Arial" w:cs="Arial"/>
          <w:sz w:val="24"/>
          <w:szCs w:val="24"/>
        </w:rPr>
        <w:t>2016</w:t>
      </w:r>
      <w:r w:rsidR="00F25D1F" w:rsidRPr="0022682B">
        <w:rPr>
          <w:rFonts w:ascii="Arial" w:hAnsi="Arial" w:cs="Arial"/>
          <w:sz w:val="24"/>
          <w:szCs w:val="24"/>
        </w:rPr>
        <w:t>)</w:t>
      </w:r>
      <w:r w:rsidR="008958A6" w:rsidRPr="0022682B">
        <w:rPr>
          <w:rFonts w:ascii="Arial" w:hAnsi="Arial" w:cs="Arial"/>
          <w:sz w:val="24"/>
          <w:szCs w:val="24"/>
        </w:rPr>
        <w:t>. W</w:t>
      </w:r>
      <w:r w:rsidR="00174098" w:rsidRPr="0022682B">
        <w:rPr>
          <w:rFonts w:ascii="Arial" w:hAnsi="Arial" w:cs="Arial"/>
          <w:sz w:val="24"/>
          <w:szCs w:val="24"/>
        </w:rPr>
        <w:t xml:space="preserve">hat this </w:t>
      </w:r>
      <w:r w:rsidR="007A631C" w:rsidRPr="0022682B">
        <w:rPr>
          <w:rFonts w:ascii="Arial" w:hAnsi="Arial" w:cs="Arial"/>
          <w:sz w:val="24"/>
          <w:szCs w:val="24"/>
        </w:rPr>
        <w:t xml:space="preserve">also </w:t>
      </w:r>
      <w:r w:rsidR="00174098" w:rsidRPr="0022682B">
        <w:rPr>
          <w:rFonts w:ascii="Arial" w:hAnsi="Arial" w:cs="Arial"/>
          <w:sz w:val="24"/>
          <w:szCs w:val="24"/>
        </w:rPr>
        <w:t>shows is that income and poverty do matter, being able to adapt and prosper in a new climate</w:t>
      </w:r>
      <w:r w:rsidR="008958A6" w:rsidRPr="0022682B">
        <w:rPr>
          <w:rFonts w:ascii="Arial" w:hAnsi="Arial" w:cs="Arial"/>
          <w:sz w:val="24"/>
          <w:szCs w:val="24"/>
        </w:rPr>
        <w:t xml:space="preserve"> is vital</w:t>
      </w:r>
      <w:r w:rsidR="00174098" w:rsidRPr="0022682B">
        <w:rPr>
          <w:rFonts w:ascii="Arial" w:hAnsi="Arial" w:cs="Arial"/>
          <w:sz w:val="24"/>
          <w:szCs w:val="24"/>
        </w:rPr>
        <w:t xml:space="preserve">, and education plays a large role in giving people the tools they need in achieving this, otherwise the divide causes people to feel “left behind” creating an ingroup and outgroup dynamic. </w:t>
      </w:r>
    </w:p>
    <w:p w14:paraId="6A722541" w14:textId="77777777" w:rsidR="00715B60" w:rsidRPr="0022682B" w:rsidRDefault="00715B60" w:rsidP="00B567F8">
      <w:pPr>
        <w:spacing w:line="480" w:lineRule="auto"/>
        <w:rPr>
          <w:rFonts w:ascii="Arial" w:hAnsi="Arial" w:cs="Arial"/>
          <w:sz w:val="24"/>
          <w:szCs w:val="24"/>
        </w:rPr>
      </w:pPr>
    </w:p>
    <w:p w14:paraId="7971022F" w14:textId="4DEB9C83" w:rsidR="00174098" w:rsidRDefault="00174098" w:rsidP="00B567F8">
      <w:pPr>
        <w:spacing w:line="480" w:lineRule="auto"/>
        <w:rPr>
          <w:rFonts w:ascii="Arial" w:hAnsi="Arial" w:cs="Arial"/>
          <w:sz w:val="24"/>
          <w:szCs w:val="24"/>
        </w:rPr>
      </w:pPr>
      <w:r w:rsidRPr="0022682B">
        <w:rPr>
          <w:rFonts w:ascii="Arial" w:hAnsi="Arial" w:cs="Arial"/>
          <w:sz w:val="24"/>
          <w:szCs w:val="24"/>
        </w:rPr>
        <w:t xml:space="preserve">The </w:t>
      </w:r>
      <w:r w:rsidR="003455A9" w:rsidRPr="0022682B">
        <w:rPr>
          <w:rFonts w:ascii="Arial" w:hAnsi="Arial" w:cs="Arial"/>
          <w:sz w:val="24"/>
          <w:szCs w:val="24"/>
        </w:rPr>
        <w:t>referendum</w:t>
      </w:r>
      <w:r w:rsidRPr="0022682B">
        <w:rPr>
          <w:rFonts w:ascii="Arial" w:hAnsi="Arial" w:cs="Arial"/>
          <w:sz w:val="24"/>
          <w:szCs w:val="24"/>
        </w:rPr>
        <w:t xml:space="preserve"> actually exposed </w:t>
      </w:r>
      <w:r w:rsidR="00EF2E53" w:rsidRPr="0022682B">
        <w:rPr>
          <w:rFonts w:ascii="Arial" w:hAnsi="Arial" w:cs="Arial"/>
          <w:sz w:val="24"/>
          <w:szCs w:val="24"/>
        </w:rPr>
        <w:t xml:space="preserve">and expressed </w:t>
      </w:r>
      <w:r w:rsidRPr="0022682B">
        <w:rPr>
          <w:rFonts w:ascii="Arial" w:hAnsi="Arial" w:cs="Arial"/>
          <w:sz w:val="24"/>
          <w:szCs w:val="24"/>
        </w:rPr>
        <w:t>the</w:t>
      </w:r>
      <w:r w:rsidR="003455A9" w:rsidRPr="0022682B">
        <w:rPr>
          <w:rFonts w:ascii="Arial" w:hAnsi="Arial" w:cs="Arial"/>
          <w:sz w:val="24"/>
          <w:szCs w:val="24"/>
        </w:rPr>
        <w:t xml:space="preserve"> geographical and national divide that is currently </w:t>
      </w:r>
      <w:r w:rsidR="007A631C" w:rsidRPr="0022682B">
        <w:rPr>
          <w:rFonts w:ascii="Arial" w:hAnsi="Arial" w:cs="Arial"/>
          <w:sz w:val="24"/>
          <w:szCs w:val="24"/>
        </w:rPr>
        <w:t>with</w:t>
      </w:r>
      <w:r w:rsidR="003455A9" w:rsidRPr="0022682B">
        <w:rPr>
          <w:rFonts w:ascii="Arial" w:hAnsi="Arial" w:cs="Arial"/>
          <w:sz w:val="24"/>
          <w:szCs w:val="24"/>
        </w:rPr>
        <w:t>in Britain</w:t>
      </w:r>
      <w:r w:rsidR="007A631C" w:rsidRPr="0022682B">
        <w:rPr>
          <w:rFonts w:ascii="Arial" w:hAnsi="Arial" w:cs="Arial"/>
          <w:sz w:val="24"/>
          <w:szCs w:val="24"/>
        </w:rPr>
        <w:t>, a</w:t>
      </w:r>
      <w:r w:rsidR="00964CA0" w:rsidRPr="0022682B">
        <w:rPr>
          <w:rFonts w:ascii="Arial" w:hAnsi="Arial" w:cs="Arial"/>
          <w:sz w:val="24"/>
          <w:szCs w:val="24"/>
        </w:rPr>
        <w:t>nd perpetuated the ingroup</w:t>
      </w:r>
      <w:r w:rsidR="007A631C" w:rsidRPr="0022682B">
        <w:rPr>
          <w:rFonts w:ascii="Arial" w:hAnsi="Arial" w:cs="Arial"/>
          <w:sz w:val="24"/>
          <w:szCs w:val="24"/>
        </w:rPr>
        <w:t>/</w:t>
      </w:r>
      <w:r w:rsidR="00964CA0" w:rsidRPr="0022682B">
        <w:rPr>
          <w:rFonts w:ascii="Arial" w:hAnsi="Arial" w:cs="Arial"/>
          <w:sz w:val="24"/>
          <w:szCs w:val="24"/>
        </w:rPr>
        <w:t xml:space="preserve">outgroup </w:t>
      </w:r>
      <w:r w:rsidR="007A631C" w:rsidRPr="0022682B">
        <w:rPr>
          <w:rFonts w:ascii="Arial" w:hAnsi="Arial" w:cs="Arial"/>
          <w:sz w:val="24"/>
          <w:szCs w:val="24"/>
        </w:rPr>
        <w:t xml:space="preserve">theory </w:t>
      </w:r>
      <w:r w:rsidR="00791A70">
        <w:rPr>
          <w:rFonts w:ascii="Arial" w:hAnsi="Arial" w:cs="Arial"/>
          <w:sz w:val="24"/>
          <w:szCs w:val="24"/>
        </w:rPr>
        <w:t xml:space="preserve">as it would appear, or as we investigate </w:t>
      </w:r>
      <w:r w:rsidR="00791A70">
        <w:rPr>
          <w:rFonts w:ascii="Arial" w:hAnsi="Arial" w:cs="Arial"/>
          <w:sz w:val="24"/>
          <w:szCs w:val="24"/>
        </w:rPr>
        <w:t>the importance of subgroup types</w:t>
      </w:r>
      <w:r w:rsidR="00791A70">
        <w:rPr>
          <w:rFonts w:ascii="Arial" w:hAnsi="Arial" w:cs="Arial"/>
          <w:sz w:val="24"/>
          <w:szCs w:val="24"/>
        </w:rPr>
        <w:t xml:space="preserve">, was the referendum a way for individuals to display a </w:t>
      </w:r>
      <w:r w:rsidR="00791A70">
        <w:rPr>
          <w:rFonts w:ascii="Arial" w:hAnsi="Arial" w:cs="Arial"/>
          <w:sz w:val="24"/>
          <w:szCs w:val="24"/>
        </w:rPr>
        <w:t xml:space="preserve">modern </w:t>
      </w:r>
      <w:r w:rsidR="00791A70">
        <w:rPr>
          <w:rFonts w:ascii="Arial" w:hAnsi="Arial" w:cs="Arial"/>
          <w:sz w:val="24"/>
          <w:szCs w:val="24"/>
        </w:rPr>
        <w:t xml:space="preserve">type of </w:t>
      </w:r>
      <w:r w:rsidR="00791A70">
        <w:rPr>
          <w:rFonts w:ascii="Arial" w:hAnsi="Arial" w:cs="Arial"/>
          <w:sz w:val="24"/>
          <w:szCs w:val="24"/>
        </w:rPr>
        <w:t>prejudice</w:t>
      </w:r>
      <w:r w:rsidR="00791A70">
        <w:rPr>
          <w:rFonts w:ascii="Arial" w:hAnsi="Arial" w:cs="Arial"/>
          <w:sz w:val="24"/>
          <w:szCs w:val="24"/>
        </w:rPr>
        <w:t>.</w:t>
      </w:r>
      <w:r w:rsidR="00791A70">
        <w:rPr>
          <w:rFonts w:ascii="Arial" w:hAnsi="Arial" w:cs="Arial"/>
          <w:sz w:val="24"/>
          <w:szCs w:val="24"/>
        </w:rPr>
        <w:t xml:space="preserve"> </w:t>
      </w:r>
      <w:r w:rsidR="00791A70">
        <w:rPr>
          <w:rFonts w:ascii="Arial" w:hAnsi="Arial" w:cs="Arial"/>
          <w:sz w:val="24"/>
          <w:szCs w:val="24"/>
        </w:rPr>
        <w:t>A</w:t>
      </w:r>
      <w:r w:rsidR="00791A70">
        <w:rPr>
          <w:rFonts w:ascii="Arial" w:hAnsi="Arial" w:cs="Arial"/>
          <w:sz w:val="24"/>
          <w:szCs w:val="24"/>
        </w:rPr>
        <w:t xml:space="preserve">re these </w:t>
      </w:r>
      <w:r w:rsidR="00791A70">
        <w:rPr>
          <w:rFonts w:ascii="Arial" w:hAnsi="Arial" w:cs="Arial"/>
          <w:sz w:val="24"/>
          <w:szCs w:val="24"/>
        </w:rPr>
        <w:t>prejudices</w:t>
      </w:r>
      <w:r w:rsidR="00791A70">
        <w:rPr>
          <w:rFonts w:ascii="Arial" w:hAnsi="Arial" w:cs="Arial"/>
          <w:sz w:val="24"/>
          <w:szCs w:val="24"/>
        </w:rPr>
        <w:t xml:space="preserve"> </w:t>
      </w:r>
      <w:r w:rsidR="00791A70">
        <w:rPr>
          <w:rFonts w:ascii="Arial" w:hAnsi="Arial" w:cs="Arial"/>
          <w:sz w:val="24"/>
          <w:szCs w:val="24"/>
        </w:rPr>
        <w:t xml:space="preserve">being expressed less explicitly </w:t>
      </w:r>
      <w:r w:rsidR="00791A70">
        <w:rPr>
          <w:rFonts w:ascii="Arial" w:hAnsi="Arial" w:cs="Arial"/>
          <w:sz w:val="24"/>
          <w:szCs w:val="24"/>
        </w:rPr>
        <w:t>due to fear of punishment</w:t>
      </w:r>
      <w:r w:rsidR="00791A70">
        <w:rPr>
          <w:rFonts w:ascii="Arial" w:hAnsi="Arial" w:cs="Arial"/>
          <w:sz w:val="24"/>
          <w:szCs w:val="24"/>
        </w:rPr>
        <w:t xml:space="preserve"> and being socially unacceptable, rightly so</w:t>
      </w:r>
      <w:r w:rsidR="00571B4E">
        <w:rPr>
          <w:rFonts w:ascii="Arial" w:hAnsi="Arial" w:cs="Arial"/>
          <w:sz w:val="24"/>
          <w:szCs w:val="24"/>
        </w:rPr>
        <w:t>, it is not the holding of a stereotype that is important, but the endorsement of them that matters</w:t>
      </w:r>
      <w:r w:rsidR="007A631C" w:rsidRPr="0022682B">
        <w:rPr>
          <w:rFonts w:ascii="Arial" w:hAnsi="Arial" w:cs="Arial"/>
          <w:sz w:val="24"/>
          <w:szCs w:val="24"/>
        </w:rPr>
        <w:t xml:space="preserve">. </w:t>
      </w:r>
      <w:r w:rsidR="00EF2E53" w:rsidRPr="0022682B">
        <w:rPr>
          <w:rFonts w:ascii="Arial" w:hAnsi="Arial" w:cs="Arial"/>
          <w:sz w:val="24"/>
          <w:szCs w:val="24"/>
        </w:rPr>
        <w:t xml:space="preserve">However, </w:t>
      </w:r>
      <w:r w:rsidR="00791A70">
        <w:rPr>
          <w:rFonts w:ascii="Arial" w:hAnsi="Arial" w:cs="Arial"/>
          <w:sz w:val="24"/>
          <w:szCs w:val="24"/>
        </w:rPr>
        <w:t xml:space="preserve">this theory is hard to prove, and </w:t>
      </w:r>
      <w:r w:rsidR="00571B4E">
        <w:rPr>
          <w:rFonts w:ascii="Arial" w:hAnsi="Arial" w:cs="Arial"/>
          <w:sz w:val="24"/>
          <w:szCs w:val="24"/>
        </w:rPr>
        <w:t xml:space="preserve">furthermore </w:t>
      </w:r>
      <w:r w:rsidR="00EF2E53" w:rsidRPr="0022682B">
        <w:rPr>
          <w:rFonts w:ascii="Arial" w:hAnsi="Arial" w:cs="Arial"/>
          <w:sz w:val="24"/>
          <w:szCs w:val="24"/>
        </w:rPr>
        <w:t>t</w:t>
      </w:r>
      <w:r w:rsidR="007A631C" w:rsidRPr="0022682B">
        <w:rPr>
          <w:rFonts w:ascii="Arial" w:hAnsi="Arial" w:cs="Arial"/>
          <w:sz w:val="24"/>
          <w:szCs w:val="24"/>
        </w:rPr>
        <w:t xml:space="preserve">his is not only </w:t>
      </w:r>
      <w:r w:rsidR="00EF2E53" w:rsidRPr="0022682B">
        <w:rPr>
          <w:rFonts w:ascii="Arial" w:hAnsi="Arial" w:cs="Arial"/>
          <w:sz w:val="24"/>
          <w:szCs w:val="24"/>
        </w:rPr>
        <w:t xml:space="preserve">occurring </w:t>
      </w:r>
      <w:r w:rsidR="007A631C" w:rsidRPr="0022682B">
        <w:rPr>
          <w:rFonts w:ascii="Arial" w:hAnsi="Arial" w:cs="Arial"/>
          <w:sz w:val="24"/>
          <w:szCs w:val="24"/>
        </w:rPr>
        <w:t xml:space="preserve">within Britain but throughout other countries within the E.U. </w:t>
      </w:r>
      <w:r w:rsidR="00571B4E">
        <w:rPr>
          <w:rFonts w:ascii="Arial" w:hAnsi="Arial" w:cs="Arial"/>
          <w:sz w:val="24"/>
          <w:szCs w:val="24"/>
        </w:rPr>
        <w:t>A</w:t>
      </w:r>
      <w:r w:rsidR="007A631C" w:rsidRPr="0022682B">
        <w:rPr>
          <w:rFonts w:ascii="Arial" w:hAnsi="Arial" w:cs="Arial"/>
          <w:sz w:val="24"/>
          <w:szCs w:val="24"/>
        </w:rPr>
        <w:t xml:space="preserve">s the Eurosceptics parties are growing in strength, there has been a move away from the days where the ‘ordinary, decent people’ have failed to be </w:t>
      </w:r>
      <w:r w:rsidR="007A631C" w:rsidRPr="0022682B">
        <w:rPr>
          <w:rFonts w:ascii="Arial" w:hAnsi="Arial" w:cs="Arial"/>
          <w:sz w:val="24"/>
          <w:szCs w:val="24"/>
        </w:rPr>
        <w:lastRenderedPageBreak/>
        <w:t>heard by the political establishment</w:t>
      </w:r>
      <w:r w:rsidR="00B6789A" w:rsidRPr="0022682B">
        <w:rPr>
          <w:rFonts w:ascii="Arial" w:hAnsi="Arial" w:cs="Arial"/>
          <w:sz w:val="24"/>
          <w:szCs w:val="24"/>
        </w:rPr>
        <w:t xml:space="preserve">, with no regard </w:t>
      </w:r>
      <w:r w:rsidR="00FA36BE">
        <w:rPr>
          <w:rFonts w:ascii="Arial" w:hAnsi="Arial" w:cs="Arial"/>
          <w:sz w:val="24"/>
          <w:szCs w:val="24"/>
        </w:rPr>
        <w:t>for</w:t>
      </w:r>
      <w:r w:rsidR="00B6789A" w:rsidRPr="0022682B">
        <w:rPr>
          <w:rFonts w:ascii="Arial" w:hAnsi="Arial" w:cs="Arial"/>
          <w:sz w:val="24"/>
          <w:szCs w:val="24"/>
        </w:rPr>
        <w:t xml:space="preserve"> the public</w:t>
      </w:r>
      <w:r w:rsidR="007A631C" w:rsidRPr="0022682B">
        <w:rPr>
          <w:rFonts w:ascii="Arial" w:hAnsi="Arial" w:cs="Arial"/>
          <w:sz w:val="24"/>
          <w:szCs w:val="24"/>
        </w:rPr>
        <w:t xml:space="preserve">. </w:t>
      </w:r>
      <w:r w:rsidR="00EF2E53" w:rsidRPr="0022682B">
        <w:rPr>
          <w:rFonts w:ascii="Arial" w:hAnsi="Arial" w:cs="Arial"/>
          <w:sz w:val="24"/>
          <w:szCs w:val="24"/>
        </w:rPr>
        <w:t>F</w:t>
      </w:r>
      <w:r w:rsidR="00571B4E">
        <w:rPr>
          <w:rFonts w:ascii="Arial" w:hAnsi="Arial" w:cs="Arial"/>
          <w:sz w:val="24"/>
          <w:szCs w:val="24"/>
        </w:rPr>
        <w:t>inally</w:t>
      </w:r>
      <w:r w:rsidR="007A631C" w:rsidRPr="0022682B">
        <w:rPr>
          <w:rFonts w:ascii="Arial" w:hAnsi="Arial" w:cs="Arial"/>
          <w:sz w:val="24"/>
          <w:szCs w:val="24"/>
        </w:rPr>
        <w:t>, the reasons behind peoples choices may not be as straight forward as explained</w:t>
      </w:r>
      <w:r w:rsidR="00DB56DB" w:rsidRPr="0022682B">
        <w:rPr>
          <w:rFonts w:ascii="Arial" w:hAnsi="Arial" w:cs="Arial"/>
          <w:sz w:val="24"/>
          <w:szCs w:val="24"/>
        </w:rPr>
        <w:t xml:space="preserve">, and the European leaders need to find a way of acknowledging the concerns of many people who have not felt the benefit of belonging to the E.U. for free trade and globalisation, and those who feel that the national culture and identity is under treat from immigrants. </w:t>
      </w:r>
    </w:p>
    <w:p w14:paraId="62E02F72" w14:textId="4D890ACB" w:rsidR="00C005CE" w:rsidRDefault="00C005CE" w:rsidP="00B567F8">
      <w:pPr>
        <w:spacing w:line="480" w:lineRule="auto"/>
        <w:rPr>
          <w:rFonts w:ascii="Arial" w:hAnsi="Arial" w:cs="Arial"/>
          <w:sz w:val="24"/>
          <w:szCs w:val="24"/>
        </w:rPr>
      </w:pPr>
    </w:p>
    <w:p w14:paraId="1D6FFA8B" w14:textId="6BEB7671" w:rsidR="00C005CE" w:rsidRDefault="00C005CE" w:rsidP="00B567F8">
      <w:pPr>
        <w:spacing w:line="480" w:lineRule="auto"/>
        <w:rPr>
          <w:rFonts w:ascii="Arial" w:hAnsi="Arial" w:cs="Arial"/>
          <w:sz w:val="24"/>
          <w:szCs w:val="24"/>
        </w:rPr>
      </w:pPr>
    </w:p>
    <w:p w14:paraId="432BC5FC" w14:textId="015734FC" w:rsidR="00C005CE" w:rsidRDefault="00C005CE" w:rsidP="00B567F8">
      <w:pPr>
        <w:spacing w:line="480" w:lineRule="auto"/>
        <w:rPr>
          <w:rFonts w:ascii="Arial" w:hAnsi="Arial" w:cs="Arial"/>
          <w:sz w:val="24"/>
          <w:szCs w:val="24"/>
        </w:rPr>
      </w:pPr>
    </w:p>
    <w:p w14:paraId="09985242" w14:textId="339875FC" w:rsidR="00C005CE" w:rsidRDefault="00C005CE" w:rsidP="00B567F8">
      <w:pPr>
        <w:spacing w:line="480" w:lineRule="auto"/>
        <w:rPr>
          <w:rFonts w:ascii="Arial" w:hAnsi="Arial" w:cs="Arial"/>
          <w:sz w:val="24"/>
          <w:szCs w:val="24"/>
        </w:rPr>
      </w:pPr>
    </w:p>
    <w:p w14:paraId="7AF318E0" w14:textId="5B0E4724" w:rsidR="00C005CE" w:rsidRDefault="00C005CE" w:rsidP="00B567F8">
      <w:pPr>
        <w:spacing w:line="480" w:lineRule="auto"/>
        <w:rPr>
          <w:rFonts w:ascii="Arial" w:hAnsi="Arial" w:cs="Arial"/>
          <w:sz w:val="24"/>
          <w:szCs w:val="24"/>
        </w:rPr>
      </w:pPr>
    </w:p>
    <w:p w14:paraId="4DCC18C1" w14:textId="29DE7470" w:rsidR="00C005CE" w:rsidRDefault="00C005CE" w:rsidP="00B567F8">
      <w:pPr>
        <w:spacing w:line="480" w:lineRule="auto"/>
        <w:rPr>
          <w:rFonts w:ascii="Arial" w:hAnsi="Arial" w:cs="Arial"/>
          <w:sz w:val="24"/>
          <w:szCs w:val="24"/>
        </w:rPr>
      </w:pPr>
    </w:p>
    <w:p w14:paraId="5625BBBC" w14:textId="00A00D58" w:rsidR="00C005CE" w:rsidRDefault="00C005CE" w:rsidP="00B567F8">
      <w:pPr>
        <w:spacing w:line="480" w:lineRule="auto"/>
        <w:rPr>
          <w:rFonts w:ascii="Arial" w:hAnsi="Arial" w:cs="Arial"/>
          <w:sz w:val="24"/>
          <w:szCs w:val="24"/>
        </w:rPr>
      </w:pPr>
    </w:p>
    <w:p w14:paraId="172C879E" w14:textId="225B770B" w:rsidR="00C005CE" w:rsidRDefault="00C005CE" w:rsidP="00B567F8">
      <w:pPr>
        <w:spacing w:line="480" w:lineRule="auto"/>
        <w:rPr>
          <w:rFonts w:ascii="Arial" w:hAnsi="Arial" w:cs="Arial"/>
          <w:sz w:val="24"/>
          <w:szCs w:val="24"/>
        </w:rPr>
      </w:pPr>
    </w:p>
    <w:p w14:paraId="29F29A48" w14:textId="5B157D9B" w:rsidR="00C005CE" w:rsidRDefault="00C005CE" w:rsidP="00B567F8">
      <w:pPr>
        <w:spacing w:line="480" w:lineRule="auto"/>
        <w:rPr>
          <w:rFonts w:ascii="Arial" w:hAnsi="Arial" w:cs="Arial"/>
          <w:sz w:val="24"/>
          <w:szCs w:val="24"/>
        </w:rPr>
      </w:pPr>
    </w:p>
    <w:p w14:paraId="62808367" w14:textId="773DF1B6" w:rsidR="00C005CE" w:rsidRDefault="00C005CE" w:rsidP="00B567F8">
      <w:pPr>
        <w:spacing w:line="480" w:lineRule="auto"/>
        <w:rPr>
          <w:rFonts w:ascii="Arial" w:hAnsi="Arial" w:cs="Arial"/>
          <w:sz w:val="24"/>
          <w:szCs w:val="24"/>
        </w:rPr>
      </w:pPr>
    </w:p>
    <w:p w14:paraId="1E6ED785" w14:textId="1D4EBB4C" w:rsidR="00C005CE" w:rsidRDefault="00C005CE" w:rsidP="00B567F8">
      <w:pPr>
        <w:spacing w:line="480" w:lineRule="auto"/>
        <w:rPr>
          <w:rFonts w:ascii="Arial" w:hAnsi="Arial" w:cs="Arial"/>
          <w:sz w:val="24"/>
          <w:szCs w:val="24"/>
        </w:rPr>
      </w:pPr>
    </w:p>
    <w:p w14:paraId="70740C00" w14:textId="2EFD6173" w:rsidR="00C005CE" w:rsidRDefault="00C005CE" w:rsidP="00B567F8">
      <w:pPr>
        <w:spacing w:line="480" w:lineRule="auto"/>
        <w:rPr>
          <w:rFonts w:ascii="Arial" w:hAnsi="Arial" w:cs="Arial"/>
          <w:sz w:val="24"/>
          <w:szCs w:val="24"/>
        </w:rPr>
      </w:pPr>
    </w:p>
    <w:p w14:paraId="49903F96" w14:textId="3DE429EB" w:rsidR="00C005CE" w:rsidRDefault="00C005CE" w:rsidP="00B567F8">
      <w:pPr>
        <w:spacing w:line="480" w:lineRule="auto"/>
        <w:rPr>
          <w:rFonts w:ascii="Arial" w:hAnsi="Arial" w:cs="Arial"/>
          <w:sz w:val="24"/>
          <w:szCs w:val="24"/>
        </w:rPr>
      </w:pPr>
    </w:p>
    <w:p w14:paraId="752900B2" w14:textId="24F5D6A1" w:rsidR="00C005CE" w:rsidRDefault="00C005CE" w:rsidP="00E97E5A">
      <w:pPr>
        <w:pStyle w:val="Heading1"/>
      </w:pPr>
    </w:p>
    <w:p w14:paraId="0637AA05" w14:textId="208238E4" w:rsidR="0053064F" w:rsidRDefault="0053064F" w:rsidP="0053064F">
      <w:pPr>
        <w:rPr>
          <w:lang w:val="en-US"/>
        </w:rPr>
      </w:pPr>
    </w:p>
    <w:p w14:paraId="3ECD49B6" w14:textId="64919E83" w:rsidR="0053064F" w:rsidRDefault="0053064F" w:rsidP="0053064F">
      <w:pPr>
        <w:rPr>
          <w:lang w:val="en-US"/>
        </w:rPr>
      </w:pPr>
    </w:p>
    <w:sdt>
      <w:sdtPr>
        <w:id w:val="47272236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31B5FA4" w14:textId="2C2121B3" w:rsidR="0053064F" w:rsidRDefault="0053064F">
          <w:pPr>
            <w:pStyle w:val="Heading1"/>
          </w:pPr>
          <w:r>
            <w:t>References</w:t>
          </w:r>
        </w:p>
        <w:sdt>
          <w:sdtPr>
            <w:id w:val="-573587230"/>
            <w:bibliography/>
          </w:sdtPr>
          <w:sdtContent>
            <w:p w14:paraId="6A6686C2" w14:textId="77777777" w:rsidR="0053064F" w:rsidRDefault="0053064F" w:rsidP="0053064F">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Aichholzer, J., &amp; Zandonella, M. (2016). Psychological bases of support for radical right parties. </w:t>
              </w:r>
              <w:r>
                <w:rPr>
                  <w:i/>
                  <w:iCs/>
                  <w:noProof/>
                  <w:lang w:val="en-US"/>
                </w:rPr>
                <w:t>Personality and Individual Differences</w:t>
              </w:r>
              <w:r>
                <w:rPr>
                  <w:noProof/>
                  <w:lang w:val="en-US"/>
                </w:rPr>
                <w:t>, 96, 185-190.</w:t>
              </w:r>
            </w:p>
            <w:p w14:paraId="7A4CA301" w14:textId="77777777" w:rsidR="0053064F" w:rsidRDefault="0053064F" w:rsidP="0053064F">
              <w:pPr>
                <w:pStyle w:val="Bibliography"/>
                <w:ind w:left="720" w:hanging="720"/>
                <w:rPr>
                  <w:noProof/>
                  <w:lang w:val="en-US"/>
                </w:rPr>
              </w:pPr>
              <w:r>
                <w:rPr>
                  <w:noProof/>
                  <w:lang w:val="en-US"/>
                </w:rPr>
                <w:t xml:space="preserve">Altemeyer, B. (1988). </w:t>
              </w:r>
              <w:r>
                <w:rPr>
                  <w:i/>
                  <w:iCs/>
                  <w:noProof/>
                  <w:lang w:val="en-US"/>
                </w:rPr>
                <w:t>Enimies of freedom: understanding right-wing authoritarianism. .</w:t>
              </w:r>
              <w:r>
                <w:rPr>
                  <w:noProof/>
                  <w:lang w:val="en-US"/>
                </w:rPr>
                <w:t xml:space="preserve"> San Fransisco: CA: Jossey-Bass.</w:t>
              </w:r>
            </w:p>
            <w:p w14:paraId="69165818" w14:textId="77777777" w:rsidR="0053064F" w:rsidRDefault="0053064F" w:rsidP="0053064F">
              <w:pPr>
                <w:pStyle w:val="Bibliography"/>
                <w:ind w:left="720" w:hanging="720"/>
                <w:rPr>
                  <w:noProof/>
                  <w:lang w:val="en-US"/>
                </w:rPr>
              </w:pPr>
              <w:r>
                <w:rPr>
                  <w:noProof/>
                  <w:lang w:val="en-US"/>
                </w:rPr>
                <w:t xml:space="preserve">Ashcroft, R., &amp; Bevir, M. . (2016). Pluralism, national identity and citizenship: Britain after Brexit. </w:t>
              </w:r>
              <w:r>
                <w:rPr>
                  <w:i/>
                  <w:iCs/>
                  <w:noProof/>
                  <w:lang w:val="en-US"/>
                </w:rPr>
                <w:t>Political quarterly</w:t>
              </w:r>
              <w:r>
                <w:rPr>
                  <w:noProof/>
                  <w:lang w:val="en-US"/>
                </w:rPr>
                <w:t>, 87 (3) https://escholarship.org/uc/item/76q941f4.</w:t>
              </w:r>
            </w:p>
            <w:p w14:paraId="193E7EF1" w14:textId="77777777" w:rsidR="0053064F" w:rsidRDefault="0053064F" w:rsidP="0053064F">
              <w:pPr>
                <w:pStyle w:val="Bibliography"/>
                <w:ind w:left="720" w:hanging="720"/>
                <w:rPr>
                  <w:noProof/>
                  <w:lang w:val="en-US"/>
                </w:rPr>
              </w:pPr>
              <w:r>
                <w:rPr>
                  <w:noProof/>
                  <w:lang w:val="en-US"/>
                </w:rPr>
                <w:t xml:space="preserve">Blee, K. M. (2002). </w:t>
              </w:r>
              <w:r>
                <w:rPr>
                  <w:i/>
                  <w:iCs/>
                  <w:noProof/>
                  <w:lang w:val="en-US"/>
                </w:rPr>
                <w:t>Inside organised racism: Women in the hate movement.</w:t>
              </w:r>
              <w:r>
                <w:rPr>
                  <w:noProof/>
                  <w:lang w:val="en-US"/>
                </w:rPr>
                <w:t xml:space="preserve"> Univeristy of california press.</w:t>
              </w:r>
            </w:p>
            <w:p w14:paraId="0D989E73" w14:textId="77777777" w:rsidR="0053064F" w:rsidRDefault="0053064F" w:rsidP="0053064F">
              <w:pPr>
                <w:pStyle w:val="Bibliography"/>
                <w:ind w:left="720" w:hanging="720"/>
                <w:rPr>
                  <w:noProof/>
                  <w:lang w:val="en-US"/>
                </w:rPr>
              </w:pPr>
              <w:r>
                <w:rPr>
                  <w:noProof/>
                  <w:lang w:val="en-US"/>
                </w:rPr>
                <w:t xml:space="preserve">Butler, D., &amp; Kitzinger, U. (1976). </w:t>
              </w:r>
              <w:r>
                <w:rPr>
                  <w:i/>
                  <w:iCs/>
                  <w:noProof/>
                  <w:lang w:val="en-US"/>
                </w:rPr>
                <w:t>The 1975 referendum.</w:t>
              </w:r>
              <w:r>
                <w:rPr>
                  <w:noProof/>
                  <w:lang w:val="en-US"/>
                </w:rPr>
                <w:t xml:space="preserve"> New York: St.</w:t>
              </w:r>
            </w:p>
            <w:p w14:paraId="33034C6A" w14:textId="77777777" w:rsidR="0053064F" w:rsidRDefault="0053064F" w:rsidP="0053064F">
              <w:pPr>
                <w:pStyle w:val="Bibliography"/>
                <w:ind w:left="720" w:hanging="720"/>
                <w:rPr>
                  <w:noProof/>
                  <w:lang w:val="en-US"/>
                </w:rPr>
              </w:pPr>
              <w:r>
                <w:rPr>
                  <w:noProof/>
                  <w:lang w:val="en-US"/>
                </w:rPr>
                <w:t xml:space="preserve">Cai, H., and Gries, P. (2013). National narcissism: internal dimensions and international correlates. </w:t>
              </w:r>
              <w:r>
                <w:rPr>
                  <w:i/>
                  <w:iCs/>
                  <w:noProof/>
                  <w:lang w:val="en-US"/>
                </w:rPr>
                <w:t xml:space="preserve">PsyCh J. </w:t>
              </w:r>
              <w:r>
                <w:rPr>
                  <w:noProof/>
                  <w:lang w:val="en-US"/>
                </w:rPr>
                <w:t>, 2, 122–132. doi: 10.1002/pchj.26.</w:t>
              </w:r>
            </w:p>
            <w:p w14:paraId="20973F8C" w14:textId="77777777" w:rsidR="0053064F" w:rsidRDefault="0053064F" w:rsidP="0053064F">
              <w:pPr>
                <w:pStyle w:val="Bibliography"/>
                <w:ind w:left="720" w:hanging="720"/>
                <w:rPr>
                  <w:noProof/>
                  <w:lang w:val="en-US"/>
                </w:rPr>
              </w:pPr>
              <w:r>
                <w:rPr>
                  <w:noProof/>
                  <w:lang w:val="en-US"/>
                </w:rPr>
                <w:t xml:space="preserve">Campbell, D. T. . (1965). </w:t>
              </w:r>
              <w:r>
                <w:rPr>
                  <w:i/>
                  <w:iCs/>
                  <w:noProof/>
                  <w:lang w:val="en-US"/>
                </w:rPr>
                <w:t>Ethnocentric and other altruistic motives. In: Levine D (ed).</w:t>
              </w:r>
              <w:r>
                <w:rPr>
                  <w:noProof/>
                  <w:lang w:val="en-US"/>
                </w:rPr>
                <w:t xml:space="preserve"> University of Nebraska press: Lincoln. pp 283-301.</w:t>
              </w:r>
            </w:p>
            <w:p w14:paraId="656DAACF" w14:textId="77777777" w:rsidR="0053064F" w:rsidRDefault="0053064F" w:rsidP="0053064F">
              <w:pPr>
                <w:pStyle w:val="Bibliography"/>
                <w:ind w:left="720" w:hanging="720"/>
                <w:rPr>
                  <w:noProof/>
                  <w:lang w:val="en-US"/>
                </w:rPr>
              </w:pPr>
              <w:r>
                <w:rPr>
                  <w:noProof/>
                  <w:lang w:val="en-US"/>
                </w:rPr>
                <w:t xml:space="preserve">Cinnirella, M. . (1997). Towards a European identity? Interactions between the national and European social identities manifested by university students in Britain and Italy . </w:t>
              </w:r>
              <w:r>
                <w:rPr>
                  <w:i/>
                  <w:iCs/>
                  <w:noProof/>
                  <w:lang w:val="en-US"/>
                </w:rPr>
                <w:t xml:space="preserve">British Journal Social Psychology </w:t>
              </w:r>
              <w:r>
                <w:rPr>
                  <w:noProof/>
                  <w:lang w:val="en-US"/>
                </w:rPr>
                <w:t>, 36, 19–31. doi: 10.1111/j.2044-8309.1997.tb01116.x.</w:t>
              </w:r>
            </w:p>
            <w:p w14:paraId="3B3EB5F2" w14:textId="77777777" w:rsidR="0053064F" w:rsidRDefault="0053064F" w:rsidP="0053064F">
              <w:pPr>
                <w:pStyle w:val="Bibliography"/>
                <w:ind w:left="720" w:hanging="720"/>
                <w:rPr>
                  <w:noProof/>
                  <w:lang w:val="en-US"/>
                </w:rPr>
              </w:pPr>
              <w:r>
                <w:rPr>
                  <w:noProof/>
                  <w:lang w:val="en-US"/>
                </w:rPr>
                <w:t>Clarke, H., Goodwin, M., and Whiteley, P. . (2016). “Why Britain voted for Brexit: an individual-level analysis of the 2016 referendum vote,” in Paper Presented at EPOP Conference.</w:t>
              </w:r>
            </w:p>
            <w:p w14:paraId="6FD6CA38" w14:textId="77777777" w:rsidR="0053064F" w:rsidRDefault="0053064F" w:rsidP="0053064F">
              <w:pPr>
                <w:pStyle w:val="Bibliography"/>
                <w:ind w:left="720" w:hanging="720"/>
                <w:rPr>
                  <w:noProof/>
                  <w:lang w:val="en-US"/>
                </w:rPr>
              </w:pPr>
              <w:r>
                <w:rPr>
                  <w:noProof/>
                  <w:lang w:val="en-US"/>
                </w:rPr>
                <w:t>de Ruyter, A., &amp; Nielsen, B. (2019). Conclusion: Where Do We Go from Here?. In Brexit Negotiations After Article 50: Assessing Process, Progress and Impact. pp 193-202. Emerald Publishing Limited.</w:t>
              </w:r>
            </w:p>
            <w:p w14:paraId="1E18C739" w14:textId="77777777" w:rsidR="0053064F" w:rsidRDefault="0053064F" w:rsidP="0053064F">
              <w:pPr>
                <w:pStyle w:val="Bibliography"/>
                <w:ind w:left="720" w:hanging="720"/>
                <w:rPr>
                  <w:noProof/>
                  <w:lang w:val="en-US"/>
                </w:rPr>
              </w:pPr>
              <w:r>
                <w:rPr>
                  <w:noProof/>
                  <w:lang w:val="en-US"/>
                </w:rPr>
                <w:t xml:space="preserve">Dovidio, J. F., &amp; Gaertner, S. L. . (2004). Aversive racism. </w:t>
              </w:r>
              <w:r>
                <w:rPr>
                  <w:i/>
                  <w:iCs/>
                  <w:noProof/>
                  <w:lang w:val="en-US"/>
                </w:rPr>
                <w:t>Advances in experimental social psychology</w:t>
              </w:r>
              <w:r>
                <w:rPr>
                  <w:noProof/>
                  <w:lang w:val="en-US"/>
                </w:rPr>
                <w:t>, 36, 4-56.</w:t>
              </w:r>
            </w:p>
            <w:p w14:paraId="379F995E" w14:textId="77777777" w:rsidR="0053064F" w:rsidRDefault="0053064F" w:rsidP="0053064F">
              <w:pPr>
                <w:pStyle w:val="Bibliography"/>
                <w:ind w:left="720" w:hanging="720"/>
                <w:rPr>
                  <w:noProof/>
                  <w:lang w:val="en-US"/>
                </w:rPr>
              </w:pPr>
              <w:r>
                <w:rPr>
                  <w:noProof/>
                  <w:lang w:val="en-US"/>
                </w:rPr>
                <w:t xml:space="preserve">Dustmann, C., Frattini, T., &amp; Preston, I. P. . (2012). The effect of immigration along the distribution of wages. </w:t>
              </w:r>
              <w:r>
                <w:rPr>
                  <w:i/>
                  <w:iCs/>
                  <w:noProof/>
                  <w:lang w:val="en-US"/>
                </w:rPr>
                <w:t>Review of Economic Studies</w:t>
              </w:r>
              <w:r>
                <w:rPr>
                  <w:noProof/>
                  <w:lang w:val="en-US"/>
                </w:rPr>
                <w:t>, 80(1), 145-173.</w:t>
              </w:r>
            </w:p>
            <w:p w14:paraId="00CB85D1" w14:textId="77777777" w:rsidR="0053064F" w:rsidRDefault="0053064F" w:rsidP="0053064F">
              <w:pPr>
                <w:pStyle w:val="Bibliography"/>
                <w:ind w:left="720" w:hanging="720"/>
                <w:rPr>
                  <w:noProof/>
                  <w:lang w:val="en-US"/>
                </w:rPr>
              </w:pPr>
              <w:r>
                <w:rPr>
                  <w:noProof/>
                  <w:lang w:val="en-US"/>
                </w:rPr>
                <w:t xml:space="preserve">Gilmore, J., Meeks, L., &amp; Domke, D. . (2013). Why do (we think) they hate us: Anti-Americanism, patriotic messages, and attributions of blame. </w:t>
              </w:r>
              <w:r>
                <w:rPr>
                  <w:i/>
                  <w:iCs/>
                  <w:noProof/>
                  <w:lang w:val="en-US"/>
                </w:rPr>
                <w:t>International Journal of Communication</w:t>
              </w:r>
              <w:r>
                <w:rPr>
                  <w:noProof/>
                  <w:lang w:val="en-US"/>
                </w:rPr>
                <w:t>, 7, 21.</w:t>
              </w:r>
            </w:p>
            <w:p w14:paraId="1AD94E29" w14:textId="77777777" w:rsidR="0053064F" w:rsidRDefault="0053064F" w:rsidP="0053064F">
              <w:pPr>
                <w:pStyle w:val="Bibliography"/>
                <w:ind w:left="720" w:hanging="720"/>
                <w:rPr>
                  <w:noProof/>
                  <w:lang w:val="en-US"/>
                </w:rPr>
              </w:pPr>
              <w:r>
                <w:rPr>
                  <w:noProof/>
                  <w:lang w:val="en-US"/>
                </w:rPr>
                <w:t xml:space="preserve">Golec de Zavala, A., Guerra, R., &amp; Simão, C. (2017). The relationship between the Brexit vote and individual predictors of prejudice: Collective narcissism, right wing authoritarianism, social dominance orientation. </w:t>
              </w:r>
              <w:r>
                <w:rPr>
                  <w:i/>
                  <w:iCs/>
                  <w:noProof/>
                  <w:lang w:val="en-US"/>
                </w:rPr>
                <w:t>Frontiers in psychology</w:t>
              </w:r>
              <w:r>
                <w:rPr>
                  <w:noProof/>
                  <w:lang w:val="en-US"/>
                </w:rPr>
                <w:t>, 8, 2023.</w:t>
              </w:r>
            </w:p>
            <w:p w14:paraId="1D984D52" w14:textId="77777777" w:rsidR="0053064F" w:rsidRDefault="0053064F" w:rsidP="0053064F">
              <w:pPr>
                <w:pStyle w:val="Bibliography"/>
                <w:ind w:left="720" w:hanging="720"/>
                <w:rPr>
                  <w:noProof/>
                  <w:lang w:val="en-US"/>
                </w:rPr>
              </w:pPr>
              <w:r>
                <w:rPr>
                  <w:noProof/>
                  <w:lang w:val="en-US"/>
                </w:rPr>
                <w:t xml:space="preserve">Goodwin, M., &amp; Health, O. (2016, August 31). Brexit Vote Explained: Poverty, Low Skills Lack of Opportunities. </w:t>
              </w:r>
              <w:r>
                <w:rPr>
                  <w:i/>
                  <w:iCs/>
                  <w:noProof/>
                  <w:lang w:val="en-US"/>
                </w:rPr>
                <w:t>Joesph Rowntree Foundation</w:t>
              </w:r>
              <w:r>
                <w:rPr>
                  <w:noProof/>
                  <w:lang w:val="en-US"/>
                </w:rPr>
                <w:t>, Available online at: https://www.jrf.org.uk/report/brexit-vote-explained-poverty-low-skills-and-lack-opportunities?gclid=CjwKCAjwpfzOBRA5EiwAU.</w:t>
              </w:r>
            </w:p>
            <w:p w14:paraId="76DAFA45" w14:textId="77777777" w:rsidR="0053064F" w:rsidRDefault="0053064F" w:rsidP="0053064F">
              <w:pPr>
                <w:pStyle w:val="Bibliography"/>
                <w:ind w:left="720" w:hanging="720"/>
                <w:rPr>
                  <w:noProof/>
                  <w:lang w:val="en-US"/>
                </w:rPr>
              </w:pPr>
              <w:r>
                <w:rPr>
                  <w:noProof/>
                  <w:lang w:val="en-US"/>
                </w:rPr>
                <w:t xml:space="preserve">Herrmann, R. K., Isernia, P., &amp; Segatti, P. . (2009). Attachment to the nation and international relations: Dimensions of identity and their relationship to war and peace. </w:t>
              </w:r>
              <w:r>
                <w:rPr>
                  <w:i/>
                  <w:iCs/>
                  <w:noProof/>
                  <w:lang w:val="en-US"/>
                </w:rPr>
                <w:t>Political Psychology</w:t>
              </w:r>
              <w:r>
                <w:rPr>
                  <w:noProof/>
                  <w:lang w:val="en-US"/>
                </w:rPr>
                <w:t>, 30(5), 721-754.</w:t>
              </w:r>
            </w:p>
            <w:p w14:paraId="49C02975" w14:textId="77777777" w:rsidR="0053064F" w:rsidRDefault="0053064F" w:rsidP="0053064F">
              <w:pPr>
                <w:pStyle w:val="Bibliography"/>
                <w:ind w:left="720" w:hanging="720"/>
                <w:rPr>
                  <w:noProof/>
                  <w:lang w:val="en-US"/>
                </w:rPr>
              </w:pPr>
              <w:r>
                <w:rPr>
                  <w:noProof/>
                  <w:lang w:val="en-US"/>
                </w:rPr>
                <w:lastRenderedPageBreak/>
                <w:t xml:space="preserve">Hobolt, S. B. (2016). The Brexit vote: a divided nation, a divided continent. </w:t>
              </w:r>
              <w:r>
                <w:rPr>
                  <w:i/>
                  <w:iCs/>
                  <w:noProof/>
                  <w:lang w:val="en-US"/>
                </w:rPr>
                <w:t>Journal European Public Policy</w:t>
              </w:r>
              <w:r>
                <w:rPr>
                  <w:noProof/>
                  <w:lang w:val="en-US"/>
                </w:rPr>
                <w:t>, 23, 1259–1277. doi: 10.1080/13501763.2016.1225785.</w:t>
              </w:r>
            </w:p>
            <w:p w14:paraId="6C033D73" w14:textId="77777777" w:rsidR="0053064F" w:rsidRDefault="0053064F" w:rsidP="0053064F">
              <w:pPr>
                <w:pStyle w:val="Bibliography"/>
                <w:ind w:left="720" w:hanging="720"/>
                <w:rPr>
                  <w:noProof/>
                  <w:lang w:val="en-US"/>
                </w:rPr>
              </w:pPr>
              <w:r>
                <w:rPr>
                  <w:noProof/>
                  <w:lang w:val="en-US"/>
                </w:rPr>
                <w:t xml:space="preserve">Hutchings, P. B., &amp; Sullivan, K. E. (2019). Prejudice and the Brexit vote: a tangled web. </w:t>
              </w:r>
              <w:r>
                <w:rPr>
                  <w:i/>
                  <w:iCs/>
                  <w:noProof/>
                  <w:lang w:val="en-US"/>
                </w:rPr>
                <w:t>Palgrave communications</w:t>
              </w:r>
              <w:r>
                <w:rPr>
                  <w:noProof/>
                  <w:lang w:val="en-US"/>
                </w:rPr>
                <w:t>, https://www.nature.com/articles/s41599-018-0214-5.pdf.</w:t>
              </w:r>
            </w:p>
            <w:p w14:paraId="53595DB6" w14:textId="77777777" w:rsidR="0053064F" w:rsidRDefault="0053064F" w:rsidP="0053064F">
              <w:pPr>
                <w:pStyle w:val="Bibliography"/>
                <w:ind w:left="720" w:hanging="720"/>
                <w:rPr>
                  <w:noProof/>
                  <w:lang w:val="en-US"/>
                </w:rPr>
              </w:pPr>
              <w:r>
                <w:rPr>
                  <w:noProof/>
                  <w:lang w:val="en-US"/>
                </w:rPr>
                <w:t>Kaufman. (2016). It is Not the Economy, Stupid: Brexit As a Story of Personal Values. . Available online at: http://blogs.lse.ac.uk/politicsandpolicy/personal-values-brexit-vote (Accessed March 21, 2017).</w:t>
              </w:r>
            </w:p>
            <w:p w14:paraId="266CEF8D" w14:textId="77777777" w:rsidR="0053064F" w:rsidRDefault="0053064F" w:rsidP="0053064F">
              <w:pPr>
                <w:pStyle w:val="Bibliography"/>
                <w:ind w:left="720" w:hanging="720"/>
                <w:rPr>
                  <w:noProof/>
                  <w:lang w:val="en-US"/>
                </w:rPr>
              </w:pPr>
              <w:r>
                <w:rPr>
                  <w:noProof/>
                  <w:lang w:val="en-US"/>
                </w:rPr>
                <w:t xml:space="preserve">Kaufmann, E., &amp; Harris, G. (2015). “White Flight” or positive contact? Local diversity and attitudes to immigration in Britain. </w:t>
              </w:r>
              <w:r>
                <w:rPr>
                  <w:i/>
                  <w:iCs/>
                  <w:noProof/>
                  <w:lang w:val="en-US"/>
                </w:rPr>
                <w:t xml:space="preserve">Comp Political Stud </w:t>
              </w:r>
              <w:r>
                <w:rPr>
                  <w:noProof/>
                  <w:lang w:val="en-US"/>
                </w:rPr>
                <w:t>, 48, 1563–1690.</w:t>
              </w:r>
            </w:p>
            <w:p w14:paraId="3C2EC54C" w14:textId="77777777" w:rsidR="0053064F" w:rsidRDefault="0053064F" w:rsidP="0053064F">
              <w:pPr>
                <w:pStyle w:val="Bibliography"/>
                <w:ind w:left="720" w:hanging="720"/>
                <w:rPr>
                  <w:noProof/>
                  <w:lang w:val="en-US"/>
                </w:rPr>
              </w:pPr>
              <w:r>
                <w:rPr>
                  <w:noProof/>
                  <w:lang w:val="en-US"/>
                </w:rPr>
                <w:t xml:space="preserve">Kite, M. E., &amp; Whiteley, B. E. (2016). </w:t>
              </w:r>
              <w:r>
                <w:rPr>
                  <w:i/>
                  <w:iCs/>
                  <w:noProof/>
                  <w:lang w:val="en-US"/>
                </w:rPr>
                <w:t>Psychology of Prejudice and discrimination (3rd eds).</w:t>
              </w:r>
              <w:r>
                <w:rPr>
                  <w:noProof/>
                  <w:lang w:val="en-US"/>
                </w:rPr>
                <w:t xml:space="preserve"> Oxon: Taylor &amp; Francis group.</w:t>
              </w:r>
            </w:p>
            <w:p w14:paraId="6953BC9D" w14:textId="77777777" w:rsidR="0053064F" w:rsidRDefault="0053064F" w:rsidP="0053064F">
              <w:pPr>
                <w:pStyle w:val="Bibliography"/>
                <w:ind w:left="720" w:hanging="720"/>
                <w:rPr>
                  <w:noProof/>
                  <w:lang w:val="en-US"/>
                </w:rPr>
              </w:pPr>
              <w:r>
                <w:rPr>
                  <w:noProof/>
                  <w:lang w:val="en-US"/>
                </w:rPr>
                <w:t xml:space="preserve">Knobloch-Westerwick, S. . (2015). The selective exposure self-and affect-management (SESAM) model: Applications in the realms of race, politics, and health. </w:t>
              </w:r>
              <w:r>
                <w:rPr>
                  <w:i/>
                  <w:iCs/>
                  <w:noProof/>
                  <w:lang w:val="en-US"/>
                </w:rPr>
                <w:t>Communication Research</w:t>
              </w:r>
              <w:r>
                <w:rPr>
                  <w:noProof/>
                  <w:lang w:val="en-US"/>
                </w:rPr>
                <w:t>, 42(7), 959-985.</w:t>
              </w:r>
            </w:p>
            <w:p w14:paraId="4C77C23A" w14:textId="77777777" w:rsidR="0053064F" w:rsidRDefault="0053064F" w:rsidP="0053064F">
              <w:pPr>
                <w:pStyle w:val="Bibliography"/>
                <w:ind w:left="720" w:hanging="720"/>
                <w:rPr>
                  <w:noProof/>
                  <w:lang w:val="en-US"/>
                </w:rPr>
              </w:pPr>
              <w:r>
                <w:rPr>
                  <w:noProof/>
                  <w:lang w:val="en-US"/>
                </w:rPr>
                <w:t xml:space="preserve">Lawton, C., &amp; Ackrill, R. (2016, July 8). </w:t>
              </w:r>
              <w:r>
                <w:rPr>
                  <w:i/>
                  <w:iCs/>
                  <w:noProof/>
                  <w:lang w:val="en-US"/>
                </w:rPr>
                <w:t>Hard Evidence: how areas with low immigration voted mainly for Brexit.</w:t>
              </w:r>
              <w:r>
                <w:rPr>
                  <w:noProof/>
                  <w:lang w:val="en-US"/>
                </w:rPr>
                <w:t xml:space="preserve"> Retrieved from The conversation: https://theconversation.com/hard-evidence-how-areas-with-low-immigration-voted-mainly-for-brexit-62138</w:t>
              </w:r>
            </w:p>
            <w:p w14:paraId="29631A31" w14:textId="77777777" w:rsidR="0053064F" w:rsidRDefault="0053064F" w:rsidP="0053064F">
              <w:pPr>
                <w:pStyle w:val="Bibliography"/>
                <w:ind w:left="720" w:hanging="720"/>
                <w:rPr>
                  <w:noProof/>
                  <w:lang w:val="en-US"/>
                </w:rPr>
              </w:pPr>
              <w:r>
                <w:rPr>
                  <w:noProof/>
                  <w:lang w:val="en-US"/>
                </w:rPr>
                <w:t xml:space="preserve">Loughborough University . (2016). EU Referendum 2016. . </w:t>
              </w:r>
              <w:r>
                <w:rPr>
                  <w:i/>
                  <w:iCs/>
                  <w:noProof/>
                  <w:lang w:val="en-US"/>
                </w:rPr>
                <w:t>Media analysis from Loughborough</w:t>
              </w:r>
              <w:r>
                <w:rPr>
                  <w:noProof/>
                  <w:lang w:val="en-US"/>
                </w:rPr>
                <w:t>, https://blog.lboro.ac.uk/crcc/eu-referendum/uk-news-coverage-2016-eu-referendum-report-5-6-may-22-june-2016/.</w:t>
              </w:r>
            </w:p>
            <w:p w14:paraId="59F08B96" w14:textId="77777777" w:rsidR="0053064F" w:rsidRDefault="0053064F" w:rsidP="0053064F">
              <w:pPr>
                <w:pStyle w:val="Bibliography"/>
                <w:ind w:left="720" w:hanging="720"/>
                <w:rPr>
                  <w:noProof/>
                  <w:lang w:val="en-US"/>
                </w:rPr>
              </w:pPr>
              <w:r>
                <w:rPr>
                  <w:noProof/>
                  <w:lang w:val="en-US"/>
                </w:rPr>
                <w:t xml:space="preserve">Office for National Statistics. (2016). </w:t>
              </w:r>
              <w:r>
                <w:rPr>
                  <w:i/>
                  <w:iCs/>
                  <w:noProof/>
                  <w:lang w:val="en-US"/>
                </w:rPr>
                <w:t>Migration statistics quarterly report: May 2016.</w:t>
              </w:r>
              <w:r>
                <w:rPr>
                  <w:noProof/>
                  <w:lang w:val="en-US"/>
                </w:rPr>
                <w:t>, https://www.ons.gov.uk/peoplepopulationandcommunity/populationandmigration/internationalmigration/bulletins/migrationstatisticsquarterlyreport/may2016.</w:t>
              </w:r>
            </w:p>
            <w:p w14:paraId="7C27E5C3" w14:textId="77777777" w:rsidR="0053064F" w:rsidRDefault="0053064F" w:rsidP="0053064F">
              <w:pPr>
                <w:pStyle w:val="Bibliography"/>
                <w:ind w:left="720" w:hanging="720"/>
                <w:rPr>
                  <w:noProof/>
                  <w:lang w:val="en-US"/>
                </w:rPr>
              </w:pPr>
              <w:r>
                <w:rPr>
                  <w:noProof/>
                  <w:lang w:val="en-US"/>
                </w:rPr>
                <w:t xml:space="preserve">Pettigrew, T. F., Christ, O., Wagner, U., Meertens, R. W., Van Dick, R., &amp; Zick, A. . (2008). Relative deprivation and intergroup prejudice. </w:t>
              </w:r>
              <w:r>
                <w:rPr>
                  <w:i/>
                  <w:iCs/>
                  <w:noProof/>
                  <w:lang w:val="en-US"/>
                </w:rPr>
                <w:t>Journal of Social Issues</w:t>
              </w:r>
              <w:r>
                <w:rPr>
                  <w:noProof/>
                  <w:lang w:val="en-US"/>
                </w:rPr>
                <w:t>, 64(2), 385-401.</w:t>
              </w:r>
            </w:p>
            <w:p w14:paraId="21A655BD" w14:textId="77777777" w:rsidR="0053064F" w:rsidRDefault="0053064F" w:rsidP="0053064F">
              <w:pPr>
                <w:pStyle w:val="Bibliography"/>
                <w:ind w:left="720" w:hanging="720"/>
                <w:rPr>
                  <w:noProof/>
                  <w:lang w:val="en-US"/>
                </w:rPr>
              </w:pPr>
              <w:r>
                <w:rPr>
                  <w:noProof/>
                  <w:lang w:val="en-US"/>
                </w:rPr>
                <w:t xml:space="preserve">Pratto, F., Sidanius, J., Stallworth, L. M., &amp; Malle, B. F. . (1994). Social dominance orientation: a personality variable predicting social and political attitudes. </w:t>
              </w:r>
              <w:r>
                <w:rPr>
                  <w:i/>
                  <w:iCs/>
                  <w:noProof/>
                  <w:lang w:val="en-US"/>
                </w:rPr>
                <w:t>Journal Personality and Social Psychology</w:t>
              </w:r>
              <w:r>
                <w:rPr>
                  <w:noProof/>
                  <w:lang w:val="en-US"/>
                </w:rPr>
                <w:t>, 67, 741–763. doi: 10.1037/0022-3514.67.4.741.</w:t>
              </w:r>
            </w:p>
            <w:p w14:paraId="0533FCB8" w14:textId="77777777" w:rsidR="0053064F" w:rsidRDefault="0053064F" w:rsidP="0053064F">
              <w:pPr>
                <w:pStyle w:val="Bibliography"/>
                <w:ind w:left="720" w:hanging="720"/>
                <w:rPr>
                  <w:noProof/>
                  <w:lang w:val="en-US"/>
                </w:rPr>
              </w:pPr>
              <w:r>
                <w:rPr>
                  <w:noProof/>
                  <w:lang w:val="en-US"/>
                </w:rPr>
                <w:t xml:space="preserve">Smith, H. J., &amp; Pettigrew, T. F. (2015). Advances in relative deprivation theory and research. </w:t>
              </w:r>
              <w:r>
                <w:rPr>
                  <w:i/>
                  <w:iCs/>
                  <w:noProof/>
                  <w:lang w:val="en-US"/>
                </w:rPr>
                <w:t>Social Justice Research</w:t>
              </w:r>
              <w:r>
                <w:rPr>
                  <w:noProof/>
                  <w:lang w:val="en-US"/>
                </w:rPr>
                <w:t>, 28(1), 1-6.</w:t>
              </w:r>
            </w:p>
            <w:p w14:paraId="3672D624" w14:textId="77777777" w:rsidR="0053064F" w:rsidRDefault="0053064F" w:rsidP="0053064F">
              <w:pPr>
                <w:pStyle w:val="Bibliography"/>
                <w:ind w:left="720" w:hanging="720"/>
                <w:rPr>
                  <w:noProof/>
                  <w:lang w:val="en-US"/>
                </w:rPr>
              </w:pPr>
              <w:r>
                <w:rPr>
                  <w:noProof/>
                  <w:lang w:val="en-US"/>
                </w:rPr>
                <w:t xml:space="preserve">Son Hing, L. S., Chung-Yan, G. A., Hamilton, L. K., &amp; Zanna, M. P. . (2008). A two-dimensional model that employs explicit and implicit attitudes to characterize prejudice. </w:t>
              </w:r>
              <w:r>
                <w:rPr>
                  <w:i/>
                  <w:iCs/>
                  <w:noProof/>
                  <w:lang w:val="en-US"/>
                </w:rPr>
                <w:t>Journal of Personality and Social Psychology</w:t>
              </w:r>
              <w:r>
                <w:rPr>
                  <w:noProof/>
                  <w:lang w:val="en-US"/>
                </w:rPr>
                <w:t>, 94(6), 971.</w:t>
              </w:r>
            </w:p>
            <w:p w14:paraId="6E8DFEDD" w14:textId="77777777" w:rsidR="0053064F" w:rsidRDefault="0053064F" w:rsidP="0053064F">
              <w:pPr>
                <w:pStyle w:val="Bibliography"/>
                <w:ind w:left="720" w:hanging="720"/>
                <w:rPr>
                  <w:noProof/>
                  <w:lang w:val="en-US"/>
                </w:rPr>
              </w:pPr>
              <w:r>
                <w:rPr>
                  <w:noProof/>
                  <w:lang w:val="en-US"/>
                </w:rPr>
                <w:t xml:space="preserve">Sullivan, K. E., &amp; Hutchings, P. B. (n.d.). (in press). Prejudice and the Brexit vote. . </w:t>
              </w:r>
              <w:r>
                <w:rPr>
                  <w:i/>
                  <w:iCs/>
                  <w:noProof/>
                  <w:lang w:val="en-US"/>
                </w:rPr>
                <w:t>Journal of Political Psychology</w:t>
              </w:r>
              <w:r>
                <w:rPr>
                  <w:noProof/>
                  <w:lang w:val="en-US"/>
                </w:rPr>
                <w:t>.</w:t>
              </w:r>
            </w:p>
            <w:p w14:paraId="587751AE" w14:textId="77777777" w:rsidR="0053064F" w:rsidRDefault="0053064F" w:rsidP="0053064F">
              <w:pPr>
                <w:pStyle w:val="Bibliography"/>
                <w:ind w:left="720" w:hanging="720"/>
                <w:rPr>
                  <w:noProof/>
                  <w:lang w:val="en-US"/>
                </w:rPr>
              </w:pPr>
              <w:r>
                <w:rPr>
                  <w:noProof/>
                  <w:lang w:val="en-US"/>
                </w:rPr>
                <w:t xml:space="preserve">Swami, V., Barron, D., Weis, L., &amp; Furnham, A. (2018). To Brexit or not to Brexit: The roles of Islamophobia, conspiracist beliefs, and integrated threat in voting intentions for the United Kingdom European Union membership referendum. </w:t>
              </w:r>
              <w:r>
                <w:rPr>
                  <w:i/>
                  <w:iCs/>
                  <w:noProof/>
                  <w:lang w:val="en-US"/>
                </w:rPr>
                <w:t>British Journal of psychology</w:t>
              </w:r>
              <w:r>
                <w:rPr>
                  <w:noProof/>
                  <w:lang w:val="en-US"/>
                </w:rPr>
                <w:t>, 109(10, 156-179.</w:t>
              </w:r>
            </w:p>
            <w:p w14:paraId="7485618A" w14:textId="77777777" w:rsidR="0053064F" w:rsidRDefault="0053064F" w:rsidP="0053064F">
              <w:pPr>
                <w:pStyle w:val="Bibliography"/>
                <w:ind w:left="720" w:hanging="720"/>
                <w:rPr>
                  <w:noProof/>
                  <w:lang w:val="en-US"/>
                </w:rPr>
              </w:pPr>
              <w:r>
                <w:rPr>
                  <w:noProof/>
                  <w:lang w:val="en-US"/>
                </w:rPr>
                <w:lastRenderedPageBreak/>
                <w:t xml:space="preserve">Tajfel, H., &amp; Turner, J. C. (1986). The social identity theory of intergroup behavior. </w:t>
              </w:r>
              <w:r>
                <w:rPr>
                  <w:i/>
                  <w:iCs/>
                  <w:noProof/>
                  <w:lang w:val="en-US"/>
                </w:rPr>
                <w:t>Psychology of intergroup relations</w:t>
              </w:r>
              <w:r>
                <w:rPr>
                  <w:noProof/>
                  <w:lang w:val="en-US"/>
                </w:rPr>
                <w:t>, 7-24.</w:t>
              </w:r>
            </w:p>
            <w:p w14:paraId="3BFBE976" w14:textId="77777777" w:rsidR="0053064F" w:rsidRDefault="0053064F" w:rsidP="0053064F">
              <w:pPr>
                <w:pStyle w:val="Bibliography"/>
                <w:ind w:left="720" w:hanging="720"/>
                <w:rPr>
                  <w:noProof/>
                  <w:lang w:val="en-US"/>
                </w:rPr>
              </w:pPr>
              <w:r>
                <w:rPr>
                  <w:noProof/>
                  <w:lang w:val="en-US"/>
                </w:rPr>
                <w:t xml:space="preserve">Towner, T. L., &amp; Dulio, D. A. . (2012). New media and political marketing in the United States: 2012 and beyond. </w:t>
              </w:r>
              <w:r>
                <w:rPr>
                  <w:i/>
                  <w:iCs/>
                  <w:noProof/>
                  <w:lang w:val="en-US"/>
                </w:rPr>
                <w:t>Journal of Political Marketing</w:t>
              </w:r>
              <w:r>
                <w:rPr>
                  <w:noProof/>
                  <w:lang w:val="en-US"/>
                </w:rPr>
                <w:t>, 11(1-2), 95-119.</w:t>
              </w:r>
            </w:p>
            <w:p w14:paraId="4A38374C" w14:textId="77777777" w:rsidR="0053064F" w:rsidRDefault="0053064F" w:rsidP="0053064F">
              <w:pPr>
                <w:pStyle w:val="Bibliography"/>
                <w:ind w:left="720" w:hanging="720"/>
                <w:rPr>
                  <w:noProof/>
                  <w:lang w:val="en-US"/>
                </w:rPr>
              </w:pPr>
              <w:r>
                <w:rPr>
                  <w:noProof/>
                  <w:lang w:val="en-US"/>
                </w:rPr>
                <w:t>YouGov . (2016). Draft EU deal gives boost to Leave campaign. . URL:https://yougov.co.uk/news/2016/02/04/eu-referendum-leave-leads-nine/.</w:t>
              </w:r>
            </w:p>
            <w:p w14:paraId="69AE39DF" w14:textId="77777777" w:rsidR="0053064F" w:rsidRDefault="0053064F" w:rsidP="0053064F">
              <w:pPr>
                <w:pStyle w:val="Bibliography"/>
                <w:ind w:left="720" w:hanging="720"/>
                <w:rPr>
                  <w:noProof/>
                  <w:lang w:val="en-US"/>
                </w:rPr>
              </w:pPr>
              <w:r>
                <w:rPr>
                  <w:noProof/>
                  <w:lang w:val="en-US"/>
                </w:rPr>
                <w:t xml:space="preserve">Zmigrod, L., Rentfrow, P. J., &amp; Robbins, T. W. (2018). Cognitive underpinnings of nationalistic ideology in the context of Brexit. </w:t>
              </w:r>
              <w:r>
                <w:rPr>
                  <w:i/>
                  <w:iCs/>
                  <w:noProof/>
                  <w:lang w:val="en-US"/>
                </w:rPr>
                <w:t>Proceedings of the National Academy of Sciences</w:t>
              </w:r>
              <w:r>
                <w:rPr>
                  <w:noProof/>
                  <w:lang w:val="en-US"/>
                </w:rPr>
                <w:t>, 115(19), E4532-E4540.</w:t>
              </w:r>
            </w:p>
            <w:p w14:paraId="6C30EAF2" w14:textId="7B52A216" w:rsidR="0053064F" w:rsidRDefault="0053064F" w:rsidP="0053064F">
              <w:r>
                <w:rPr>
                  <w:b/>
                  <w:bCs/>
                  <w:noProof/>
                </w:rPr>
                <w:fldChar w:fldCharType="end"/>
              </w:r>
            </w:p>
          </w:sdtContent>
        </w:sdt>
      </w:sdtContent>
    </w:sdt>
    <w:p w14:paraId="417AE7CC" w14:textId="77777777" w:rsidR="0053064F" w:rsidRPr="0053064F" w:rsidRDefault="0053064F" w:rsidP="0053064F">
      <w:pPr>
        <w:rPr>
          <w:lang w:val="en-US"/>
        </w:rPr>
      </w:pPr>
      <w:bookmarkStart w:id="0" w:name="_GoBack"/>
      <w:bookmarkEnd w:id="0"/>
    </w:p>
    <w:sectPr w:rsidR="0053064F" w:rsidRPr="0053064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CAA379" w14:textId="77777777" w:rsidR="00C63885" w:rsidRDefault="00C63885" w:rsidP="00AD6067">
      <w:pPr>
        <w:spacing w:after="0" w:line="240" w:lineRule="auto"/>
      </w:pPr>
      <w:r>
        <w:separator/>
      </w:r>
    </w:p>
  </w:endnote>
  <w:endnote w:type="continuationSeparator" w:id="0">
    <w:p w14:paraId="5D3791CE" w14:textId="77777777" w:rsidR="00C63885" w:rsidRDefault="00C63885" w:rsidP="00AD60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E6BAFE" w14:textId="77777777" w:rsidR="00C63885" w:rsidRDefault="00C63885" w:rsidP="00AD6067">
      <w:pPr>
        <w:spacing w:after="0" w:line="240" w:lineRule="auto"/>
      </w:pPr>
      <w:r>
        <w:separator/>
      </w:r>
    </w:p>
  </w:footnote>
  <w:footnote w:type="continuationSeparator" w:id="0">
    <w:p w14:paraId="2B69B7F8" w14:textId="77777777" w:rsidR="00C63885" w:rsidRDefault="00C63885" w:rsidP="00AD60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DACEEE" w14:textId="56348815" w:rsidR="00C63885" w:rsidRDefault="00C63885">
    <w:pPr>
      <w:pStyle w:val="Header"/>
    </w:pPr>
    <w:r>
      <w:t>Brexi</w:t>
    </w:r>
    <w:r w:rsidR="00113EC4">
      <w:t xml:space="preserve">t: </w:t>
    </w:r>
    <w:r w:rsidR="00BF5B6B">
      <w:t xml:space="preserve">Patriotic or racist? The social divide. </w:t>
    </w:r>
    <w:r>
      <w:tab/>
    </w:r>
    <w:r>
      <w:tab/>
    </w:r>
    <w:r>
      <w:fldChar w:fldCharType="begin"/>
    </w:r>
    <w:r>
      <w:instrText xml:space="preserve"> PAGE   \* MERGEFORMAT </w:instrText>
    </w:r>
    <w:r>
      <w:fldChar w:fldCharType="separate"/>
    </w:r>
    <w:r>
      <w:rPr>
        <w:noProof/>
      </w:rPr>
      <w:t>1</w:t>
    </w:r>
    <w:r>
      <w:rPr>
        <w:noProof/>
      </w:rPr>
      <w:fldChar w:fldCharType="end"/>
    </w:r>
  </w:p>
  <w:p w14:paraId="68415727" w14:textId="77777777" w:rsidR="00C63885" w:rsidRDefault="00C638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067"/>
    <w:rsid w:val="00015B0D"/>
    <w:rsid w:val="00017CF8"/>
    <w:rsid w:val="00057BD7"/>
    <w:rsid w:val="000644DB"/>
    <w:rsid w:val="00085C00"/>
    <w:rsid w:val="00093583"/>
    <w:rsid w:val="000978E9"/>
    <w:rsid w:val="000B6905"/>
    <w:rsid w:val="000D12F3"/>
    <w:rsid w:val="000D3A53"/>
    <w:rsid w:val="00107C44"/>
    <w:rsid w:val="00113EC4"/>
    <w:rsid w:val="00137734"/>
    <w:rsid w:val="00143705"/>
    <w:rsid w:val="00144DD7"/>
    <w:rsid w:val="00145C7C"/>
    <w:rsid w:val="00150D5E"/>
    <w:rsid w:val="00174098"/>
    <w:rsid w:val="00174E4C"/>
    <w:rsid w:val="001A0083"/>
    <w:rsid w:val="001A3E07"/>
    <w:rsid w:val="001C6BCA"/>
    <w:rsid w:val="001C7E99"/>
    <w:rsid w:val="001D0222"/>
    <w:rsid w:val="001D3020"/>
    <w:rsid w:val="002232A9"/>
    <w:rsid w:val="0022682B"/>
    <w:rsid w:val="00233085"/>
    <w:rsid w:val="00247716"/>
    <w:rsid w:val="00272638"/>
    <w:rsid w:val="0028275E"/>
    <w:rsid w:val="002A3A69"/>
    <w:rsid w:val="002B090D"/>
    <w:rsid w:val="002C54FC"/>
    <w:rsid w:val="002C7AA5"/>
    <w:rsid w:val="002E2C65"/>
    <w:rsid w:val="002E2D3E"/>
    <w:rsid w:val="00322238"/>
    <w:rsid w:val="00330A5A"/>
    <w:rsid w:val="00343FFC"/>
    <w:rsid w:val="003455A9"/>
    <w:rsid w:val="00355673"/>
    <w:rsid w:val="00374B3B"/>
    <w:rsid w:val="00375761"/>
    <w:rsid w:val="00380FB2"/>
    <w:rsid w:val="003846FB"/>
    <w:rsid w:val="0038639D"/>
    <w:rsid w:val="003C4160"/>
    <w:rsid w:val="003C5C14"/>
    <w:rsid w:val="003D134F"/>
    <w:rsid w:val="003E5967"/>
    <w:rsid w:val="003F4AEB"/>
    <w:rsid w:val="0040488B"/>
    <w:rsid w:val="004178DA"/>
    <w:rsid w:val="00422EB1"/>
    <w:rsid w:val="004236D8"/>
    <w:rsid w:val="00435EDC"/>
    <w:rsid w:val="00452B79"/>
    <w:rsid w:val="0045465A"/>
    <w:rsid w:val="00466B67"/>
    <w:rsid w:val="004672B9"/>
    <w:rsid w:val="004779A0"/>
    <w:rsid w:val="004928FD"/>
    <w:rsid w:val="004955A1"/>
    <w:rsid w:val="004B4642"/>
    <w:rsid w:val="004C06D2"/>
    <w:rsid w:val="004D02AE"/>
    <w:rsid w:val="004E0875"/>
    <w:rsid w:val="005112D9"/>
    <w:rsid w:val="00512F23"/>
    <w:rsid w:val="00523E2A"/>
    <w:rsid w:val="0053064F"/>
    <w:rsid w:val="005315F6"/>
    <w:rsid w:val="00532EE3"/>
    <w:rsid w:val="00552644"/>
    <w:rsid w:val="005616ED"/>
    <w:rsid w:val="00571B4E"/>
    <w:rsid w:val="005808F4"/>
    <w:rsid w:val="00586E8B"/>
    <w:rsid w:val="00596D4F"/>
    <w:rsid w:val="005B2808"/>
    <w:rsid w:val="005F3D53"/>
    <w:rsid w:val="00607D4F"/>
    <w:rsid w:val="00613935"/>
    <w:rsid w:val="006428B8"/>
    <w:rsid w:val="006518E5"/>
    <w:rsid w:val="00653FA7"/>
    <w:rsid w:val="006550FA"/>
    <w:rsid w:val="0066115B"/>
    <w:rsid w:val="00691936"/>
    <w:rsid w:val="006F719A"/>
    <w:rsid w:val="007032EA"/>
    <w:rsid w:val="00715657"/>
    <w:rsid w:val="00715B60"/>
    <w:rsid w:val="00734562"/>
    <w:rsid w:val="0074305E"/>
    <w:rsid w:val="00750559"/>
    <w:rsid w:val="00782049"/>
    <w:rsid w:val="00791234"/>
    <w:rsid w:val="00791A70"/>
    <w:rsid w:val="007A631C"/>
    <w:rsid w:val="007C662D"/>
    <w:rsid w:val="007D11E9"/>
    <w:rsid w:val="007E3022"/>
    <w:rsid w:val="008108C1"/>
    <w:rsid w:val="0085098D"/>
    <w:rsid w:val="00850FB1"/>
    <w:rsid w:val="00866A5F"/>
    <w:rsid w:val="008742DC"/>
    <w:rsid w:val="008958A6"/>
    <w:rsid w:val="008A419C"/>
    <w:rsid w:val="008C5CCF"/>
    <w:rsid w:val="008F6D50"/>
    <w:rsid w:val="00907331"/>
    <w:rsid w:val="0092059D"/>
    <w:rsid w:val="0092489D"/>
    <w:rsid w:val="0092761C"/>
    <w:rsid w:val="009330E7"/>
    <w:rsid w:val="00935A0D"/>
    <w:rsid w:val="00937C0C"/>
    <w:rsid w:val="00940F37"/>
    <w:rsid w:val="00942D9E"/>
    <w:rsid w:val="00964CA0"/>
    <w:rsid w:val="00967F3D"/>
    <w:rsid w:val="009E4E32"/>
    <w:rsid w:val="00A002D5"/>
    <w:rsid w:val="00A7674F"/>
    <w:rsid w:val="00A85B18"/>
    <w:rsid w:val="00A92850"/>
    <w:rsid w:val="00AA640B"/>
    <w:rsid w:val="00AB7191"/>
    <w:rsid w:val="00AD272D"/>
    <w:rsid w:val="00AD6067"/>
    <w:rsid w:val="00AD7B05"/>
    <w:rsid w:val="00AF2E65"/>
    <w:rsid w:val="00AF4C72"/>
    <w:rsid w:val="00B07BC3"/>
    <w:rsid w:val="00B3062F"/>
    <w:rsid w:val="00B3108C"/>
    <w:rsid w:val="00B53C02"/>
    <w:rsid w:val="00B567F8"/>
    <w:rsid w:val="00B631B7"/>
    <w:rsid w:val="00B67337"/>
    <w:rsid w:val="00B6789A"/>
    <w:rsid w:val="00B906A5"/>
    <w:rsid w:val="00B9471C"/>
    <w:rsid w:val="00BC2D75"/>
    <w:rsid w:val="00BD077D"/>
    <w:rsid w:val="00BE7453"/>
    <w:rsid w:val="00BF5B6B"/>
    <w:rsid w:val="00C005CE"/>
    <w:rsid w:val="00C00F6F"/>
    <w:rsid w:val="00C022F7"/>
    <w:rsid w:val="00C10521"/>
    <w:rsid w:val="00C1644E"/>
    <w:rsid w:val="00C52618"/>
    <w:rsid w:val="00C526D3"/>
    <w:rsid w:val="00C53199"/>
    <w:rsid w:val="00C63885"/>
    <w:rsid w:val="00C96CE8"/>
    <w:rsid w:val="00CB3181"/>
    <w:rsid w:val="00D03620"/>
    <w:rsid w:val="00D1016D"/>
    <w:rsid w:val="00D15B40"/>
    <w:rsid w:val="00D24E8F"/>
    <w:rsid w:val="00D40735"/>
    <w:rsid w:val="00D45A5D"/>
    <w:rsid w:val="00D524EB"/>
    <w:rsid w:val="00D96715"/>
    <w:rsid w:val="00DA053B"/>
    <w:rsid w:val="00DA4DA6"/>
    <w:rsid w:val="00DA5F2F"/>
    <w:rsid w:val="00DB544B"/>
    <w:rsid w:val="00DB56DB"/>
    <w:rsid w:val="00DC35A1"/>
    <w:rsid w:val="00DD308E"/>
    <w:rsid w:val="00DE32FD"/>
    <w:rsid w:val="00DE3379"/>
    <w:rsid w:val="00DF61A3"/>
    <w:rsid w:val="00DF7DCD"/>
    <w:rsid w:val="00E16448"/>
    <w:rsid w:val="00E336BF"/>
    <w:rsid w:val="00E34C36"/>
    <w:rsid w:val="00E56567"/>
    <w:rsid w:val="00E856F9"/>
    <w:rsid w:val="00E97E5A"/>
    <w:rsid w:val="00EB0010"/>
    <w:rsid w:val="00EB5A32"/>
    <w:rsid w:val="00EF2E53"/>
    <w:rsid w:val="00EF3D9E"/>
    <w:rsid w:val="00F030CB"/>
    <w:rsid w:val="00F075D9"/>
    <w:rsid w:val="00F10234"/>
    <w:rsid w:val="00F12D24"/>
    <w:rsid w:val="00F25D1F"/>
    <w:rsid w:val="00F42B7C"/>
    <w:rsid w:val="00F43E80"/>
    <w:rsid w:val="00F865F1"/>
    <w:rsid w:val="00F87D72"/>
    <w:rsid w:val="00FA36BE"/>
    <w:rsid w:val="00FB6119"/>
    <w:rsid w:val="00FD5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0AD11"/>
  <w15:chartTrackingRefBased/>
  <w15:docId w15:val="{8C0862A3-57F7-48D6-8D07-BF6B06101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05C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60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067"/>
  </w:style>
  <w:style w:type="paragraph" w:styleId="Footer">
    <w:name w:val="footer"/>
    <w:basedOn w:val="Normal"/>
    <w:link w:val="FooterChar"/>
    <w:uiPriority w:val="99"/>
    <w:unhideWhenUsed/>
    <w:rsid w:val="00AD60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067"/>
  </w:style>
  <w:style w:type="character" w:customStyle="1" w:styleId="Heading1Char">
    <w:name w:val="Heading 1 Char"/>
    <w:basedOn w:val="DefaultParagraphFont"/>
    <w:link w:val="Heading1"/>
    <w:uiPriority w:val="9"/>
    <w:rsid w:val="00C005C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005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08006">
      <w:bodyDiv w:val="1"/>
      <w:marLeft w:val="0"/>
      <w:marRight w:val="0"/>
      <w:marTop w:val="0"/>
      <w:marBottom w:val="0"/>
      <w:divBdr>
        <w:top w:val="none" w:sz="0" w:space="0" w:color="auto"/>
        <w:left w:val="none" w:sz="0" w:space="0" w:color="auto"/>
        <w:bottom w:val="none" w:sz="0" w:space="0" w:color="auto"/>
        <w:right w:val="none" w:sz="0" w:space="0" w:color="auto"/>
      </w:divBdr>
    </w:div>
    <w:div w:id="88279341">
      <w:bodyDiv w:val="1"/>
      <w:marLeft w:val="0"/>
      <w:marRight w:val="0"/>
      <w:marTop w:val="0"/>
      <w:marBottom w:val="0"/>
      <w:divBdr>
        <w:top w:val="none" w:sz="0" w:space="0" w:color="auto"/>
        <w:left w:val="none" w:sz="0" w:space="0" w:color="auto"/>
        <w:bottom w:val="none" w:sz="0" w:space="0" w:color="auto"/>
        <w:right w:val="none" w:sz="0" w:space="0" w:color="auto"/>
      </w:divBdr>
    </w:div>
    <w:div w:id="105779878">
      <w:bodyDiv w:val="1"/>
      <w:marLeft w:val="0"/>
      <w:marRight w:val="0"/>
      <w:marTop w:val="0"/>
      <w:marBottom w:val="0"/>
      <w:divBdr>
        <w:top w:val="none" w:sz="0" w:space="0" w:color="auto"/>
        <w:left w:val="none" w:sz="0" w:space="0" w:color="auto"/>
        <w:bottom w:val="none" w:sz="0" w:space="0" w:color="auto"/>
        <w:right w:val="none" w:sz="0" w:space="0" w:color="auto"/>
      </w:divBdr>
    </w:div>
    <w:div w:id="206650273">
      <w:bodyDiv w:val="1"/>
      <w:marLeft w:val="0"/>
      <w:marRight w:val="0"/>
      <w:marTop w:val="0"/>
      <w:marBottom w:val="0"/>
      <w:divBdr>
        <w:top w:val="none" w:sz="0" w:space="0" w:color="auto"/>
        <w:left w:val="none" w:sz="0" w:space="0" w:color="auto"/>
        <w:bottom w:val="none" w:sz="0" w:space="0" w:color="auto"/>
        <w:right w:val="none" w:sz="0" w:space="0" w:color="auto"/>
      </w:divBdr>
    </w:div>
    <w:div w:id="263344222">
      <w:bodyDiv w:val="1"/>
      <w:marLeft w:val="0"/>
      <w:marRight w:val="0"/>
      <w:marTop w:val="0"/>
      <w:marBottom w:val="0"/>
      <w:divBdr>
        <w:top w:val="none" w:sz="0" w:space="0" w:color="auto"/>
        <w:left w:val="none" w:sz="0" w:space="0" w:color="auto"/>
        <w:bottom w:val="none" w:sz="0" w:space="0" w:color="auto"/>
        <w:right w:val="none" w:sz="0" w:space="0" w:color="auto"/>
      </w:divBdr>
    </w:div>
    <w:div w:id="312099940">
      <w:bodyDiv w:val="1"/>
      <w:marLeft w:val="0"/>
      <w:marRight w:val="0"/>
      <w:marTop w:val="0"/>
      <w:marBottom w:val="0"/>
      <w:divBdr>
        <w:top w:val="none" w:sz="0" w:space="0" w:color="auto"/>
        <w:left w:val="none" w:sz="0" w:space="0" w:color="auto"/>
        <w:bottom w:val="none" w:sz="0" w:space="0" w:color="auto"/>
        <w:right w:val="none" w:sz="0" w:space="0" w:color="auto"/>
      </w:divBdr>
    </w:div>
    <w:div w:id="421952645">
      <w:bodyDiv w:val="1"/>
      <w:marLeft w:val="0"/>
      <w:marRight w:val="0"/>
      <w:marTop w:val="0"/>
      <w:marBottom w:val="0"/>
      <w:divBdr>
        <w:top w:val="none" w:sz="0" w:space="0" w:color="auto"/>
        <w:left w:val="none" w:sz="0" w:space="0" w:color="auto"/>
        <w:bottom w:val="none" w:sz="0" w:space="0" w:color="auto"/>
        <w:right w:val="none" w:sz="0" w:space="0" w:color="auto"/>
      </w:divBdr>
    </w:div>
    <w:div w:id="611329457">
      <w:bodyDiv w:val="1"/>
      <w:marLeft w:val="0"/>
      <w:marRight w:val="0"/>
      <w:marTop w:val="0"/>
      <w:marBottom w:val="0"/>
      <w:divBdr>
        <w:top w:val="none" w:sz="0" w:space="0" w:color="auto"/>
        <w:left w:val="none" w:sz="0" w:space="0" w:color="auto"/>
        <w:bottom w:val="none" w:sz="0" w:space="0" w:color="auto"/>
        <w:right w:val="none" w:sz="0" w:space="0" w:color="auto"/>
      </w:divBdr>
    </w:div>
    <w:div w:id="724523222">
      <w:bodyDiv w:val="1"/>
      <w:marLeft w:val="0"/>
      <w:marRight w:val="0"/>
      <w:marTop w:val="0"/>
      <w:marBottom w:val="0"/>
      <w:divBdr>
        <w:top w:val="none" w:sz="0" w:space="0" w:color="auto"/>
        <w:left w:val="none" w:sz="0" w:space="0" w:color="auto"/>
        <w:bottom w:val="none" w:sz="0" w:space="0" w:color="auto"/>
        <w:right w:val="none" w:sz="0" w:space="0" w:color="auto"/>
      </w:divBdr>
    </w:div>
    <w:div w:id="733048449">
      <w:bodyDiv w:val="1"/>
      <w:marLeft w:val="0"/>
      <w:marRight w:val="0"/>
      <w:marTop w:val="0"/>
      <w:marBottom w:val="0"/>
      <w:divBdr>
        <w:top w:val="none" w:sz="0" w:space="0" w:color="auto"/>
        <w:left w:val="none" w:sz="0" w:space="0" w:color="auto"/>
        <w:bottom w:val="none" w:sz="0" w:space="0" w:color="auto"/>
        <w:right w:val="none" w:sz="0" w:space="0" w:color="auto"/>
      </w:divBdr>
    </w:div>
    <w:div w:id="835193546">
      <w:bodyDiv w:val="1"/>
      <w:marLeft w:val="0"/>
      <w:marRight w:val="0"/>
      <w:marTop w:val="0"/>
      <w:marBottom w:val="0"/>
      <w:divBdr>
        <w:top w:val="none" w:sz="0" w:space="0" w:color="auto"/>
        <w:left w:val="none" w:sz="0" w:space="0" w:color="auto"/>
        <w:bottom w:val="none" w:sz="0" w:space="0" w:color="auto"/>
        <w:right w:val="none" w:sz="0" w:space="0" w:color="auto"/>
      </w:divBdr>
    </w:div>
    <w:div w:id="859005851">
      <w:bodyDiv w:val="1"/>
      <w:marLeft w:val="0"/>
      <w:marRight w:val="0"/>
      <w:marTop w:val="0"/>
      <w:marBottom w:val="0"/>
      <w:divBdr>
        <w:top w:val="none" w:sz="0" w:space="0" w:color="auto"/>
        <w:left w:val="none" w:sz="0" w:space="0" w:color="auto"/>
        <w:bottom w:val="none" w:sz="0" w:space="0" w:color="auto"/>
        <w:right w:val="none" w:sz="0" w:space="0" w:color="auto"/>
      </w:divBdr>
    </w:div>
    <w:div w:id="1236823298">
      <w:bodyDiv w:val="1"/>
      <w:marLeft w:val="0"/>
      <w:marRight w:val="0"/>
      <w:marTop w:val="0"/>
      <w:marBottom w:val="0"/>
      <w:divBdr>
        <w:top w:val="none" w:sz="0" w:space="0" w:color="auto"/>
        <w:left w:val="none" w:sz="0" w:space="0" w:color="auto"/>
        <w:bottom w:val="none" w:sz="0" w:space="0" w:color="auto"/>
        <w:right w:val="none" w:sz="0" w:space="0" w:color="auto"/>
      </w:divBdr>
    </w:div>
    <w:div w:id="1382435944">
      <w:bodyDiv w:val="1"/>
      <w:marLeft w:val="0"/>
      <w:marRight w:val="0"/>
      <w:marTop w:val="0"/>
      <w:marBottom w:val="0"/>
      <w:divBdr>
        <w:top w:val="none" w:sz="0" w:space="0" w:color="auto"/>
        <w:left w:val="none" w:sz="0" w:space="0" w:color="auto"/>
        <w:bottom w:val="none" w:sz="0" w:space="0" w:color="auto"/>
        <w:right w:val="none" w:sz="0" w:space="0" w:color="auto"/>
      </w:divBdr>
    </w:div>
    <w:div w:id="1425765674">
      <w:bodyDiv w:val="1"/>
      <w:marLeft w:val="0"/>
      <w:marRight w:val="0"/>
      <w:marTop w:val="0"/>
      <w:marBottom w:val="0"/>
      <w:divBdr>
        <w:top w:val="none" w:sz="0" w:space="0" w:color="auto"/>
        <w:left w:val="none" w:sz="0" w:space="0" w:color="auto"/>
        <w:bottom w:val="none" w:sz="0" w:space="0" w:color="auto"/>
        <w:right w:val="none" w:sz="0" w:space="0" w:color="auto"/>
      </w:divBdr>
    </w:div>
    <w:div w:id="1605839741">
      <w:bodyDiv w:val="1"/>
      <w:marLeft w:val="0"/>
      <w:marRight w:val="0"/>
      <w:marTop w:val="0"/>
      <w:marBottom w:val="0"/>
      <w:divBdr>
        <w:top w:val="none" w:sz="0" w:space="0" w:color="auto"/>
        <w:left w:val="none" w:sz="0" w:space="0" w:color="auto"/>
        <w:bottom w:val="none" w:sz="0" w:space="0" w:color="auto"/>
        <w:right w:val="none" w:sz="0" w:space="0" w:color="auto"/>
      </w:divBdr>
    </w:div>
    <w:div w:id="1618946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Gol17</b:Tag>
    <b:SourceType>JournalArticle</b:SourceType>
    <b:Guid>{8A08395D-D4E2-4DD1-8C03-41E4DA76CE85}</b:Guid>
    <b:Author>
      <b:Author>
        <b:Corporate>Golec de Zavala, A., Guerra, R., &amp; Simão, C.</b:Corporate>
      </b:Author>
    </b:Author>
    <b:Title>The relationship between the Brexit vote and individual predictors of prejudice: Collective narcissism, right wing authoritarianism, social dominance orientation</b:Title>
    <b:JournalName>Frontiers in psychology</b:JournalName>
    <b:Year>2017</b:Year>
    <b:Pages>8, 2023.</b:Pages>
    <b:RefOrder>2</b:RefOrder>
  </b:Source>
  <b:Source>
    <b:Tag>Cai13</b:Tag>
    <b:SourceType>JournalArticle</b:SourceType>
    <b:Guid>{59314EC3-D820-42CD-8885-98F5EE59C5E4}</b:Guid>
    <b:Author>
      <b:Author>
        <b:Corporate>Cai, H., and Gries, P.</b:Corporate>
      </b:Author>
    </b:Author>
    <b:Title>National narcissism: internal dimensions and international correlates</b:Title>
    <b:JournalName>PsyCh J. </b:JournalName>
    <b:Year>2013</b:Year>
    <b:Pages>2, 122–132. doi: 10.1002/pchj.26</b:Pages>
    <b:RefOrder>3</b:RefOrder>
  </b:Source>
  <b:Source>
    <b:Tag>Cin97</b:Tag>
    <b:SourceType>JournalArticle</b:SourceType>
    <b:Guid>{95F7D38D-41A6-498C-A316-CF353537839C}</b:Guid>
    <b:Author>
      <b:Author>
        <b:Corporate>Cinnirella, M. </b:Corporate>
      </b:Author>
    </b:Author>
    <b:Title>Towards a European identity? Interactions between the national and European social identities manifested by university students in Britain and Italy </b:Title>
    <b:JournalName>British Journal Social Psychology </b:JournalName>
    <b:Year>1997</b:Year>
    <b:Pages>36, 19–31. doi: 10.1111/j.2044-8309.1997.tb01116.x</b:Pages>
    <b:RefOrder>4</b:RefOrder>
  </b:Source>
  <b:Source>
    <b:Tag>Cla16</b:Tag>
    <b:SourceType>JournalArticle</b:SourceType>
    <b:Guid>{2662F2CF-2329-47B8-93E2-74D5C61EF507}</b:Guid>
    <b:Author>
      <b:Author>
        <b:Corporate>Clarke, H., Goodwin, M., and Whiteley, P. </b:Corporate>
      </b:Author>
    </b:Author>
    <b:Title>“Why Britain voted for Brexit: an individual-level analysis of the 2016 referendum vote,” in Paper Presented at EPOP Conference</b:Title>
    <b:Year>2016</b:Year>
    <b:RefOrder>5</b:RefOrder>
  </b:Source>
  <b:Source>
    <b:Tag>Hob16</b:Tag>
    <b:SourceType>JournalArticle</b:SourceType>
    <b:Guid>{D6A783DD-525A-42BC-AF72-CB1DC1499CB1}</b:Guid>
    <b:Author>
      <b:Author>
        <b:Corporate>Hobolt, S. B.</b:Corporate>
      </b:Author>
    </b:Author>
    <b:Title>The Brexit vote: a divided nation, a divided continent.</b:Title>
    <b:JournalName>Journal European Public Policy</b:JournalName>
    <b:Year>2016</b:Year>
    <b:Pages> 23, 1259–1277. doi: 10.1080/13501763.2016.1225785</b:Pages>
    <b:RefOrder>6</b:RefOrder>
  </b:Source>
  <b:Source>
    <b:Tag>Lou16</b:Tag>
    <b:SourceType>JournalArticle</b:SourceType>
    <b:Guid>{842CC7E6-45E1-4C30-897C-61AFB1D8C943}</b:Guid>
    <b:Author>
      <b:Author>
        <b:Corporate>Loughborough University </b:Corporate>
      </b:Author>
    </b:Author>
    <b:Title>EU Referendum 2016. </b:Title>
    <b:JournalName>Media analysis from Loughborough</b:JournalName>
    <b:Year>2016</b:Year>
    <b:Pages>https://blog.lboro.ac.uk/crcc/eu-referendum/uk-news-coverage-2016-eu-referendum-report-5-6-may-22-june-2016/</b:Pages>
    <b:RefOrder>7</b:RefOrder>
  </b:Source>
  <b:Source>
    <b:Tag>You16</b:Tag>
    <b:SourceType>JournalArticle</b:SourceType>
    <b:Guid>{0B9CDDF7-80ED-44C5-984C-29B3FC3B84C4}</b:Guid>
    <b:Author>
      <b:Author>
        <b:Corporate>YouGov </b:Corporate>
      </b:Author>
    </b:Author>
    <b:Title>Draft EU deal gives boost to Leave campaign. </b:Title>
    <b:Year>2016</b:Year>
    <b:Pages> URL:https://yougov.co.uk/news/2016/02/04/eu-referendum-leave-leads-nine/</b:Pages>
    <b:RefOrder>8</b:RefOrder>
  </b:Source>
  <b:Source>
    <b:Tag>Kau16</b:Tag>
    <b:SourceType>JournalArticle</b:SourceType>
    <b:Guid>{DBF05929-9285-40E1-9BD9-A4F84363FE0C}</b:Guid>
    <b:Author>
      <b:Author>
        <b:Corporate>Kaufman</b:Corporate>
      </b:Author>
    </b:Author>
    <b:Title> It is Not the Economy, Stupid: Brexit As a Story of Personal Values. </b:Title>
    <b:Year>2016</b:Year>
    <b:Pages>Available online at: http://blogs.lse.ac.uk/politicsandpolicy/personal-values-brexit-vote (Accessed March 21, 2017).</b:Pages>
    <b:RefOrder>9</b:RefOrder>
  </b:Source>
  <b:Source>
    <b:Tag>Swa18</b:Tag>
    <b:SourceType>JournalArticle</b:SourceType>
    <b:Guid>{19B66B61-4ED7-4FB4-A439-F94D6068E52E}</b:Guid>
    <b:Author>
      <b:Author>
        <b:Corporate>Swami, V., Barron, D., Weis, L., &amp; Furnham, A.</b:Corporate>
      </b:Author>
    </b:Author>
    <b:Title>To Brexit or not to Brexit: The roles of Islamophobia, conspiracist beliefs, and integrated threat in voting intentions for the United Kingdom European Union membership referendum</b:Title>
    <b:JournalName>British Journal of psychology</b:JournalName>
    <b:Year>2018</b:Year>
    <b:Pages>109(10, 156-179</b:Pages>
    <b:RefOrder>10</b:RefOrder>
  </b:Source>
  <b:Source>
    <b:Tag>Taj86</b:Tag>
    <b:SourceType>JournalArticle</b:SourceType>
    <b:Guid>{7E2932AA-244D-4745-8754-9F68622C91C2}</b:Guid>
    <b:Author>
      <b:Author>
        <b:Corporate>Tajfel, H., &amp; Turner, J. C.</b:Corporate>
      </b:Author>
    </b:Author>
    <b:Title>The social identity theory of intergroup behavior</b:Title>
    <b:Year>1986</b:Year>
    <b:JournalName>Psychology of intergroup relations</b:JournalName>
    <b:Pages>7-24</b:Pages>
    <b:RefOrder>11</b:RefOrder>
  </b:Source>
  <b:Source>
    <b:Tag>Zmi18</b:Tag>
    <b:SourceType>JournalArticle</b:SourceType>
    <b:Guid>{E9AC210B-D9F8-4157-9984-EC48777E5C57}</b:Guid>
    <b:Author>
      <b:Author>
        <b:Corporate>Zmigrod, L., Rentfrow, P. J., &amp; Robbins, T. W.</b:Corporate>
      </b:Author>
    </b:Author>
    <b:Title>Cognitive underpinnings of nationalistic ideology in the context of Brexit</b:Title>
    <b:JournalName>Proceedings of the National Academy of Sciences</b:JournalName>
    <b:Year>2018</b:Year>
    <b:Pages>115(19), E4532-E4540</b:Pages>
    <b:RefOrder>12</b:RefOrder>
  </b:Source>
  <b:Source>
    <b:Tag>Hut19</b:Tag>
    <b:SourceType>JournalArticle</b:SourceType>
    <b:Guid>{9CC28632-20D2-4FBD-9406-042FFE28CC50}</b:Guid>
    <b:Author>
      <b:Author>
        <b:Corporate>Hutchings, P. B., &amp; Sullivan, K. E.</b:Corporate>
      </b:Author>
    </b:Author>
    <b:Title>Prejudice and the Brexit vote: a tangled web</b:Title>
    <b:JournalName>Palgrave communications</b:JournalName>
    <b:Year>2019</b:Year>
    <b:Pages>https://www.nature.com/articles/s41599-018-0214-5.pdf</b:Pages>
    <b:RefOrder>13</b:RefOrder>
  </b:Source>
  <b:Source>
    <b:Tag>Sul</b:Tag>
    <b:SourceType>JournalArticle</b:SourceType>
    <b:Guid>{1C04B733-BE04-478E-88FD-B86B1CFD2469}</b:Guid>
    <b:Author>
      <b:Author>
        <b:Corporate>Sullivan, K. E., &amp; Hutchings, P. B.</b:Corporate>
      </b:Author>
    </b:Author>
    <b:Title>(in press). Prejudice and the Brexit vote. </b:Title>
    <b:JournalName>Journal of Political Psychology</b:JournalName>
    <b:RefOrder>14</b:RefOrder>
  </b:Source>
  <b:Source>
    <b:Tag>Kau15</b:Tag>
    <b:SourceType>JournalArticle</b:SourceType>
    <b:Guid>{FF1A7AC7-C120-404E-85DD-7216529911E8}</b:Guid>
    <b:Author>
      <b:Author>
        <b:Corporate>Kaufmann, E., &amp; Harris, G.</b:Corporate>
      </b:Author>
    </b:Author>
    <b:Title>“White Flight” or positive contact? Local diversity and attitudes to immigration in Britain</b:Title>
    <b:Year>2015</b:Year>
    <b:JournalName>Comp Political Stud </b:JournalName>
    <b:Pages>48, 1563–1690</b:Pages>
    <b:RefOrder>15</b:RefOrder>
  </b:Source>
  <b:Source>
    <b:Tag>Off16</b:Tag>
    <b:SourceType>JournalArticle</b:SourceType>
    <b:Guid>{609409F8-2296-4713-8FD8-292B06C4D576}</b:Guid>
    <b:Author>
      <b:Author>
        <b:Corporate>Office for National Statistics</b:Corporate>
      </b:Author>
    </b:Author>
    <b:JournalName>Migration statistics quarterly report: May 2016.</b:JournalName>
    <b:Year>2016</b:Year>
    <b:Pages>https://www.ons.gov.uk/peoplepopulationandcommunity/populationandmigration/internationalmigration/bulletins/migrationstatisticsquarterlyreport/may2016</b:Pages>
    <b:RefOrder>1</b:RefOrder>
  </b:Source>
  <b:Source>
    <b:Tag>Goo31</b:Tag>
    <b:SourceType>JournalArticle</b:SourceType>
    <b:Guid>{B68860DD-AEE6-4A40-ADEA-02AC38299490}</b:Guid>
    <b:Author>
      <b:Author>
        <b:Corporate>Goodwin, M., &amp; Health, O.</b:Corporate>
      </b:Author>
    </b:Author>
    <b:Title>Brexit Vote Explained: Poverty, Low Skills Lack of Opportunities</b:Title>
    <b:Year>2016, August 31</b:Year>
    <b:Pages>Available online at: https://www.jrf.org.uk/report/brexit-vote-explained-poverty-low-skills-and-lack-opportunities?gclid=CjwKCAjwpfzOBRA5EiwAU</b:Pages>
    <b:JournalName>Joesph Rowntree Foundation</b:JournalName>
    <b:RefOrder>16</b:RefOrder>
  </b:Source>
  <b:Source>
    <b:Tag>Pra</b:Tag>
    <b:SourceType>JournalArticle</b:SourceType>
    <b:Guid>{CDEF8F78-CB41-4B54-83B0-DC61658028CE}</b:Guid>
    <b:Author>
      <b:Author>
        <b:Corporate>Pratto, F., Sidanius, J., Stallworth, L. M., &amp; Malle, B. F. </b:Corporate>
      </b:Author>
    </b:Author>
    <b:JournalName>Journal Personality and Social Psychology</b:JournalName>
    <b:Pages>67, 741–763. doi: 10.1037/0022-3514.67.4.741</b:Pages>
    <b:Title>Social dominance orientation: a personality variable predicting social and political attitudes</b:Title>
    <b:Year>1994</b:Year>
    <b:RefOrder>17</b:RefOrder>
  </b:Source>
  <b:Source>
    <b:Tag>Law16</b:Tag>
    <b:SourceType>DocumentFromInternetSite</b:SourceType>
    <b:Guid>{AE594C99-E234-45FE-8EF6-D524A4C7ED8C}</b:Guid>
    <b:Author>
      <b:Author>
        <b:Corporate>Lawton, C., &amp; Ackrill, R.</b:Corporate>
      </b:Author>
    </b:Author>
    <b:Title>Hard Evidence: how areas with low immigration voted mainly for Brexit</b:Title>
    <b:Year>2016</b:Year>
    <b:InternetSiteTitle>The conversation</b:InternetSiteTitle>
    <b:Month>July</b:Month>
    <b:Day>8</b:Day>
    <b:URL>https://theconversation.com/hard-evidence-how-areas-with-low-immigration-voted-mainly-for-brexit-62138</b:URL>
    <b:RefOrder>18</b:RefOrder>
  </b:Source>
  <b:Source>
    <b:Tag>deR19</b:Tag>
    <b:SourceType>JournalArticle</b:SourceType>
    <b:Guid>{31A5F9AB-67CD-4D3D-9047-7AF68C365540}</b:Guid>
    <b:Title>Conclusion: Where Do We Go from Here?. In Brexit Negotiations After Article 50: Assessing Process, Progress and Impact</b:Title>
    <b:Year>2019</b:Year>
    <b:Author>
      <b:Author>
        <b:Corporate>de Ruyter, A., &amp; Nielsen, B.</b:Corporate>
      </b:Author>
    </b:Author>
    <b:Pages>pp 193-202. Emerald Publishing Limited</b:Pages>
    <b:RefOrder>19</b:RefOrder>
  </b:Source>
  <b:Source>
    <b:Tag>Kit16</b:Tag>
    <b:SourceType>Book</b:SourceType>
    <b:Guid>{0706A4F2-CCE0-4FE3-894B-E05C5981A13D}</b:Guid>
    <b:Title>Psychology of Prejudice and discrimination (3rd eds)</b:Title>
    <b:Year>2016</b:Year>
    <b:Author>
      <b:Author>
        <b:Corporate>Kite, M. E., &amp; Whiteley, B. E.</b:Corporate>
      </b:Author>
    </b:Author>
    <b:City>Oxon</b:City>
    <b:Publisher>Taylor &amp; Francis group</b:Publisher>
    <b:RefOrder>20</b:RefOrder>
  </b:Source>
  <b:Source>
    <b:Tag>Ble02</b:Tag>
    <b:SourceType>Book</b:SourceType>
    <b:Guid>{6AF28968-26E3-4358-842E-21CFF0D5B912}</b:Guid>
    <b:Author>
      <b:Author>
        <b:Corporate>Blee, K. M.</b:Corporate>
      </b:Author>
    </b:Author>
    <b:Title>Inside organised racism: Women in the hate movement</b:Title>
    <b:Year>2002</b:Year>
    <b:Publisher>Univeristy of california press</b:Publisher>
    <b:RefOrder>21</b:RefOrder>
  </b:Source>
  <b:Source>
    <b:Tag>Alt88</b:Tag>
    <b:SourceType>Book</b:SourceType>
    <b:Guid>{6CE1C638-7F82-4750-80A5-75DDAB3EB5A7}</b:Guid>
    <b:Author>
      <b:Author>
        <b:NameList>
          <b:Person>
            <b:Last>Altemeyer</b:Last>
            <b:First>B.</b:First>
          </b:Person>
        </b:NameList>
      </b:Author>
    </b:Author>
    <b:Title>Enimies of freedom: understanding right-wing authoritarianism. </b:Title>
    <b:Year>1988</b:Year>
    <b:City>San Fransisco</b:City>
    <b:Publisher>CA: Jossey-Bass</b:Publisher>
    <b:RefOrder>22</b:RefOrder>
  </b:Source>
  <b:Source>
    <b:Tag>Aic16</b:Tag>
    <b:SourceType>JournalArticle</b:SourceType>
    <b:Guid>{553E18BA-3CEE-4CFA-A948-B91A6569BB16}</b:Guid>
    <b:Title>Psychological bases of support for radical right parties</b:Title>
    <b:Year>2016</b:Year>
    <b:Author>
      <b:Author>
        <b:Corporate>Aichholzer, J., &amp; Zandonella, M.</b:Corporate>
      </b:Author>
    </b:Author>
    <b:JournalName>Personality and Individual Differences</b:JournalName>
    <b:Pages>96, 185-190</b:Pages>
    <b:RefOrder>23</b:RefOrder>
  </b:Source>
  <b:Source>
    <b:Tag>Her09</b:Tag>
    <b:SourceType>JournalArticle</b:SourceType>
    <b:Guid>{11377A22-2C46-4205-9844-BED8FA7084A9}</b:Guid>
    <b:Author>
      <b:Author>
        <b:Corporate>Herrmann, R. K., Isernia, P., &amp; Segatti, P. </b:Corporate>
      </b:Author>
    </b:Author>
    <b:Title>Attachment to the nation and international relations: Dimensions of identity and their relationship to war and peace</b:Title>
    <b:JournalName>Political Psychology</b:JournalName>
    <b:Year>2009</b:Year>
    <b:Pages>30(5), 721-754.</b:Pages>
    <b:RefOrder>24</b:RefOrder>
  </b:Source>
  <b:Source>
    <b:Tag>Dov04</b:Tag>
    <b:SourceType>JournalArticle</b:SourceType>
    <b:Guid>{C7379AF8-1F24-4ABF-B5C0-088EB678D12A}</b:Guid>
    <b:Author>
      <b:Author>
        <b:Corporate>Dovidio, J. F., &amp; Gaertner, S. L. </b:Corporate>
      </b:Author>
    </b:Author>
    <b:Title>Aversive racism</b:Title>
    <b:JournalName>Advances in experimental social psychology</b:JournalName>
    <b:Year>2004</b:Year>
    <b:Pages>36, 4-56.</b:Pages>
    <b:RefOrder>25</b:RefOrder>
  </b:Source>
  <b:Source>
    <b:Tag>Son08</b:Tag>
    <b:SourceType>JournalArticle</b:SourceType>
    <b:Guid>{9B6E0274-F137-4F58-99A7-62E5DD4527AB}</b:Guid>
    <b:Author>
      <b:Author>
        <b:Corporate>Son Hing, L. S., Chung-Yan, G. A., Hamilton, L. K., &amp; Zanna, M. P. </b:Corporate>
      </b:Author>
    </b:Author>
    <b:Title>A two-dimensional model that employs explicit and implicit attitudes to characterize prejudice</b:Title>
    <b:JournalName>Journal of Personality and Social Psychology</b:JournalName>
    <b:Year>2008</b:Year>
    <b:Pages>94(6), 971.</b:Pages>
    <b:RefOrder>26</b:RefOrder>
  </b:Source>
  <b:Source>
    <b:Tag>Pet08</b:Tag>
    <b:SourceType>JournalArticle</b:SourceType>
    <b:Guid>{F09CD5D5-137C-47F0-8469-B02966CC8DD5}</b:Guid>
    <b:Author>
      <b:Author>
        <b:Corporate>Pettigrew, T. F., Christ, O., Wagner, U., Meertens, R. W., Van Dick, R., &amp; Zick, A. </b:Corporate>
      </b:Author>
    </b:Author>
    <b:Title>Relative deprivation and intergroup prejudice</b:Title>
    <b:JournalName>Journal of Social Issues</b:JournalName>
    <b:Year>2008</b:Year>
    <b:Pages> 64(2), 385-401</b:Pages>
    <b:RefOrder>27</b:RefOrder>
  </b:Source>
  <b:Source>
    <b:Tag>Smi15</b:Tag>
    <b:SourceType>JournalArticle</b:SourceType>
    <b:Guid>{1D9845BD-957A-4A2A-9495-B7DB2A41C7B8}</b:Guid>
    <b:Author>
      <b:Author>
        <b:Corporate>Smith, H. J., &amp; Pettigrew, T. F.</b:Corporate>
      </b:Author>
    </b:Author>
    <b:Title>Advances in relative deprivation theory and research</b:Title>
    <b:JournalName>Social Justice Research</b:JournalName>
    <b:Year>2015</b:Year>
    <b:Pages> 28(1), 1-6</b:Pages>
    <b:RefOrder>28</b:RefOrder>
  </b:Source>
  <b:Source>
    <b:Tag>Ash16</b:Tag>
    <b:SourceType>JournalArticle</b:SourceType>
    <b:Guid>{98C637BB-6548-4140-8DA4-79FCAAD3212E}</b:Guid>
    <b:Author>
      <b:Author>
        <b:Corporate>Ashcroft, R., &amp; Bevir, M. </b:Corporate>
      </b:Author>
    </b:Author>
    <b:Title> Pluralism, national identity and citizenship: Britain after Brexit</b:Title>
    <b:JournalName>Political quarterly</b:JournalName>
    <b:Year>2016</b:Year>
    <b:Pages>87 (3) https://escholarship.org/uc/item/76q941f4</b:Pages>
    <b:RefOrder>29</b:RefOrder>
  </b:Source>
  <b:Source>
    <b:Tag>But16</b:Tag>
    <b:SourceType>Book</b:SourceType>
    <b:Guid>{B0BC5F4E-83CE-45D7-8067-590447B005C3}</b:Guid>
    <b:Author>
      <b:Author>
        <b:Corporate>Butler, D., &amp; Kitzinger, U.</b:Corporate>
      </b:Author>
    </b:Author>
    <b:Title>The 1975 referendum</b:Title>
    <b:Year>1976</b:Year>
    <b:Publisher>St</b:Publisher>
    <b:City>New York</b:City>
    <b:RefOrder>30</b:RefOrder>
  </b:Source>
  <b:Source>
    <b:Tag>Dus14</b:Tag>
    <b:SourceType>JournalArticle</b:SourceType>
    <b:Guid>{72FFE479-16A0-4827-BFF4-EF10B1326D47}</b:Guid>
    <b:Author>
      <b:Author>
        <b:Corporate>Dustmann, C., Frattini, T., &amp; Preston, I. P. </b:Corporate>
      </b:Author>
    </b:Author>
    <b:Title> The effect of immigration along the distribution of wages</b:Title>
    <b:Year>2012</b:Year>
    <b:JournalName>Review of Economic Studies</b:JournalName>
    <b:Pages>80(1), 145-173.</b:Pages>
    <b:RefOrder>31</b:RefOrder>
  </b:Source>
  <b:Source>
    <b:Tag>Cam65</b:Tag>
    <b:SourceType>Book</b:SourceType>
    <b:Guid>{CA266B3B-DD92-478D-A335-6865535E17B9}</b:Guid>
    <b:Author>
      <b:Author>
        <b:Corporate>Campbell, D. T. </b:Corporate>
      </b:Author>
    </b:Author>
    <b:Title>Ethnocentric and other altruistic motives. In: Levine D (ed)</b:Title>
    <b:Year>1965</b:Year>
    <b:City>University of Nebraska press</b:City>
    <b:Publisher>Lincoln. pp 283-301</b:Publisher>
    <b:RefOrder>32</b:RefOrder>
  </b:Source>
  <b:Source>
    <b:Tag>Gil13</b:Tag>
    <b:SourceType>JournalArticle</b:SourceType>
    <b:Guid>{BEAE55F8-3B77-40D1-B8B5-A694A7AF30B1}</b:Guid>
    <b:Author>
      <b:Author>
        <b:Corporate>Gilmore, J., Meeks, L., &amp; Domke, D. </b:Corporate>
      </b:Author>
    </b:Author>
    <b:Title>Why do (we think) they hate us: Anti-Americanism, patriotic messages, and attributions of blame</b:Title>
    <b:Year>2013</b:Year>
    <b:JournalName>International Journal of Communication</b:JournalName>
    <b:Pages>7, 21</b:Pages>
    <b:RefOrder>33</b:RefOrder>
  </b:Source>
  <b:Source>
    <b:Tag>Kno15</b:Tag>
    <b:SourceType>JournalArticle</b:SourceType>
    <b:Guid>{08792AD4-D701-43E5-969C-614CAF098A1F}</b:Guid>
    <b:Author>
      <b:Author>
        <b:Corporate>Knobloch-Westerwick, S. </b:Corporate>
      </b:Author>
    </b:Author>
    <b:Title>The selective exposure self-and affect-management (SESAM) model: Applications in the realms of race, politics, and health</b:Title>
    <b:JournalName> Communication Research</b:JournalName>
    <b:Year>2015</b:Year>
    <b:Pages>42(7), 959-985</b:Pages>
    <b:RefOrder>34</b:RefOrder>
  </b:Source>
  <b:Source>
    <b:Tag>Tow12</b:Tag>
    <b:SourceType>JournalArticle</b:SourceType>
    <b:Guid>{B3549AEE-871E-4C22-9C83-6AA2FBDC154E}</b:Guid>
    <b:Author>
      <b:Author>
        <b:Corporate>Towner, T. L., &amp; Dulio, D. A. </b:Corporate>
      </b:Author>
    </b:Author>
    <b:Title>New media and political marketing in the United States: 2012 and beyond</b:Title>
    <b:JournalName>Journal of Political Marketing</b:JournalName>
    <b:Year>2012</b:Year>
    <b:Pages>11(1-2), 95-119</b:Pages>
    <b:RefOrder>35</b:RefOrder>
  </b:Source>
</b:Sources>
</file>

<file path=customXml/itemProps1.xml><?xml version="1.0" encoding="utf-8"?>
<ds:datastoreItem xmlns:ds="http://schemas.openxmlformats.org/officeDocument/2006/customXml" ds:itemID="{CB061B5C-3D52-437F-9B20-8C68E81CB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3389</Words>
  <Characters>19318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 (1705191)</dc:creator>
  <cp:keywords/>
  <dc:description/>
  <cp:lastModifiedBy>Amy Mellin (1705191)</cp:lastModifiedBy>
  <cp:revision>23</cp:revision>
  <dcterms:created xsi:type="dcterms:W3CDTF">2019-11-05T00:06:00Z</dcterms:created>
  <dcterms:modified xsi:type="dcterms:W3CDTF">2019-11-05T23:09:00Z</dcterms:modified>
</cp:coreProperties>
</file>