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BF141" w14:textId="0C36B1A7" w:rsidR="00B23664" w:rsidRPr="0021259B" w:rsidRDefault="009A275A" w:rsidP="0021259B">
      <w:pPr>
        <w:spacing w:after="120" w:line="360" w:lineRule="auto"/>
      </w:pPr>
      <w:r w:rsidRPr="0040766D">
        <w:rPr>
          <w:b/>
          <w:bCs/>
          <w:noProof/>
        </w:rPr>
        <w:drawing>
          <wp:anchor distT="0" distB="0" distL="114300" distR="114300" simplePos="0" relativeHeight="251658240" behindDoc="0" locked="0" layoutInCell="1" allowOverlap="1" wp14:anchorId="41F18910" wp14:editId="65A13D5F">
            <wp:simplePos x="0" y="0"/>
            <wp:positionH relativeFrom="margin">
              <wp:align>center</wp:align>
            </wp:positionH>
            <wp:positionV relativeFrom="paragraph">
              <wp:posOffset>-609600</wp:posOffset>
            </wp:positionV>
            <wp:extent cx="4808086" cy="2524125"/>
            <wp:effectExtent l="0" t="0" r="0" b="0"/>
            <wp:wrapNone/>
            <wp:docPr id="1603356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356558" name="Picture 1603356558"/>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8086" cy="2524125"/>
                    </a:xfrm>
                    <a:prstGeom prst="rect">
                      <a:avLst/>
                    </a:prstGeom>
                  </pic:spPr>
                </pic:pic>
              </a:graphicData>
            </a:graphic>
          </wp:anchor>
        </w:drawing>
      </w:r>
      <w:r w:rsidR="00000000" w:rsidRPr="0021259B">
        <w:t xml:space="preserve">  </w:t>
      </w:r>
    </w:p>
    <w:p w14:paraId="655C1296" w14:textId="0095C1C1" w:rsidR="009A275A" w:rsidRDefault="009A275A" w:rsidP="0021259B">
      <w:pPr>
        <w:spacing w:before="720" w:after="240" w:line="360" w:lineRule="auto"/>
        <w:rPr>
          <w:b/>
          <w:bCs/>
        </w:rPr>
      </w:pPr>
    </w:p>
    <w:p w14:paraId="4DAB1599" w14:textId="77777777" w:rsidR="009A275A" w:rsidRDefault="009A275A" w:rsidP="009A275A">
      <w:pPr>
        <w:spacing w:line="360" w:lineRule="auto"/>
        <w:jc w:val="center"/>
        <w:rPr>
          <w:rFonts w:eastAsia="Times New Roman"/>
          <w:b/>
          <w:bCs/>
          <w:color w:val="000000"/>
          <w:lang w:eastAsia="en-GB"/>
        </w:rPr>
      </w:pPr>
    </w:p>
    <w:p w14:paraId="3D18B649" w14:textId="77777777" w:rsidR="009A275A" w:rsidRDefault="009A275A" w:rsidP="009A275A">
      <w:pPr>
        <w:spacing w:line="360" w:lineRule="auto"/>
        <w:jc w:val="center"/>
        <w:rPr>
          <w:rFonts w:eastAsia="Times New Roman"/>
          <w:b/>
          <w:bCs/>
          <w:color w:val="000000"/>
          <w:lang w:eastAsia="en-GB"/>
        </w:rPr>
      </w:pPr>
    </w:p>
    <w:p w14:paraId="78BCC2E8" w14:textId="77777777" w:rsidR="009A275A" w:rsidRDefault="009A275A" w:rsidP="009A275A">
      <w:pPr>
        <w:spacing w:line="360" w:lineRule="auto"/>
        <w:jc w:val="center"/>
        <w:rPr>
          <w:rFonts w:eastAsia="Times New Roman"/>
          <w:b/>
          <w:bCs/>
          <w:color w:val="000000"/>
          <w:lang w:eastAsia="en-GB"/>
        </w:rPr>
      </w:pPr>
    </w:p>
    <w:p w14:paraId="74A19397" w14:textId="77777777" w:rsidR="009A275A" w:rsidRDefault="009A275A" w:rsidP="009A275A">
      <w:pPr>
        <w:spacing w:line="360" w:lineRule="auto"/>
        <w:jc w:val="center"/>
        <w:rPr>
          <w:rFonts w:eastAsia="Times New Roman"/>
          <w:b/>
          <w:bCs/>
          <w:color w:val="000000"/>
          <w:lang w:eastAsia="en-GB"/>
        </w:rPr>
      </w:pPr>
    </w:p>
    <w:p w14:paraId="740EBF43" w14:textId="7C8E2800" w:rsidR="009A275A" w:rsidRPr="0040766D" w:rsidRDefault="009A275A" w:rsidP="009A275A">
      <w:pPr>
        <w:spacing w:line="360" w:lineRule="auto"/>
        <w:jc w:val="center"/>
        <w:rPr>
          <w:rFonts w:eastAsia="Times New Roman"/>
          <w:lang w:eastAsia="en-GB"/>
        </w:rPr>
      </w:pPr>
      <w:r w:rsidRPr="0040766D">
        <w:rPr>
          <w:rFonts w:eastAsia="Times New Roman"/>
          <w:b/>
          <w:bCs/>
          <w:color w:val="000000"/>
          <w:lang w:eastAsia="en-GB"/>
        </w:rPr>
        <w:t>BSC (HONS) HEALTH AND SOCIAL CARE</w:t>
      </w:r>
    </w:p>
    <w:p w14:paraId="74CC661F" w14:textId="77777777" w:rsidR="009A275A" w:rsidRPr="0040766D" w:rsidRDefault="009A275A" w:rsidP="009A275A">
      <w:pPr>
        <w:spacing w:line="360" w:lineRule="auto"/>
        <w:jc w:val="center"/>
        <w:rPr>
          <w:b/>
          <w:bCs/>
        </w:rPr>
      </w:pPr>
    </w:p>
    <w:p w14:paraId="6076ABF8" w14:textId="77777777" w:rsidR="009A275A" w:rsidRDefault="009A275A" w:rsidP="009A275A">
      <w:pPr>
        <w:spacing w:line="360" w:lineRule="auto"/>
        <w:jc w:val="center"/>
        <w:rPr>
          <w:b/>
          <w:bCs/>
        </w:rPr>
      </w:pPr>
    </w:p>
    <w:p w14:paraId="187A3900" w14:textId="77777777" w:rsidR="000C092A" w:rsidRDefault="000C092A" w:rsidP="009A275A">
      <w:pPr>
        <w:spacing w:line="360" w:lineRule="auto"/>
        <w:jc w:val="center"/>
        <w:rPr>
          <w:b/>
          <w:bCs/>
        </w:rPr>
      </w:pPr>
    </w:p>
    <w:p w14:paraId="4C1D84B5" w14:textId="77777777" w:rsidR="000C092A" w:rsidRDefault="000C092A" w:rsidP="009A275A">
      <w:pPr>
        <w:spacing w:line="360" w:lineRule="auto"/>
        <w:jc w:val="center"/>
        <w:rPr>
          <w:b/>
          <w:bCs/>
        </w:rPr>
      </w:pPr>
    </w:p>
    <w:p w14:paraId="72A701B9" w14:textId="77777777" w:rsidR="000C092A" w:rsidRPr="0040766D" w:rsidRDefault="000C092A" w:rsidP="009A275A">
      <w:pPr>
        <w:spacing w:line="360" w:lineRule="auto"/>
        <w:jc w:val="center"/>
        <w:rPr>
          <w:b/>
          <w:bCs/>
        </w:rPr>
      </w:pPr>
    </w:p>
    <w:p w14:paraId="43B03AE9" w14:textId="77777777" w:rsidR="009A275A" w:rsidRPr="000C092A" w:rsidRDefault="009A275A" w:rsidP="009A275A">
      <w:pPr>
        <w:spacing w:line="360" w:lineRule="auto"/>
        <w:jc w:val="center"/>
        <w:rPr>
          <w:b/>
          <w:bCs/>
        </w:rPr>
      </w:pPr>
      <w:r w:rsidRPr="000C092A">
        <w:rPr>
          <w:b/>
          <w:bCs/>
        </w:rPr>
        <w:t>STUDENT NAME &amp; ID.</w:t>
      </w:r>
    </w:p>
    <w:p w14:paraId="5AD0D31C" w14:textId="77777777" w:rsidR="009A275A" w:rsidRPr="000C092A" w:rsidRDefault="009A275A" w:rsidP="009A275A">
      <w:pPr>
        <w:spacing w:line="360" w:lineRule="auto"/>
        <w:jc w:val="center"/>
      </w:pPr>
      <w:r w:rsidRPr="000C092A">
        <w:t>JOELLY OYONO</w:t>
      </w:r>
    </w:p>
    <w:p w14:paraId="183FCA8B" w14:textId="77777777" w:rsidR="009A275A" w:rsidRPr="000C092A" w:rsidRDefault="009A275A" w:rsidP="009A275A">
      <w:pPr>
        <w:spacing w:line="360" w:lineRule="auto"/>
        <w:jc w:val="center"/>
      </w:pPr>
      <w:r w:rsidRPr="000C092A">
        <w:t>2317543</w:t>
      </w:r>
    </w:p>
    <w:p w14:paraId="6249E327" w14:textId="77777777" w:rsidR="009A275A" w:rsidRPr="0040766D" w:rsidRDefault="009A275A" w:rsidP="009A275A">
      <w:pPr>
        <w:spacing w:line="360" w:lineRule="auto"/>
        <w:jc w:val="center"/>
        <w:rPr>
          <w:b/>
          <w:bCs/>
        </w:rPr>
      </w:pPr>
    </w:p>
    <w:p w14:paraId="55D45121" w14:textId="77777777" w:rsidR="009A275A" w:rsidRPr="000C092A" w:rsidRDefault="009A275A" w:rsidP="009A275A">
      <w:pPr>
        <w:spacing w:line="360" w:lineRule="auto"/>
        <w:jc w:val="center"/>
        <w:rPr>
          <w:b/>
          <w:bCs/>
        </w:rPr>
      </w:pPr>
      <w:r w:rsidRPr="000C092A">
        <w:rPr>
          <w:b/>
          <w:bCs/>
        </w:rPr>
        <w:t>MODULE &amp; CODE</w:t>
      </w:r>
    </w:p>
    <w:p w14:paraId="5442F367" w14:textId="18D2B8C4" w:rsidR="009A275A" w:rsidRPr="000C092A" w:rsidRDefault="009A275A" w:rsidP="000C092A">
      <w:pPr>
        <w:spacing w:line="360" w:lineRule="auto"/>
        <w:jc w:val="center"/>
      </w:pPr>
      <w:r w:rsidRPr="0021259B">
        <w:t>Psychological Classifications and Provisions</w:t>
      </w:r>
    </w:p>
    <w:p w14:paraId="157939EC" w14:textId="77777777" w:rsidR="009A275A" w:rsidRDefault="009A275A" w:rsidP="009A275A">
      <w:pPr>
        <w:spacing w:line="360" w:lineRule="auto"/>
        <w:jc w:val="center"/>
      </w:pPr>
      <w:r w:rsidRPr="0021259B">
        <w:t>BMHP6029</w:t>
      </w:r>
    </w:p>
    <w:p w14:paraId="113D51AD" w14:textId="77777777" w:rsidR="000C092A" w:rsidRDefault="000C092A" w:rsidP="009A275A">
      <w:pPr>
        <w:spacing w:line="360" w:lineRule="auto"/>
        <w:jc w:val="center"/>
      </w:pPr>
    </w:p>
    <w:p w14:paraId="0D21E383" w14:textId="15270861" w:rsidR="009A275A" w:rsidRPr="000C092A" w:rsidRDefault="009A275A" w:rsidP="009A275A">
      <w:pPr>
        <w:spacing w:line="360" w:lineRule="auto"/>
        <w:jc w:val="center"/>
        <w:rPr>
          <w:b/>
          <w:bCs/>
        </w:rPr>
      </w:pPr>
      <w:r w:rsidRPr="000C092A">
        <w:rPr>
          <w:b/>
          <w:bCs/>
        </w:rPr>
        <w:t>LECTURER(S)</w:t>
      </w:r>
    </w:p>
    <w:p w14:paraId="49CCB67F" w14:textId="20F602B6" w:rsidR="009A275A" w:rsidRDefault="009A275A" w:rsidP="009A275A">
      <w:pPr>
        <w:spacing w:before="60" w:after="120" w:line="360" w:lineRule="auto"/>
        <w:jc w:val="center"/>
      </w:pPr>
      <w:r w:rsidRPr="0021259B">
        <w:t>Bianca Sanfilippo</w:t>
      </w:r>
    </w:p>
    <w:p w14:paraId="2D5013A7" w14:textId="49221FE8" w:rsidR="009A275A" w:rsidRDefault="009A275A" w:rsidP="009A275A">
      <w:pPr>
        <w:spacing w:before="60" w:after="120" w:line="360" w:lineRule="auto"/>
        <w:jc w:val="center"/>
      </w:pPr>
      <w:r w:rsidRPr="0021259B">
        <w:t>Dr Farah Wiita</w:t>
      </w:r>
    </w:p>
    <w:p w14:paraId="293E50F6" w14:textId="77777777" w:rsidR="000C092A" w:rsidRDefault="000C092A" w:rsidP="009A275A">
      <w:pPr>
        <w:spacing w:before="60" w:after="120" w:line="360" w:lineRule="auto"/>
        <w:jc w:val="center"/>
      </w:pPr>
    </w:p>
    <w:p w14:paraId="6D4010F8" w14:textId="77777777" w:rsidR="000C092A" w:rsidRDefault="000C092A" w:rsidP="009A275A">
      <w:pPr>
        <w:spacing w:before="60" w:after="120" w:line="360" w:lineRule="auto"/>
        <w:jc w:val="center"/>
      </w:pPr>
    </w:p>
    <w:p w14:paraId="723CA0D5" w14:textId="77777777" w:rsidR="000C092A" w:rsidRDefault="000C092A" w:rsidP="009A275A">
      <w:pPr>
        <w:spacing w:before="60" w:after="120" w:line="360" w:lineRule="auto"/>
        <w:jc w:val="center"/>
      </w:pPr>
    </w:p>
    <w:p w14:paraId="08FF7F6C" w14:textId="77777777" w:rsidR="000C092A" w:rsidRDefault="000C092A" w:rsidP="009A275A">
      <w:pPr>
        <w:spacing w:before="60" w:after="120" w:line="360" w:lineRule="auto"/>
        <w:jc w:val="center"/>
      </w:pPr>
    </w:p>
    <w:p w14:paraId="2FB5729E" w14:textId="77777777" w:rsidR="000C092A" w:rsidRDefault="000C092A" w:rsidP="009A275A">
      <w:pPr>
        <w:spacing w:before="60" w:after="120" w:line="360" w:lineRule="auto"/>
        <w:jc w:val="center"/>
      </w:pPr>
    </w:p>
    <w:p w14:paraId="7013099B" w14:textId="77777777" w:rsidR="000C092A" w:rsidRDefault="000C092A" w:rsidP="009A275A">
      <w:pPr>
        <w:spacing w:before="60" w:after="120" w:line="360" w:lineRule="auto"/>
        <w:jc w:val="center"/>
      </w:pPr>
    </w:p>
    <w:p w14:paraId="64E1DCD2" w14:textId="77777777" w:rsidR="000C092A" w:rsidRDefault="009A275A" w:rsidP="009A275A">
      <w:pPr>
        <w:spacing w:before="60" w:after="120" w:line="360" w:lineRule="auto"/>
        <w:jc w:val="center"/>
        <w:rPr>
          <w:b/>
          <w:bCs/>
        </w:rPr>
      </w:pPr>
      <w:r w:rsidRPr="0021259B">
        <w:rPr>
          <w:b/>
          <w:bCs/>
        </w:rPr>
        <w:t>Submission Date</w:t>
      </w:r>
    </w:p>
    <w:p w14:paraId="2319C2E4" w14:textId="412FE145" w:rsidR="009A275A" w:rsidRPr="0021259B" w:rsidRDefault="009A275A" w:rsidP="009A275A">
      <w:pPr>
        <w:spacing w:before="60" w:after="120" w:line="360" w:lineRule="auto"/>
        <w:jc w:val="center"/>
      </w:pPr>
      <w:r w:rsidRPr="0021259B">
        <w:t>2</w:t>
      </w:r>
      <w:r>
        <w:t>2</w:t>
      </w:r>
      <w:r w:rsidRPr="0021259B">
        <w:rPr>
          <w:vertAlign w:val="superscript"/>
        </w:rPr>
        <w:t>nd</w:t>
      </w:r>
      <w:r>
        <w:t xml:space="preserve"> </w:t>
      </w:r>
      <w:r w:rsidRPr="0021259B">
        <w:t>April</w:t>
      </w:r>
      <w:r>
        <w:t>,</w:t>
      </w:r>
      <w:r w:rsidRPr="0021259B">
        <w:t xml:space="preserve"> 2026</w:t>
      </w:r>
      <w:r>
        <w:t>.</w:t>
      </w:r>
    </w:p>
    <w:p w14:paraId="766BF2B9" w14:textId="483BCDE4" w:rsidR="00B23664" w:rsidRPr="0021259B" w:rsidRDefault="00B23664" w:rsidP="0021259B">
      <w:pPr>
        <w:pageBreakBefore/>
        <w:spacing w:line="360" w:lineRule="auto"/>
      </w:pPr>
    </w:p>
    <w:p w14:paraId="3C254335" w14:textId="46C3F5AD" w:rsidR="00B23664" w:rsidRPr="0021259B" w:rsidRDefault="00B23664" w:rsidP="00B7371B">
      <w:pPr>
        <w:pStyle w:val="Heading1"/>
        <w:rPr>
          <w:sz w:val="22"/>
          <w:szCs w:val="22"/>
        </w:rPr>
      </w:pPr>
    </w:p>
    <w:p w14:paraId="0B80713E" w14:textId="77777777" w:rsidR="00B23664" w:rsidRDefault="00B23664" w:rsidP="0021259B">
      <w:pPr>
        <w:spacing w:after="120" w:line="360" w:lineRule="auto"/>
        <w:rPr>
          <w:b/>
          <w:bCs/>
        </w:rPr>
      </w:pPr>
    </w:p>
    <w:sdt>
      <w:sdtPr>
        <w:id w:val="386769413"/>
        <w:docPartObj>
          <w:docPartGallery w:val="Table of Contents"/>
          <w:docPartUnique/>
        </w:docPartObj>
      </w:sdtPr>
      <w:sdtEndPr>
        <w:rPr>
          <w:rFonts w:ascii="Arial" w:eastAsia="Arial" w:hAnsi="Arial" w:cs="Arial"/>
          <w:b/>
          <w:bCs/>
          <w:noProof/>
          <w:color w:val="auto"/>
          <w:sz w:val="22"/>
          <w:szCs w:val="22"/>
        </w:rPr>
      </w:sdtEndPr>
      <w:sdtContent>
        <w:p w14:paraId="05F2CDE3" w14:textId="1CF40608" w:rsidR="00962F00" w:rsidRDefault="00962F00">
          <w:pPr>
            <w:pStyle w:val="TOCHeading"/>
          </w:pPr>
          <w:r>
            <w:t>Table of Contents</w:t>
          </w:r>
        </w:p>
        <w:p w14:paraId="579B20AD" w14:textId="52B7CCAD" w:rsidR="00962F00" w:rsidRDefault="00962F00">
          <w:pPr>
            <w:pStyle w:val="TOC1"/>
            <w:tabs>
              <w:tab w:val="right" w:leader="dot" w:pos="9016"/>
            </w:tabs>
            <w:rPr>
              <w:noProof/>
            </w:rPr>
          </w:pPr>
          <w:r>
            <w:fldChar w:fldCharType="begin"/>
          </w:r>
          <w:r>
            <w:instrText xml:space="preserve"> TOC \o "1-3" \h \z \u </w:instrText>
          </w:r>
          <w:r>
            <w:fldChar w:fldCharType="separate"/>
          </w:r>
          <w:hyperlink w:anchor="_Toc227767005" w:history="1">
            <w:r w:rsidRPr="009149E0">
              <w:rPr>
                <w:rStyle w:val="Hyperlink"/>
                <w:noProof/>
              </w:rPr>
              <w:t>Contents</w:t>
            </w:r>
            <w:r>
              <w:rPr>
                <w:noProof/>
                <w:webHidden/>
              </w:rPr>
              <w:tab/>
            </w:r>
            <w:r>
              <w:rPr>
                <w:noProof/>
                <w:webHidden/>
              </w:rPr>
              <w:fldChar w:fldCharType="begin"/>
            </w:r>
            <w:r>
              <w:rPr>
                <w:noProof/>
                <w:webHidden/>
              </w:rPr>
              <w:instrText xml:space="preserve"> PAGEREF _Toc227767005 \h </w:instrText>
            </w:r>
            <w:r>
              <w:rPr>
                <w:noProof/>
                <w:webHidden/>
              </w:rPr>
            </w:r>
            <w:r>
              <w:rPr>
                <w:noProof/>
                <w:webHidden/>
              </w:rPr>
              <w:fldChar w:fldCharType="separate"/>
            </w:r>
            <w:r>
              <w:rPr>
                <w:noProof/>
                <w:webHidden/>
              </w:rPr>
              <w:t>2</w:t>
            </w:r>
            <w:r>
              <w:rPr>
                <w:noProof/>
                <w:webHidden/>
              </w:rPr>
              <w:fldChar w:fldCharType="end"/>
            </w:r>
          </w:hyperlink>
        </w:p>
        <w:p w14:paraId="754170A6" w14:textId="15384153" w:rsidR="00962F00" w:rsidRDefault="00962F00">
          <w:pPr>
            <w:pStyle w:val="TOC1"/>
            <w:tabs>
              <w:tab w:val="right" w:leader="dot" w:pos="9016"/>
            </w:tabs>
            <w:rPr>
              <w:noProof/>
            </w:rPr>
          </w:pPr>
          <w:hyperlink w:anchor="_Toc227767006" w:history="1">
            <w:r w:rsidRPr="009149E0">
              <w:rPr>
                <w:rStyle w:val="Hyperlink"/>
                <w:smallCaps/>
                <w:noProof/>
                <w:spacing w:val="5"/>
              </w:rPr>
              <w:t>ATTENTION DEFICIT HYPERACTIVITY DISORDER (ADHD): DIAGNOSIS, MULTIMODAL TREATMENT, REHABILITATION, AND ONGOING DEBATES</w:t>
            </w:r>
            <w:r>
              <w:rPr>
                <w:noProof/>
                <w:webHidden/>
              </w:rPr>
              <w:tab/>
            </w:r>
            <w:r>
              <w:rPr>
                <w:noProof/>
                <w:webHidden/>
              </w:rPr>
              <w:fldChar w:fldCharType="begin"/>
            </w:r>
            <w:r>
              <w:rPr>
                <w:noProof/>
                <w:webHidden/>
              </w:rPr>
              <w:instrText xml:space="preserve"> PAGEREF _Toc227767006 \h </w:instrText>
            </w:r>
            <w:r>
              <w:rPr>
                <w:noProof/>
                <w:webHidden/>
              </w:rPr>
            </w:r>
            <w:r>
              <w:rPr>
                <w:noProof/>
                <w:webHidden/>
              </w:rPr>
              <w:fldChar w:fldCharType="separate"/>
            </w:r>
            <w:r>
              <w:rPr>
                <w:noProof/>
                <w:webHidden/>
              </w:rPr>
              <w:t>3</w:t>
            </w:r>
            <w:r>
              <w:rPr>
                <w:noProof/>
                <w:webHidden/>
              </w:rPr>
              <w:fldChar w:fldCharType="end"/>
            </w:r>
          </w:hyperlink>
        </w:p>
        <w:p w14:paraId="6A8B8E68" w14:textId="5DD77B36" w:rsidR="00962F00" w:rsidRDefault="00962F00">
          <w:pPr>
            <w:pStyle w:val="TOC2"/>
            <w:tabs>
              <w:tab w:val="right" w:leader="dot" w:pos="9016"/>
            </w:tabs>
            <w:rPr>
              <w:noProof/>
            </w:rPr>
          </w:pPr>
          <w:hyperlink w:anchor="_Toc227767007" w:history="1">
            <w:r w:rsidRPr="009149E0">
              <w:rPr>
                <w:rStyle w:val="Hyperlink"/>
                <w:noProof/>
              </w:rPr>
              <w:t>Introduction</w:t>
            </w:r>
            <w:r>
              <w:rPr>
                <w:noProof/>
                <w:webHidden/>
              </w:rPr>
              <w:tab/>
            </w:r>
            <w:r>
              <w:rPr>
                <w:noProof/>
                <w:webHidden/>
              </w:rPr>
              <w:fldChar w:fldCharType="begin"/>
            </w:r>
            <w:r>
              <w:rPr>
                <w:noProof/>
                <w:webHidden/>
              </w:rPr>
              <w:instrText xml:space="preserve"> PAGEREF _Toc227767007 \h </w:instrText>
            </w:r>
            <w:r>
              <w:rPr>
                <w:noProof/>
                <w:webHidden/>
              </w:rPr>
            </w:r>
            <w:r>
              <w:rPr>
                <w:noProof/>
                <w:webHidden/>
              </w:rPr>
              <w:fldChar w:fldCharType="separate"/>
            </w:r>
            <w:r>
              <w:rPr>
                <w:noProof/>
                <w:webHidden/>
              </w:rPr>
              <w:t>3</w:t>
            </w:r>
            <w:r>
              <w:rPr>
                <w:noProof/>
                <w:webHidden/>
              </w:rPr>
              <w:fldChar w:fldCharType="end"/>
            </w:r>
          </w:hyperlink>
        </w:p>
        <w:p w14:paraId="06E32099" w14:textId="1969D88E" w:rsidR="00962F00" w:rsidRDefault="00962F00">
          <w:pPr>
            <w:pStyle w:val="TOC2"/>
            <w:tabs>
              <w:tab w:val="right" w:leader="dot" w:pos="9016"/>
            </w:tabs>
            <w:rPr>
              <w:noProof/>
            </w:rPr>
          </w:pPr>
          <w:hyperlink w:anchor="_Toc227767008" w:history="1">
            <w:r w:rsidRPr="009149E0">
              <w:rPr>
                <w:rStyle w:val="Hyperlink"/>
                <w:noProof/>
              </w:rPr>
              <w:t>Classification and Diagnosis</w:t>
            </w:r>
            <w:r>
              <w:rPr>
                <w:noProof/>
                <w:webHidden/>
              </w:rPr>
              <w:tab/>
            </w:r>
            <w:r>
              <w:rPr>
                <w:noProof/>
                <w:webHidden/>
              </w:rPr>
              <w:fldChar w:fldCharType="begin"/>
            </w:r>
            <w:r>
              <w:rPr>
                <w:noProof/>
                <w:webHidden/>
              </w:rPr>
              <w:instrText xml:space="preserve"> PAGEREF _Toc227767008 \h </w:instrText>
            </w:r>
            <w:r>
              <w:rPr>
                <w:noProof/>
                <w:webHidden/>
              </w:rPr>
            </w:r>
            <w:r>
              <w:rPr>
                <w:noProof/>
                <w:webHidden/>
              </w:rPr>
              <w:fldChar w:fldCharType="separate"/>
            </w:r>
            <w:r>
              <w:rPr>
                <w:noProof/>
                <w:webHidden/>
              </w:rPr>
              <w:t>3</w:t>
            </w:r>
            <w:r>
              <w:rPr>
                <w:noProof/>
                <w:webHidden/>
              </w:rPr>
              <w:fldChar w:fldCharType="end"/>
            </w:r>
          </w:hyperlink>
        </w:p>
        <w:p w14:paraId="526647E0" w14:textId="42923A9B" w:rsidR="00962F00" w:rsidRDefault="00962F00">
          <w:pPr>
            <w:pStyle w:val="TOC2"/>
            <w:tabs>
              <w:tab w:val="right" w:leader="dot" w:pos="9016"/>
            </w:tabs>
            <w:rPr>
              <w:noProof/>
            </w:rPr>
          </w:pPr>
          <w:hyperlink w:anchor="_Toc227767009" w:history="1">
            <w:r w:rsidRPr="009149E0">
              <w:rPr>
                <w:rStyle w:val="Hyperlink"/>
                <w:noProof/>
              </w:rPr>
              <w:t>Treatment and Rehabilitation</w:t>
            </w:r>
            <w:r>
              <w:rPr>
                <w:noProof/>
                <w:webHidden/>
              </w:rPr>
              <w:tab/>
            </w:r>
            <w:r>
              <w:rPr>
                <w:noProof/>
                <w:webHidden/>
              </w:rPr>
              <w:fldChar w:fldCharType="begin"/>
            </w:r>
            <w:r>
              <w:rPr>
                <w:noProof/>
                <w:webHidden/>
              </w:rPr>
              <w:instrText xml:space="preserve"> PAGEREF _Toc227767009 \h </w:instrText>
            </w:r>
            <w:r>
              <w:rPr>
                <w:noProof/>
                <w:webHidden/>
              </w:rPr>
            </w:r>
            <w:r>
              <w:rPr>
                <w:noProof/>
                <w:webHidden/>
              </w:rPr>
              <w:fldChar w:fldCharType="separate"/>
            </w:r>
            <w:r>
              <w:rPr>
                <w:noProof/>
                <w:webHidden/>
              </w:rPr>
              <w:t>4</w:t>
            </w:r>
            <w:r>
              <w:rPr>
                <w:noProof/>
                <w:webHidden/>
              </w:rPr>
              <w:fldChar w:fldCharType="end"/>
            </w:r>
          </w:hyperlink>
        </w:p>
        <w:p w14:paraId="38E0425A" w14:textId="506E60FF" w:rsidR="00962F00" w:rsidRDefault="00962F00">
          <w:pPr>
            <w:pStyle w:val="TOC2"/>
            <w:tabs>
              <w:tab w:val="right" w:leader="dot" w:pos="9016"/>
            </w:tabs>
            <w:rPr>
              <w:noProof/>
            </w:rPr>
          </w:pPr>
          <w:hyperlink w:anchor="_Toc227767010" w:history="1">
            <w:r w:rsidRPr="009149E0">
              <w:rPr>
                <w:rStyle w:val="Hyperlink"/>
                <w:noProof/>
              </w:rPr>
              <w:t>Current Debates and Emerging Issues</w:t>
            </w:r>
            <w:r>
              <w:rPr>
                <w:noProof/>
                <w:webHidden/>
              </w:rPr>
              <w:tab/>
            </w:r>
            <w:r>
              <w:rPr>
                <w:noProof/>
                <w:webHidden/>
              </w:rPr>
              <w:fldChar w:fldCharType="begin"/>
            </w:r>
            <w:r>
              <w:rPr>
                <w:noProof/>
                <w:webHidden/>
              </w:rPr>
              <w:instrText xml:space="preserve"> PAGEREF _Toc227767010 \h </w:instrText>
            </w:r>
            <w:r>
              <w:rPr>
                <w:noProof/>
                <w:webHidden/>
              </w:rPr>
            </w:r>
            <w:r>
              <w:rPr>
                <w:noProof/>
                <w:webHidden/>
              </w:rPr>
              <w:fldChar w:fldCharType="separate"/>
            </w:r>
            <w:r>
              <w:rPr>
                <w:noProof/>
                <w:webHidden/>
              </w:rPr>
              <w:t>5</w:t>
            </w:r>
            <w:r>
              <w:rPr>
                <w:noProof/>
                <w:webHidden/>
              </w:rPr>
              <w:fldChar w:fldCharType="end"/>
            </w:r>
          </w:hyperlink>
        </w:p>
        <w:p w14:paraId="0E5E58B4" w14:textId="53E8D1C0" w:rsidR="00962F00" w:rsidRDefault="00962F00">
          <w:pPr>
            <w:pStyle w:val="TOC2"/>
            <w:tabs>
              <w:tab w:val="right" w:leader="dot" w:pos="9016"/>
            </w:tabs>
            <w:rPr>
              <w:noProof/>
            </w:rPr>
          </w:pPr>
          <w:hyperlink w:anchor="_Toc227767011" w:history="1">
            <w:r w:rsidRPr="009149E0">
              <w:rPr>
                <w:rStyle w:val="Hyperlink"/>
                <w:noProof/>
              </w:rPr>
              <w:t>Recommendations</w:t>
            </w:r>
            <w:r>
              <w:rPr>
                <w:noProof/>
                <w:webHidden/>
              </w:rPr>
              <w:tab/>
            </w:r>
            <w:r>
              <w:rPr>
                <w:noProof/>
                <w:webHidden/>
              </w:rPr>
              <w:fldChar w:fldCharType="begin"/>
            </w:r>
            <w:r>
              <w:rPr>
                <w:noProof/>
                <w:webHidden/>
              </w:rPr>
              <w:instrText xml:space="preserve"> PAGEREF _Toc227767011 \h </w:instrText>
            </w:r>
            <w:r>
              <w:rPr>
                <w:noProof/>
                <w:webHidden/>
              </w:rPr>
            </w:r>
            <w:r>
              <w:rPr>
                <w:noProof/>
                <w:webHidden/>
              </w:rPr>
              <w:fldChar w:fldCharType="separate"/>
            </w:r>
            <w:r>
              <w:rPr>
                <w:noProof/>
                <w:webHidden/>
              </w:rPr>
              <w:t>7</w:t>
            </w:r>
            <w:r>
              <w:rPr>
                <w:noProof/>
                <w:webHidden/>
              </w:rPr>
              <w:fldChar w:fldCharType="end"/>
            </w:r>
          </w:hyperlink>
        </w:p>
        <w:p w14:paraId="547DBB58" w14:textId="5C7371D1" w:rsidR="00962F00" w:rsidRDefault="00962F00">
          <w:pPr>
            <w:pStyle w:val="TOC2"/>
            <w:tabs>
              <w:tab w:val="right" w:leader="dot" w:pos="9016"/>
            </w:tabs>
            <w:rPr>
              <w:noProof/>
            </w:rPr>
          </w:pPr>
          <w:hyperlink w:anchor="_Toc227767012" w:history="1">
            <w:r w:rsidRPr="009149E0">
              <w:rPr>
                <w:rStyle w:val="Hyperlink"/>
                <w:noProof/>
              </w:rPr>
              <w:t>Conclusion</w:t>
            </w:r>
            <w:r>
              <w:rPr>
                <w:noProof/>
                <w:webHidden/>
              </w:rPr>
              <w:tab/>
            </w:r>
            <w:r>
              <w:rPr>
                <w:noProof/>
                <w:webHidden/>
              </w:rPr>
              <w:fldChar w:fldCharType="begin"/>
            </w:r>
            <w:r>
              <w:rPr>
                <w:noProof/>
                <w:webHidden/>
              </w:rPr>
              <w:instrText xml:space="preserve"> PAGEREF _Toc227767012 \h </w:instrText>
            </w:r>
            <w:r>
              <w:rPr>
                <w:noProof/>
                <w:webHidden/>
              </w:rPr>
            </w:r>
            <w:r>
              <w:rPr>
                <w:noProof/>
                <w:webHidden/>
              </w:rPr>
              <w:fldChar w:fldCharType="separate"/>
            </w:r>
            <w:r>
              <w:rPr>
                <w:noProof/>
                <w:webHidden/>
              </w:rPr>
              <w:t>8</w:t>
            </w:r>
            <w:r>
              <w:rPr>
                <w:noProof/>
                <w:webHidden/>
              </w:rPr>
              <w:fldChar w:fldCharType="end"/>
            </w:r>
          </w:hyperlink>
        </w:p>
        <w:p w14:paraId="76890385" w14:textId="29777F91" w:rsidR="00962F00" w:rsidRDefault="00962F00">
          <w:pPr>
            <w:pStyle w:val="TOC2"/>
            <w:tabs>
              <w:tab w:val="right" w:leader="dot" w:pos="9016"/>
            </w:tabs>
            <w:rPr>
              <w:noProof/>
            </w:rPr>
          </w:pPr>
          <w:hyperlink w:anchor="_Toc227767013" w:history="1">
            <w:r w:rsidRPr="009149E0">
              <w:rPr>
                <w:rStyle w:val="Hyperlink"/>
                <w:noProof/>
              </w:rPr>
              <w:t>References</w:t>
            </w:r>
            <w:r>
              <w:rPr>
                <w:noProof/>
                <w:webHidden/>
              </w:rPr>
              <w:tab/>
            </w:r>
            <w:r>
              <w:rPr>
                <w:noProof/>
                <w:webHidden/>
              </w:rPr>
              <w:fldChar w:fldCharType="begin"/>
            </w:r>
            <w:r>
              <w:rPr>
                <w:noProof/>
                <w:webHidden/>
              </w:rPr>
              <w:instrText xml:space="preserve"> PAGEREF _Toc227767013 \h </w:instrText>
            </w:r>
            <w:r>
              <w:rPr>
                <w:noProof/>
                <w:webHidden/>
              </w:rPr>
            </w:r>
            <w:r>
              <w:rPr>
                <w:noProof/>
                <w:webHidden/>
              </w:rPr>
              <w:fldChar w:fldCharType="separate"/>
            </w:r>
            <w:r>
              <w:rPr>
                <w:noProof/>
                <w:webHidden/>
              </w:rPr>
              <w:t>9</w:t>
            </w:r>
            <w:r>
              <w:rPr>
                <w:noProof/>
                <w:webHidden/>
              </w:rPr>
              <w:fldChar w:fldCharType="end"/>
            </w:r>
          </w:hyperlink>
        </w:p>
        <w:p w14:paraId="4ED13A15" w14:textId="68659AE4" w:rsidR="00962F00" w:rsidRDefault="00962F00">
          <w:r>
            <w:rPr>
              <w:b/>
              <w:bCs/>
              <w:noProof/>
            </w:rPr>
            <w:fldChar w:fldCharType="end"/>
          </w:r>
        </w:p>
      </w:sdtContent>
    </w:sdt>
    <w:p w14:paraId="1CF80635" w14:textId="5EFD3054" w:rsidR="00962F00" w:rsidRPr="0021259B" w:rsidRDefault="00962F00" w:rsidP="0021259B">
      <w:pPr>
        <w:spacing w:after="120" w:line="360" w:lineRule="auto"/>
        <w:sectPr w:rsidR="00962F00" w:rsidRPr="0021259B">
          <w:footerReference w:type="default" r:id="rId9"/>
          <w:pgSz w:w="11906" w:h="16838"/>
          <w:pgMar w:top="1440" w:right="1440" w:bottom="1440" w:left="1440" w:header="708" w:footer="708" w:gutter="0"/>
          <w:cols w:space="720"/>
          <w:docGrid w:linePitch="360"/>
        </w:sectPr>
      </w:pPr>
    </w:p>
    <w:p w14:paraId="0250EC14" w14:textId="626F75E5" w:rsidR="00CD4C45" w:rsidRPr="0021259B" w:rsidRDefault="0021259B" w:rsidP="0021259B">
      <w:pPr>
        <w:pStyle w:val="Heading1"/>
        <w:jc w:val="center"/>
        <w:rPr>
          <w:rStyle w:val="IntenseReference"/>
          <w:b/>
          <w:bCs/>
          <w:u w:val="single"/>
        </w:rPr>
      </w:pPr>
      <w:bookmarkStart w:id="0" w:name="_Toc227767006"/>
      <w:r w:rsidRPr="0021259B">
        <w:rPr>
          <w:rStyle w:val="IntenseReference"/>
          <w:b/>
          <w:bCs/>
          <w:u w:val="single"/>
        </w:rPr>
        <w:lastRenderedPageBreak/>
        <w:t>ATTENTION DEFICIT HYPERACTIVITY DISORDER (ADHD): DIAGNOSIS, MULTIMODAL TREATMENT, REHABILITATION, AND ONGOING DEBATES</w:t>
      </w:r>
      <w:bookmarkEnd w:id="0"/>
      <w:r w:rsidR="00B7371B">
        <w:rPr>
          <w:rStyle w:val="IntenseReference"/>
          <w:b/>
          <w:bCs/>
          <w:u w:val="single"/>
        </w:rPr>
        <w:t>.</w:t>
      </w:r>
    </w:p>
    <w:p w14:paraId="7212E77B" w14:textId="3B0278E2" w:rsidR="00B23664" w:rsidRPr="0021259B" w:rsidRDefault="00000000" w:rsidP="0021259B">
      <w:pPr>
        <w:pStyle w:val="Heading2"/>
      </w:pPr>
      <w:bookmarkStart w:id="1" w:name="_Toc227767007"/>
      <w:r w:rsidRPr="0021259B">
        <w:t>Introduction</w:t>
      </w:r>
      <w:bookmarkEnd w:id="1"/>
    </w:p>
    <w:p w14:paraId="5A475DC8" w14:textId="26052E4E" w:rsidR="00B23664" w:rsidRPr="0021259B" w:rsidRDefault="00000000" w:rsidP="0021259B">
      <w:pPr>
        <w:spacing w:after="120" w:line="360" w:lineRule="auto"/>
      </w:pPr>
      <w:r w:rsidRPr="0021259B">
        <w:t>Attention Deficit Hyperactivity Disorder (ADHD) is one of the most prevalent</w:t>
      </w:r>
      <w:r w:rsidR="003B33E4">
        <w:t xml:space="preserve"> </w:t>
      </w:r>
      <w:r w:rsidRPr="0021259B">
        <w:t>neurodevelopmental conditions worldwide, affecting approximately 5–7% of children and</w:t>
      </w:r>
      <w:r w:rsidR="003B33E4">
        <w:t xml:space="preserve"> </w:t>
      </w:r>
      <w:r w:rsidRPr="0021259B">
        <w:t xml:space="preserve">2–5% of adults globally (Faraone </w:t>
      </w:r>
      <w:r w:rsidRPr="0021259B">
        <w:rPr>
          <w:i/>
          <w:iCs/>
        </w:rPr>
        <w:t>et al</w:t>
      </w:r>
      <w:r w:rsidRPr="0021259B">
        <w:t xml:space="preserve">., 2021). </w:t>
      </w:r>
      <w:proofErr w:type="spellStart"/>
      <w:r w:rsidRPr="0021259B">
        <w:t>Characterised</w:t>
      </w:r>
      <w:proofErr w:type="spellEnd"/>
      <w:r w:rsidRPr="0021259B">
        <w:t xml:space="preserve"> by persistent patterns of inattention, hyperactivity and impulsivity, ADHD significantly impairs academic, occupational and social functioning across the lifespan. First formally described in clinical literature in the early twentieth century, the condition has undergone considerable </w:t>
      </w:r>
      <w:proofErr w:type="spellStart"/>
      <w:r w:rsidRPr="0021259B">
        <w:t>reconceptualisation</w:t>
      </w:r>
      <w:proofErr w:type="spellEnd"/>
      <w:r w:rsidRPr="0021259B">
        <w:t xml:space="preserve"> over the decades, with evolving terminology reflecting shifting scientific and societal understandings of the disorder (Barkley, 2015). The condition is classified within the International Classification of Diseases, 11th Revision (ICD-11) under 'Mental, </w:t>
      </w:r>
      <w:proofErr w:type="spellStart"/>
      <w:r w:rsidRPr="0021259B">
        <w:t>Behavioural</w:t>
      </w:r>
      <w:proofErr w:type="spellEnd"/>
      <w:r w:rsidRPr="0021259B">
        <w:t xml:space="preserve"> or Neurodevelopmental Disorders', specifically within the neurodevelopmental disorders chapter (World Health Organization [WHO], 2019).</w:t>
      </w:r>
    </w:p>
    <w:p w14:paraId="7EE5A47C" w14:textId="1ADE5696" w:rsidR="00B23664" w:rsidRPr="0021259B" w:rsidRDefault="00000000" w:rsidP="0021259B">
      <w:pPr>
        <w:spacing w:after="120" w:line="360" w:lineRule="auto"/>
      </w:pPr>
      <w:r w:rsidRPr="0021259B">
        <w:t xml:space="preserve">This report critically examines ADHD through the lens of ICD-11 classification, exploring its diagnostic criteria, evidence-based treatment and rehabilitation approaches, and the ongoing debates that surround its </w:t>
      </w:r>
      <w:proofErr w:type="spellStart"/>
      <w:r w:rsidRPr="0021259B">
        <w:t>conceptualisation</w:t>
      </w:r>
      <w:proofErr w:type="spellEnd"/>
      <w:r w:rsidRPr="0021259B">
        <w:t xml:space="preserve"> and management. The report also offers well-reasoned recommendations aimed at improving practice and policy. Critically engaging with contemporary academic literature, this report seeks to provide a comprehensive and nuanced analysis of ADHD as a clinical and social phenomenon.</w:t>
      </w:r>
    </w:p>
    <w:p w14:paraId="4AE4194A" w14:textId="175AAA3A" w:rsidR="00B23664" w:rsidRPr="0021259B" w:rsidRDefault="00000000" w:rsidP="0021259B">
      <w:pPr>
        <w:pStyle w:val="Heading2"/>
      </w:pPr>
      <w:bookmarkStart w:id="2" w:name="_Toc227767008"/>
      <w:r w:rsidRPr="0021259B">
        <w:t xml:space="preserve">Classification and </w:t>
      </w:r>
      <w:r w:rsidR="00B7371B">
        <w:t>d</w:t>
      </w:r>
      <w:r w:rsidRPr="0021259B">
        <w:t>iagnosis</w:t>
      </w:r>
      <w:bookmarkEnd w:id="2"/>
    </w:p>
    <w:p w14:paraId="2BAB099F" w14:textId="77777777" w:rsidR="00B23664" w:rsidRPr="0021259B" w:rsidRDefault="00000000" w:rsidP="0021259B">
      <w:pPr>
        <w:spacing w:after="120" w:line="360" w:lineRule="auto"/>
      </w:pPr>
      <w:r w:rsidRPr="0021259B">
        <w:t>Under ICD-11, ADHD is classified within Chapter 6 under code 6A05, listed as '</w:t>
      </w:r>
      <w:proofErr w:type="gramStart"/>
      <w:r w:rsidRPr="0021259B">
        <w:t>Attention Deficit Hyperactivity Disorder</w:t>
      </w:r>
      <w:proofErr w:type="gramEnd"/>
      <w:r w:rsidRPr="0021259B">
        <w:t xml:space="preserve">' (WHO, 2019). The ICD-11 notably uses the term 'disorder' throughout, reflecting a biomedical </w:t>
      </w:r>
      <w:proofErr w:type="spellStart"/>
      <w:r w:rsidRPr="0021259B">
        <w:t>conceptualisation</w:t>
      </w:r>
      <w:proofErr w:type="spellEnd"/>
      <w:r w:rsidRPr="0021259B">
        <w:t xml:space="preserve"> of the condition that </w:t>
      </w:r>
      <w:proofErr w:type="spellStart"/>
      <w:r w:rsidRPr="0021259B">
        <w:t>emphasises</w:t>
      </w:r>
      <w:proofErr w:type="spellEnd"/>
      <w:r w:rsidRPr="0021259B">
        <w:t xml:space="preserve"> clinical significance and impairment. This is a notable shift from earlier </w:t>
      </w:r>
      <w:proofErr w:type="spellStart"/>
      <w:r w:rsidRPr="0021259B">
        <w:t>conceptualisations</w:t>
      </w:r>
      <w:proofErr w:type="spellEnd"/>
      <w:r w:rsidRPr="0021259B">
        <w:t xml:space="preserve"> and carries significant implications for how the condition is understood, treated and </w:t>
      </w:r>
      <w:proofErr w:type="spellStart"/>
      <w:r w:rsidRPr="0021259B">
        <w:t>stigmatised</w:t>
      </w:r>
      <w:proofErr w:type="spellEnd"/>
      <w:r w:rsidRPr="0021259B">
        <w:t xml:space="preserve"> (Conrad and Bergey, 2014).</w:t>
      </w:r>
    </w:p>
    <w:p w14:paraId="5B9CD527" w14:textId="77777777" w:rsidR="00B23664" w:rsidRPr="0021259B" w:rsidRDefault="00000000" w:rsidP="0021259B">
      <w:pPr>
        <w:spacing w:after="120" w:line="360" w:lineRule="auto"/>
      </w:pPr>
      <w:r w:rsidRPr="0021259B">
        <w:t xml:space="preserve">The ICD-11 diagnostic framework for ADHD requires a persistent pattern of inattention and/or hyperactivity-impulsivity that is inconsistent with the developmental level of the individual, and which directly and negatively impacts academic, occupational or social functioning (WHO, 2019). The criteria specify that symptoms must be present across multiple settings – for instance at home and school – and must have been evident prior to </w:t>
      </w:r>
      <w:r w:rsidRPr="0021259B">
        <w:lastRenderedPageBreak/>
        <w:t xml:space="preserve">the age of twelve. This is broadly consistent with the Diagnostic and Statistical Manual of Mental Disorders, Fifth Edition (DSM-5) criteria, though the ICD-11 places less prescriptive emphasis on subtype </w:t>
      </w:r>
      <w:proofErr w:type="spellStart"/>
      <w:r w:rsidRPr="0021259B">
        <w:t>categorisation</w:t>
      </w:r>
      <w:proofErr w:type="spellEnd"/>
      <w:r w:rsidRPr="0021259B">
        <w:t xml:space="preserve"> (</w:t>
      </w:r>
      <w:proofErr w:type="spellStart"/>
      <w:r w:rsidRPr="0021259B">
        <w:t>Kooij</w:t>
      </w:r>
      <w:proofErr w:type="spellEnd"/>
      <w:r w:rsidRPr="0021259B">
        <w:t xml:space="preserve"> </w:t>
      </w:r>
      <w:r w:rsidRPr="0021259B">
        <w:rPr>
          <w:i/>
          <w:iCs/>
        </w:rPr>
        <w:t>et al</w:t>
      </w:r>
      <w:r w:rsidRPr="0021259B">
        <w:t>., 2019).</w:t>
      </w:r>
    </w:p>
    <w:p w14:paraId="2AAA2272" w14:textId="77777777" w:rsidR="00B23664" w:rsidRPr="0021259B" w:rsidRDefault="00000000" w:rsidP="0021259B">
      <w:pPr>
        <w:spacing w:after="120" w:line="360" w:lineRule="auto"/>
      </w:pPr>
      <w:r w:rsidRPr="0021259B">
        <w:t xml:space="preserve">ICD-11 identifies three clinical presentations of ADHD: predominantly inattentive, predominantly hyperactive-impulsive, and combined presentation (WHO, 2019). The diagnostic process requires a comprehensive clinical assessment that includes collateral information from parents, teachers or other informants, </w:t>
      </w:r>
      <w:proofErr w:type="spellStart"/>
      <w:r w:rsidRPr="0021259B">
        <w:t>standardised</w:t>
      </w:r>
      <w:proofErr w:type="spellEnd"/>
      <w:r w:rsidRPr="0021259B">
        <w:t xml:space="preserve"> rating scales and, where appropriate, neuropsychological testing. Thapar and Cooper (2016) argue that the absence of a definitive biological marker for ADHD makes the diagnostic process particularly susceptible to clinician variability and cultural bias. This concern is especially pertinent when considering cross-cultural diagnostic consistency. Furthermore, differential diagnosis is a central challenge in clinical practice; ADHD frequently presents alongside, and must be distinguished from, anxiety disorders, learning disabilities, and autism spectrum disorder, all of which can present with overlapping symptom profiles (Barkley, 2015). The complexity of this diagnostic process underscores the need for well-trained, multidisciplinary clinical teams.</w:t>
      </w:r>
    </w:p>
    <w:p w14:paraId="5BF82AC2" w14:textId="77777777" w:rsidR="00B23664" w:rsidRPr="0021259B" w:rsidRDefault="00000000" w:rsidP="0021259B">
      <w:pPr>
        <w:spacing w:after="120" w:line="360" w:lineRule="auto"/>
      </w:pPr>
      <w:r w:rsidRPr="0021259B">
        <w:t xml:space="preserve">The language used within ICD-11 – specifically the term 'disorder' – has attracted considerable academic debate. While the term serves a practical function in communicating clinical severity and justifying treatment provision, critics argue it can </w:t>
      </w:r>
      <w:proofErr w:type="spellStart"/>
      <w:r w:rsidRPr="0021259B">
        <w:t>pathologise</w:t>
      </w:r>
      <w:proofErr w:type="spellEnd"/>
      <w:r w:rsidRPr="0021259B">
        <w:t xml:space="preserve"> what may be a neurological variant rather than a discrete illness (Thapar and Cooper, 2016). The ICD-11 does not use terminology such as 'condition' or 'difference' for ADHD, which some neurodiversity advocates and researchers suggest is a missed opportunity to adopt more affirming, less </w:t>
      </w:r>
      <w:proofErr w:type="spellStart"/>
      <w:r w:rsidRPr="0021259B">
        <w:t>stigmatising</w:t>
      </w:r>
      <w:proofErr w:type="spellEnd"/>
      <w:r w:rsidRPr="0021259B">
        <w:t xml:space="preserve"> language (Young </w:t>
      </w:r>
      <w:r w:rsidRPr="0021259B">
        <w:rPr>
          <w:i/>
          <w:iCs/>
        </w:rPr>
        <w:t>et al</w:t>
      </w:r>
      <w:r w:rsidRPr="0021259B">
        <w:t>., 2020).</w:t>
      </w:r>
    </w:p>
    <w:p w14:paraId="5A8D28EB" w14:textId="3D591909" w:rsidR="00B23664" w:rsidRPr="0021259B" w:rsidRDefault="00000000" w:rsidP="0021259B">
      <w:pPr>
        <w:pStyle w:val="Heading2"/>
      </w:pPr>
      <w:bookmarkStart w:id="3" w:name="_Toc227767009"/>
      <w:r w:rsidRPr="0021259B">
        <w:t xml:space="preserve">Treatment and </w:t>
      </w:r>
      <w:r w:rsidR="00B7371B">
        <w:t>r</w:t>
      </w:r>
      <w:r w:rsidRPr="0021259B">
        <w:t>ehabilitation</w:t>
      </w:r>
      <w:bookmarkEnd w:id="3"/>
    </w:p>
    <w:p w14:paraId="7467B468" w14:textId="77777777" w:rsidR="00B23664" w:rsidRPr="0021259B" w:rsidRDefault="00000000" w:rsidP="0021259B">
      <w:pPr>
        <w:spacing w:after="120" w:line="360" w:lineRule="auto"/>
      </w:pPr>
      <w:r w:rsidRPr="0021259B">
        <w:t xml:space="preserve">The management of ADHD typically involves a multimodal approach encompassing pharmacological and non-pharmacological interventions, with treatment decisions guided by age, symptom severity and co-occurring conditions (NICE, 2018). The ICD-11 </w:t>
      </w:r>
      <w:proofErr w:type="spellStart"/>
      <w:r w:rsidRPr="0021259B">
        <w:t>emphasises</w:t>
      </w:r>
      <w:proofErr w:type="spellEnd"/>
      <w:r w:rsidRPr="0021259B">
        <w:t xml:space="preserve"> the importance of rehabilitation and habilitation in the context of ADHD, acknowledging that functional impairment across life domains necessitates comprehensive, coordinated care (WHO, 2019).</w:t>
      </w:r>
    </w:p>
    <w:p w14:paraId="4980EF58" w14:textId="77777777" w:rsidR="00B23664" w:rsidRPr="0021259B" w:rsidRDefault="00000000" w:rsidP="0021259B">
      <w:pPr>
        <w:spacing w:after="120" w:line="360" w:lineRule="auto"/>
      </w:pPr>
      <w:r w:rsidRPr="0021259B">
        <w:t xml:space="preserve">Pharmacological treatment remains the cornerstone of ADHD management in moderate to severe presentations. Stimulant medications – primarily methylphenidate and amphetamine-based compounds – are the most commonly prescribed and most extensively researched interventions. A landmark network meta-analysis by Cortese </w:t>
      </w:r>
      <w:r w:rsidRPr="0021259B">
        <w:rPr>
          <w:i/>
          <w:iCs/>
        </w:rPr>
        <w:t>et al</w:t>
      </w:r>
      <w:r w:rsidRPr="0021259B">
        <w:t xml:space="preserve">. (2018) found that methylphenidate was the most effective and tolerable first-line treatment for children and </w:t>
      </w:r>
      <w:r w:rsidRPr="0021259B">
        <w:lastRenderedPageBreak/>
        <w:t xml:space="preserve">adolescents, while amphetamines demonstrated superior efficacy in adults. Non-stimulant alternatives, such as atomoxetine and guanfacine, are recommended where stimulants are contraindicated or not well-tolerated (NICE, 2018). However, Cooper </w:t>
      </w:r>
      <w:r w:rsidRPr="0021259B">
        <w:rPr>
          <w:i/>
          <w:iCs/>
        </w:rPr>
        <w:t>et al</w:t>
      </w:r>
      <w:r w:rsidRPr="0021259B">
        <w:t>. (2022) raise important considerations around the long-term use of methylphenidate, including cardiovascular risk, growth effects and the potential for dependence, all of which must be factored into prescribing decisions.</w:t>
      </w:r>
    </w:p>
    <w:p w14:paraId="726ADCA8" w14:textId="77777777" w:rsidR="00B23664" w:rsidRPr="0021259B" w:rsidRDefault="00000000" w:rsidP="0021259B">
      <w:pPr>
        <w:spacing w:after="120" w:line="360" w:lineRule="auto"/>
      </w:pPr>
      <w:r w:rsidRPr="0021259B">
        <w:t xml:space="preserve">Non-pharmacological interventions are particularly </w:t>
      </w:r>
      <w:proofErr w:type="spellStart"/>
      <w:r w:rsidRPr="0021259B">
        <w:t>emphasised</w:t>
      </w:r>
      <w:proofErr w:type="spellEnd"/>
      <w:r w:rsidRPr="0021259B">
        <w:t xml:space="preserve"> for younger children and where medication alone is insufficient. Evidence supports the use of </w:t>
      </w:r>
      <w:proofErr w:type="spellStart"/>
      <w:r w:rsidRPr="0021259B">
        <w:t>behavioural</w:t>
      </w:r>
      <w:proofErr w:type="spellEnd"/>
      <w:r w:rsidRPr="0021259B">
        <w:t xml:space="preserve"> therapies, including parent-training </w:t>
      </w:r>
      <w:proofErr w:type="spellStart"/>
      <w:r w:rsidRPr="0021259B">
        <w:t>programmes</w:t>
      </w:r>
      <w:proofErr w:type="spellEnd"/>
      <w:r w:rsidRPr="0021259B">
        <w:t>, cognitive-</w:t>
      </w:r>
      <w:proofErr w:type="spellStart"/>
      <w:r w:rsidRPr="0021259B">
        <w:t>behavioural</w:t>
      </w:r>
      <w:proofErr w:type="spellEnd"/>
      <w:r w:rsidRPr="0021259B">
        <w:t xml:space="preserve"> therapy (CBT) and school-based interventions (</w:t>
      </w:r>
      <w:proofErr w:type="spellStart"/>
      <w:r w:rsidRPr="0021259B">
        <w:t>Sonuga</w:t>
      </w:r>
      <w:proofErr w:type="spellEnd"/>
      <w:r w:rsidRPr="0021259B">
        <w:t xml:space="preserve">-Barke </w:t>
      </w:r>
      <w:r w:rsidRPr="0021259B">
        <w:rPr>
          <w:i/>
          <w:iCs/>
        </w:rPr>
        <w:t>et al</w:t>
      </w:r>
      <w:r w:rsidRPr="0021259B">
        <w:t xml:space="preserve">., 2013). CBT, in particular, has been found to be beneficial in helping individuals with ADHD develop compensatory strategies for managing inattention, emotional dysregulation and time management difficulties, which are among the most functionally impairing features of the condition (Barkley, 2015). A systematic review by </w:t>
      </w:r>
      <w:proofErr w:type="spellStart"/>
      <w:r w:rsidRPr="0021259B">
        <w:t>Sonuga</w:t>
      </w:r>
      <w:proofErr w:type="spellEnd"/>
      <w:r w:rsidRPr="0021259B">
        <w:t xml:space="preserve">-Barke </w:t>
      </w:r>
      <w:r w:rsidRPr="0021259B">
        <w:rPr>
          <w:i/>
          <w:iCs/>
        </w:rPr>
        <w:t>et al</w:t>
      </w:r>
      <w:r w:rsidRPr="0021259B">
        <w:t xml:space="preserve">. (2013) found that while </w:t>
      </w:r>
      <w:proofErr w:type="spellStart"/>
      <w:r w:rsidRPr="0021259B">
        <w:t>behavioural</w:t>
      </w:r>
      <w:proofErr w:type="spellEnd"/>
      <w:r w:rsidRPr="0021259B">
        <w:t xml:space="preserve"> and dietary interventions demonstrated moderate effects on ADHD symptom reduction, methodological quality across studies was variable, making firm conclusions difficult to draw. Nonetheless, psychosocial interventions remain an essential component of a comprehensive treatment package, addressing broader functional impairment that medication alone may not resolve.</w:t>
      </w:r>
    </w:p>
    <w:p w14:paraId="08A00322" w14:textId="77777777" w:rsidR="00B23664" w:rsidRPr="0021259B" w:rsidRDefault="00000000" w:rsidP="0021259B">
      <w:pPr>
        <w:spacing w:after="120" w:line="360" w:lineRule="auto"/>
      </w:pPr>
      <w:r w:rsidRPr="0021259B">
        <w:t xml:space="preserve">Rehabilitation measures in ICD-11 include vocational rehabilitation, educational support and psychosocial rehabilitation, </w:t>
      </w:r>
      <w:proofErr w:type="spellStart"/>
      <w:r w:rsidRPr="0021259B">
        <w:t>recognising</w:t>
      </w:r>
      <w:proofErr w:type="spellEnd"/>
      <w:r w:rsidRPr="0021259B">
        <w:t xml:space="preserve"> that ADHD often persists into adulthood and affects employment, relationships and quality of life (WHO, 2019; Shaw </w:t>
      </w:r>
      <w:r w:rsidRPr="0021259B">
        <w:rPr>
          <w:i/>
          <w:iCs/>
        </w:rPr>
        <w:t>et al</w:t>
      </w:r>
      <w:r w:rsidRPr="0021259B">
        <w:t xml:space="preserve">., 2012). Shaw </w:t>
      </w:r>
      <w:r w:rsidRPr="0021259B">
        <w:rPr>
          <w:i/>
          <w:iCs/>
        </w:rPr>
        <w:t>et al</w:t>
      </w:r>
      <w:r w:rsidRPr="0021259B">
        <w:t>. (2012) demonstrated in their longitudinal review that untreated or inadequately treated ADHD is associated with significantly worse outcomes across multiple domains, including substance misuse, educational underachievement and mental health comorbidities. This underlines the critical importance of early identification and sustained intervention. Despite these findings, access to rehabilitation services in many health systems remains inconsistent, with significant socioeconomic disparities in treatment access (NICE, 2018).</w:t>
      </w:r>
    </w:p>
    <w:p w14:paraId="7DA4EA9E" w14:textId="19097DFA" w:rsidR="00B23664" w:rsidRPr="0021259B" w:rsidRDefault="00000000" w:rsidP="0021259B">
      <w:pPr>
        <w:pStyle w:val="Heading2"/>
      </w:pPr>
      <w:bookmarkStart w:id="4" w:name="_Toc227767010"/>
      <w:r w:rsidRPr="0021259B">
        <w:t xml:space="preserve">Current </w:t>
      </w:r>
      <w:r w:rsidR="00B7371B">
        <w:t>d</w:t>
      </w:r>
      <w:r w:rsidRPr="0021259B">
        <w:t xml:space="preserve">ebates and </w:t>
      </w:r>
      <w:r w:rsidR="00B7371B">
        <w:t>e</w:t>
      </w:r>
      <w:r w:rsidRPr="0021259B">
        <w:t xml:space="preserve">merging </w:t>
      </w:r>
      <w:r w:rsidR="00B7371B">
        <w:t>i</w:t>
      </w:r>
      <w:r w:rsidRPr="0021259B">
        <w:t>ssues</w:t>
      </w:r>
      <w:bookmarkEnd w:id="4"/>
    </w:p>
    <w:p w14:paraId="3AC9A33D" w14:textId="77777777" w:rsidR="00B23664" w:rsidRPr="0021259B" w:rsidRDefault="00000000" w:rsidP="0021259B">
      <w:pPr>
        <w:spacing w:after="120" w:line="360" w:lineRule="auto"/>
      </w:pPr>
      <w:r w:rsidRPr="0021259B">
        <w:t xml:space="preserve">ADHD sits at the intersection of some of the most contentious debates in contemporary psychiatry, spanning questions of overdiagnosis, the </w:t>
      </w:r>
      <w:proofErr w:type="spellStart"/>
      <w:r w:rsidRPr="0021259B">
        <w:t>medicalisation</w:t>
      </w:r>
      <w:proofErr w:type="spellEnd"/>
      <w:r w:rsidRPr="0021259B">
        <w:t xml:space="preserve"> of </w:t>
      </w:r>
      <w:proofErr w:type="spellStart"/>
      <w:r w:rsidRPr="0021259B">
        <w:t>behaviour</w:t>
      </w:r>
      <w:proofErr w:type="spellEnd"/>
      <w:r w:rsidRPr="0021259B">
        <w:t>, neurodivergence, and socioeconomic determinants of diagnosis and treatment.</w:t>
      </w:r>
    </w:p>
    <w:p w14:paraId="64882E1B" w14:textId="77777777" w:rsidR="00B23664" w:rsidRPr="0021259B" w:rsidRDefault="00000000" w:rsidP="0021259B">
      <w:pPr>
        <w:spacing w:after="120" w:line="360" w:lineRule="auto"/>
      </w:pPr>
      <w:r w:rsidRPr="0021259B">
        <w:t xml:space="preserve">One of the most prominent debates concerns the perceived overdiagnosis of ADHD, particularly in Western, high-income countries. Hinshaw and Scheffler (2014) document a dramatic rise in ADHD diagnoses in the United States over recent decades, which they partially attribute to pharmaceutical industry influence, educational performance pressures </w:t>
      </w:r>
      <w:r w:rsidRPr="0021259B">
        <w:lastRenderedPageBreak/>
        <w:t xml:space="preserve">and relaxed diagnostic criteria. Conrad and Bergey (2014) extend this argument globally, warning of an 'ADHD explosion' driven by the </w:t>
      </w:r>
      <w:proofErr w:type="spellStart"/>
      <w:r w:rsidRPr="0021259B">
        <w:t>globalisation</w:t>
      </w:r>
      <w:proofErr w:type="spellEnd"/>
      <w:r w:rsidRPr="0021259B">
        <w:t xml:space="preserve"> of American psychiatric norms and commercial interests. This </w:t>
      </w:r>
      <w:proofErr w:type="spellStart"/>
      <w:r w:rsidRPr="0021259B">
        <w:t>medicalisation</w:t>
      </w:r>
      <w:proofErr w:type="spellEnd"/>
      <w:r w:rsidRPr="0021259B">
        <w:t xml:space="preserve"> critique challenges the validity of the ICD-11's classification, arguing that it may capture a socially constructed category rather than a discrete neurobiological disorder.</w:t>
      </w:r>
    </w:p>
    <w:p w14:paraId="575D9E92" w14:textId="77777777" w:rsidR="00B23664" w:rsidRPr="0021259B" w:rsidRDefault="00000000" w:rsidP="0021259B">
      <w:pPr>
        <w:spacing w:after="120" w:line="360" w:lineRule="auto"/>
      </w:pPr>
      <w:r w:rsidRPr="0021259B">
        <w:t xml:space="preserve">Conversely, proponents of the biomedical model point to robust genetic and neuroimaging evidence supporting ADHD as a genuine neurodevelopmental condition. Faraone </w:t>
      </w:r>
      <w:r w:rsidRPr="0021259B">
        <w:rPr>
          <w:i/>
          <w:iCs/>
        </w:rPr>
        <w:t>et al</w:t>
      </w:r>
      <w:r w:rsidRPr="0021259B">
        <w:t>. (2021), in a comprehensive international consensus statement endorsed by over eighty specialists across thirty countries, conclude that denying the validity of ADHD is not only scientifically unjustified but can have real-world harms by preventing individuals from accessing appropriate care. Thapar and Cooper (2016) similarly affirm that ADHD has substantial heritability estimates of approximately 74%, with neuroimaging studies consistently identifying structural and functional differences in prefrontal and striatal regions.</w:t>
      </w:r>
    </w:p>
    <w:p w14:paraId="3D991BEF" w14:textId="77777777" w:rsidR="00B23664" w:rsidRPr="0021259B" w:rsidRDefault="00000000" w:rsidP="0021259B">
      <w:pPr>
        <w:spacing w:after="120" w:line="360" w:lineRule="auto"/>
      </w:pPr>
      <w:r w:rsidRPr="0021259B">
        <w:t xml:space="preserve">The neurodiversity movement represents another significant current in this debate. Proponents argue that ADHD – like autism – should be understood as a natural variation in human neurological development rather than a pathology requiring correction (Young </w:t>
      </w:r>
      <w:r w:rsidRPr="0021259B">
        <w:rPr>
          <w:i/>
          <w:iCs/>
        </w:rPr>
        <w:t>et al</w:t>
      </w:r>
      <w:r w:rsidRPr="0021259B">
        <w:t xml:space="preserve">., 2020). This perspective challenges the deficit-focused framing of ICD-11, advocating instead for supportive environments that accommodate neurological difference. From this standpoint, the problem lies not in the individual's neurology but in the inflexibility of educational and occupational systems that fail to accommodate diverse cognitive styles. Whilst the ICD-11 does not explicitly engage with neurodiversity frameworks, there is a growing call within the academic and clinical community for classification systems to at least acknowledge these perspectives and consider their implications for diagnosis and stigma. Young </w:t>
      </w:r>
      <w:r w:rsidRPr="0021259B">
        <w:rPr>
          <w:i/>
          <w:iCs/>
        </w:rPr>
        <w:t>et al</w:t>
      </w:r>
      <w:r w:rsidRPr="0021259B">
        <w:t>. (2020) specifically highlight that when ADHD co-occurs with autism, a condition not uncommon given shared neurological underpinnings, diagnostic and therapeutic frameworks must be adapted accordingly, further complicating any singular approach to classification and care.</w:t>
      </w:r>
    </w:p>
    <w:p w14:paraId="35D171F2" w14:textId="77777777" w:rsidR="00B23664" w:rsidRPr="0021259B" w:rsidRDefault="00000000" w:rsidP="0021259B">
      <w:pPr>
        <w:spacing w:after="120" w:line="360" w:lineRule="auto"/>
      </w:pPr>
      <w:r w:rsidRPr="0021259B">
        <w:t xml:space="preserve">An important reclassification issue concerns the diagnosis of ADHD in adults. Historically, ADHD was regarded as a childhood-onset condition that resolved with age; however, it is now </w:t>
      </w:r>
      <w:proofErr w:type="spellStart"/>
      <w:r w:rsidRPr="0021259B">
        <w:t>recognised</w:t>
      </w:r>
      <w:proofErr w:type="spellEnd"/>
      <w:r w:rsidRPr="0021259B">
        <w:t xml:space="preserve"> that a significant proportion of individuals continue to experience clinically impairing symptoms throughout adulthood (</w:t>
      </w:r>
      <w:proofErr w:type="spellStart"/>
      <w:r w:rsidRPr="0021259B">
        <w:t>Kooij</w:t>
      </w:r>
      <w:proofErr w:type="spellEnd"/>
      <w:r w:rsidRPr="0021259B">
        <w:t xml:space="preserve"> </w:t>
      </w:r>
      <w:r w:rsidRPr="0021259B">
        <w:rPr>
          <w:i/>
          <w:iCs/>
        </w:rPr>
        <w:t>et al</w:t>
      </w:r>
      <w:r w:rsidRPr="0021259B">
        <w:t xml:space="preserve">., 2019). The ICD-11 accommodates adult presentations within its criteria, though service provision for adults with ADHD remains underdeveloped in many healthcare systems, a disparity that Moncrieff and </w:t>
      </w:r>
      <w:proofErr w:type="spellStart"/>
      <w:r w:rsidRPr="0021259B">
        <w:t>Timimi</w:t>
      </w:r>
      <w:proofErr w:type="spellEnd"/>
      <w:r w:rsidRPr="0021259B">
        <w:t xml:space="preserve"> (2011) argue reflects systemic biases in how adult mental health is </w:t>
      </w:r>
      <w:proofErr w:type="spellStart"/>
      <w:r w:rsidRPr="0021259B">
        <w:t>prioritised</w:t>
      </w:r>
      <w:proofErr w:type="spellEnd"/>
      <w:r w:rsidRPr="0021259B">
        <w:t xml:space="preserve"> and resourced.</w:t>
      </w:r>
    </w:p>
    <w:p w14:paraId="3F0D2DC0" w14:textId="77777777" w:rsidR="00B23664" w:rsidRPr="0021259B" w:rsidRDefault="00000000" w:rsidP="0021259B">
      <w:pPr>
        <w:spacing w:after="120" w:line="360" w:lineRule="auto"/>
      </w:pPr>
      <w:r w:rsidRPr="0021259B">
        <w:lastRenderedPageBreak/>
        <w:t>Race, gender and socioeconomic status also intersect with ADHD diagnosis and treatment in complex ways. Girls and women are historically underdiagnosed, partly due to the tendency to present with inattentive rather than hyperactive symptoms – symptoms that are arguably less visible and disruptive in classroom settings (Hinshaw and Scheffler, 2014). The ICD-11 does not explicitly address gender-related diagnostic disparities, which represents a limitation in its current formulation. Similarly, children from lower socioeconomic backgrounds are both more likely to be diagnosed with ADHD and less likely to receive consistent, evidence-based treatment, raising important questions about equity in mental health provision (NICE, 2018).</w:t>
      </w:r>
    </w:p>
    <w:p w14:paraId="77A0FA9C" w14:textId="14D3507D" w:rsidR="00B23664" w:rsidRPr="0021259B" w:rsidRDefault="00000000" w:rsidP="0021259B">
      <w:pPr>
        <w:pStyle w:val="Heading2"/>
      </w:pPr>
      <w:bookmarkStart w:id="5" w:name="_Toc227767011"/>
      <w:r w:rsidRPr="0021259B">
        <w:t>Recommendations</w:t>
      </w:r>
      <w:bookmarkEnd w:id="5"/>
    </w:p>
    <w:p w14:paraId="75BB2708" w14:textId="77777777" w:rsidR="00B23664" w:rsidRPr="0021259B" w:rsidRDefault="00000000" w:rsidP="0021259B">
      <w:pPr>
        <w:spacing w:after="120" w:line="360" w:lineRule="auto"/>
      </w:pPr>
      <w:r w:rsidRPr="0021259B">
        <w:t>Based on the evidence reviewed, several recommendations can be made to improve the classification, diagnosis, treatment and rehabilitation of ADHD.</w:t>
      </w:r>
    </w:p>
    <w:p w14:paraId="27D5618F" w14:textId="77777777" w:rsidR="00B23664" w:rsidRPr="0021259B" w:rsidRDefault="00000000" w:rsidP="0021259B">
      <w:pPr>
        <w:spacing w:after="120" w:line="360" w:lineRule="auto"/>
      </w:pPr>
      <w:r w:rsidRPr="0021259B">
        <w:t xml:space="preserve">First, the ICD-11 should be revised in future iterations to explicitly acknowledge neurodiversity perspectives and the limitations of a purely deficit-based classification approach. Incorporating language that reflects ADHD as a condition occurring on a spectrum of neurological variation – while retaining clinical utility – could reduce stigma without undermining access to treatment (Young </w:t>
      </w:r>
      <w:r w:rsidRPr="0021259B">
        <w:rPr>
          <w:i/>
          <w:iCs/>
        </w:rPr>
        <w:t>et al</w:t>
      </w:r>
      <w:r w:rsidRPr="0021259B">
        <w:t>., 2020).</w:t>
      </w:r>
    </w:p>
    <w:p w14:paraId="400C63F8" w14:textId="77777777" w:rsidR="00B23664" w:rsidRPr="0021259B" w:rsidRDefault="00000000" w:rsidP="0021259B">
      <w:pPr>
        <w:spacing w:after="120" w:line="360" w:lineRule="auto"/>
      </w:pPr>
      <w:r w:rsidRPr="0021259B">
        <w:t>Second, diagnostic guidelines and training should be updated to address gender and cultural disparities in ADHD identification. As Hinshaw and Scheffler (2014) highlight, current diagnostic tools were largely normed on white, male, school-aged populations; greater investment in culturally sensitive and gender-aware diagnostic frameworks is essential to ensure equitable access to diagnosis across all groups.</w:t>
      </w:r>
    </w:p>
    <w:p w14:paraId="366403B3" w14:textId="77777777" w:rsidR="00B23664" w:rsidRPr="0021259B" w:rsidRDefault="00000000" w:rsidP="0021259B">
      <w:pPr>
        <w:spacing w:after="120" w:line="360" w:lineRule="auto"/>
      </w:pPr>
      <w:r w:rsidRPr="0021259B">
        <w:t xml:space="preserve">Third, healthcare systems should adopt a genuinely multimodal, lifespan approach to ADHD management in line with ICD-11 rehabilitation principles (WHO, 2019). This means ensuring that psychological, educational and vocational support services are as accessible and well-resourced as pharmacological options. Shaw </w:t>
      </w:r>
      <w:r w:rsidRPr="0021259B">
        <w:rPr>
          <w:i/>
          <w:iCs/>
        </w:rPr>
        <w:t>et al</w:t>
      </w:r>
      <w:r w:rsidRPr="0021259B">
        <w:t>. (2012) provide compelling evidence that early, comprehensive intervention substantially improves long-term outcomes, further justifying investment in non-medication supports.</w:t>
      </w:r>
    </w:p>
    <w:p w14:paraId="35EEC55E" w14:textId="77777777" w:rsidR="00B23664" w:rsidRPr="0021259B" w:rsidRDefault="00000000" w:rsidP="0021259B">
      <w:pPr>
        <w:spacing w:after="120" w:line="360" w:lineRule="auto"/>
      </w:pPr>
      <w:r w:rsidRPr="0021259B">
        <w:t xml:space="preserve">Fourth, further research into the long-term effects of ADHD medication – particularly in younger populations – is urgently needed. As Cooper </w:t>
      </w:r>
      <w:r w:rsidRPr="0021259B">
        <w:rPr>
          <w:i/>
          <w:iCs/>
        </w:rPr>
        <w:t>et al</w:t>
      </w:r>
      <w:r w:rsidRPr="0021259B">
        <w:t>. (2022) observe, while short-term efficacy data is robust, longitudinal safety data remains sparse, particularly with regard to cardiovascular outcomes and the impact on neurodevelopment over time.</w:t>
      </w:r>
    </w:p>
    <w:p w14:paraId="24166ABC" w14:textId="77777777" w:rsidR="00B23664" w:rsidRPr="0021259B" w:rsidRDefault="00000000" w:rsidP="0021259B">
      <w:pPr>
        <w:spacing w:after="120" w:line="360" w:lineRule="auto"/>
      </w:pPr>
      <w:r w:rsidRPr="0021259B">
        <w:t xml:space="preserve">Finally, policy should </w:t>
      </w:r>
      <w:proofErr w:type="spellStart"/>
      <w:r w:rsidRPr="0021259B">
        <w:t>prioritise</w:t>
      </w:r>
      <w:proofErr w:type="spellEnd"/>
      <w:r w:rsidRPr="0021259B">
        <w:t xml:space="preserve"> the development of adult ADHD services, which remain a conspicuous gap in mental health provision. </w:t>
      </w:r>
      <w:proofErr w:type="spellStart"/>
      <w:r w:rsidRPr="0021259B">
        <w:t>Kooij</w:t>
      </w:r>
      <w:proofErr w:type="spellEnd"/>
      <w:r w:rsidRPr="0021259B">
        <w:t xml:space="preserve"> </w:t>
      </w:r>
      <w:r w:rsidRPr="0021259B">
        <w:rPr>
          <w:i/>
          <w:iCs/>
        </w:rPr>
        <w:t>et al</w:t>
      </w:r>
      <w:r w:rsidRPr="0021259B">
        <w:t>. (2019) demonstrate that late-</w:t>
      </w:r>
      <w:r w:rsidRPr="0021259B">
        <w:lastRenderedPageBreak/>
        <w:t>diagnosed adults often experience significant comorbidity and psychosocial impairment that could have been mitigated by earlier identification and sustained support.</w:t>
      </w:r>
    </w:p>
    <w:p w14:paraId="0B0981FF" w14:textId="2DEDDDA5" w:rsidR="00B23664" w:rsidRPr="0021259B" w:rsidRDefault="00000000" w:rsidP="0021259B">
      <w:pPr>
        <w:pStyle w:val="Heading2"/>
      </w:pPr>
      <w:bookmarkStart w:id="6" w:name="_Toc227767012"/>
      <w:r w:rsidRPr="0021259B">
        <w:t>Conclusion</w:t>
      </w:r>
      <w:bookmarkEnd w:id="6"/>
    </w:p>
    <w:p w14:paraId="06CCC2FF" w14:textId="77777777" w:rsidR="00B23664" w:rsidRPr="0021259B" w:rsidRDefault="00000000" w:rsidP="0021259B">
      <w:pPr>
        <w:spacing w:after="120" w:line="360" w:lineRule="auto"/>
      </w:pPr>
      <w:r w:rsidRPr="0021259B">
        <w:t xml:space="preserve">This report has critically examined ADHD as classified under ICD-11, exploring its diagnostic criteria, multimodal treatment approaches and the complex debates that surround its </w:t>
      </w:r>
      <w:proofErr w:type="spellStart"/>
      <w:r w:rsidRPr="0021259B">
        <w:t>conceptualisation</w:t>
      </w:r>
      <w:proofErr w:type="spellEnd"/>
      <w:r w:rsidRPr="0021259B">
        <w:t xml:space="preserve">. ADHD represents a clinically significant neurodevelopmental condition with substantial evidence underpinning both its biological basis and its responsiveness to intervention. However, the field continues to grapple with important questions concerning overdiagnosis, cultural and gender disparities in diagnosis, the </w:t>
      </w:r>
      <w:proofErr w:type="spellStart"/>
      <w:r w:rsidRPr="0021259B">
        <w:t>medicalisation</w:t>
      </w:r>
      <w:proofErr w:type="spellEnd"/>
      <w:r w:rsidRPr="0021259B">
        <w:t xml:space="preserve"> of </w:t>
      </w:r>
      <w:proofErr w:type="spellStart"/>
      <w:r w:rsidRPr="0021259B">
        <w:t>behaviour</w:t>
      </w:r>
      <w:proofErr w:type="spellEnd"/>
      <w:r w:rsidRPr="0021259B">
        <w:t>, and the growing claims of the neurodiversity movement.</w:t>
      </w:r>
    </w:p>
    <w:p w14:paraId="78615C51" w14:textId="77777777" w:rsidR="00B23664" w:rsidRPr="0021259B" w:rsidRDefault="00000000" w:rsidP="0021259B">
      <w:pPr>
        <w:spacing w:after="120" w:line="360" w:lineRule="auto"/>
      </w:pPr>
      <w:r w:rsidRPr="0021259B">
        <w:t xml:space="preserve">The ICD-11 provides a reasonably comprehensive and updated framework for ADHD classification, yet there remains considerable scope for refinement, particularly with regard to inclusive language, adult presentations and culturally sensitive guidance. Addressing these limitations through evidence-informed policy, equitable service development and continued research will be essential if ADHD services are to meet the needs of all individuals affected by this condition. As Faraone </w:t>
      </w:r>
      <w:r w:rsidRPr="0021259B">
        <w:rPr>
          <w:i/>
          <w:iCs/>
        </w:rPr>
        <w:t>et al</w:t>
      </w:r>
      <w:r w:rsidRPr="0021259B">
        <w:t xml:space="preserve">. (2021) </w:t>
      </w:r>
      <w:proofErr w:type="spellStart"/>
      <w:r w:rsidRPr="0021259B">
        <w:t>emphasise</w:t>
      </w:r>
      <w:proofErr w:type="spellEnd"/>
      <w:r w:rsidRPr="0021259B">
        <w:t>, the scientific consensus on ADHD's validity and treatability is strong; the challenge now lies in ensuring that this evidence is translated into accessible, equitable and person-</w:t>
      </w:r>
      <w:proofErr w:type="spellStart"/>
      <w:r w:rsidRPr="0021259B">
        <w:t>centred</w:t>
      </w:r>
      <w:proofErr w:type="spellEnd"/>
      <w:r w:rsidRPr="0021259B">
        <w:t xml:space="preserve"> care.</w:t>
      </w:r>
    </w:p>
    <w:p w14:paraId="4A1F8BA8" w14:textId="77777777" w:rsidR="00B23664" w:rsidRPr="0021259B" w:rsidRDefault="00000000" w:rsidP="0021259B">
      <w:pPr>
        <w:pageBreakBefore/>
        <w:spacing w:line="360" w:lineRule="auto"/>
      </w:pPr>
      <w:r w:rsidRPr="0021259B">
        <w:lastRenderedPageBreak/>
        <w:br/>
      </w:r>
    </w:p>
    <w:p w14:paraId="373D8C2A" w14:textId="77777777" w:rsidR="00B23664" w:rsidRPr="0021259B" w:rsidRDefault="00000000" w:rsidP="0021259B">
      <w:pPr>
        <w:pStyle w:val="Heading2"/>
      </w:pPr>
      <w:bookmarkStart w:id="7" w:name="_Toc227767013"/>
      <w:r w:rsidRPr="0021259B">
        <w:t>References</w:t>
      </w:r>
      <w:bookmarkEnd w:id="7"/>
    </w:p>
    <w:p w14:paraId="4F3702D2" w14:textId="77777777" w:rsidR="00B23664" w:rsidRPr="0021259B" w:rsidRDefault="00000000" w:rsidP="0021259B">
      <w:pPr>
        <w:spacing w:after="120" w:line="360" w:lineRule="auto"/>
      </w:pPr>
      <w:r w:rsidRPr="0021259B">
        <w:t xml:space="preserve">Barkley, R.A. (2015) </w:t>
      </w:r>
      <w:r w:rsidRPr="0021259B">
        <w:rPr>
          <w:i/>
          <w:iCs/>
        </w:rPr>
        <w:t>Attention-Deficit Hyperactivity Disorder: A Handbook for Diagnosis and Treatment</w:t>
      </w:r>
      <w:r w:rsidRPr="0021259B">
        <w:t xml:space="preserve">. 4th </w:t>
      </w:r>
      <w:proofErr w:type="spellStart"/>
      <w:r w:rsidRPr="0021259B">
        <w:t>edn</w:t>
      </w:r>
      <w:proofErr w:type="spellEnd"/>
      <w:r w:rsidRPr="0021259B">
        <w:t>. New York: Guilford Press.</w:t>
      </w:r>
    </w:p>
    <w:p w14:paraId="0C740AC8" w14:textId="77777777" w:rsidR="00B23664" w:rsidRPr="0021259B" w:rsidRDefault="00000000" w:rsidP="0021259B">
      <w:pPr>
        <w:spacing w:after="120" w:line="360" w:lineRule="auto"/>
      </w:pPr>
      <w:r w:rsidRPr="0021259B">
        <w:t xml:space="preserve">Conrad, P. and Bergey, M.R. (2014) 'The impending </w:t>
      </w:r>
      <w:proofErr w:type="spellStart"/>
      <w:r w:rsidRPr="0021259B">
        <w:t>globalisation</w:t>
      </w:r>
      <w:proofErr w:type="spellEnd"/>
      <w:r w:rsidRPr="0021259B">
        <w:t xml:space="preserve"> of ADHD: Notes on the expansion and growth of a medicalized disorder', </w:t>
      </w:r>
      <w:r w:rsidRPr="0021259B">
        <w:rPr>
          <w:i/>
          <w:iCs/>
        </w:rPr>
        <w:t>Social Science &amp; Medicine</w:t>
      </w:r>
      <w:r w:rsidRPr="0021259B">
        <w:t>, 122, pp. 31–43.</w:t>
      </w:r>
    </w:p>
    <w:p w14:paraId="5ACE61FD" w14:textId="77777777" w:rsidR="00B23664" w:rsidRPr="0021259B" w:rsidRDefault="00000000" w:rsidP="0021259B">
      <w:pPr>
        <w:spacing w:after="120" w:line="360" w:lineRule="auto"/>
      </w:pPr>
      <w:r w:rsidRPr="0021259B">
        <w:t xml:space="preserve">Cooper, R.E., Tye, C., </w:t>
      </w:r>
      <w:proofErr w:type="spellStart"/>
      <w:r w:rsidRPr="0021259B">
        <w:t>Kuntsi</w:t>
      </w:r>
      <w:proofErr w:type="spellEnd"/>
      <w:r w:rsidRPr="0021259B">
        <w:t xml:space="preserve">, J., Vassos, E. and Asherson, P. (2022) 'Considerations around the clinical and research use of methylphenidate', </w:t>
      </w:r>
      <w:r w:rsidRPr="0021259B">
        <w:rPr>
          <w:i/>
          <w:iCs/>
        </w:rPr>
        <w:t>Journal of Psychopharmacology</w:t>
      </w:r>
      <w:r w:rsidRPr="0021259B">
        <w:t>, 36(3), pp. 316–329.</w:t>
      </w:r>
    </w:p>
    <w:p w14:paraId="3A91FDC1" w14:textId="77777777" w:rsidR="00B23664" w:rsidRPr="0021259B" w:rsidRDefault="00000000" w:rsidP="0021259B">
      <w:pPr>
        <w:spacing w:after="120" w:line="360" w:lineRule="auto"/>
      </w:pPr>
      <w:r w:rsidRPr="0021259B">
        <w:t xml:space="preserve">Cortese, S., Adamo, N., Del Giovane, C., Mohr-Jensen, C., Hayes, A.J., Carucci, S., Atkinson, L.Z., Tessari, L., </w:t>
      </w:r>
      <w:proofErr w:type="spellStart"/>
      <w:r w:rsidRPr="0021259B">
        <w:t>Banaschewski</w:t>
      </w:r>
      <w:proofErr w:type="spellEnd"/>
      <w:r w:rsidRPr="0021259B">
        <w:t xml:space="preserve">, T., Coghill, D., Hollis, C., Simonoff, E., </w:t>
      </w:r>
      <w:proofErr w:type="spellStart"/>
      <w:r w:rsidRPr="0021259B">
        <w:t>Zuddas</w:t>
      </w:r>
      <w:proofErr w:type="spellEnd"/>
      <w:r w:rsidRPr="0021259B">
        <w:t xml:space="preserve">, A., </w:t>
      </w:r>
      <w:proofErr w:type="spellStart"/>
      <w:r w:rsidRPr="0021259B">
        <w:t>Barbui</w:t>
      </w:r>
      <w:proofErr w:type="spellEnd"/>
      <w:r w:rsidRPr="0021259B">
        <w:t xml:space="preserve">, C., </w:t>
      </w:r>
      <w:proofErr w:type="spellStart"/>
      <w:r w:rsidRPr="0021259B">
        <w:t>Purgato</w:t>
      </w:r>
      <w:proofErr w:type="spellEnd"/>
      <w:r w:rsidRPr="0021259B">
        <w:t xml:space="preserve">, M., Steinhausen, H.C., </w:t>
      </w:r>
      <w:proofErr w:type="spellStart"/>
      <w:r w:rsidRPr="0021259B">
        <w:t>Shokraneh</w:t>
      </w:r>
      <w:proofErr w:type="spellEnd"/>
      <w:r w:rsidRPr="0021259B">
        <w:t xml:space="preserve">, F., Xia, J. and Cipriani, A. (2018) 'Comparative efficacy and tolerability of medications for attention-deficit hyperactivity disorder in children, adolescents, and adults: a systematic review and network meta-analysis', </w:t>
      </w:r>
      <w:r w:rsidRPr="0021259B">
        <w:rPr>
          <w:i/>
          <w:iCs/>
        </w:rPr>
        <w:t>The Lancet Psychiatry</w:t>
      </w:r>
      <w:r w:rsidRPr="0021259B">
        <w:t>, 5(9), pp. 727–738.</w:t>
      </w:r>
    </w:p>
    <w:p w14:paraId="0DC09C99" w14:textId="77777777" w:rsidR="00B23664" w:rsidRPr="0021259B" w:rsidRDefault="00000000" w:rsidP="0021259B">
      <w:pPr>
        <w:spacing w:after="120" w:line="360" w:lineRule="auto"/>
      </w:pPr>
      <w:r w:rsidRPr="0021259B">
        <w:t xml:space="preserve">Faraone, S.V., </w:t>
      </w:r>
      <w:proofErr w:type="spellStart"/>
      <w:r w:rsidRPr="0021259B">
        <w:t>Banaschewski</w:t>
      </w:r>
      <w:proofErr w:type="spellEnd"/>
      <w:r w:rsidRPr="0021259B">
        <w:t xml:space="preserve">, T., Coghill, D., Zheng, Y., Biederman, J., </w:t>
      </w:r>
      <w:proofErr w:type="spellStart"/>
      <w:r w:rsidRPr="0021259B">
        <w:t>Bellgrove</w:t>
      </w:r>
      <w:proofErr w:type="spellEnd"/>
      <w:r w:rsidRPr="0021259B">
        <w:t xml:space="preserve">, M.A., </w:t>
      </w:r>
      <w:proofErr w:type="spellStart"/>
      <w:r w:rsidRPr="0021259B">
        <w:t>Newcorn</w:t>
      </w:r>
      <w:proofErr w:type="spellEnd"/>
      <w:r w:rsidRPr="0021259B">
        <w:t xml:space="preserve">, J.H., Gignac, M., Al Saud, N.M., Manor, I., Rohde, L.A., Yang, L., Cortese, S., Almagor, D., Stein, M.A., Albatti, T.H., </w:t>
      </w:r>
      <w:proofErr w:type="spellStart"/>
      <w:r w:rsidRPr="0021259B">
        <w:t>Aljoudi</w:t>
      </w:r>
      <w:proofErr w:type="spellEnd"/>
      <w:r w:rsidRPr="0021259B">
        <w:t xml:space="preserve">, H.F., Alqahtani, M.M.J., Asherson, P. and Arunachalam, S. (2021) 'The World Federation of ADHD International Consensus Statement: 208 Evidence-based conclusions about the disorder', </w:t>
      </w:r>
      <w:r w:rsidRPr="0021259B">
        <w:rPr>
          <w:i/>
          <w:iCs/>
        </w:rPr>
        <w:t>Neuroscience &amp; Biobehavioral Reviews</w:t>
      </w:r>
      <w:r w:rsidRPr="0021259B">
        <w:t>, 128, pp. 789–818.</w:t>
      </w:r>
    </w:p>
    <w:p w14:paraId="31445800" w14:textId="77777777" w:rsidR="00B23664" w:rsidRPr="0021259B" w:rsidRDefault="00000000" w:rsidP="0021259B">
      <w:pPr>
        <w:spacing w:after="120" w:line="360" w:lineRule="auto"/>
      </w:pPr>
      <w:r w:rsidRPr="0021259B">
        <w:t xml:space="preserve">Hinshaw, S.P. and Scheffler, R.M. (2014) </w:t>
      </w:r>
      <w:r w:rsidRPr="0021259B">
        <w:rPr>
          <w:i/>
          <w:iCs/>
        </w:rPr>
        <w:t>The ADHD Explosion: Myths, Medication, Money, and Today's Push for Performance</w:t>
      </w:r>
      <w:r w:rsidRPr="0021259B">
        <w:t>. New York: Oxford University Press.</w:t>
      </w:r>
    </w:p>
    <w:p w14:paraId="25F0B73E" w14:textId="77777777" w:rsidR="00B23664" w:rsidRPr="0021259B" w:rsidRDefault="00000000" w:rsidP="0021259B">
      <w:pPr>
        <w:spacing w:after="120" w:line="360" w:lineRule="auto"/>
      </w:pPr>
      <w:proofErr w:type="spellStart"/>
      <w:r w:rsidRPr="0021259B">
        <w:t>Kooij</w:t>
      </w:r>
      <w:proofErr w:type="spellEnd"/>
      <w:r w:rsidRPr="0021259B">
        <w:t xml:space="preserve">, J.J.S., </w:t>
      </w:r>
      <w:proofErr w:type="spellStart"/>
      <w:r w:rsidRPr="0021259B">
        <w:t>Bijlenga</w:t>
      </w:r>
      <w:proofErr w:type="spellEnd"/>
      <w:r w:rsidRPr="0021259B">
        <w:t xml:space="preserve">, D., Salerno, L., Jaeschke, R., Bitter, I., Balázs, J., Thome, J., Dom, G., Kasper, S., Nunes, T.C. and Sobanski, E. (2019) 'Updated European Consensus Statement on diagnosis and treatment of adult ADHD', </w:t>
      </w:r>
      <w:r w:rsidRPr="0021259B">
        <w:rPr>
          <w:i/>
          <w:iCs/>
        </w:rPr>
        <w:t>European Psychiatry</w:t>
      </w:r>
      <w:r w:rsidRPr="0021259B">
        <w:t>, 56, pp. 14–34.</w:t>
      </w:r>
    </w:p>
    <w:p w14:paraId="1EB284B1" w14:textId="77777777" w:rsidR="00B23664" w:rsidRPr="0021259B" w:rsidRDefault="00000000" w:rsidP="0021259B">
      <w:pPr>
        <w:spacing w:after="120" w:line="360" w:lineRule="auto"/>
      </w:pPr>
      <w:r w:rsidRPr="0021259B">
        <w:t xml:space="preserve">Moncrieff, J. and </w:t>
      </w:r>
      <w:proofErr w:type="spellStart"/>
      <w:r w:rsidRPr="0021259B">
        <w:t>Timimi</w:t>
      </w:r>
      <w:proofErr w:type="spellEnd"/>
      <w:r w:rsidRPr="0021259B">
        <w:t xml:space="preserve">, S. (2011) 'The social and cultural construction of psychiatric knowledge: An analysis of ADHD and its treatment in the UK and US', </w:t>
      </w:r>
      <w:r w:rsidRPr="0021259B">
        <w:rPr>
          <w:i/>
          <w:iCs/>
        </w:rPr>
        <w:t>Anthropology &amp; Medicine</w:t>
      </w:r>
      <w:r w:rsidRPr="0021259B">
        <w:t>, 18(1), pp. 123–135.</w:t>
      </w:r>
    </w:p>
    <w:p w14:paraId="4199327F" w14:textId="77777777" w:rsidR="00B23664" w:rsidRPr="0021259B" w:rsidRDefault="00000000" w:rsidP="0021259B">
      <w:pPr>
        <w:spacing w:after="120" w:line="360" w:lineRule="auto"/>
      </w:pPr>
      <w:r w:rsidRPr="0021259B">
        <w:t xml:space="preserve">National Institute for Health and Care Excellence (NICE) (2018) </w:t>
      </w:r>
      <w:proofErr w:type="gramStart"/>
      <w:r w:rsidRPr="0021259B">
        <w:rPr>
          <w:i/>
          <w:iCs/>
        </w:rPr>
        <w:t>Attention deficit hyperactivity disorder</w:t>
      </w:r>
      <w:proofErr w:type="gramEnd"/>
      <w:r w:rsidRPr="0021259B">
        <w:rPr>
          <w:i/>
          <w:iCs/>
        </w:rPr>
        <w:t>: diagnosis and management. NICE guideline NG87</w:t>
      </w:r>
      <w:r w:rsidRPr="0021259B">
        <w:t>. London: NICE.</w:t>
      </w:r>
    </w:p>
    <w:p w14:paraId="2D3314D2" w14:textId="77777777" w:rsidR="00B23664" w:rsidRPr="0021259B" w:rsidRDefault="00000000" w:rsidP="0021259B">
      <w:pPr>
        <w:spacing w:after="120" w:line="360" w:lineRule="auto"/>
      </w:pPr>
      <w:r w:rsidRPr="0021259B">
        <w:lastRenderedPageBreak/>
        <w:t xml:space="preserve">Shaw, M., Hodgkins, P., Caci, H., Young, S., Kahle, J., Woods, A.G. and Arnold, L.E. (2012) 'A systematic review and analysis of long-term outcomes in attention deficit hyperactivity disorder: effects of treatment and non-treatment', </w:t>
      </w:r>
      <w:r w:rsidRPr="0021259B">
        <w:rPr>
          <w:i/>
          <w:iCs/>
        </w:rPr>
        <w:t>BMC Medicine</w:t>
      </w:r>
      <w:r w:rsidRPr="0021259B">
        <w:t>, 10(1), p. 99.</w:t>
      </w:r>
    </w:p>
    <w:p w14:paraId="1BB2783C" w14:textId="77777777" w:rsidR="00B23664" w:rsidRPr="0021259B" w:rsidRDefault="00000000" w:rsidP="0021259B">
      <w:pPr>
        <w:spacing w:after="120" w:line="360" w:lineRule="auto"/>
      </w:pPr>
      <w:proofErr w:type="spellStart"/>
      <w:r w:rsidRPr="0021259B">
        <w:t>Sonuga</w:t>
      </w:r>
      <w:proofErr w:type="spellEnd"/>
      <w:r w:rsidRPr="0021259B">
        <w:t xml:space="preserve">-Barke, E.J.S., Brandeis, D., Cortese, S., Daley, D., Ferrin, M., Holtmann, M., Stevenson, J., </w:t>
      </w:r>
      <w:proofErr w:type="spellStart"/>
      <w:r w:rsidRPr="0021259B">
        <w:t>Danckaerts</w:t>
      </w:r>
      <w:proofErr w:type="spellEnd"/>
      <w:r w:rsidRPr="0021259B">
        <w:t xml:space="preserve">, M., van der Oord, S., Döpfner, M., Dittmann, R.W., Simonoff, E., </w:t>
      </w:r>
      <w:proofErr w:type="spellStart"/>
      <w:r w:rsidRPr="0021259B">
        <w:t>Zuddas</w:t>
      </w:r>
      <w:proofErr w:type="spellEnd"/>
      <w:r w:rsidRPr="0021259B">
        <w:t xml:space="preserve">, A., </w:t>
      </w:r>
      <w:proofErr w:type="spellStart"/>
      <w:r w:rsidRPr="0021259B">
        <w:t>Banaschewski</w:t>
      </w:r>
      <w:proofErr w:type="spellEnd"/>
      <w:r w:rsidRPr="0021259B">
        <w:t xml:space="preserve">, T., </w:t>
      </w:r>
      <w:proofErr w:type="spellStart"/>
      <w:r w:rsidRPr="0021259B">
        <w:t>Buitelaar</w:t>
      </w:r>
      <w:proofErr w:type="spellEnd"/>
      <w:r w:rsidRPr="0021259B">
        <w:t xml:space="preserve">, J., Coghill, D., Hollis, C., </w:t>
      </w:r>
      <w:proofErr w:type="spellStart"/>
      <w:r w:rsidRPr="0021259B">
        <w:t>Konofal</w:t>
      </w:r>
      <w:proofErr w:type="spellEnd"/>
      <w:r w:rsidRPr="0021259B">
        <w:t xml:space="preserve">, E., </w:t>
      </w:r>
      <w:proofErr w:type="spellStart"/>
      <w:r w:rsidRPr="0021259B">
        <w:t>Lecendreux</w:t>
      </w:r>
      <w:proofErr w:type="spellEnd"/>
      <w:r w:rsidRPr="0021259B">
        <w:t xml:space="preserve">, M. and Taylor, E. (2013) 'Nonpharmacological interventions for ADHD: systematic review and meta-analyses of </w:t>
      </w:r>
      <w:proofErr w:type="spellStart"/>
      <w:r w:rsidRPr="0021259B">
        <w:t>randomised</w:t>
      </w:r>
      <w:proofErr w:type="spellEnd"/>
      <w:r w:rsidRPr="0021259B">
        <w:t xml:space="preserve"> controlled trials of dietary and psychological treatments', </w:t>
      </w:r>
      <w:r w:rsidRPr="0021259B">
        <w:rPr>
          <w:i/>
          <w:iCs/>
        </w:rPr>
        <w:t>American Journal of Psychiatry</w:t>
      </w:r>
      <w:r w:rsidRPr="0021259B">
        <w:t>, 170(3), pp. 275–289.</w:t>
      </w:r>
    </w:p>
    <w:p w14:paraId="28BB5543" w14:textId="77777777" w:rsidR="00B23664" w:rsidRPr="0021259B" w:rsidRDefault="00000000" w:rsidP="0021259B">
      <w:pPr>
        <w:spacing w:after="120" w:line="360" w:lineRule="auto"/>
      </w:pPr>
      <w:r w:rsidRPr="0021259B">
        <w:t>Thapar, A. and Cooper, M. (2016) '</w:t>
      </w:r>
      <w:proofErr w:type="gramStart"/>
      <w:r w:rsidRPr="0021259B">
        <w:t>Attention deficit hyperactivity disorder</w:t>
      </w:r>
      <w:proofErr w:type="gramEnd"/>
      <w:r w:rsidRPr="0021259B">
        <w:t xml:space="preserve">', </w:t>
      </w:r>
      <w:r w:rsidRPr="0021259B">
        <w:rPr>
          <w:i/>
          <w:iCs/>
        </w:rPr>
        <w:t>The Lancet</w:t>
      </w:r>
      <w:r w:rsidRPr="0021259B">
        <w:t>, 387(10024), pp. 1240–1250.</w:t>
      </w:r>
    </w:p>
    <w:p w14:paraId="35C2BF69" w14:textId="1C194BF3" w:rsidR="00B23664" w:rsidRPr="0021259B" w:rsidRDefault="00000000" w:rsidP="0021259B">
      <w:pPr>
        <w:spacing w:after="120" w:line="360" w:lineRule="auto"/>
      </w:pPr>
      <w:r w:rsidRPr="0021259B">
        <w:t xml:space="preserve">World Health Organization (WHO) (2019) </w:t>
      </w:r>
      <w:r w:rsidRPr="0021259B">
        <w:rPr>
          <w:i/>
          <w:iCs/>
        </w:rPr>
        <w:t>ICD-11: International Classification of Diseases, 11th Revision</w:t>
      </w:r>
      <w:r w:rsidRPr="0021259B">
        <w:t xml:space="preserve">. Geneva: WHO. Available at: </w:t>
      </w:r>
      <w:hyperlink r:id="rId10" w:history="1">
        <w:r w:rsidR="0021259B" w:rsidRPr="00865FA9">
          <w:rPr>
            <w:rStyle w:val="Hyperlink"/>
          </w:rPr>
          <w:t>https://icd.who.int/en</w:t>
        </w:r>
      </w:hyperlink>
      <w:r w:rsidR="0021259B">
        <w:t xml:space="preserve"> </w:t>
      </w:r>
      <w:r w:rsidRPr="0021259B">
        <w:t xml:space="preserve">(Accessed: </w:t>
      </w:r>
      <w:r w:rsidR="0021259B">
        <w:t>21</w:t>
      </w:r>
      <w:r w:rsidRPr="0021259B">
        <w:t xml:space="preserve"> April 2026).</w:t>
      </w:r>
    </w:p>
    <w:p w14:paraId="0B35F158" w14:textId="77777777" w:rsidR="00B23664" w:rsidRPr="0021259B" w:rsidRDefault="00000000" w:rsidP="0021259B">
      <w:pPr>
        <w:spacing w:after="120" w:line="360" w:lineRule="auto"/>
      </w:pPr>
      <w:r w:rsidRPr="0021259B">
        <w:t xml:space="preserve">Young, S., </w:t>
      </w:r>
      <w:proofErr w:type="spellStart"/>
      <w:r w:rsidRPr="0021259B">
        <w:t>Hollingdale</w:t>
      </w:r>
      <w:proofErr w:type="spellEnd"/>
      <w:r w:rsidRPr="0021259B">
        <w:t xml:space="preserve">, J., </w:t>
      </w:r>
      <w:proofErr w:type="spellStart"/>
      <w:r w:rsidRPr="0021259B">
        <w:t>Absoud</w:t>
      </w:r>
      <w:proofErr w:type="spellEnd"/>
      <w:r w:rsidRPr="0021259B">
        <w:t xml:space="preserve">, M., Bolton, P., Branney, P., Colley, W., Craxford, S., Dave, M., Deeley, Q., Descoteaux, J., Doris, B., Doris, E., Ellison, K., Folley, B., Hall, J., Harmer, C., Hall, C.L., Jackson, K. and Landau, S. (2020) 'Guidance for identification and treatment of individuals with attention deficit/hyperactivity disorder and autism spectrum disorder based upon expert consensus', </w:t>
      </w:r>
      <w:r w:rsidRPr="0021259B">
        <w:rPr>
          <w:i/>
          <w:iCs/>
        </w:rPr>
        <w:t>BMC Medicine</w:t>
      </w:r>
      <w:r w:rsidRPr="0021259B">
        <w:t>, 18(1), p. 146.</w:t>
      </w:r>
    </w:p>
    <w:sectPr w:rsidR="00B23664" w:rsidRPr="0021259B">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606CF" w14:textId="77777777" w:rsidR="00D63C2F" w:rsidRDefault="00D63C2F" w:rsidP="00E8791E">
      <w:r>
        <w:separator/>
      </w:r>
    </w:p>
  </w:endnote>
  <w:endnote w:type="continuationSeparator" w:id="0">
    <w:p w14:paraId="3AE69876" w14:textId="77777777" w:rsidR="00D63C2F" w:rsidRDefault="00D63C2F" w:rsidP="00E87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6941E" w14:textId="77777777" w:rsidR="00E8791E" w:rsidRDefault="00E8791E">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w:t>
    </w:r>
    <w:r>
      <w:rPr>
        <w:color w:val="0A1D30" w:themeColor="text2" w:themeShade="BF"/>
        <w:sz w:val="24"/>
        <w:szCs w:val="24"/>
      </w:rPr>
      <w:fldChar w:fldCharType="begin"/>
    </w:r>
    <w:r>
      <w:rPr>
        <w:color w:val="0A1D30" w:themeColor="text2" w:themeShade="BF"/>
        <w:sz w:val="24"/>
        <w:szCs w:val="24"/>
      </w:rPr>
      <w:instrText xml:space="preserve"> NUMPAGES  \* Arabic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p>
  <w:p w14:paraId="46175CF4" w14:textId="77777777" w:rsidR="00E8791E" w:rsidRDefault="00E87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A4C68" w14:textId="77777777" w:rsidR="00D63C2F" w:rsidRDefault="00D63C2F" w:rsidP="00E8791E">
      <w:r>
        <w:separator/>
      </w:r>
    </w:p>
  </w:footnote>
  <w:footnote w:type="continuationSeparator" w:id="0">
    <w:p w14:paraId="6AC2E8D4" w14:textId="77777777" w:rsidR="00D63C2F" w:rsidRDefault="00D63C2F" w:rsidP="00E879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10E59"/>
    <w:multiLevelType w:val="hybridMultilevel"/>
    <w:tmpl w:val="2864D3AC"/>
    <w:lvl w:ilvl="0" w:tplc="0F660514">
      <w:start w:val="1"/>
      <w:numFmt w:val="bullet"/>
      <w:lvlText w:val="●"/>
      <w:lvlJc w:val="left"/>
      <w:pPr>
        <w:ind w:left="720" w:hanging="360"/>
      </w:pPr>
    </w:lvl>
    <w:lvl w:ilvl="1" w:tplc="45CCF228">
      <w:start w:val="1"/>
      <w:numFmt w:val="bullet"/>
      <w:lvlText w:val="○"/>
      <w:lvlJc w:val="left"/>
      <w:pPr>
        <w:ind w:left="1440" w:hanging="360"/>
      </w:pPr>
    </w:lvl>
    <w:lvl w:ilvl="2" w:tplc="AA4EDEB8">
      <w:start w:val="1"/>
      <w:numFmt w:val="bullet"/>
      <w:lvlText w:val="■"/>
      <w:lvlJc w:val="left"/>
      <w:pPr>
        <w:ind w:left="2160" w:hanging="360"/>
      </w:pPr>
    </w:lvl>
    <w:lvl w:ilvl="3" w:tplc="E5ACB208">
      <w:start w:val="1"/>
      <w:numFmt w:val="bullet"/>
      <w:lvlText w:val="●"/>
      <w:lvlJc w:val="left"/>
      <w:pPr>
        <w:ind w:left="2880" w:hanging="360"/>
      </w:pPr>
    </w:lvl>
    <w:lvl w:ilvl="4" w:tplc="775C8B9C">
      <w:start w:val="1"/>
      <w:numFmt w:val="bullet"/>
      <w:lvlText w:val="○"/>
      <w:lvlJc w:val="left"/>
      <w:pPr>
        <w:ind w:left="3600" w:hanging="360"/>
      </w:pPr>
    </w:lvl>
    <w:lvl w:ilvl="5" w:tplc="7F8EDA70">
      <w:start w:val="1"/>
      <w:numFmt w:val="bullet"/>
      <w:lvlText w:val="■"/>
      <w:lvlJc w:val="left"/>
      <w:pPr>
        <w:ind w:left="4320" w:hanging="360"/>
      </w:pPr>
    </w:lvl>
    <w:lvl w:ilvl="6" w:tplc="84308610">
      <w:start w:val="1"/>
      <w:numFmt w:val="bullet"/>
      <w:lvlText w:val="●"/>
      <w:lvlJc w:val="left"/>
      <w:pPr>
        <w:ind w:left="5040" w:hanging="360"/>
      </w:pPr>
    </w:lvl>
    <w:lvl w:ilvl="7" w:tplc="A2A2A58C">
      <w:start w:val="1"/>
      <w:numFmt w:val="bullet"/>
      <w:lvlText w:val="●"/>
      <w:lvlJc w:val="left"/>
      <w:pPr>
        <w:ind w:left="5760" w:hanging="360"/>
      </w:pPr>
    </w:lvl>
    <w:lvl w:ilvl="8" w:tplc="73D0760A">
      <w:start w:val="1"/>
      <w:numFmt w:val="bullet"/>
      <w:lvlText w:val="●"/>
      <w:lvlJc w:val="left"/>
      <w:pPr>
        <w:ind w:left="6480" w:hanging="360"/>
      </w:pPr>
    </w:lvl>
  </w:abstractNum>
  <w:num w:numId="1" w16cid:durableId="11522126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664"/>
    <w:rsid w:val="000C092A"/>
    <w:rsid w:val="0021259B"/>
    <w:rsid w:val="003B33E4"/>
    <w:rsid w:val="008327F7"/>
    <w:rsid w:val="00962F00"/>
    <w:rsid w:val="009A275A"/>
    <w:rsid w:val="00B23664"/>
    <w:rsid w:val="00B7371B"/>
    <w:rsid w:val="00C328BC"/>
    <w:rsid w:val="00C43518"/>
    <w:rsid w:val="00CD4C45"/>
    <w:rsid w:val="00D63C2F"/>
    <w:rsid w:val="00E87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5BBBB"/>
  <w15:docId w15:val="{544143EC-1372-4BE4-A963-21331377F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75A"/>
  </w:style>
  <w:style w:type="paragraph" w:styleId="Heading1">
    <w:name w:val="heading 1"/>
    <w:uiPriority w:val="9"/>
    <w:qFormat/>
    <w:pPr>
      <w:spacing w:before="240" w:after="120" w:line="360" w:lineRule="auto"/>
      <w:outlineLvl w:val="0"/>
    </w:pPr>
    <w:rPr>
      <w:b/>
      <w:bCs/>
      <w:color w:val="000000"/>
      <w:sz w:val="26"/>
      <w:szCs w:val="26"/>
    </w:rPr>
  </w:style>
  <w:style w:type="paragraph" w:styleId="Heading2">
    <w:name w:val="heading 2"/>
    <w:uiPriority w:val="9"/>
    <w:unhideWhenUsed/>
    <w:qFormat/>
    <w:pPr>
      <w:spacing w:before="200" w:after="100" w:line="360" w:lineRule="auto"/>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IntenseReference">
    <w:name w:val="Intense Reference"/>
    <w:basedOn w:val="DefaultParagraphFont"/>
    <w:uiPriority w:val="32"/>
    <w:qFormat/>
    <w:rsid w:val="0021259B"/>
    <w:rPr>
      <w:b/>
      <w:bCs/>
      <w:smallCaps/>
      <w:color w:val="156082" w:themeColor="accent1"/>
      <w:spacing w:val="5"/>
    </w:rPr>
  </w:style>
  <w:style w:type="character" w:styleId="UnresolvedMention">
    <w:name w:val="Unresolved Mention"/>
    <w:basedOn w:val="DefaultParagraphFont"/>
    <w:uiPriority w:val="99"/>
    <w:semiHidden/>
    <w:unhideWhenUsed/>
    <w:rsid w:val="0021259B"/>
    <w:rPr>
      <w:color w:val="605E5C"/>
      <w:shd w:val="clear" w:color="auto" w:fill="E1DFDD"/>
    </w:rPr>
  </w:style>
  <w:style w:type="paragraph" w:styleId="TOCHeading">
    <w:name w:val="TOC Heading"/>
    <w:basedOn w:val="Heading1"/>
    <w:next w:val="Normal"/>
    <w:uiPriority w:val="39"/>
    <w:unhideWhenUsed/>
    <w:qFormat/>
    <w:rsid w:val="00962F00"/>
    <w:pPr>
      <w:keepNext/>
      <w:keepLines/>
      <w:spacing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962F00"/>
    <w:pPr>
      <w:spacing w:after="100"/>
    </w:pPr>
  </w:style>
  <w:style w:type="paragraph" w:styleId="TOC2">
    <w:name w:val="toc 2"/>
    <w:basedOn w:val="Normal"/>
    <w:next w:val="Normal"/>
    <w:autoRedefine/>
    <w:uiPriority w:val="39"/>
    <w:unhideWhenUsed/>
    <w:rsid w:val="00962F00"/>
    <w:pPr>
      <w:spacing w:after="100"/>
      <w:ind w:left="220"/>
    </w:pPr>
  </w:style>
  <w:style w:type="paragraph" w:styleId="Header">
    <w:name w:val="header"/>
    <w:basedOn w:val="Normal"/>
    <w:link w:val="HeaderChar"/>
    <w:uiPriority w:val="99"/>
    <w:unhideWhenUsed/>
    <w:rsid w:val="00E8791E"/>
    <w:pPr>
      <w:tabs>
        <w:tab w:val="center" w:pos="4680"/>
        <w:tab w:val="right" w:pos="9360"/>
      </w:tabs>
    </w:pPr>
  </w:style>
  <w:style w:type="character" w:customStyle="1" w:styleId="HeaderChar">
    <w:name w:val="Header Char"/>
    <w:basedOn w:val="DefaultParagraphFont"/>
    <w:link w:val="Header"/>
    <w:uiPriority w:val="99"/>
    <w:rsid w:val="00E8791E"/>
  </w:style>
  <w:style w:type="paragraph" w:styleId="Footer">
    <w:name w:val="footer"/>
    <w:basedOn w:val="Normal"/>
    <w:link w:val="FooterChar"/>
    <w:uiPriority w:val="99"/>
    <w:unhideWhenUsed/>
    <w:rsid w:val="00E8791E"/>
    <w:pPr>
      <w:tabs>
        <w:tab w:val="center" w:pos="4680"/>
        <w:tab w:val="right" w:pos="9360"/>
      </w:tabs>
    </w:pPr>
  </w:style>
  <w:style w:type="character" w:customStyle="1" w:styleId="FooterChar">
    <w:name w:val="Footer Char"/>
    <w:basedOn w:val="DefaultParagraphFont"/>
    <w:link w:val="Footer"/>
    <w:uiPriority w:val="99"/>
    <w:rsid w:val="00E87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cd.who.int/en"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28336-5939-42D6-9E94-C2B29BA65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10</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Artemis Vyudantrome</cp:lastModifiedBy>
  <cp:revision>5</cp:revision>
  <dcterms:created xsi:type="dcterms:W3CDTF">2026-04-22T12:12:00Z</dcterms:created>
  <dcterms:modified xsi:type="dcterms:W3CDTF">2026-04-22T13:45:00Z</dcterms:modified>
</cp:coreProperties>
</file>