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08258842"/>
        <w:docPartObj>
          <w:docPartGallery w:val="Cover Pages"/>
          <w:docPartUnique/>
        </w:docPartObj>
      </w:sdtPr>
      <w:sdtEndPr/>
      <w:sdtContent>
        <w:p w14:paraId="2CA4EC5A" w14:textId="0695EF49" w:rsidR="008D7663" w:rsidRDefault="008D7663"/>
        <w:p w14:paraId="1FB8ED2C" w14:textId="3F931A7B" w:rsidR="008D7663" w:rsidRDefault="00024C66">
          <w:r>
            <w:rPr>
              <w:noProof/>
            </w:rPr>
            <mc:AlternateContent>
              <mc:Choice Requires="wps">
                <w:drawing>
                  <wp:anchor distT="45720" distB="45720" distL="114300" distR="114300" simplePos="0" relativeHeight="251661312" behindDoc="0" locked="0" layoutInCell="1" allowOverlap="1" wp14:anchorId="18190DAD" wp14:editId="30B06B06">
                    <wp:simplePos x="0" y="0"/>
                    <wp:positionH relativeFrom="margin">
                      <wp:posOffset>1041427</wp:posOffset>
                    </wp:positionH>
                    <wp:positionV relativeFrom="paragraph">
                      <wp:posOffset>3903815</wp:posOffset>
                    </wp:positionV>
                    <wp:extent cx="3996690" cy="1404620"/>
                    <wp:effectExtent l="0" t="0" r="22860"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96690" cy="1404620"/>
                            </a:xfrm>
                            <a:prstGeom prst="rect">
                              <a:avLst/>
                            </a:prstGeom>
                            <a:solidFill>
                              <a:srgbClr val="FFFFFF"/>
                            </a:solidFill>
                            <a:ln w="9525">
                              <a:solidFill>
                                <a:srgbClr val="000000"/>
                              </a:solidFill>
                              <a:miter lim="800000"/>
                              <a:headEnd/>
                              <a:tailEnd/>
                            </a:ln>
                          </wps:spPr>
                          <wps:txbx>
                            <w:txbxContent>
                              <w:p w14:paraId="080A6BBC" w14:textId="2BBB13E4" w:rsidR="00F31D57" w:rsidRPr="0020741C" w:rsidRDefault="00F31D57" w:rsidP="00024C66">
                                <w:pPr>
                                  <w:rPr>
                                    <w:rFonts w:ascii="Arial" w:hAnsi="Arial" w:cs="Arial"/>
                                    <w:sz w:val="24"/>
                                    <w:szCs w:val="24"/>
                                  </w:rPr>
                                </w:pPr>
                                <w:r w:rsidRPr="0020741C">
                                  <w:rPr>
                                    <w:rFonts w:ascii="Arial" w:hAnsi="Arial" w:cs="Arial"/>
                                    <w:sz w:val="24"/>
                                    <w:szCs w:val="24"/>
                                  </w:rPr>
                                  <w:t>Module:</w:t>
                                </w:r>
                                <w:r w:rsidR="00437D9D" w:rsidRPr="0020741C">
                                  <w:rPr>
                                    <w:rFonts w:ascii="Arial" w:hAnsi="Arial" w:cs="Arial"/>
                                    <w:sz w:val="24"/>
                                    <w:szCs w:val="24"/>
                                  </w:rPr>
                                  <w:t xml:space="preserve"> Contemporary Themes in the Hotel and Hospitality Sector</w:t>
                                </w:r>
                              </w:p>
                              <w:p w14:paraId="3C2E707A" w14:textId="12000260" w:rsidR="00F31D57" w:rsidRPr="0020741C" w:rsidRDefault="00F31D57" w:rsidP="00024C66">
                                <w:pPr>
                                  <w:rPr>
                                    <w:rFonts w:ascii="Arial" w:hAnsi="Arial" w:cs="Arial"/>
                                    <w:sz w:val="24"/>
                                    <w:szCs w:val="24"/>
                                  </w:rPr>
                                </w:pPr>
                                <w:r w:rsidRPr="0020741C">
                                  <w:rPr>
                                    <w:rFonts w:ascii="Arial" w:hAnsi="Arial" w:cs="Arial"/>
                                    <w:sz w:val="24"/>
                                    <w:szCs w:val="24"/>
                                  </w:rPr>
                                  <w:t>Module code:</w:t>
                                </w:r>
                                <w:r w:rsidR="00437D9D" w:rsidRPr="0020741C">
                                  <w:rPr>
                                    <w:rFonts w:ascii="Arial" w:hAnsi="Arial" w:cs="Arial"/>
                                    <w:sz w:val="24"/>
                                    <w:szCs w:val="24"/>
                                  </w:rPr>
                                  <w:t xml:space="preserve"> </w:t>
                                </w:r>
                                <w:r w:rsidR="00745A73" w:rsidRPr="0020741C">
                                  <w:rPr>
                                    <w:rFonts w:ascii="Arial" w:hAnsi="Arial" w:cs="Arial"/>
                                    <w:sz w:val="24"/>
                                    <w:szCs w:val="24"/>
                                  </w:rPr>
                                  <w:t>BMIH6001</w:t>
                                </w:r>
                              </w:p>
                              <w:p w14:paraId="3B2123E2" w14:textId="2567DF6A" w:rsidR="00F31D57" w:rsidRPr="0020741C" w:rsidRDefault="00F31D57" w:rsidP="00024C66">
                                <w:pPr>
                                  <w:rPr>
                                    <w:rFonts w:ascii="Arial" w:hAnsi="Arial" w:cs="Arial"/>
                                    <w:sz w:val="24"/>
                                    <w:szCs w:val="24"/>
                                  </w:rPr>
                                </w:pPr>
                                <w:r w:rsidRPr="0020741C">
                                  <w:rPr>
                                    <w:rFonts w:ascii="Arial" w:hAnsi="Arial" w:cs="Arial"/>
                                    <w:sz w:val="24"/>
                                    <w:szCs w:val="24"/>
                                  </w:rPr>
                                  <w:t>Lecturer:</w:t>
                                </w:r>
                                <w:r w:rsidR="00745A73" w:rsidRPr="0020741C">
                                  <w:rPr>
                                    <w:rFonts w:ascii="Arial" w:hAnsi="Arial" w:cs="Arial"/>
                                    <w:sz w:val="24"/>
                                    <w:szCs w:val="24"/>
                                  </w:rPr>
                                  <w:t xml:space="preserve"> </w:t>
                                </w:r>
                                <w:r w:rsidR="0063463F" w:rsidRPr="0020741C">
                                  <w:rPr>
                                    <w:rFonts w:ascii="Arial" w:hAnsi="Arial" w:cs="Arial"/>
                                    <w:sz w:val="24"/>
                                    <w:szCs w:val="24"/>
                                  </w:rPr>
                                  <w:t xml:space="preserve">Dr Ernest Balutie </w:t>
                                </w:r>
                                <w:proofErr w:type="spellStart"/>
                                <w:r w:rsidR="0063463F" w:rsidRPr="0020741C">
                                  <w:rPr>
                                    <w:rFonts w:ascii="Arial" w:hAnsi="Arial" w:cs="Arial"/>
                                    <w:sz w:val="24"/>
                                    <w:szCs w:val="24"/>
                                  </w:rPr>
                                  <w:t>Wavei</w:t>
                                </w:r>
                                <w:proofErr w:type="spellEnd"/>
                              </w:p>
                              <w:p w14:paraId="3EF22415" w14:textId="51CE249D" w:rsidR="00F31D57" w:rsidRPr="0020741C" w:rsidRDefault="00F31D57" w:rsidP="00024C66">
                                <w:pPr>
                                  <w:rPr>
                                    <w:rFonts w:ascii="Arial" w:hAnsi="Arial" w:cs="Arial"/>
                                    <w:sz w:val="24"/>
                                    <w:szCs w:val="24"/>
                                  </w:rPr>
                                </w:pPr>
                                <w:r w:rsidRPr="0020741C">
                                  <w:rPr>
                                    <w:rFonts w:ascii="Arial" w:hAnsi="Arial" w:cs="Arial"/>
                                    <w:sz w:val="24"/>
                                    <w:szCs w:val="24"/>
                                  </w:rPr>
                                  <w:t>Student:</w:t>
                                </w:r>
                                <w:r w:rsidR="0063463F" w:rsidRPr="0020741C">
                                  <w:rPr>
                                    <w:rFonts w:ascii="Arial" w:hAnsi="Arial" w:cs="Arial"/>
                                    <w:sz w:val="24"/>
                                    <w:szCs w:val="24"/>
                                  </w:rPr>
                                  <w:t xml:space="preserve"> Eugen Gherasim</w:t>
                                </w:r>
                              </w:p>
                              <w:p w14:paraId="29E4F499" w14:textId="28FA4D71" w:rsidR="00F31D57" w:rsidRPr="0020741C" w:rsidRDefault="00F31D57" w:rsidP="00024C66">
                                <w:pPr>
                                  <w:rPr>
                                    <w:rFonts w:ascii="Arial" w:hAnsi="Arial" w:cs="Arial"/>
                                    <w:sz w:val="24"/>
                                    <w:szCs w:val="24"/>
                                  </w:rPr>
                                </w:pPr>
                                <w:r w:rsidRPr="0020741C">
                                  <w:rPr>
                                    <w:rFonts w:ascii="Arial" w:hAnsi="Arial" w:cs="Arial"/>
                                    <w:sz w:val="24"/>
                                    <w:szCs w:val="24"/>
                                  </w:rPr>
                                  <w:t>Student ID:</w:t>
                                </w:r>
                                <w:r w:rsidR="0063463F" w:rsidRPr="0020741C">
                                  <w:rPr>
                                    <w:rFonts w:ascii="Arial" w:hAnsi="Arial" w:cs="Arial"/>
                                    <w:sz w:val="24"/>
                                    <w:szCs w:val="24"/>
                                  </w:rPr>
                                  <w:t xml:space="preserve"> 2242</w:t>
                                </w:r>
                                <w:r w:rsidR="0020741C" w:rsidRPr="0020741C">
                                  <w:rPr>
                                    <w:rFonts w:ascii="Arial" w:hAnsi="Arial" w:cs="Arial"/>
                                    <w:sz w:val="24"/>
                                    <w:szCs w:val="24"/>
                                  </w:rPr>
                                  <w:t>387</w:t>
                                </w:r>
                              </w:p>
                              <w:p w14:paraId="03C07A5D" w14:textId="6C456304" w:rsidR="00F31D57" w:rsidRPr="0020741C" w:rsidRDefault="00F31D57" w:rsidP="00024C66">
                                <w:pPr>
                                  <w:rPr>
                                    <w:rFonts w:ascii="Arial" w:hAnsi="Arial" w:cs="Arial"/>
                                    <w:sz w:val="24"/>
                                    <w:szCs w:val="24"/>
                                  </w:rPr>
                                </w:pPr>
                                <w:r w:rsidRPr="0020741C">
                                  <w:rPr>
                                    <w:rFonts w:ascii="Arial" w:hAnsi="Arial" w:cs="Arial"/>
                                    <w:sz w:val="24"/>
                                    <w:szCs w:val="24"/>
                                  </w:rPr>
                                  <w:t>Wordcount:</w:t>
                                </w:r>
                                <w:r w:rsidR="00181C5F">
                                  <w:rPr>
                                    <w:rFonts w:ascii="Arial" w:hAnsi="Arial" w:cs="Arial"/>
                                    <w:sz w:val="24"/>
                                    <w:szCs w:val="24"/>
                                  </w:rPr>
                                  <w:t xml:space="preserve"> 26</w:t>
                                </w:r>
                                <w:r w:rsidR="00024C66">
                                  <w:rPr>
                                    <w:rFonts w:ascii="Arial" w:hAnsi="Arial" w:cs="Arial"/>
                                    <w:sz w:val="24"/>
                                    <w:szCs w:val="24"/>
                                  </w:rPr>
                                  <w:t>39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8190DAD" id="_x0000_t202" coordsize="21600,21600" o:spt="202" path="m,l,21600r21600,l21600,xe">
                    <v:stroke joinstyle="miter"/>
                    <v:path gradientshapeok="t" o:connecttype="rect"/>
                  </v:shapetype>
                  <v:shape id="Text Box 2" o:spid="_x0000_s1026" type="#_x0000_t202" style="position:absolute;margin-left:82pt;margin-top:307.4pt;width:314.7pt;height:110.6pt;z-index:2516613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">
                    <v:textbox style="mso-fit-shape-to-text:t">
                      <w:txbxContent>
                        <w:p w14:paraId="080A6BBC" w14:textId="2BBB13E4" w:rsidR="00F31D57" w:rsidRPr="0020741C" w:rsidRDefault="00F31D57" w:rsidP="00024C66">
                          <w:pPr>
                            <w:rPr>
                              <w:rFonts w:ascii="Arial" w:hAnsi="Arial" w:cs="Arial"/>
                              <w:sz w:val="24"/>
                              <w:szCs w:val="24"/>
                            </w:rPr>
                          </w:pPr>
                          <w:r w:rsidRPr="0020741C">
                            <w:rPr>
                              <w:rFonts w:ascii="Arial" w:hAnsi="Arial" w:cs="Arial"/>
                              <w:sz w:val="24"/>
                              <w:szCs w:val="24"/>
                            </w:rPr>
                            <w:t>Module:</w:t>
                          </w:r>
                          <w:r w:rsidR="00437D9D" w:rsidRPr="0020741C">
                            <w:rPr>
                              <w:rFonts w:ascii="Arial" w:hAnsi="Arial" w:cs="Arial"/>
                              <w:sz w:val="24"/>
                              <w:szCs w:val="24"/>
                            </w:rPr>
                            <w:t xml:space="preserve"> Contemporary Themes in the Hotel and Hospitality Sector</w:t>
                          </w:r>
                        </w:p>
                        <w:p w14:paraId="3C2E707A" w14:textId="12000260" w:rsidR="00F31D57" w:rsidRPr="0020741C" w:rsidRDefault="00F31D57" w:rsidP="00024C66">
                          <w:pPr>
                            <w:rPr>
                              <w:rFonts w:ascii="Arial" w:hAnsi="Arial" w:cs="Arial"/>
                              <w:sz w:val="24"/>
                              <w:szCs w:val="24"/>
                            </w:rPr>
                          </w:pPr>
                          <w:r w:rsidRPr="0020741C">
                            <w:rPr>
                              <w:rFonts w:ascii="Arial" w:hAnsi="Arial" w:cs="Arial"/>
                              <w:sz w:val="24"/>
                              <w:szCs w:val="24"/>
                            </w:rPr>
                            <w:t>Module code:</w:t>
                          </w:r>
                          <w:r w:rsidR="00437D9D" w:rsidRPr="0020741C">
                            <w:rPr>
                              <w:rFonts w:ascii="Arial" w:hAnsi="Arial" w:cs="Arial"/>
                              <w:sz w:val="24"/>
                              <w:szCs w:val="24"/>
                            </w:rPr>
                            <w:t xml:space="preserve"> </w:t>
                          </w:r>
                          <w:r w:rsidR="00745A73" w:rsidRPr="0020741C">
                            <w:rPr>
                              <w:rFonts w:ascii="Arial" w:hAnsi="Arial" w:cs="Arial"/>
                              <w:sz w:val="24"/>
                              <w:szCs w:val="24"/>
                            </w:rPr>
                            <w:t>BMIH6001</w:t>
                          </w:r>
                        </w:p>
                        <w:p w14:paraId="3B2123E2" w14:textId="2567DF6A" w:rsidR="00F31D57" w:rsidRPr="0020741C" w:rsidRDefault="00F31D57" w:rsidP="00024C66">
                          <w:pPr>
                            <w:rPr>
                              <w:rFonts w:ascii="Arial" w:hAnsi="Arial" w:cs="Arial"/>
                              <w:sz w:val="24"/>
                              <w:szCs w:val="24"/>
                            </w:rPr>
                          </w:pPr>
                          <w:r w:rsidRPr="0020741C">
                            <w:rPr>
                              <w:rFonts w:ascii="Arial" w:hAnsi="Arial" w:cs="Arial"/>
                              <w:sz w:val="24"/>
                              <w:szCs w:val="24"/>
                            </w:rPr>
                            <w:t>Lecturer:</w:t>
                          </w:r>
                          <w:r w:rsidR="00745A73" w:rsidRPr="0020741C">
                            <w:rPr>
                              <w:rFonts w:ascii="Arial" w:hAnsi="Arial" w:cs="Arial"/>
                              <w:sz w:val="24"/>
                              <w:szCs w:val="24"/>
                            </w:rPr>
                            <w:t xml:space="preserve"> </w:t>
                          </w:r>
                          <w:r w:rsidR="0063463F" w:rsidRPr="0020741C">
                            <w:rPr>
                              <w:rFonts w:ascii="Arial" w:hAnsi="Arial" w:cs="Arial"/>
                              <w:sz w:val="24"/>
                              <w:szCs w:val="24"/>
                            </w:rPr>
                            <w:t xml:space="preserve">Dr Ernest Balutie </w:t>
                          </w:r>
                          <w:proofErr w:type="spellStart"/>
                          <w:r w:rsidR="0063463F" w:rsidRPr="0020741C">
                            <w:rPr>
                              <w:rFonts w:ascii="Arial" w:hAnsi="Arial" w:cs="Arial"/>
                              <w:sz w:val="24"/>
                              <w:szCs w:val="24"/>
                            </w:rPr>
                            <w:t>Wavei</w:t>
                          </w:r>
                          <w:proofErr w:type="spellEnd"/>
                        </w:p>
                        <w:p w14:paraId="3EF22415" w14:textId="51CE249D" w:rsidR="00F31D57" w:rsidRPr="0020741C" w:rsidRDefault="00F31D57" w:rsidP="00024C66">
                          <w:pPr>
                            <w:rPr>
                              <w:rFonts w:ascii="Arial" w:hAnsi="Arial" w:cs="Arial"/>
                              <w:sz w:val="24"/>
                              <w:szCs w:val="24"/>
                            </w:rPr>
                          </w:pPr>
                          <w:r w:rsidRPr="0020741C">
                            <w:rPr>
                              <w:rFonts w:ascii="Arial" w:hAnsi="Arial" w:cs="Arial"/>
                              <w:sz w:val="24"/>
                              <w:szCs w:val="24"/>
                            </w:rPr>
                            <w:t>Student:</w:t>
                          </w:r>
                          <w:r w:rsidR="0063463F" w:rsidRPr="0020741C">
                            <w:rPr>
                              <w:rFonts w:ascii="Arial" w:hAnsi="Arial" w:cs="Arial"/>
                              <w:sz w:val="24"/>
                              <w:szCs w:val="24"/>
                            </w:rPr>
                            <w:t xml:space="preserve"> Eugen Gherasim</w:t>
                          </w:r>
                        </w:p>
                        <w:p w14:paraId="29E4F499" w14:textId="28FA4D71" w:rsidR="00F31D57" w:rsidRPr="0020741C" w:rsidRDefault="00F31D57" w:rsidP="00024C66">
                          <w:pPr>
                            <w:rPr>
                              <w:rFonts w:ascii="Arial" w:hAnsi="Arial" w:cs="Arial"/>
                              <w:sz w:val="24"/>
                              <w:szCs w:val="24"/>
                            </w:rPr>
                          </w:pPr>
                          <w:r w:rsidRPr="0020741C">
                            <w:rPr>
                              <w:rFonts w:ascii="Arial" w:hAnsi="Arial" w:cs="Arial"/>
                              <w:sz w:val="24"/>
                              <w:szCs w:val="24"/>
                            </w:rPr>
                            <w:t>Student ID:</w:t>
                          </w:r>
                          <w:r w:rsidR="0063463F" w:rsidRPr="0020741C">
                            <w:rPr>
                              <w:rFonts w:ascii="Arial" w:hAnsi="Arial" w:cs="Arial"/>
                              <w:sz w:val="24"/>
                              <w:szCs w:val="24"/>
                            </w:rPr>
                            <w:t xml:space="preserve"> 2242</w:t>
                          </w:r>
                          <w:r w:rsidR="0020741C" w:rsidRPr="0020741C">
                            <w:rPr>
                              <w:rFonts w:ascii="Arial" w:hAnsi="Arial" w:cs="Arial"/>
                              <w:sz w:val="24"/>
                              <w:szCs w:val="24"/>
                            </w:rPr>
                            <w:t>387</w:t>
                          </w:r>
                        </w:p>
                        <w:p w14:paraId="03C07A5D" w14:textId="6C456304" w:rsidR="00F31D57" w:rsidRPr="0020741C" w:rsidRDefault="00F31D57" w:rsidP="00024C66">
                          <w:pPr>
                            <w:rPr>
                              <w:rFonts w:ascii="Arial" w:hAnsi="Arial" w:cs="Arial"/>
                              <w:sz w:val="24"/>
                              <w:szCs w:val="24"/>
                            </w:rPr>
                          </w:pPr>
                          <w:r w:rsidRPr="0020741C">
                            <w:rPr>
                              <w:rFonts w:ascii="Arial" w:hAnsi="Arial" w:cs="Arial"/>
                              <w:sz w:val="24"/>
                              <w:szCs w:val="24"/>
                            </w:rPr>
                            <w:t>Wordcount:</w:t>
                          </w:r>
                          <w:r w:rsidR="00181C5F">
                            <w:rPr>
                              <w:rFonts w:ascii="Arial" w:hAnsi="Arial" w:cs="Arial"/>
                              <w:sz w:val="24"/>
                              <w:szCs w:val="24"/>
                            </w:rPr>
                            <w:t xml:space="preserve"> 26</w:t>
                          </w:r>
                          <w:r w:rsidR="00024C66">
                            <w:rPr>
                              <w:rFonts w:ascii="Arial" w:hAnsi="Arial" w:cs="Arial"/>
                              <w:sz w:val="24"/>
                              <w:szCs w:val="24"/>
                            </w:rPr>
                            <w:t>39</w:t>
                          </w:r>
                        </w:p>
                      </w:txbxContent>
                    </v:textbox>
                    <w10:wrap type="square" anchorx="margin"/>
                  </v:shape>
                </w:pict>
              </mc:Fallback>
            </mc:AlternateContent>
          </w:r>
          <w:r w:rsidR="0020741C">
            <w:rPr>
              <w:noProof/>
            </w:rPr>
            <mc:AlternateContent>
              <mc:Choice Requires="wps">
                <w:drawing>
                  <wp:anchor distT="45720" distB="45720" distL="114300" distR="114300" simplePos="0" relativeHeight="251663360" behindDoc="0" locked="0" layoutInCell="1" allowOverlap="1" wp14:anchorId="256EFC8A" wp14:editId="3A90964F">
                    <wp:simplePos x="0" y="0"/>
                    <wp:positionH relativeFrom="margin">
                      <wp:posOffset>-95415</wp:posOffset>
                    </wp:positionH>
                    <wp:positionV relativeFrom="paragraph">
                      <wp:posOffset>7800560</wp:posOffset>
                    </wp:positionV>
                    <wp:extent cx="5986780" cy="1404620"/>
                    <wp:effectExtent l="0" t="0" r="13970" b="20320"/>
                    <wp:wrapSquare wrapText="bothSides"/>
                    <wp:docPr id="10345931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86780" cy="1404620"/>
                            </a:xfrm>
                            <a:prstGeom prst="rect">
                              <a:avLst/>
                            </a:prstGeom>
                            <a:solidFill>
                              <a:srgbClr val="FFFFFF"/>
                            </a:solidFill>
                            <a:ln w="9525">
                              <a:solidFill>
                                <a:srgbClr val="000000"/>
                              </a:solidFill>
                              <a:miter lim="800000"/>
                              <a:headEnd/>
                              <a:tailEnd/>
                            </a:ln>
                          </wps:spPr>
                          <wps:txbx>
                            <w:txbxContent>
                              <w:p w14:paraId="2579BEBF" w14:textId="05B213F8" w:rsidR="0020741C" w:rsidRDefault="002B206E">
                                <w:r w:rsidRPr="002B206E">
                                  <w:t xml:space="preserve">I confirm that I used Grammarly solely to check grammar, spelling, and to proofread my work. I have not used any </w:t>
                                </w:r>
                                <w:r>
                                  <w:t>AI</w:t>
                                </w:r>
                                <w:r w:rsidRPr="002B206E">
                                  <w:t xml:space="preserve"> tools to generate, paraphrase, or rewrite the content of this assignment. All work submitted is my own, and I have retained my notes and draft versions, which can be provided if required.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56EFC8A" id="_x0000_s1027" type="#_x0000_t202" style="position:absolute;margin-left:-7.5pt;margin-top:614.2pt;width:471.4pt;height:110.6pt;z-index:2516633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">
                    <v:textbox style="mso-fit-shape-to-text:t">
                      <w:txbxContent>
                        <w:p w14:paraId="2579BEBF" w14:textId="05B213F8" w:rsidR="0020741C" w:rsidRDefault="002B206E">
                          <w:r w:rsidRPr="002B206E">
                            <w:t xml:space="preserve">I confirm that I used Grammarly solely to check grammar, spelling, and to proofread my work. I have not used any </w:t>
                          </w:r>
                          <w:r>
                            <w:t>AI</w:t>
                          </w:r>
                          <w:r w:rsidRPr="002B206E">
                            <w:t xml:space="preserve"> tools to generate, paraphrase, or rewrite the content of this assignment. All work submitted is my own, and I have retained my notes and draft versions, which can be provided if required.</w:t>
                          </w:r>
                        </w:p>
                      </w:txbxContent>
                    </v:textbox>
                    <w10:wrap type="square" anchorx="margin"/>
                  </v:shape>
                </w:pict>
              </mc:Fallback>
            </mc:AlternateContent>
          </w:r>
          <w:r w:rsidR="00F31D57">
            <w:rPr>
              <w:noProof/>
            </w:rPr>
            <mc:AlternateContent>
              <mc:Choice Requires="wpg">
                <w:drawing>
                  <wp:anchor distT="0" distB="0" distL="114300" distR="114300" simplePos="0" relativeHeight="251659264" behindDoc="1" locked="0" layoutInCell="1" allowOverlap="1" wp14:anchorId="4E0BF589" wp14:editId="221E7235">
                    <wp:simplePos x="0" y="0"/>
                    <wp:positionH relativeFrom="margin">
                      <wp:align>center</wp:align>
                    </wp:positionH>
                    <wp:positionV relativeFrom="page">
                      <wp:posOffset>1406525</wp:posOffset>
                    </wp:positionV>
                    <wp:extent cx="6920230" cy="2360295"/>
                    <wp:effectExtent l="0" t="0" r="0" b="1905"/>
                    <wp:wrapNone/>
                    <wp:docPr id="193" name="Group 198"/>
                    <wp:cNvGraphicFramePr/>
                    <a:graphic xmlns:a="http://schemas.openxmlformats.org/drawingml/2006/main">
                      <a:graphicData uri="http://schemas.microsoft.com/office/word/2010/wordprocessingGroup">
                        <wpg:wgp>
                          <wpg:cNvGrpSpPr/>
                          <wpg:grpSpPr>
                            <a:xfrm>
                              <a:off x="0" y="0"/>
                              <a:ext cx="6920230" cy="2360295"/>
                              <a:chOff x="-55659" y="0"/>
                              <a:chExt cx="6920479" cy="9547057"/>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55659" y="7716777"/>
                                <a:ext cx="6858000" cy="183028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98AD310" w14:textId="4F702B2B" w:rsidR="008D7663" w:rsidRDefault="008D7663">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0" y="1370863"/>
                                <a:ext cx="6858000" cy="589577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EAD6584" w14:textId="4A841D3C" w:rsidR="008D7663" w:rsidRPr="008D7663" w:rsidRDefault="002A0FAC">
                                  <w:pPr>
                                    <w:pStyle w:val="NoSpacing"/>
                                    <w:jc w:val="center"/>
                                    <w:rPr>
                                      <w:rFonts w:ascii="Arial" w:eastAsiaTheme="majorEastAsia" w:hAnsi="Arial" w:cs="Arial"/>
                                      <w:caps/>
                                      <w:color w:val="4472C4" w:themeColor="accent1"/>
                                      <w:sz w:val="32"/>
                                      <w:szCs w:val="32"/>
                                    </w:rPr>
                                  </w:pPr>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8D7663">
                                        <w:rPr>
                                          <w:rFonts w:asciiTheme="majorHAnsi" w:eastAsiaTheme="majorEastAsia" w:hAnsiTheme="majorHAnsi" w:cstheme="majorBidi"/>
                                          <w:caps/>
                                          <w:color w:val="4472C4" w:themeColor="accent1"/>
                                          <w:sz w:val="72"/>
                                          <w:szCs w:val="72"/>
                                        </w:rPr>
                                        <w:t xml:space="preserve">     </w:t>
                                      </w:r>
                                    </w:sdtContent>
                                  </w:sdt>
                                  <w:r w:rsidR="008D7663" w:rsidRPr="008D7663">
                                    <w:rPr>
                                      <w:rFonts w:ascii="Arial" w:eastAsiaTheme="majorEastAsia" w:hAnsi="Arial" w:cs="Arial"/>
                                      <w:caps/>
                                      <w:color w:val="4472C4" w:themeColor="accent1"/>
                                      <w:sz w:val="32"/>
                                      <w:szCs w:val="32"/>
                                      <w:lang w:val="en-GB"/>
                                    </w:rPr>
                                    <w:t>The Deepening Mental Health Crisis in the Hospitality Industry: Effects, Challenges and Strategic Responses</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E0BF589" id="Group 198" o:spid="_x0000_s1028" style="position:absolute;margin-left:0;margin-top:110.75pt;width:544.9pt;height:185.85pt;z-index:-251657216;mso-position-horizontal:center;mso-position-horizontal-relative:margin;mso-position-vertical-relative:page" coordorigin="-556" coordsize="69204,954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">
                    <v:rect id="Rectangle 194" o:spid="_x0000_s1029"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30" style="position:absolute;left:-556;top:77167;width:68579;height:1830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798AD310" w14:textId="4F702B2B" w:rsidR="008D7663" w:rsidRDefault="008D7663">
                            <w:pPr>
                              <w:pStyle w:val="NoSpacing"/>
                              <w:spacing w:before="120"/>
                              <w:jc w:val="center"/>
                              <w:rPr>
                                <w:color w:val="FFFFFF" w:themeColor="background1"/>
                              </w:rPr>
                            </w:pPr>
                          </w:p>
                        </w:txbxContent>
                      </v:textbox>
                    </v:rect>
                    <v:shape id="Text Box 196" o:spid="_x0000_s1031" type="#_x0000_t202" style="position:absolute;left:68;top:13708;width:68580;height:589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0EAD6584" w14:textId="4A841D3C" w:rsidR="008D7663" w:rsidRPr="008D7663" w:rsidRDefault="002A0FAC">
                            <w:pPr>
                              <w:pStyle w:val="NoSpacing"/>
                              <w:jc w:val="center"/>
                              <w:rPr>
                                <w:rFonts w:ascii="Arial" w:eastAsiaTheme="majorEastAsia" w:hAnsi="Arial" w:cs="Arial"/>
                                <w:caps/>
                                <w:color w:val="4472C4" w:themeColor="accent1"/>
                                <w:sz w:val="32"/>
                                <w:szCs w:val="32"/>
                              </w:rPr>
                            </w:pPr>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8D7663">
                                  <w:rPr>
                                    <w:rFonts w:asciiTheme="majorHAnsi" w:eastAsiaTheme="majorEastAsia" w:hAnsiTheme="majorHAnsi" w:cstheme="majorBidi"/>
                                    <w:caps/>
                                    <w:color w:val="4472C4" w:themeColor="accent1"/>
                                    <w:sz w:val="72"/>
                                    <w:szCs w:val="72"/>
                                  </w:rPr>
                                  <w:t xml:space="preserve">     </w:t>
                                </w:r>
                              </w:sdtContent>
                            </w:sdt>
                            <w:r w:rsidR="008D7663" w:rsidRPr="008D7663">
                              <w:rPr>
                                <w:rFonts w:ascii="Arial" w:eastAsiaTheme="majorEastAsia" w:hAnsi="Arial" w:cs="Arial"/>
                                <w:caps/>
                                <w:color w:val="4472C4" w:themeColor="accent1"/>
                                <w:sz w:val="32"/>
                                <w:szCs w:val="32"/>
                                <w:lang w:val="en-GB"/>
                              </w:rPr>
                              <w:t>The Deepening Mental Health Crisis in the Hospitality Industry: Effects, Challenges and Strategic Responses</w:t>
                            </w:r>
                          </w:p>
                        </w:txbxContent>
                      </v:textbox>
                    </v:shape>
                    <w10:wrap anchorx="margin" anchory="page"/>
                  </v:group>
                </w:pict>
              </mc:Fallback>
            </mc:AlternateContent>
          </w:r>
          <w:r w:rsidR="008D7663">
            <w:br w:type="page"/>
          </w:r>
        </w:p>
      </w:sdtContent>
    </w:sdt>
    <w:p w14:paraId="028EE47C" w14:textId="169E71A2" w:rsidR="000F000B" w:rsidRPr="0020741C" w:rsidRDefault="0020741C" w:rsidP="0020741C">
      <w:pPr>
        <w:spacing w:line="360" w:lineRule="auto"/>
        <w:jc w:val="both"/>
        <w:rPr>
          <w:rFonts w:ascii="Arial" w:hAnsi="Arial" w:cs="Arial"/>
          <w:b/>
          <w:bCs/>
          <w:sz w:val="24"/>
          <w:szCs w:val="24"/>
        </w:rPr>
      </w:pPr>
      <w:r w:rsidRPr="0020741C">
        <w:rPr>
          <w:rFonts w:ascii="Arial" w:hAnsi="Arial" w:cs="Arial"/>
          <w:b/>
          <w:bCs/>
          <w:sz w:val="24"/>
          <w:szCs w:val="24"/>
        </w:rPr>
        <w:lastRenderedPageBreak/>
        <w:t>Abstract</w:t>
      </w:r>
    </w:p>
    <w:p w14:paraId="7A01AFCF" w14:textId="45EF54A6" w:rsidR="00AD30E0" w:rsidRPr="00AD30E0" w:rsidRDefault="00AD30E0" w:rsidP="00AD30E0">
      <w:pPr>
        <w:spacing w:line="360" w:lineRule="auto"/>
        <w:jc w:val="both"/>
        <w:rPr>
          <w:rFonts w:ascii="Arial" w:hAnsi="Arial" w:cs="Arial"/>
          <w:sz w:val="24"/>
          <w:szCs w:val="24"/>
        </w:rPr>
      </w:pPr>
      <w:r w:rsidRPr="00AD30E0">
        <w:rPr>
          <w:rFonts w:ascii="Arial" w:hAnsi="Arial" w:cs="Arial"/>
          <w:sz w:val="24"/>
          <w:szCs w:val="24"/>
        </w:rPr>
        <w:t>This study examines the deepening mental health crisis within the hospitality industry and evaluates its impact on organisational performance and workforce sustainability. The research adopts a qualitative secondary research design using a systematic literature review of contemporary academic studies and industry reports. The study explores key theoretical perspectives</w:t>
      </w:r>
      <w:r>
        <w:rPr>
          <w:rFonts w:ascii="Arial" w:hAnsi="Arial" w:cs="Arial"/>
          <w:sz w:val="24"/>
          <w:szCs w:val="24"/>
        </w:rPr>
        <w:t>,</w:t>
      </w:r>
      <w:r w:rsidRPr="00AD30E0">
        <w:rPr>
          <w:rFonts w:ascii="Arial" w:hAnsi="Arial" w:cs="Arial"/>
          <w:sz w:val="24"/>
          <w:szCs w:val="24"/>
        </w:rPr>
        <w:t xml:space="preserve"> including the Job Demands–Resources model, emotional labour theory and burnout research to explain employee psychological distress within hospitality work environments. A PESTEL framework is applied to analyse the broader political, economic, social, technological, environmental and legal factors influencing employee wellbeing and organisational responses.</w:t>
      </w:r>
    </w:p>
    <w:p w14:paraId="03C7C188" w14:textId="2DC294CE" w:rsidR="0020741C" w:rsidRDefault="00AD30E0" w:rsidP="00AD30E0">
      <w:pPr>
        <w:spacing w:line="360" w:lineRule="auto"/>
        <w:jc w:val="both"/>
        <w:rPr>
          <w:rFonts w:ascii="Arial" w:hAnsi="Arial" w:cs="Arial"/>
          <w:sz w:val="24"/>
          <w:szCs w:val="24"/>
        </w:rPr>
      </w:pPr>
      <w:r w:rsidRPr="00AD30E0">
        <w:rPr>
          <w:rFonts w:ascii="Arial" w:hAnsi="Arial" w:cs="Arial"/>
          <w:sz w:val="24"/>
          <w:szCs w:val="24"/>
        </w:rPr>
        <w:t>The findings demonstrate that structural workplace conditions, including excessive job demands, emotional regulation requirements and organisational pressures, significantly contribute to employee stress, burnout and turnover intention. Although hospitality organisations have introduced wellbeing initiatives, current responses remain largely reactive and insufficient in addressing systemic workplace challenges. The study concludes that workforce wellbeing must be integrated into strategic organisational practices to support service quality, employee retention and operational sustainability. Recommendations include organisational job redesign, supportive leadership development, strategic human resource practices and industry-level collaboration to improve employee mental health management within the global hospitality sector.</w:t>
      </w:r>
    </w:p>
    <w:p w14:paraId="6E8F7A3F" w14:textId="77777777" w:rsidR="0020741C" w:rsidRDefault="0020741C" w:rsidP="0020741C">
      <w:pPr>
        <w:spacing w:line="360" w:lineRule="auto"/>
        <w:jc w:val="both"/>
        <w:rPr>
          <w:rFonts w:ascii="Arial" w:hAnsi="Arial" w:cs="Arial"/>
          <w:sz w:val="24"/>
          <w:szCs w:val="24"/>
        </w:rPr>
      </w:pPr>
    </w:p>
    <w:p w14:paraId="240AA0F3" w14:textId="77777777" w:rsidR="00AD30E0" w:rsidRDefault="00AD30E0" w:rsidP="0020741C">
      <w:pPr>
        <w:spacing w:line="360" w:lineRule="auto"/>
        <w:jc w:val="both"/>
        <w:rPr>
          <w:rFonts w:ascii="Arial" w:hAnsi="Arial" w:cs="Arial"/>
          <w:sz w:val="24"/>
          <w:szCs w:val="24"/>
        </w:rPr>
      </w:pPr>
    </w:p>
    <w:p w14:paraId="4DC0A483" w14:textId="77777777" w:rsidR="00AD30E0" w:rsidRDefault="00AD30E0" w:rsidP="0020741C">
      <w:pPr>
        <w:spacing w:line="360" w:lineRule="auto"/>
        <w:jc w:val="both"/>
        <w:rPr>
          <w:rFonts w:ascii="Arial" w:hAnsi="Arial" w:cs="Arial"/>
          <w:sz w:val="24"/>
          <w:szCs w:val="24"/>
        </w:rPr>
      </w:pPr>
    </w:p>
    <w:p w14:paraId="6C803E1A" w14:textId="77777777" w:rsidR="00AD30E0" w:rsidRDefault="00AD30E0" w:rsidP="0020741C">
      <w:pPr>
        <w:spacing w:line="360" w:lineRule="auto"/>
        <w:jc w:val="both"/>
        <w:rPr>
          <w:rFonts w:ascii="Arial" w:hAnsi="Arial" w:cs="Arial"/>
          <w:sz w:val="24"/>
          <w:szCs w:val="24"/>
        </w:rPr>
      </w:pPr>
    </w:p>
    <w:p w14:paraId="0EC3FED6" w14:textId="77777777" w:rsidR="00AD30E0" w:rsidRDefault="00AD30E0" w:rsidP="0020741C">
      <w:pPr>
        <w:spacing w:line="360" w:lineRule="auto"/>
        <w:jc w:val="both"/>
        <w:rPr>
          <w:rFonts w:ascii="Arial" w:hAnsi="Arial" w:cs="Arial"/>
          <w:sz w:val="24"/>
          <w:szCs w:val="24"/>
        </w:rPr>
      </w:pPr>
    </w:p>
    <w:p w14:paraId="6D2187F4" w14:textId="77777777" w:rsidR="00AD30E0" w:rsidRDefault="00AD30E0" w:rsidP="0020741C">
      <w:pPr>
        <w:spacing w:line="360" w:lineRule="auto"/>
        <w:jc w:val="both"/>
        <w:rPr>
          <w:rFonts w:ascii="Arial" w:hAnsi="Arial" w:cs="Arial"/>
          <w:sz w:val="24"/>
          <w:szCs w:val="24"/>
        </w:rPr>
      </w:pPr>
    </w:p>
    <w:p w14:paraId="7B98D852" w14:textId="77777777" w:rsidR="00AD30E0" w:rsidRDefault="00AD30E0" w:rsidP="0020741C">
      <w:pPr>
        <w:spacing w:line="360" w:lineRule="auto"/>
        <w:jc w:val="both"/>
        <w:rPr>
          <w:rFonts w:ascii="Arial" w:hAnsi="Arial" w:cs="Arial"/>
          <w:sz w:val="24"/>
          <w:szCs w:val="24"/>
        </w:rPr>
      </w:pPr>
    </w:p>
    <w:p w14:paraId="089F1C24" w14:textId="77777777" w:rsidR="0020741C" w:rsidRDefault="0020741C" w:rsidP="0020741C">
      <w:pPr>
        <w:spacing w:line="360" w:lineRule="auto"/>
        <w:jc w:val="both"/>
        <w:rPr>
          <w:rFonts w:ascii="Arial" w:hAnsi="Arial" w:cs="Arial"/>
          <w:sz w:val="24"/>
          <w:szCs w:val="24"/>
        </w:rPr>
      </w:pPr>
    </w:p>
    <w:p w14:paraId="4DFD4E1A" w14:textId="7DF7FB21" w:rsidR="0020741C" w:rsidRPr="0020741C" w:rsidRDefault="0020741C" w:rsidP="0020741C">
      <w:pPr>
        <w:spacing w:line="360" w:lineRule="auto"/>
        <w:jc w:val="both"/>
        <w:rPr>
          <w:rFonts w:ascii="Arial" w:hAnsi="Arial" w:cs="Arial"/>
          <w:b/>
          <w:bCs/>
          <w:sz w:val="24"/>
          <w:szCs w:val="24"/>
        </w:rPr>
      </w:pPr>
      <w:r w:rsidRPr="0020741C">
        <w:rPr>
          <w:rFonts w:ascii="Arial" w:hAnsi="Arial" w:cs="Arial"/>
          <w:b/>
          <w:bCs/>
          <w:sz w:val="24"/>
          <w:szCs w:val="24"/>
        </w:rPr>
        <w:lastRenderedPageBreak/>
        <w:t>Introduction</w:t>
      </w:r>
    </w:p>
    <w:p w14:paraId="0E8476EB" w14:textId="7720E6EE" w:rsidR="000E73C3" w:rsidRPr="000E73C3" w:rsidRDefault="000E73C3" w:rsidP="000E73C3">
      <w:pPr>
        <w:spacing w:line="360" w:lineRule="auto"/>
        <w:jc w:val="both"/>
        <w:rPr>
          <w:rFonts w:ascii="Arial" w:hAnsi="Arial" w:cs="Arial"/>
          <w:sz w:val="24"/>
          <w:szCs w:val="24"/>
        </w:rPr>
      </w:pPr>
      <w:r w:rsidRPr="000E73C3">
        <w:rPr>
          <w:rFonts w:ascii="Arial" w:hAnsi="Arial" w:cs="Arial"/>
          <w:sz w:val="24"/>
          <w:szCs w:val="24"/>
        </w:rPr>
        <w:t xml:space="preserve">The hospitality industry is characterised by high service intensity, emotional labour and demanding operational environments, making employee mental health an increasingly significant contemporary concern. Research consistently identifies hospitality work as psychologically demanding due to long working hours, irregular schedules, customer-facing pressure and job insecurity, which collectively increase the risk of stress, emotional exhaustion and burnout among employees (Yoo, 2023; </w:t>
      </w:r>
      <w:proofErr w:type="spellStart"/>
      <w:r w:rsidRPr="000E73C3">
        <w:rPr>
          <w:rFonts w:ascii="Arial" w:hAnsi="Arial" w:cs="Arial"/>
          <w:sz w:val="24"/>
          <w:szCs w:val="24"/>
        </w:rPr>
        <w:t>Üngüren</w:t>
      </w:r>
      <w:proofErr w:type="spellEnd"/>
      <w:r w:rsidRPr="000E73C3">
        <w:rPr>
          <w:rFonts w:ascii="Arial" w:hAnsi="Arial" w:cs="Arial"/>
          <w:sz w:val="24"/>
          <w:szCs w:val="24"/>
        </w:rPr>
        <w:t xml:space="preserve"> et al, 2024). These pressures have intensified following global disruptions such as the COVID-19 pandemic, labour shortages and changing guest expectations, which have increased workload and organisational strain across the sector (Baum et al, 2020; Hotel Dive, 2024).</w:t>
      </w:r>
    </w:p>
    <w:p w14:paraId="55AC04C4" w14:textId="11C2F9AF" w:rsidR="000E73C3" w:rsidRPr="000E73C3" w:rsidRDefault="000E73C3" w:rsidP="000E73C3">
      <w:pPr>
        <w:spacing w:line="360" w:lineRule="auto"/>
        <w:jc w:val="both"/>
        <w:rPr>
          <w:rFonts w:ascii="Arial" w:hAnsi="Arial" w:cs="Arial"/>
          <w:sz w:val="24"/>
          <w:szCs w:val="24"/>
        </w:rPr>
      </w:pPr>
      <w:r w:rsidRPr="000E73C3">
        <w:rPr>
          <w:rFonts w:ascii="Arial" w:hAnsi="Arial" w:cs="Arial"/>
          <w:sz w:val="24"/>
          <w:szCs w:val="24"/>
        </w:rPr>
        <w:t>Poor employee mental health has important implications not only for individual wellbeing but also for organisational performance, including higher turnover, reduced service quality and decreased operational efficiency (Salama et al, 2022; Baquero, 2023). Evidence suggests that hospitality employees experience higher levels of anxiety, stress and burnout compared with many other sectors due to the emotionally demanding nature of service work and limited organisational support structures (Kotera et al, 2018; Saito, 2025).</w:t>
      </w:r>
    </w:p>
    <w:p w14:paraId="5A1B16E5" w14:textId="740A7FC3" w:rsidR="0020741C" w:rsidRDefault="000E73C3" w:rsidP="000E73C3">
      <w:pPr>
        <w:spacing w:line="360" w:lineRule="auto"/>
        <w:jc w:val="both"/>
        <w:rPr>
          <w:rFonts w:ascii="Arial" w:hAnsi="Arial" w:cs="Arial"/>
          <w:sz w:val="24"/>
          <w:szCs w:val="24"/>
        </w:rPr>
      </w:pPr>
      <w:r w:rsidRPr="000E73C3">
        <w:rPr>
          <w:rFonts w:ascii="Arial" w:hAnsi="Arial" w:cs="Arial"/>
          <w:sz w:val="24"/>
          <w:szCs w:val="24"/>
        </w:rPr>
        <w:t>Given the labour-intensive nature of hospitality operations, workforce wellbeing has become a strategic concern for organisations seeking sustainable performance and service excellence. This research paper critically examines the deepening mental health crisis in the hospitality industry by analysing the structural causes of employee psychological distress, evaluating its organisational impacts, and assessing current industry responses. The study aims to provide evidence-based recommendations to support workforce wellbeing and long-term organisational resilience within the global hospitality sector.</w:t>
      </w:r>
    </w:p>
    <w:p w14:paraId="22E30919" w14:textId="77777777" w:rsidR="00C65107" w:rsidRDefault="00C65107" w:rsidP="000E73C3">
      <w:pPr>
        <w:spacing w:line="360" w:lineRule="auto"/>
        <w:jc w:val="both"/>
        <w:rPr>
          <w:rFonts w:ascii="Arial" w:hAnsi="Arial" w:cs="Arial"/>
          <w:sz w:val="24"/>
          <w:szCs w:val="24"/>
        </w:rPr>
      </w:pPr>
    </w:p>
    <w:p w14:paraId="6B8622EC" w14:textId="5CC8038B" w:rsidR="001F4A1D" w:rsidRPr="00260174" w:rsidRDefault="00260174" w:rsidP="000E73C3">
      <w:pPr>
        <w:spacing w:line="360" w:lineRule="auto"/>
        <w:jc w:val="both"/>
        <w:rPr>
          <w:rFonts w:ascii="Arial" w:hAnsi="Arial" w:cs="Arial"/>
          <w:b/>
          <w:bCs/>
          <w:sz w:val="24"/>
          <w:szCs w:val="24"/>
        </w:rPr>
      </w:pPr>
      <w:r w:rsidRPr="00260174">
        <w:rPr>
          <w:rFonts w:ascii="Arial" w:hAnsi="Arial" w:cs="Arial"/>
          <w:b/>
          <w:bCs/>
          <w:sz w:val="24"/>
          <w:szCs w:val="24"/>
        </w:rPr>
        <w:t xml:space="preserve">Literature Review </w:t>
      </w:r>
    </w:p>
    <w:p w14:paraId="36E6E05B" w14:textId="1D517DB6" w:rsidR="00260174" w:rsidRDefault="004E1A19" w:rsidP="000E73C3">
      <w:pPr>
        <w:spacing w:line="360" w:lineRule="auto"/>
        <w:jc w:val="both"/>
        <w:rPr>
          <w:rFonts w:ascii="Arial" w:hAnsi="Arial" w:cs="Arial"/>
          <w:sz w:val="24"/>
          <w:szCs w:val="24"/>
        </w:rPr>
      </w:pPr>
      <w:r w:rsidRPr="004E1A19">
        <w:rPr>
          <w:rFonts w:ascii="Arial" w:hAnsi="Arial" w:cs="Arial"/>
          <w:sz w:val="24"/>
          <w:szCs w:val="24"/>
        </w:rPr>
        <w:t xml:space="preserve">Mental health within hospitality employment has gained increasing scholarly attention due to the sector’s demanding working conditions and labour-intensive service model. The hospitality work environment is characterised by high emotional demands, </w:t>
      </w:r>
      <w:r w:rsidRPr="004E1A19">
        <w:rPr>
          <w:rFonts w:ascii="Arial" w:hAnsi="Arial" w:cs="Arial"/>
          <w:sz w:val="24"/>
          <w:szCs w:val="24"/>
        </w:rPr>
        <w:lastRenderedPageBreak/>
        <w:t>irregular schedules and customer-facing pressure, all of which contribute to psychological strain among employees (Saito et al, 2025). Contemporary research increasingly conceptualises mental health challenges in hospitality through organisational and structural perspectives rather than individual coping failure, emphasising the interaction between workplace demands and employee wellbeing (Yoo, 2023).</w:t>
      </w:r>
    </w:p>
    <w:p w14:paraId="186FD6CA" w14:textId="603BC363" w:rsidR="0012430A" w:rsidRDefault="0012430A" w:rsidP="000E73C3">
      <w:pPr>
        <w:spacing w:line="360" w:lineRule="auto"/>
        <w:jc w:val="both"/>
        <w:rPr>
          <w:rFonts w:ascii="Arial" w:hAnsi="Arial" w:cs="Arial"/>
          <w:sz w:val="24"/>
          <w:szCs w:val="24"/>
        </w:rPr>
      </w:pPr>
      <w:r w:rsidRPr="0012430A">
        <w:rPr>
          <w:rFonts w:ascii="Arial" w:hAnsi="Arial" w:cs="Arial"/>
          <w:sz w:val="24"/>
          <w:szCs w:val="24"/>
        </w:rPr>
        <w:t xml:space="preserve">A key theoretical framework frequently used to explain psychological distress in hospitality is the Job Demands–Resources (JD-R) model, which suggests that excessive job demands combined with insufficient organisational resources lead to burnout and reduced </w:t>
      </w:r>
      <w:r w:rsidR="007C0B9F">
        <w:rPr>
          <w:rFonts w:ascii="Arial" w:hAnsi="Arial" w:cs="Arial"/>
          <w:sz w:val="24"/>
          <w:szCs w:val="24"/>
        </w:rPr>
        <w:t>wellbeing</w:t>
      </w:r>
      <w:r w:rsidRPr="0012430A">
        <w:rPr>
          <w:rFonts w:ascii="Arial" w:hAnsi="Arial" w:cs="Arial"/>
          <w:sz w:val="24"/>
          <w:szCs w:val="24"/>
        </w:rPr>
        <w:t xml:space="preserve"> (Demerouti et al, 2001; Bakker and Demerouti, 2007). </w:t>
      </w:r>
      <w:r w:rsidR="00155EF2" w:rsidRPr="00155EF2">
        <w:rPr>
          <w:rFonts w:ascii="Arial" w:hAnsi="Arial" w:cs="Arial"/>
          <w:sz w:val="24"/>
          <w:szCs w:val="24"/>
        </w:rPr>
        <w:t>Within hospitality settings, job demands commonly include long working hours, work overload, role pressure and continuous service expectations, and these stressors have been empirically linked to poorer wellbeing and turnover-related outcomes among hotel employees (O’Neill and Davis, 2011).</w:t>
      </w:r>
      <w:r w:rsidR="00155EF2">
        <w:rPr>
          <w:rFonts w:ascii="Arial" w:hAnsi="Arial" w:cs="Arial"/>
          <w:sz w:val="24"/>
          <w:szCs w:val="24"/>
        </w:rPr>
        <w:t xml:space="preserve"> </w:t>
      </w:r>
      <w:r w:rsidRPr="0012430A">
        <w:rPr>
          <w:rFonts w:ascii="Arial" w:hAnsi="Arial" w:cs="Arial"/>
          <w:sz w:val="24"/>
          <w:szCs w:val="24"/>
        </w:rPr>
        <w:t>Empirical evidence demonstrates that high job demands significantly increase emotional exhaustion and turnover intention among hotel employees, particularly when organisational support mechanisms are inadequate (</w:t>
      </w:r>
      <w:proofErr w:type="spellStart"/>
      <w:r w:rsidRPr="0012430A">
        <w:rPr>
          <w:rFonts w:ascii="Arial" w:hAnsi="Arial" w:cs="Arial"/>
          <w:sz w:val="24"/>
          <w:szCs w:val="24"/>
        </w:rPr>
        <w:t>Üngüren</w:t>
      </w:r>
      <w:proofErr w:type="spellEnd"/>
      <w:r w:rsidRPr="0012430A">
        <w:rPr>
          <w:rFonts w:ascii="Arial" w:hAnsi="Arial" w:cs="Arial"/>
          <w:sz w:val="24"/>
          <w:szCs w:val="24"/>
        </w:rPr>
        <w:t xml:space="preserve"> et al, 2024). However, some studies suggest that personal resources such as resilience and job engagement may moderate these effects, indicating that individual and organisational factors interact in shaping employee wellbeing (Bakker and Demerouti, 2017).</w:t>
      </w:r>
    </w:p>
    <w:p w14:paraId="791299EB" w14:textId="03A48091" w:rsidR="001F4A1D" w:rsidRDefault="00557B1C" w:rsidP="000E73C3">
      <w:pPr>
        <w:spacing w:line="360" w:lineRule="auto"/>
        <w:jc w:val="both"/>
        <w:rPr>
          <w:rFonts w:ascii="Arial" w:hAnsi="Arial" w:cs="Arial"/>
          <w:sz w:val="24"/>
          <w:szCs w:val="24"/>
        </w:rPr>
      </w:pPr>
      <w:r w:rsidRPr="00557B1C">
        <w:rPr>
          <w:rFonts w:ascii="Arial" w:hAnsi="Arial" w:cs="Arial"/>
          <w:sz w:val="24"/>
          <w:szCs w:val="24"/>
        </w:rPr>
        <w:t xml:space="preserve">The concept of emotional labour further explains the psychological burden associated with hospitality work. Emotional labour refers to the regulation of emotions to meet organisational expectations during service interactions (Hochschild, 1983). In hospitality environments, employees are frequently required to display positive emotions regardless of internal feelings, which may create emotional dissonance and psychological strain (Grandey, 2000). Research demonstrates that sustained emotional regulation contributes to emotional exhaustion and burnout among customer-facing employees (Kim, 2008). </w:t>
      </w:r>
      <w:r w:rsidR="00DC363B" w:rsidRPr="00DC363B">
        <w:rPr>
          <w:rFonts w:ascii="Arial" w:hAnsi="Arial" w:cs="Arial"/>
          <w:sz w:val="24"/>
          <w:szCs w:val="24"/>
        </w:rPr>
        <w:t>More recent longitudinal research shows that emotional labour strategies significantly influence hotel employees’ mental health outcomes, including anxiety and depression, with emotional exhaustion acting as a mediating mechanism (Xiong et al, 2023).</w:t>
      </w:r>
      <w:r w:rsidR="00DC363B">
        <w:rPr>
          <w:rFonts w:ascii="Arial" w:hAnsi="Arial" w:cs="Arial"/>
          <w:sz w:val="24"/>
          <w:szCs w:val="24"/>
        </w:rPr>
        <w:t xml:space="preserve"> </w:t>
      </w:r>
      <w:r w:rsidR="00907B4A" w:rsidRPr="00907B4A">
        <w:rPr>
          <w:rFonts w:ascii="Arial" w:hAnsi="Arial" w:cs="Arial"/>
          <w:sz w:val="24"/>
          <w:szCs w:val="24"/>
        </w:rPr>
        <w:t xml:space="preserve">Although emotional labour is considered essential for service quality and customer satisfaction, its long-term impact on employee </w:t>
      </w:r>
      <w:r w:rsidR="00907B4A">
        <w:rPr>
          <w:rFonts w:ascii="Arial" w:hAnsi="Arial" w:cs="Arial"/>
          <w:sz w:val="24"/>
          <w:szCs w:val="24"/>
        </w:rPr>
        <w:t>wellbeing</w:t>
      </w:r>
      <w:r w:rsidR="00907B4A" w:rsidRPr="00907B4A">
        <w:rPr>
          <w:rFonts w:ascii="Arial" w:hAnsi="Arial" w:cs="Arial"/>
          <w:sz w:val="24"/>
          <w:szCs w:val="24"/>
        </w:rPr>
        <w:t xml:space="preserve"> has been widely debated. A systematic review of hospitality </w:t>
      </w:r>
      <w:r w:rsidR="00907B4A" w:rsidRPr="00907B4A">
        <w:rPr>
          <w:rFonts w:ascii="Arial" w:hAnsi="Arial" w:cs="Arial"/>
          <w:sz w:val="24"/>
          <w:szCs w:val="24"/>
        </w:rPr>
        <w:lastRenderedPageBreak/>
        <w:t xml:space="preserve">research indicates that sustained emotional regulation is associated with negative outcomes such as emotional exhaustion, reduced job satisfaction and lower organisational commitment, which may increase turnover intentions among hospitality employees (Lee and Madera, 2019). This reflects a tension between organisational service expectations and employee psychological </w:t>
      </w:r>
      <w:r w:rsidR="00907B4A">
        <w:rPr>
          <w:rFonts w:ascii="Arial" w:hAnsi="Arial" w:cs="Arial"/>
          <w:sz w:val="24"/>
          <w:szCs w:val="24"/>
        </w:rPr>
        <w:t>wellbeing</w:t>
      </w:r>
      <w:r w:rsidR="00907B4A" w:rsidRPr="00907B4A">
        <w:rPr>
          <w:rFonts w:ascii="Arial" w:hAnsi="Arial" w:cs="Arial"/>
          <w:sz w:val="24"/>
          <w:szCs w:val="24"/>
        </w:rPr>
        <w:t>.</w:t>
      </w:r>
    </w:p>
    <w:p w14:paraId="4BC7EE17" w14:textId="2330A455" w:rsidR="00D2672A" w:rsidRDefault="00D2672A" w:rsidP="000E73C3">
      <w:pPr>
        <w:spacing w:line="360" w:lineRule="auto"/>
        <w:jc w:val="both"/>
        <w:rPr>
          <w:rFonts w:ascii="Arial" w:hAnsi="Arial" w:cs="Arial"/>
          <w:sz w:val="24"/>
          <w:szCs w:val="24"/>
        </w:rPr>
      </w:pPr>
      <w:r w:rsidRPr="00D2672A">
        <w:rPr>
          <w:rFonts w:ascii="Arial" w:hAnsi="Arial" w:cs="Arial"/>
          <w:sz w:val="24"/>
          <w:szCs w:val="24"/>
        </w:rPr>
        <w:t>Burnout represents one of the most widely documented mental health outcomes within hospitality research. The multidimensional burnout model conceptualises burnout as emotional exhaustion, depersonalisation and reduced personal accomplishment resulting from prolonged workplace stress (Maslach and Jackson, 1981). Studies consistently report high burnout levels among hospitality employees due to workload pressure, job insecurity and limited recovery time (Baquero, 2023). Burnout has been strongly associated with negative organisational outcomes, including reduced productivity, absenteeism and increased employee turnover (Salama et al, 2022). Despite extensive research on burnout, some scholars highlight methodological limitations in existing studies, particularly the reliance on cross-sectional research designs that restrict causal conclusions and limit understanding of long-term psychological outcomes (Saito et al, 2025).</w:t>
      </w:r>
    </w:p>
    <w:p w14:paraId="7CAA140D" w14:textId="321FA876" w:rsidR="00F37CB6" w:rsidRDefault="003E5F71" w:rsidP="000E73C3">
      <w:pPr>
        <w:spacing w:line="360" w:lineRule="auto"/>
        <w:jc w:val="both"/>
        <w:rPr>
          <w:rFonts w:ascii="Arial" w:hAnsi="Arial" w:cs="Arial"/>
          <w:sz w:val="24"/>
          <w:szCs w:val="24"/>
        </w:rPr>
      </w:pPr>
      <w:r>
        <w:rPr>
          <w:rFonts w:ascii="Arial" w:hAnsi="Arial" w:cs="Arial"/>
          <w:sz w:val="24"/>
          <w:szCs w:val="24"/>
        </w:rPr>
        <w:t>T</w:t>
      </w:r>
      <w:r w:rsidRPr="003E5F71">
        <w:rPr>
          <w:rFonts w:ascii="Arial" w:hAnsi="Arial" w:cs="Arial"/>
          <w:sz w:val="24"/>
          <w:szCs w:val="24"/>
        </w:rPr>
        <w:t xml:space="preserve">he COVID-19 pandemic further intensified structural challenges within the hospitality workforce, exposing vulnerabilities in employee </w:t>
      </w:r>
      <w:r>
        <w:rPr>
          <w:rFonts w:ascii="Arial" w:hAnsi="Arial" w:cs="Arial"/>
          <w:sz w:val="24"/>
          <w:szCs w:val="24"/>
        </w:rPr>
        <w:t>well-being</w:t>
      </w:r>
      <w:r w:rsidRPr="003E5F71">
        <w:rPr>
          <w:rFonts w:ascii="Arial" w:hAnsi="Arial" w:cs="Arial"/>
          <w:sz w:val="24"/>
          <w:szCs w:val="24"/>
        </w:rPr>
        <w:t xml:space="preserve"> management. Workforce reductions, operational uncertainty and increased health risks significantly increased psychological stress among hospitality workers (Baum et al, 2020). The post-pandemic recovery period has been characterised by labour shortages and increased service expectations, which have amplified workload demands and contributed to continuing stress and burnout within the sector (Hotel Dive, 2024). Although many organisations have introduced wellbeing initiatives such as mental health support programmes and employee assistance services, evidence suggests that these interventions often remain reactive and focus primarily on individual coping rather than addressing structural workplace conditions (Kotera et al, 2018).</w:t>
      </w:r>
    </w:p>
    <w:p w14:paraId="7FBBC62A" w14:textId="4B2DD442" w:rsidR="005611D4" w:rsidRDefault="00F92F50" w:rsidP="000E73C3">
      <w:pPr>
        <w:spacing w:line="360" w:lineRule="auto"/>
        <w:jc w:val="both"/>
        <w:rPr>
          <w:rFonts w:ascii="Arial" w:hAnsi="Arial" w:cs="Arial"/>
          <w:sz w:val="24"/>
          <w:szCs w:val="24"/>
        </w:rPr>
      </w:pPr>
      <w:r w:rsidRPr="00F92F50">
        <w:rPr>
          <w:rFonts w:ascii="Arial" w:hAnsi="Arial" w:cs="Arial"/>
          <w:sz w:val="24"/>
          <w:szCs w:val="24"/>
        </w:rPr>
        <w:t xml:space="preserve">Recent literature also highlights broader organisational consequences of poor employee mental health. Psychological distress among employees has been linked to reduced service quality, customer dissatisfaction and reputational risk, demonstrating the strategic importance of workforce wellbeing within service-based industries (Yoo, </w:t>
      </w:r>
      <w:r w:rsidRPr="00F92F50">
        <w:rPr>
          <w:rFonts w:ascii="Arial" w:hAnsi="Arial" w:cs="Arial"/>
          <w:sz w:val="24"/>
          <w:szCs w:val="24"/>
        </w:rPr>
        <w:lastRenderedPageBreak/>
        <w:t>2023). Despite growing awareness, significant gaps remain in the implementation of comprehensive mental health strategies, particularly within small and medium hospitality enterprises that face financial and operational constraints (Saito et al, 2025). Existing research has also been criticised for focusing primarily on employee outcomes while giving limited attention to organisational accountability and systemic reform.</w:t>
      </w:r>
    </w:p>
    <w:p w14:paraId="402A346E" w14:textId="29952111" w:rsidR="003E5F71" w:rsidRDefault="00FF542B" w:rsidP="000E73C3">
      <w:pPr>
        <w:spacing w:line="360" w:lineRule="auto"/>
        <w:jc w:val="both"/>
        <w:rPr>
          <w:rFonts w:ascii="Arial" w:hAnsi="Arial" w:cs="Arial"/>
          <w:sz w:val="24"/>
          <w:szCs w:val="24"/>
        </w:rPr>
      </w:pPr>
      <w:r w:rsidRPr="00FF542B">
        <w:rPr>
          <w:rFonts w:ascii="Arial" w:hAnsi="Arial" w:cs="Arial"/>
          <w:sz w:val="24"/>
          <w:szCs w:val="24"/>
        </w:rPr>
        <w:t>Overall, the literature demonstrates that mental health challenges in hospitality are embedded within organisational structures, operational practices and service expectations. While theoretical frameworks such as the JD-R model, emotional labour theory and burnout research provide valuable insights into employee psychological distress, significant gaps remain in understanding how hospitality organisations can effectively integrate mental health management into strategic operations. This highlights the need for further evaluation of industry responses and preventative organisational approaches to employee wellbeing.</w:t>
      </w:r>
    </w:p>
    <w:p w14:paraId="24882431" w14:textId="77777777" w:rsidR="003E5F71" w:rsidRDefault="003E5F71" w:rsidP="000E73C3">
      <w:pPr>
        <w:spacing w:line="360" w:lineRule="auto"/>
        <w:jc w:val="both"/>
        <w:rPr>
          <w:rFonts w:ascii="Arial" w:hAnsi="Arial" w:cs="Arial"/>
          <w:sz w:val="24"/>
          <w:szCs w:val="24"/>
        </w:rPr>
      </w:pPr>
    </w:p>
    <w:p w14:paraId="580AFB0B" w14:textId="6D551263" w:rsidR="00FF542B" w:rsidRPr="00907BC5" w:rsidRDefault="00907BC5" w:rsidP="000E73C3">
      <w:pPr>
        <w:spacing w:line="360" w:lineRule="auto"/>
        <w:jc w:val="both"/>
        <w:rPr>
          <w:rFonts w:ascii="Arial" w:hAnsi="Arial" w:cs="Arial"/>
          <w:b/>
          <w:bCs/>
          <w:sz w:val="24"/>
          <w:szCs w:val="24"/>
        </w:rPr>
      </w:pPr>
      <w:r w:rsidRPr="00907BC5">
        <w:rPr>
          <w:rFonts w:ascii="Arial" w:hAnsi="Arial" w:cs="Arial"/>
          <w:b/>
          <w:bCs/>
          <w:sz w:val="24"/>
          <w:szCs w:val="24"/>
        </w:rPr>
        <w:t>Method</w:t>
      </w:r>
    </w:p>
    <w:p w14:paraId="3E738A37" w14:textId="1441EC5D" w:rsidR="00F90245" w:rsidRPr="00F90245" w:rsidRDefault="00F90245" w:rsidP="00F90245">
      <w:pPr>
        <w:spacing w:line="360" w:lineRule="auto"/>
        <w:jc w:val="both"/>
        <w:rPr>
          <w:rFonts w:ascii="Arial" w:hAnsi="Arial" w:cs="Arial"/>
          <w:sz w:val="24"/>
          <w:szCs w:val="24"/>
        </w:rPr>
      </w:pPr>
      <w:r w:rsidRPr="00F90245">
        <w:rPr>
          <w:rFonts w:ascii="Arial" w:hAnsi="Arial" w:cs="Arial"/>
          <w:sz w:val="24"/>
          <w:szCs w:val="24"/>
        </w:rPr>
        <w:t xml:space="preserve">This study adopts a qualitative secondary research design using a systematic literature review approach to examine the mental health crisis within the hospitality industry. Secondary research was selected due to the conceptual and industry-wide nature of the topic, allowing the synthesis of existing academic knowledge while avoiding ethical and practical challenges associated with collecting primary data on sensitive issues such as employee psychological wellbeing (Saunders et al, 2019). The research process involved a structured search of peer-reviewed journal articles and credible industry publications using </w:t>
      </w:r>
      <w:r w:rsidR="00937B40" w:rsidRPr="00937B40">
        <w:rPr>
          <w:rFonts w:ascii="Arial" w:hAnsi="Arial" w:cs="Arial"/>
          <w:sz w:val="24"/>
          <w:szCs w:val="24"/>
        </w:rPr>
        <w:t xml:space="preserve">academic search engines and university library </w:t>
      </w:r>
      <w:r w:rsidR="00937B40">
        <w:rPr>
          <w:rFonts w:ascii="Arial" w:hAnsi="Arial" w:cs="Arial"/>
          <w:sz w:val="24"/>
          <w:szCs w:val="24"/>
        </w:rPr>
        <w:t>databases. The</w:t>
      </w:r>
      <w:r w:rsidRPr="00F90245">
        <w:rPr>
          <w:rFonts w:ascii="Arial" w:hAnsi="Arial" w:cs="Arial"/>
          <w:sz w:val="24"/>
          <w:szCs w:val="24"/>
        </w:rPr>
        <w:t xml:space="preserve"> search strategy used keywords such as “hospitality employee mental health”, “burnout in hospitality”, “emotional labour”, and “job stress in hotels”. Sources were included if they were peer-reviewed, relevant to the hospitality or tourism sector, and published primarily between 2018 and 2025 to ensure contemporary relevance. Seminal theoretical works were also included to support conceptual analysis. Selected studies were critically evaluated and analysed using thematic analysis to identify recurring patterns relating to workplace demands, employee wellbeing and organisational outcomes (Braun and Clarke, 2006).</w:t>
      </w:r>
    </w:p>
    <w:p w14:paraId="2A230221" w14:textId="718A383E" w:rsidR="00907BC5" w:rsidRDefault="00F90245" w:rsidP="00F90245">
      <w:pPr>
        <w:spacing w:line="360" w:lineRule="auto"/>
        <w:jc w:val="both"/>
        <w:rPr>
          <w:rFonts w:ascii="Arial" w:hAnsi="Arial" w:cs="Arial"/>
          <w:sz w:val="24"/>
          <w:szCs w:val="24"/>
        </w:rPr>
      </w:pPr>
      <w:r w:rsidRPr="00F90245">
        <w:rPr>
          <w:rFonts w:ascii="Arial" w:hAnsi="Arial" w:cs="Arial"/>
          <w:sz w:val="24"/>
          <w:szCs w:val="24"/>
        </w:rPr>
        <w:lastRenderedPageBreak/>
        <w:t>This methodological approach enables a comprehensive understanding of structural and organisational factors influencing employee mental health. However, limitations include reliance on existing interpretations and the absence of primary employee perspectives, which may restrict contextual depth despite ensuring analytical breadth at an industry level.</w:t>
      </w:r>
    </w:p>
    <w:p w14:paraId="71519DBA" w14:textId="77777777" w:rsidR="00FF542B" w:rsidRDefault="00FF542B" w:rsidP="000E73C3">
      <w:pPr>
        <w:spacing w:line="360" w:lineRule="auto"/>
        <w:jc w:val="both"/>
        <w:rPr>
          <w:rFonts w:ascii="Arial" w:hAnsi="Arial" w:cs="Arial"/>
          <w:sz w:val="24"/>
          <w:szCs w:val="24"/>
        </w:rPr>
      </w:pPr>
    </w:p>
    <w:p w14:paraId="0E4DA684" w14:textId="38AD03CB" w:rsidR="00181A14" w:rsidRPr="00527AC4" w:rsidRDefault="00A3710D" w:rsidP="000E73C3">
      <w:pPr>
        <w:spacing w:line="360" w:lineRule="auto"/>
        <w:jc w:val="both"/>
        <w:rPr>
          <w:rFonts w:ascii="Arial" w:hAnsi="Arial" w:cs="Arial"/>
          <w:b/>
          <w:bCs/>
          <w:sz w:val="24"/>
          <w:szCs w:val="24"/>
        </w:rPr>
      </w:pPr>
      <w:r w:rsidRPr="00527AC4">
        <w:rPr>
          <w:rFonts w:ascii="Arial" w:hAnsi="Arial" w:cs="Arial"/>
          <w:b/>
          <w:bCs/>
          <w:sz w:val="24"/>
          <w:szCs w:val="24"/>
        </w:rPr>
        <w:t xml:space="preserve">Theme </w:t>
      </w:r>
      <w:r w:rsidR="00527AC4" w:rsidRPr="00527AC4">
        <w:rPr>
          <w:rFonts w:ascii="Arial" w:hAnsi="Arial" w:cs="Arial"/>
          <w:b/>
          <w:bCs/>
          <w:sz w:val="24"/>
          <w:szCs w:val="24"/>
        </w:rPr>
        <w:t>impact analysis</w:t>
      </w:r>
    </w:p>
    <w:p w14:paraId="5CC62812" w14:textId="1B6EAC65" w:rsidR="00527AC4" w:rsidRDefault="00094F17" w:rsidP="000E73C3">
      <w:pPr>
        <w:spacing w:line="360" w:lineRule="auto"/>
        <w:jc w:val="both"/>
        <w:rPr>
          <w:rFonts w:ascii="Arial" w:hAnsi="Arial" w:cs="Arial"/>
          <w:sz w:val="24"/>
          <w:szCs w:val="24"/>
        </w:rPr>
      </w:pPr>
      <w:r w:rsidRPr="00094F17">
        <w:rPr>
          <w:rFonts w:ascii="Arial" w:hAnsi="Arial" w:cs="Arial"/>
          <w:sz w:val="24"/>
          <w:szCs w:val="24"/>
        </w:rPr>
        <w:t>The impact of the mental health crisis within the hospitality industry can be systematically analysed using a PESTEL framework, which evaluates the broader political, economic, social, technological, environmental and legal factors shaping organisational operations and workforce wellbeing. This approach enables a structured examination of how external and internal pressures contribute to employee psychological distress and influence organisational performance within the hospitality sector.</w:t>
      </w:r>
    </w:p>
    <w:p w14:paraId="291C32A2" w14:textId="7661CF94" w:rsidR="0091471B" w:rsidRDefault="00DE7118" w:rsidP="000E73C3">
      <w:pPr>
        <w:spacing w:line="360" w:lineRule="auto"/>
        <w:jc w:val="both"/>
        <w:rPr>
          <w:rFonts w:ascii="Arial" w:hAnsi="Arial" w:cs="Arial"/>
          <w:sz w:val="24"/>
          <w:szCs w:val="24"/>
        </w:rPr>
      </w:pPr>
      <w:r w:rsidRPr="00DE7118">
        <w:rPr>
          <w:rFonts w:ascii="Arial" w:hAnsi="Arial" w:cs="Arial"/>
          <w:sz w:val="24"/>
          <w:szCs w:val="24"/>
        </w:rPr>
        <w:t>From a political and regulatory perspective, labour protection policies and workplace health regulations increasingly recognise employee wellbeing as a strategic organisational responsibility. Governments and industry bodies have introduced workplace wellbeing initiatives and occupational health guidelines designed to support employee mental health and improve working conditions (International Labour Organization, 2022). However, implementation across the hospitality industry remains inconsistent, particularly among small and medium-sized enterprises that often face resource constraints and operational pressures (Saito et al, 2025). While regulatory frameworks encourage employer responsibility, enforcement challenges and limited organisational capacity may reduce their effectiveness in improving workforce wellbeing.</w:t>
      </w:r>
    </w:p>
    <w:p w14:paraId="6717E5E1" w14:textId="287A2E1C" w:rsidR="00FF542B" w:rsidRDefault="00941C97" w:rsidP="000E73C3">
      <w:pPr>
        <w:spacing w:line="360" w:lineRule="auto"/>
        <w:jc w:val="both"/>
        <w:rPr>
          <w:rFonts w:ascii="Arial" w:hAnsi="Arial" w:cs="Arial"/>
          <w:sz w:val="24"/>
          <w:szCs w:val="24"/>
        </w:rPr>
      </w:pPr>
      <w:r w:rsidRPr="00941C97">
        <w:rPr>
          <w:rFonts w:ascii="Arial" w:hAnsi="Arial" w:cs="Arial"/>
          <w:sz w:val="24"/>
          <w:szCs w:val="24"/>
        </w:rPr>
        <w:t xml:space="preserve">Economic pressures represent a significant driver of employee stress within the hospitality sector. The industry operates in a highly competitive environment characterised by cost control, labour shortages and fluctuating demand, which frequently results in work intensification and staffing constraints (Baum et al, 2020). Post-pandemic recovery has further increased workload demands due to reduced workforce capacity and rising service expectations, contributing to emotional exhaustion and burnout among employees (Hotel Dive, 2024). Economic uncertainty </w:t>
      </w:r>
      <w:r w:rsidRPr="00941C97">
        <w:rPr>
          <w:rFonts w:ascii="Arial" w:hAnsi="Arial" w:cs="Arial"/>
          <w:sz w:val="24"/>
          <w:szCs w:val="24"/>
        </w:rPr>
        <w:lastRenderedPageBreak/>
        <w:t>may also limit organisational investment in employee wellbeing programmes, as businesses prioritise operational survival over long-term workforce development. This highlights a structural tension between financial performance and employee welfare within hospitality management.</w:t>
      </w:r>
    </w:p>
    <w:p w14:paraId="797F4CB1" w14:textId="7B81AA36" w:rsidR="003E5F71" w:rsidRDefault="00BF2E0B" w:rsidP="000E73C3">
      <w:pPr>
        <w:spacing w:line="360" w:lineRule="auto"/>
        <w:jc w:val="both"/>
        <w:rPr>
          <w:rFonts w:ascii="Arial" w:hAnsi="Arial" w:cs="Arial"/>
          <w:sz w:val="24"/>
          <w:szCs w:val="24"/>
        </w:rPr>
      </w:pPr>
      <w:r w:rsidRPr="00BF2E0B">
        <w:rPr>
          <w:rFonts w:ascii="Arial" w:hAnsi="Arial" w:cs="Arial"/>
          <w:sz w:val="24"/>
          <w:szCs w:val="24"/>
        </w:rPr>
        <w:t>Social factors also play a critical role in shaping the mental health experiences of hospitality employees. The sector is characterised by high levels of emotional labour, customer interaction and performance expectations, which create sustained psychological pressure on workers (Hochschild, 1983; Grandey, 2000). Despite growing awareness of mental health issues, stigma surrounding psychological distress continues to discourage employees from seeking organisational support (Kotera et al, 2018). Changing workforce expectations, particularly among younger employees, have increased demand for supportive working environments and work–life balance, creating additional pressure on organisations to adapt their human resource practices (Saito et al, 2025). These social dynamics demonstrate that employee wellbeing is shaped not only by workplace conditions but also by broader cultural attitudes towards mental health.</w:t>
      </w:r>
    </w:p>
    <w:p w14:paraId="21AD9E62" w14:textId="785CFD3A" w:rsidR="004416BE" w:rsidRDefault="000D3300" w:rsidP="000E73C3">
      <w:pPr>
        <w:spacing w:line="360" w:lineRule="auto"/>
        <w:jc w:val="both"/>
        <w:rPr>
          <w:rFonts w:ascii="Arial" w:hAnsi="Arial" w:cs="Arial"/>
          <w:sz w:val="24"/>
          <w:szCs w:val="24"/>
        </w:rPr>
      </w:pPr>
      <w:r w:rsidRPr="000D3300">
        <w:rPr>
          <w:rFonts w:ascii="Arial" w:hAnsi="Arial" w:cs="Arial"/>
          <w:sz w:val="24"/>
          <w:szCs w:val="24"/>
        </w:rPr>
        <w:t>Technological developments have transformed hospitality operations, influencing both organisational efficiency and employee wellbeing. The adoption of digital systems, automated service technologies and performance monitoring tools has increased operational efficiency but may also contribute to work intensification and role stress (Ivanov and Webster, 2019). Technology-driven service delivery often requires employees to adapt rapidly to changing systems while maintaining high service standards, which can increase cognitive workload and emotional pressure. However, technological innovation may also support employee wellbeing through flexible scheduling, improved communication and digital training opportunities, demonstrating both positive and negative implications for workforce mental health.</w:t>
      </w:r>
    </w:p>
    <w:p w14:paraId="1D28781C" w14:textId="5D0BD83F" w:rsidR="00972C98" w:rsidRDefault="00B96F3E" w:rsidP="000E73C3">
      <w:pPr>
        <w:spacing w:line="360" w:lineRule="auto"/>
        <w:jc w:val="both"/>
        <w:rPr>
          <w:rFonts w:ascii="Arial" w:hAnsi="Arial" w:cs="Arial"/>
          <w:sz w:val="24"/>
          <w:szCs w:val="24"/>
        </w:rPr>
      </w:pPr>
      <w:r w:rsidRPr="00B96F3E">
        <w:rPr>
          <w:rFonts w:ascii="Arial" w:hAnsi="Arial" w:cs="Arial"/>
          <w:sz w:val="24"/>
          <w:szCs w:val="24"/>
        </w:rPr>
        <w:t xml:space="preserve">Environmental factors have also influenced employee wellbeing within hospitality, particularly through global crises such as the COVID-19 pandemic. Health risks, job insecurity and operational disruption significantly increased psychological stress among hospitality workers and exposed vulnerabilities in workforce wellbeing management (Baum et al, 2020). The pandemic highlighted the importance of organisational resilience and crisis management strategies, emphasising the need for </w:t>
      </w:r>
      <w:r w:rsidRPr="00B96F3E">
        <w:rPr>
          <w:rFonts w:ascii="Arial" w:hAnsi="Arial" w:cs="Arial"/>
          <w:sz w:val="24"/>
          <w:szCs w:val="24"/>
        </w:rPr>
        <w:lastRenderedPageBreak/>
        <w:t>supportive workplace environments that prioritise employee health and safety. Although the immediate crisis has subsided, its long-term impact on employee mental health and workforce stability remains evident across the sector.</w:t>
      </w:r>
    </w:p>
    <w:p w14:paraId="41572773" w14:textId="049B7E6C" w:rsidR="00972C98" w:rsidRDefault="008F25A1" w:rsidP="000E73C3">
      <w:pPr>
        <w:spacing w:line="360" w:lineRule="auto"/>
        <w:jc w:val="both"/>
        <w:rPr>
          <w:rFonts w:ascii="Arial" w:hAnsi="Arial" w:cs="Arial"/>
          <w:sz w:val="24"/>
          <w:szCs w:val="24"/>
        </w:rPr>
      </w:pPr>
      <w:r w:rsidRPr="008F25A1">
        <w:rPr>
          <w:rFonts w:ascii="Arial" w:hAnsi="Arial" w:cs="Arial"/>
          <w:sz w:val="24"/>
          <w:szCs w:val="24"/>
        </w:rPr>
        <w:t>Legal considerations further shape organisational responsibility for employee wellbeing. Employers have a legal duty of care to provide safe working environments that protect both physical and psychological health (Health and Safety Executive, 202</w:t>
      </w:r>
      <w:r w:rsidR="00EE3AE0">
        <w:rPr>
          <w:rFonts w:ascii="Arial" w:hAnsi="Arial" w:cs="Arial"/>
          <w:sz w:val="24"/>
          <w:szCs w:val="24"/>
        </w:rPr>
        <w:t>5</w:t>
      </w:r>
      <w:r w:rsidRPr="008F25A1">
        <w:rPr>
          <w:rFonts w:ascii="Arial" w:hAnsi="Arial" w:cs="Arial"/>
          <w:sz w:val="24"/>
          <w:szCs w:val="24"/>
        </w:rPr>
        <w:t>). Increasing recognition of psychosocial risks within workplace legislation has encouraged organisations to implement mental health policies and risk management strategies. However, compliance often focuses on minimum legal requirements rather than proactive wellbeing management, which may limit the effectiveness of organisational responses to mental health challenges.</w:t>
      </w:r>
    </w:p>
    <w:p w14:paraId="2912AE76" w14:textId="0C9D679E" w:rsidR="00972C98" w:rsidRDefault="00A57CA3" w:rsidP="000E73C3">
      <w:pPr>
        <w:spacing w:line="360" w:lineRule="auto"/>
        <w:jc w:val="both"/>
        <w:rPr>
          <w:rFonts w:ascii="Arial" w:hAnsi="Arial" w:cs="Arial"/>
          <w:sz w:val="24"/>
          <w:szCs w:val="24"/>
        </w:rPr>
      </w:pPr>
      <w:r w:rsidRPr="00A57CA3">
        <w:rPr>
          <w:rFonts w:ascii="Arial" w:hAnsi="Arial" w:cs="Arial"/>
          <w:sz w:val="24"/>
          <w:szCs w:val="24"/>
        </w:rPr>
        <w:t>The impact analysis also highlights the strengths and weaknesses of current industry responses. Positive developments include increased organisational awareness of mental health issues, the introduction of employee assistance programmes and the growing integration of wellbeing initiatives within human resource management practices (Kotera et al, 2018). These initiatives demonstrate recognition of employee wellbeing as a strategic concern and contribute to reducing stigma surrounding mental health in the workplace. However, existing responses remain largely reactive and individual-focused, addressing symptoms rather than structural causes such as excessive workload, staffing shortages and organisational culture (Saito et al, 2025). Furthermore, disparities in organisational resources result in uneven implementation of wellbeing strategies across the industry.</w:t>
      </w:r>
    </w:p>
    <w:p w14:paraId="583FA68E" w14:textId="4B8780EB" w:rsidR="00972C98" w:rsidRDefault="00F26CCF" w:rsidP="000E73C3">
      <w:pPr>
        <w:spacing w:line="360" w:lineRule="auto"/>
        <w:jc w:val="both"/>
        <w:rPr>
          <w:rFonts w:ascii="Arial" w:hAnsi="Arial" w:cs="Arial"/>
          <w:sz w:val="24"/>
          <w:szCs w:val="24"/>
        </w:rPr>
      </w:pPr>
      <w:r w:rsidRPr="00F26CCF">
        <w:rPr>
          <w:rFonts w:ascii="Arial" w:hAnsi="Arial" w:cs="Arial"/>
          <w:sz w:val="24"/>
          <w:szCs w:val="24"/>
        </w:rPr>
        <w:t>Overall, the PESTEL analysis demonstrates that the mental health crisis in hospitality is shaped by a complex interaction of regulatory, economic, social and organisational factors. While industry responses show increasing awareness of workforce wellbeing, structural challenges related to operational demands, organisational culture and economic pressures continue to limit the effectiveness of current strategies. This highlights the need for comprehensive and preventative approaches that integrate employee wellbeing into core organisational practices and strategic decision-making within hospitality operations.</w:t>
      </w:r>
    </w:p>
    <w:p w14:paraId="1ED9C1FB" w14:textId="77777777" w:rsidR="00C65107" w:rsidRDefault="00C65107" w:rsidP="000E73C3">
      <w:pPr>
        <w:spacing w:line="360" w:lineRule="auto"/>
        <w:jc w:val="both"/>
        <w:rPr>
          <w:rFonts w:ascii="Arial" w:hAnsi="Arial" w:cs="Arial"/>
          <w:sz w:val="24"/>
          <w:szCs w:val="24"/>
        </w:rPr>
      </w:pPr>
    </w:p>
    <w:p w14:paraId="2C23B56A" w14:textId="77777777" w:rsidR="00972C98" w:rsidRDefault="00972C98" w:rsidP="000E73C3">
      <w:pPr>
        <w:spacing w:line="360" w:lineRule="auto"/>
        <w:jc w:val="both"/>
        <w:rPr>
          <w:rFonts w:ascii="Arial" w:hAnsi="Arial" w:cs="Arial"/>
          <w:sz w:val="24"/>
          <w:szCs w:val="24"/>
        </w:rPr>
      </w:pPr>
    </w:p>
    <w:p w14:paraId="49B3070E" w14:textId="2BC66B2B" w:rsidR="00D26C31" w:rsidRPr="00D26C31" w:rsidRDefault="00D26C31" w:rsidP="000E73C3">
      <w:pPr>
        <w:spacing w:line="360" w:lineRule="auto"/>
        <w:jc w:val="both"/>
        <w:rPr>
          <w:rFonts w:ascii="Arial" w:hAnsi="Arial" w:cs="Arial"/>
          <w:b/>
          <w:bCs/>
          <w:sz w:val="24"/>
          <w:szCs w:val="24"/>
        </w:rPr>
      </w:pPr>
      <w:r w:rsidRPr="00D26C31">
        <w:rPr>
          <w:rFonts w:ascii="Arial" w:hAnsi="Arial" w:cs="Arial"/>
          <w:b/>
          <w:bCs/>
          <w:sz w:val="24"/>
          <w:szCs w:val="24"/>
        </w:rPr>
        <w:lastRenderedPageBreak/>
        <w:t>Conclusion</w:t>
      </w:r>
    </w:p>
    <w:p w14:paraId="7AE9F221" w14:textId="14CD230C" w:rsidR="00D26C31" w:rsidRDefault="00256154" w:rsidP="000E73C3">
      <w:pPr>
        <w:spacing w:line="360" w:lineRule="auto"/>
        <w:jc w:val="both"/>
        <w:rPr>
          <w:rFonts w:ascii="Arial" w:hAnsi="Arial" w:cs="Arial"/>
          <w:sz w:val="24"/>
          <w:szCs w:val="24"/>
        </w:rPr>
      </w:pPr>
      <w:r w:rsidRPr="00256154">
        <w:rPr>
          <w:rFonts w:ascii="Arial" w:hAnsi="Arial" w:cs="Arial"/>
          <w:sz w:val="24"/>
          <w:szCs w:val="24"/>
        </w:rPr>
        <w:t>This study critically examined the deepening mental health crisis within the hospitality industry and demonstrated that employee psychological distress is shaped by structural workplace conditions, including excessive job demands, emotional labour and organisational pressures. The literature and impact analysis showed that poor workforce wellbeing affects not only individual employees but also organisational performance through reduced service quality, increased turnover and operational inefficiencies. While industry awareness of employee wellbeing has increased, current responses remain largely reactive and insufficient in addressing systemic causes of workplace stress. The findings highlight the need for proactive organisational strategies that integrate employee mental health management into core operational and human resource practices to ensure sustainable performance within hospitality organisations.</w:t>
      </w:r>
    </w:p>
    <w:p w14:paraId="38A15304" w14:textId="77777777" w:rsidR="00256154" w:rsidRDefault="00256154" w:rsidP="000E73C3">
      <w:pPr>
        <w:spacing w:line="360" w:lineRule="auto"/>
        <w:jc w:val="both"/>
        <w:rPr>
          <w:rFonts w:ascii="Arial" w:hAnsi="Arial" w:cs="Arial"/>
          <w:sz w:val="24"/>
          <w:szCs w:val="24"/>
        </w:rPr>
      </w:pPr>
    </w:p>
    <w:p w14:paraId="6C098066" w14:textId="1CC414B1" w:rsidR="00256154" w:rsidRPr="00256154" w:rsidRDefault="00256154" w:rsidP="000E73C3">
      <w:pPr>
        <w:spacing w:line="360" w:lineRule="auto"/>
        <w:jc w:val="both"/>
        <w:rPr>
          <w:rFonts w:ascii="Arial" w:hAnsi="Arial" w:cs="Arial"/>
          <w:b/>
          <w:bCs/>
          <w:sz w:val="24"/>
          <w:szCs w:val="24"/>
        </w:rPr>
      </w:pPr>
      <w:r w:rsidRPr="00256154">
        <w:rPr>
          <w:rFonts w:ascii="Arial" w:hAnsi="Arial" w:cs="Arial"/>
          <w:b/>
          <w:bCs/>
          <w:sz w:val="24"/>
          <w:szCs w:val="24"/>
        </w:rPr>
        <w:t>Recommendations</w:t>
      </w:r>
    </w:p>
    <w:p w14:paraId="135CB013" w14:textId="2B56E588" w:rsidR="000B63C8" w:rsidRPr="000B63C8" w:rsidRDefault="000B63C8" w:rsidP="000B63C8">
      <w:pPr>
        <w:spacing w:line="360" w:lineRule="auto"/>
        <w:jc w:val="both"/>
        <w:rPr>
          <w:rFonts w:ascii="Arial" w:hAnsi="Arial" w:cs="Arial"/>
          <w:sz w:val="24"/>
          <w:szCs w:val="24"/>
        </w:rPr>
      </w:pPr>
      <w:r w:rsidRPr="000B63C8">
        <w:rPr>
          <w:rFonts w:ascii="Arial" w:hAnsi="Arial" w:cs="Arial"/>
          <w:sz w:val="24"/>
          <w:szCs w:val="24"/>
        </w:rPr>
        <w:t>Building on the evaluation of the mental health crisis within the hospitality industry, several strategic recommendations can be proposed to support workforce wellbeing and organisational sustainability.</w:t>
      </w:r>
    </w:p>
    <w:p w14:paraId="139FFE8A" w14:textId="3FB06354" w:rsidR="00256154" w:rsidRDefault="000B63C8" w:rsidP="000B63C8">
      <w:pPr>
        <w:spacing w:line="360" w:lineRule="auto"/>
        <w:jc w:val="both"/>
        <w:rPr>
          <w:rFonts w:ascii="Arial" w:hAnsi="Arial" w:cs="Arial"/>
          <w:sz w:val="24"/>
          <w:szCs w:val="24"/>
        </w:rPr>
      </w:pPr>
      <w:r w:rsidRPr="000B63C8">
        <w:rPr>
          <w:rFonts w:ascii="Arial" w:hAnsi="Arial" w:cs="Arial"/>
          <w:sz w:val="24"/>
          <w:szCs w:val="24"/>
        </w:rPr>
        <w:t>Hospitality organisations should adopt preventative organisational wellbeing strategies that address structural causes of employee stress rather than focusing solely on individual coping interventions. Evidence suggests that high job demands and limited organisational resources are key drivers of burnout and turnover intention among hospitality employees (Bakker and Demerouti, 2007; Salama et al, 2022). Organisations should therefore redesign work processes to manage workload intensity, improve staffing levels and introduce flexible scheduling practices that support work–life balance. Job redesign initiatives that reduce role ambiguity and improve task autonomy may significantly enhance employee engagement and psychological wellbeing (Karatepe, 2013).</w:t>
      </w:r>
    </w:p>
    <w:p w14:paraId="5289D459" w14:textId="56F97327" w:rsidR="000B63C8" w:rsidRDefault="00AE2C14" w:rsidP="000B63C8">
      <w:pPr>
        <w:spacing w:line="360" w:lineRule="auto"/>
        <w:jc w:val="both"/>
        <w:rPr>
          <w:rFonts w:ascii="Arial" w:hAnsi="Arial" w:cs="Arial"/>
          <w:sz w:val="24"/>
          <w:szCs w:val="24"/>
        </w:rPr>
      </w:pPr>
      <w:r w:rsidRPr="00AE2C14">
        <w:rPr>
          <w:rFonts w:ascii="Arial" w:hAnsi="Arial" w:cs="Arial"/>
          <w:sz w:val="24"/>
          <w:szCs w:val="24"/>
        </w:rPr>
        <w:t xml:space="preserve">Secondly, </w:t>
      </w:r>
      <w:r w:rsidR="003448D6">
        <w:rPr>
          <w:rFonts w:ascii="Arial" w:hAnsi="Arial" w:cs="Arial"/>
          <w:sz w:val="24"/>
          <w:szCs w:val="24"/>
        </w:rPr>
        <w:t>o</w:t>
      </w:r>
      <w:r w:rsidR="003448D6" w:rsidRPr="003448D6">
        <w:rPr>
          <w:rFonts w:ascii="Arial" w:hAnsi="Arial" w:cs="Arial"/>
          <w:sz w:val="24"/>
          <w:szCs w:val="24"/>
        </w:rPr>
        <w:t xml:space="preserve">rganisations should strengthen managerial support systems and leadership development programmes. Supportive leadership and organisational support have been shown to reduce emotional exhaustion and improve employee </w:t>
      </w:r>
      <w:r w:rsidR="003448D6" w:rsidRPr="003448D6">
        <w:rPr>
          <w:rFonts w:ascii="Arial" w:hAnsi="Arial" w:cs="Arial"/>
          <w:sz w:val="24"/>
          <w:szCs w:val="24"/>
        </w:rPr>
        <w:lastRenderedPageBreak/>
        <w:t>wellbeing within service and hospitality contexts (Karatepe, 2013; Bakker and Demerouti, 2007).</w:t>
      </w:r>
      <w:r w:rsidR="003448D6">
        <w:rPr>
          <w:rFonts w:ascii="Arial" w:hAnsi="Arial" w:cs="Arial"/>
          <w:sz w:val="24"/>
          <w:szCs w:val="24"/>
        </w:rPr>
        <w:t xml:space="preserve"> </w:t>
      </w:r>
      <w:r w:rsidRPr="00AE2C14">
        <w:rPr>
          <w:rFonts w:ascii="Arial" w:hAnsi="Arial" w:cs="Arial"/>
          <w:sz w:val="24"/>
          <w:szCs w:val="24"/>
        </w:rPr>
        <w:t>Hospitality managers should receive training in mental health awareness, emotional intelligence and supportive communication to identify early signs of psychological distress and provide appropriate organisational support. Creating psychologically safe work environments may also reduce stigma associated with mental health and encourage employees to seek assistance when needed.</w:t>
      </w:r>
    </w:p>
    <w:p w14:paraId="7A255AF4" w14:textId="1695BF3F" w:rsidR="003448D6" w:rsidRDefault="00FC6851" w:rsidP="000B63C8">
      <w:pPr>
        <w:spacing w:line="360" w:lineRule="auto"/>
        <w:jc w:val="both"/>
        <w:rPr>
          <w:rFonts w:ascii="Arial" w:hAnsi="Arial" w:cs="Arial"/>
          <w:sz w:val="24"/>
          <w:szCs w:val="24"/>
        </w:rPr>
      </w:pPr>
      <w:r w:rsidRPr="00FC6851">
        <w:rPr>
          <w:rFonts w:ascii="Arial" w:hAnsi="Arial" w:cs="Arial"/>
          <w:sz w:val="24"/>
          <w:szCs w:val="24"/>
        </w:rPr>
        <w:t>Thirdly, organisations should integrate employee wellbeing into strategic human resource management practices. Research demonstrates that high-performance work practices, including employee participation, training opportunities and fair reward systems, contribute positively to employee wellbeing and organisational outcomes (Jiang et al, 2012). Hospitality organisations should implement structured wellbeing policies, employee assistance programmes and continuous professional development initiatives that support both employee health and career progression. These strategies may enhance employee retention and service quality while supporting long-term organisational resilience.</w:t>
      </w:r>
    </w:p>
    <w:p w14:paraId="5F20B51A" w14:textId="2BB525C2" w:rsidR="00D26C31" w:rsidRDefault="00486CE9" w:rsidP="000E73C3">
      <w:pPr>
        <w:spacing w:line="360" w:lineRule="auto"/>
        <w:jc w:val="both"/>
        <w:rPr>
          <w:rFonts w:ascii="Arial" w:hAnsi="Arial" w:cs="Arial"/>
          <w:sz w:val="24"/>
          <w:szCs w:val="24"/>
        </w:rPr>
      </w:pPr>
      <w:r w:rsidRPr="00486CE9">
        <w:rPr>
          <w:rFonts w:ascii="Arial" w:hAnsi="Arial" w:cs="Arial"/>
          <w:sz w:val="24"/>
          <w:szCs w:val="24"/>
        </w:rPr>
        <w:t>Furthermore, industry stakeholders and policymakers should collaborate to establish sector-wide standards for workforce wellbeing. The hospitality industry is characterised by fragmented employment structures and varying organisational capacity, which creates inconsistency in wellbeing provision (International Labour Organization and World Health Organization, 2022). Industry associations and regulatory bodies should develop clear guidelines and best practice frameworks to support consistent implementation of employee wellbeing initiatives across organisations of different sizes.</w:t>
      </w:r>
    </w:p>
    <w:p w14:paraId="53F4309A" w14:textId="7B223670" w:rsidR="0091381E" w:rsidRPr="0091381E" w:rsidRDefault="0091381E" w:rsidP="0091381E">
      <w:pPr>
        <w:spacing w:line="360" w:lineRule="auto"/>
        <w:jc w:val="both"/>
        <w:rPr>
          <w:rFonts w:ascii="Arial" w:hAnsi="Arial" w:cs="Arial"/>
          <w:sz w:val="24"/>
          <w:szCs w:val="24"/>
        </w:rPr>
      </w:pPr>
      <w:r w:rsidRPr="0091381E">
        <w:rPr>
          <w:rFonts w:ascii="Arial" w:hAnsi="Arial" w:cs="Arial"/>
          <w:sz w:val="24"/>
          <w:szCs w:val="24"/>
        </w:rPr>
        <w:t>Finally, future research should examine long-term organisational outcomes of employee wellbeing interventions and explore cross-cultural differences in hospitality workforce experiences. Existing research remains limited by cross-sectional designs and insufficient focus on organisational accountability (Saito et al, 2025). Longitudinal and comparative studies may provide deeper insights into effective strategies for managing workforce mental health within global hospitality contexts.</w:t>
      </w:r>
    </w:p>
    <w:p w14:paraId="0A698C0C" w14:textId="59F9588A" w:rsidR="00486CE9" w:rsidRDefault="0091381E" w:rsidP="0091381E">
      <w:pPr>
        <w:spacing w:line="360" w:lineRule="auto"/>
        <w:jc w:val="both"/>
        <w:rPr>
          <w:rFonts w:ascii="Arial" w:hAnsi="Arial" w:cs="Arial"/>
          <w:sz w:val="24"/>
          <w:szCs w:val="24"/>
        </w:rPr>
      </w:pPr>
      <w:r w:rsidRPr="0091381E">
        <w:rPr>
          <w:rFonts w:ascii="Arial" w:hAnsi="Arial" w:cs="Arial"/>
          <w:sz w:val="24"/>
          <w:szCs w:val="24"/>
        </w:rPr>
        <w:t xml:space="preserve">Overall, implementing preventative organisational strategies, supportive leadership practices and industry-level collaboration may enable hospitality organisations to </w:t>
      </w:r>
      <w:r w:rsidRPr="0091381E">
        <w:rPr>
          <w:rFonts w:ascii="Arial" w:hAnsi="Arial" w:cs="Arial"/>
          <w:sz w:val="24"/>
          <w:szCs w:val="24"/>
        </w:rPr>
        <w:lastRenderedPageBreak/>
        <w:t>address the root causes of employee psychological distress while improving organisational performance and service sustainability.</w:t>
      </w:r>
    </w:p>
    <w:p w14:paraId="5009A8D8" w14:textId="77777777" w:rsidR="00D26C31" w:rsidRDefault="00D26C31" w:rsidP="000E73C3">
      <w:pPr>
        <w:spacing w:line="360" w:lineRule="auto"/>
        <w:jc w:val="both"/>
        <w:rPr>
          <w:rFonts w:ascii="Arial" w:hAnsi="Arial" w:cs="Arial"/>
          <w:sz w:val="24"/>
          <w:szCs w:val="24"/>
        </w:rPr>
      </w:pPr>
    </w:p>
    <w:p w14:paraId="01112CC6" w14:textId="77777777" w:rsidR="00D26C31" w:rsidRDefault="00D26C31" w:rsidP="000E73C3">
      <w:pPr>
        <w:spacing w:line="360" w:lineRule="auto"/>
        <w:jc w:val="both"/>
        <w:rPr>
          <w:rFonts w:ascii="Arial" w:hAnsi="Arial" w:cs="Arial"/>
          <w:sz w:val="24"/>
          <w:szCs w:val="24"/>
        </w:rPr>
      </w:pPr>
    </w:p>
    <w:p w14:paraId="6F66C234" w14:textId="77777777" w:rsidR="00C65107" w:rsidRDefault="00C65107" w:rsidP="000E73C3">
      <w:pPr>
        <w:spacing w:line="360" w:lineRule="auto"/>
        <w:jc w:val="both"/>
        <w:rPr>
          <w:rFonts w:ascii="Arial" w:hAnsi="Arial" w:cs="Arial"/>
          <w:sz w:val="24"/>
          <w:szCs w:val="24"/>
        </w:rPr>
      </w:pPr>
    </w:p>
    <w:p w14:paraId="175B617D" w14:textId="77777777" w:rsidR="00C65107" w:rsidRDefault="00C65107" w:rsidP="000E73C3">
      <w:pPr>
        <w:spacing w:line="360" w:lineRule="auto"/>
        <w:jc w:val="both"/>
        <w:rPr>
          <w:rFonts w:ascii="Arial" w:hAnsi="Arial" w:cs="Arial"/>
          <w:sz w:val="24"/>
          <w:szCs w:val="24"/>
        </w:rPr>
      </w:pPr>
    </w:p>
    <w:p w14:paraId="509CA358" w14:textId="77777777" w:rsidR="00C65107" w:rsidRDefault="00C65107" w:rsidP="000E73C3">
      <w:pPr>
        <w:spacing w:line="360" w:lineRule="auto"/>
        <w:jc w:val="both"/>
        <w:rPr>
          <w:rFonts w:ascii="Arial" w:hAnsi="Arial" w:cs="Arial"/>
          <w:sz w:val="24"/>
          <w:szCs w:val="24"/>
        </w:rPr>
      </w:pPr>
    </w:p>
    <w:p w14:paraId="60EA8D19" w14:textId="77777777" w:rsidR="00C65107" w:rsidRDefault="00C65107" w:rsidP="000E73C3">
      <w:pPr>
        <w:spacing w:line="360" w:lineRule="auto"/>
        <w:jc w:val="both"/>
        <w:rPr>
          <w:rFonts w:ascii="Arial" w:hAnsi="Arial" w:cs="Arial"/>
          <w:sz w:val="24"/>
          <w:szCs w:val="24"/>
        </w:rPr>
      </w:pPr>
    </w:p>
    <w:p w14:paraId="5DB56923" w14:textId="77777777" w:rsidR="00C65107" w:rsidRDefault="00C65107" w:rsidP="000E73C3">
      <w:pPr>
        <w:spacing w:line="360" w:lineRule="auto"/>
        <w:jc w:val="both"/>
        <w:rPr>
          <w:rFonts w:ascii="Arial" w:hAnsi="Arial" w:cs="Arial"/>
          <w:sz w:val="24"/>
          <w:szCs w:val="24"/>
        </w:rPr>
      </w:pPr>
    </w:p>
    <w:p w14:paraId="791F636B" w14:textId="77777777" w:rsidR="00C65107" w:rsidRDefault="00C65107" w:rsidP="000E73C3">
      <w:pPr>
        <w:spacing w:line="360" w:lineRule="auto"/>
        <w:jc w:val="both"/>
        <w:rPr>
          <w:rFonts w:ascii="Arial" w:hAnsi="Arial" w:cs="Arial"/>
          <w:sz w:val="24"/>
          <w:szCs w:val="24"/>
        </w:rPr>
      </w:pPr>
    </w:p>
    <w:p w14:paraId="666B8D8C" w14:textId="77777777" w:rsidR="00C65107" w:rsidRDefault="00C65107" w:rsidP="000E73C3">
      <w:pPr>
        <w:spacing w:line="360" w:lineRule="auto"/>
        <w:jc w:val="both"/>
        <w:rPr>
          <w:rFonts w:ascii="Arial" w:hAnsi="Arial" w:cs="Arial"/>
          <w:sz w:val="24"/>
          <w:szCs w:val="24"/>
        </w:rPr>
      </w:pPr>
    </w:p>
    <w:p w14:paraId="0317DF50" w14:textId="77777777" w:rsidR="00C65107" w:rsidRDefault="00C65107" w:rsidP="000E73C3">
      <w:pPr>
        <w:spacing w:line="360" w:lineRule="auto"/>
        <w:jc w:val="both"/>
        <w:rPr>
          <w:rFonts w:ascii="Arial" w:hAnsi="Arial" w:cs="Arial"/>
          <w:sz w:val="24"/>
          <w:szCs w:val="24"/>
        </w:rPr>
      </w:pPr>
    </w:p>
    <w:p w14:paraId="0A21F7C1" w14:textId="77777777" w:rsidR="00C65107" w:rsidRDefault="00C65107" w:rsidP="000E73C3">
      <w:pPr>
        <w:spacing w:line="360" w:lineRule="auto"/>
        <w:jc w:val="both"/>
        <w:rPr>
          <w:rFonts w:ascii="Arial" w:hAnsi="Arial" w:cs="Arial"/>
          <w:sz w:val="24"/>
          <w:szCs w:val="24"/>
        </w:rPr>
      </w:pPr>
    </w:p>
    <w:p w14:paraId="75EDFB07" w14:textId="77777777" w:rsidR="00C65107" w:rsidRDefault="00C65107" w:rsidP="000E73C3">
      <w:pPr>
        <w:spacing w:line="360" w:lineRule="auto"/>
        <w:jc w:val="both"/>
        <w:rPr>
          <w:rFonts w:ascii="Arial" w:hAnsi="Arial" w:cs="Arial"/>
          <w:sz w:val="24"/>
          <w:szCs w:val="24"/>
        </w:rPr>
      </w:pPr>
    </w:p>
    <w:p w14:paraId="125D7559" w14:textId="77777777" w:rsidR="00C65107" w:rsidRDefault="00C65107" w:rsidP="000E73C3">
      <w:pPr>
        <w:spacing w:line="360" w:lineRule="auto"/>
        <w:jc w:val="both"/>
        <w:rPr>
          <w:rFonts w:ascii="Arial" w:hAnsi="Arial" w:cs="Arial"/>
          <w:sz w:val="24"/>
          <w:szCs w:val="24"/>
        </w:rPr>
      </w:pPr>
    </w:p>
    <w:p w14:paraId="057FA6F9" w14:textId="77777777" w:rsidR="00C65107" w:rsidRDefault="00C65107" w:rsidP="000E73C3">
      <w:pPr>
        <w:spacing w:line="360" w:lineRule="auto"/>
        <w:jc w:val="both"/>
        <w:rPr>
          <w:rFonts w:ascii="Arial" w:hAnsi="Arial" w:cs="Arial"/>
          <w:sz w:val="24"/>
          <w:szCs w:val="24"/>
        </w:rPr>
      </w:pPr>
    </w:p>
    <w:p w14:paraId="4FD7838A" w14:textId="77777777" w:rsidR="00C65107" w:rsidRDefault="00C65107" w:rsidP="000E73C3">
      <w:pPr>
        <w:spacing w:line="360" w:lineRule="auto"/>
        <w:jc w:val="both"/>
        <w:rPr>
          <w:rFonts w:ascii="Arial" w:hAnsi="Arial" w:cs="Arial"/>
          <w:sz w:val="24"/>
          <w:szCs w:val="24"/>
        </w:rPr>
      </w:pPr>
    </w:p>
    <w:p w14:paraId="7D02FDD6" w14:textId="77777777" w:rsidR="00C65107" w:rsidRDefault="00C65107" w:rsidP="000E73C3">
      <w:pPr>
        <w:spacing w:line="360" w:lineRule="auto"/>
        <w:jc w:val="both"/>
        <w:rPr>
          <w:rFonts w:ascii="Arial" w:hAnsi="Arial" w:cs="Arial"/>
          <w:sz w:val="24"/>
          <w:szCs w:val="24"/>
        </w:rPr>
      </w:pPr>
    </w:p>
    <w:p w14:paraId="496BD0C5" w14:textId="77777777" w:rsidR="00C65107" w:rsidRDefault="00C65107" w:rsidP="000E73C3">
      <w:pPr>
        <w:spacing w:line="360" w:lineRule="auto"/>
        <w:jc w:val="both"/>
        <w:rPr>
          <w:rFonts w:ascii="Arial" w:hAnsi="Arial" w:cs="Arial"/>
          <w:sz w:val="24"/>
          <w:szCs w:val="24"/>
        </w:rPr>
      </w:pPr>
    </w:p>
    <w:p w14:paraId="2F9DD3CD" w14:textId="77777777" w:rsidR="00C65107" w:rsidRDefault="00C65107" w:rsidP="000E73C3">
      <w:pPr>
        <w:spacing w:line="360" w:lineRule="auto"/>
        <w:jc w:val="both"/>
        <w:rPr>
          <w:rFonts w:ascii="Arial" w:hAnsi="Arial" w:cs="Arial"/>
          <w:sz w:val="24"/>
          <w:szCs w:val="24"/>
        </w:rPr>
      </w:pPr>
    </w:p>
    <w:p w14:paraId="4689C0E4" w14:textId="77777777" w:rsidR="00C65107" w:rsidRDefault="00C65107" w:rsidP="000E73C3">
      <w:pPr>
        <w:spacing w:line="360" w:lineRule="auto"/>
        <w:jc w:val="both"/>
        <w:rPr>
          <w:rFonts w:ascii="Arial" w:hAnsi="Arial" w:cs="Arial"/>
          <w:sz w:val="24"/>
          <w:szCs w:val="24"/>
        </w:rPr>
      </w:pPr>
    </w:p>
    <w:p w14:paraId="4892BEA0" w14:textId="77777777" w:rsidR="00C65107" w:rsidRDefault="00C65107" w:rsidP="000E73C3">
      <w:pPr>
        <w:spacing w:line="360" w:lineRule="auto"/>
        <w:jc w:val="both"/>
        <w:rPr>
          <w:rFonts w:ascii="Arial" w:hAnsi="Arial" w:cs="Arial"/>
          <w:sz w:val="24"/>
          <w:szCs w:val="24"/>
        </w:rPr>
      </w:pPr>
    </w:p>
    <w:p w14:paraId="00288403" w14:textId="77777777" w:rsidR="00C65107" w:rsidRDefault="00C65107" w:rsidP="000E73C3">
      <w:pPr>
        <w:spacing w:line="360" w:lineRule="auto"/>
        <w:jc w:val="both"/>
        <w:rPr>
          <w:rFonts w:ascii="Arial" w:hAnsi="Arial" w:cs="Arial"/>
          <w:sz w:val="24"/>
          <w:szCs w:val="24"/>
        </w:rPr>
      </w:pPr>
    </w:p>
    <w:p w14:paraId="694C6D47" w14:textId="77777777" w:rsidR="00C65107" w:rsidRDefault="00C65107" w:rsidP="000E73C3">
      <w:pPr>
        <w:spacing w:line="360" w:lineRule="auto"/>
        <w:jc w:val="both"/>
        <w:rPr>
          <w:rFonts w:ascii="Arial" w:hAnsi="Arial" w:cs="Arial"/>
          <w:sz w:val="24"/>
          <w:szCs w:val="24"/>
        </w:rPr>
      </w:pPr>
    </w:p>
    <w:p w14:paraId="06021210" w14:textId="77777777" w:rsidR="004416BE" w:rsidRDefault="004416BE" w:rsidP="000E73C3">
      <w:pPr>
        <w:spacing w:line="360" w:lineRule="auto"/>
        <w:jc w:val="both"/>
        <w:rPr>
          <w:rFonts w:ascii="Arial" w:hAnsi="Arial" w:cs="Arial"/>
          <w:sz w:val="24"/>
          <w:szCs w:val="24"/>
        </w:rPr>
      </w:pPr>
    </w:p>
    <w:p w14:paraId="58DB2F13" w14:textId="79E0ECB6" w:rsidR="004416BE" w:rsidRPr="004416BE" w:rsidRDefault="004416BE" w:rsidP="000E73C3">
      <w:pPr>
        <w:spacing w:line="360" w:lineRule="auto"/>
        <w:jc w:val="both"/>
        <w:rPr>
          <w:rFonts w:ascii="Arial" w:hAnsi="Arial" w:cs="Arial"/>
          <w:b/>
          <w:bCs/>
          <w:sz w:val="24"/>
          <w:szCs w:val="24"/>
        </w:rPr>
      </w:pPr>
      <w:r w:rsidRPr="004416BE">
        <w:rPr>
          <w:rFonts w:ascii="Arial" w:hAnsi="Arial" w:cs="Arial"/>
          <w:b/>
          <w:bCs/>
          <w:sz w:val="24"/>
          <w:szCs w:val="24"/>
        </w:rPr>
        <w:lastRenderedPageBreak/>
        <w:t>References</w:t>
      </w:r>
    </w:p>
    <w:p w14:paraId="382D87E0" w14:textId="31017059" w:rsidR="000D266C" w:rsidRDefault="000D266C" w:rsidP="00354C37">
      <w:pPr>
        <w:spacing w:line="360" w:lineRule="auto"/>
        <w:jc w:val="both"/>
        <w:rPr>
          <w:rFonts w:ascii="Arial" w:hAnsi="Arial" w:cs="Arial"/>
          <w:sz w:val="24"/>
          <w:szCs w:val="24"/>
        </w:rPr>
      </w:pPr>
      <w:r w:rsidRPr="000D266C">
        <w:rPr>
          <w:rFonts w:ascii="Arial" w:hAnsi="Arial" w:cs="Arial"/>
          <w:sz w:val="24"/>
          <w:szCs w:val="24"/>
        </w:rPr>
        <w:t>Bakker, A.B. and Demerouti, E. (2007)</w:t>
      </w:r>
      <w:r>
        <w:rPr>
          <w:rFonts w:ascii="Arial" w:hAnsi="Arial" w:cs="Arial"/>
          <w:sz w:val="24"/>
          <w:szCs w:val="24"/>
        </w:rPr>
        <w:t xml:space="preserve">. </w:t>
      </w:r>
      <w:r w:rsidRPr="000D266C">
        <w:rPr>
          <w:rFonts w:ascii="Arial" w:hAnsi="Arial" w:cs="Arial"/>
          <w:sz w:val="24"/>
          <w:szCs w:val="24"/>
        </w:rPr>
        <w:t xml:space="preserve">The job demands–resources model: State of the art, </w:t>
      </w:r>
      <w:r w:rsidRPr="000D266C">
        <w:rPr>
          <w:rFonts w:ascii="Arial" w:hAnsi="Arial" w:cs="Arial"/>
          <w:i/>
          <w:iCs/>
          <w:sz w:val="24"/>
          <w:szCs w:val="24"/>
        </w:rPr>
        <w:t>Journal of Managerial Psychology</w:t>
      </w:r>
      <w:r w:rsidRPr="000D266C">
        <w:rPr>
          <w:rFonts w:ascii="Arial" w:hAnsi="Arial" w:cs="Arial"/>
          <w:sz w:val="24"/>
          <w:szCs w:val="24"/>
        </w:rPr>
        <w:t xml:space="preserve">, 22(3), pp. 309–328. </w:t>
      </w:r>
      <w:r>
        <w:rPr>
          <w:rFonts w:ascii="Arial" w:hAnsi="Arial" w:cs="Arial"/>
          <w:sz w:val="24"/>
          <w:szCs w:val="24"/>
        </w:rPr>
        <w:t>A</w:t>
      </w:r>
      <w:r w:rsidR="00B53759">
        <w:rPr>
          <w:rFonts w:ascii="Arial" w:hAnsi="Arial" w:cs="Arial"/>
          <w:sz w:val="24"/>
          <w:szCs w:val="24"/>
        </w:rPr>
        <w:t xml:space="preserve">vailable at: </w:t>
      </w:r>
      <w:hyperlink r:id="rId4" w:history="1">
        <w:r w:rsidR="00B53759" w:rsidRPr="00934F02">
          <w:rPr>
            <w:rStyle w:val="Hyperlink"/>
            <w:rFonts w:ascii="Arial" w:hAnsi="Arial" w:cs="Arial"/>
            <w:sz w:val="24"/>
            <w:szCs w:val="24"/>
          </w:rPr>
          <w:t>https://doi.org/10.1108/02683940710733115</w:t>
        </w:r>
      </w:hyperlink>
      <w:r w:rsidR="00B53759">
        <w:rPr>
          <w:rFonts w:ascii="Arial" w:hAnsi="Arial" w:cs="Arial"/>
          <w:sz w:val="24"/>
          <w:szCs w:val="24"/>
        </w:rPr>
        <w:t xml:space="preserve"> (Accessed 20 Jan. 2026).</w:t>
      </w:r>
    </w:p>
    <w:p w14:paraId="4D999C84" w14:textId="128186B0" w:rsidR="00A12D58" w:rsidRDefault="00A12D58" w:rsidP="00354C37">
      <w:pPr>
        <w:spacing w:line="360" w:lineRule="auto"/>
        <w:jc w:val="both"/>
        <w:rPr>
          <w:rFonts w:ascii="Arial" w:hAnsi="Arial" w:cs="Arial"/>
          <w:sz w:val="24"/>
          <w:szCs w:val="24"/>
        </w:rPr>
      </w:pPr>
      <w:r w:rsidRPr="00A12D58">
        <w:rPr>
          <w:rFonts w:ascii="Arial" w:hAnsi="Arial" w:cs="Arial"/>
          <w:sz w:val="24"/>
          <w:szCs w:val="24"/>
        </w:rPr>
        <w:t>Bakker, A.B. and Demerouti, E. (2017)</w:t>
      </w:r>
      <w:r>
        <w:rPr>
          <w:rFonts w:ascii="Arial" w:hAnsi="Arial" w:cs="Arial"/>
          <w:sz w:val="24"/>
          <w:szCs w:val="24"/>
        </w:rPr>
        <w:t xml:space="preserve">. </w:t>
      </w:r>
      <w:r w:rsidRPr="00A12D58">
        <w:rPr>
          <w:rFonts w:ascii="Arial" w:hAnsi="Arial" w:cs="Arial"/>
          <w:sz w:val="24"/>
          <w:szCs w:val="24"/>
        </w:rPr>
        <w:t xml:space="preserve">Job demands–resources theory: Taking stock and looking forward, </w:t>
      </w:r>
      <w:r w:rsidRPr="000E3B70">
        <w:rPr>
          <w:rFonts w:ascii="Arial" w:hAnsi="Arial" w:cs="Arial"/>
          <w:i/>
          <w:iCs/>
          <w:sz w:val="24"/>
          <w:szCs w:val="24"/>
        </w:rPr>
        <w:t>Journal of Occupational Health Psychology</w:t>
      </w:r>
      <w:r w:rsidRPr="00A12D58">
        <w:rPr>
          <w:rFonts w:ascii="Arial" w:hAnsi="Arial" w:cs="Arial"/>
          <w:sz w:val="24"/>
          <w:szCs w:val="24"/>
        </w:rPr>
        <w:t xml:space="preserve">, 22(3), pp. 273–285. </w:t>
      </w:r>
      <w:r w:rsidR="000E3B70">
        <w:rPr>
          <w:rFonts w:ascii="Arial" w:hAnsi="Arial" w:cs="Arial"/>
          <w:sz w:val="24"/>
          <w:szCs w:val="24"/>
        </w:rPr>
        <w:t xml:space="preserve">Available at: </w:t>
      </w:r>
      <w:hyperlink r:id="rId5" w:history="1">
        <w:r w:rsidR="000E3B70" w:rsidRPr="00934F02">
          <w:rPr>
            <w:rStyle w:val="Hyperlink"/>
            <w:rFonts w:ascii="Arial" w:hAnsi="Arial" w:cs="Arial"/>
            <w:sz w:val="24"/>
            <w:szCs w:val="24"/>
          </w:rPr>
          <w:t>https://doi.org/10.1037/ocp0000056</w:t>
        </w:r>
      </w:hyperlink>
      <w:r w:rsidR="000E3B70">
        <w:rPr>
          <w:rFonts w:ascii="Arial" w:hAnsi="Arial" w:cs="Arial"/>
          <w:sz w:val="24"/>
          <w:szCs w:val="24"/>
        </w:rPr>
        <w:t xml:space="preserve"> (Accessed 20 Jan. 2026).</w:t>
      </w:r>
    </w:p>
    <w:p w14:paraId="432A2317" w14:textId="2E4C177B" w:rsidR="002A5091" w:rsidRDefault="002A5091" w:rsidP="00354C37">
      <w:pPr>
        <w:spacing w:line="360" w:lineRule="auto"/>
        <w:jc w:val="both"/>
        <w:rPr>
          <w:rFonts w:ascii="Arial" w:hAnsi="Arial" w:cs="Arial"/>
          <w:sz w:val="24"/>
          <w:szCs w:val="24"/>
        </w:rPr>
      </w:pPr>
      <w:r w:rsidRPr="002A5091">
        <w:rPr>
          <w:rFonts w:ascii="Arial" w:hAnsi="Arial" w:cs="Arial"/>
          <w:sz w:val="24"/>
          <w:szCs w:val="24"/>
        </w:rPr>
        <w:t>Baquero, A. (2023)</w:t>
      </w:r>
      <w:r>
        <w:rPr>
          <w:rFonts w:ascii="Arial" w:hAnsi="Arial" w:cs="Arial"/>
          <w:sz w:val="24"/>
          <w:szCs w:val="24"/>
        </w:rPr>
        <w:t xml:space="preserve">. </w:t>
      </w:r>
      <w:r w:rsidRPr="002A5091">
        <w:rPr>
          <w:rFonts w:ascii="Arial" w:hAnsi="Arial" w:cs="Arial"/>
          <w:sz w:val="24"/>
          <w:szCs w:val="24"/>
        </w:rPr>
        <w:t xml:space="preserve">Hotel Employees’ Burnout and Intention to Quit: The Role of Psychological Distress and Financial Well-Being in a Moderation Mediation Model, </w:t>
      </w:r>
      <w:proofErr w:type="spellStart"/>
      <w:r w:rsidRPr="002A5091">
        <w:rPr>
          <w:rFonts w:ascii="Arial" w:hAnsi="Arial" w:cs="Arial"/>
          <w:i/>
          <w:iCs/>
          <w:sz w:val="24"/>
          <w:szCs w:val="24"/>
        </w:rPr>
        <w:t>Behavioral</w:t>
      </w:r>
      <w:proofErr w:type="spellEnd"/>
      <w:r w:rsidRPr="002A5091">
        <w:rPr>
          <w:rFonts w:ascii="Arial" w:hAnsi="Arial" w:cs="Arial"/>
          <w:i/>
          <w:iCs/>
          <w:sz w:val="24"/>
          <w:szCs w:val="24"/>
        </w:rPr>
        <w:t xml:space="preserve"> sciences</w:t>
      </w:r>
      <w:r w:rsidRPr="002A5091">
        <w:rPr>
          <w:rFonts w:ascii="Arial" w:hAnsi="Arial" w:cs="Arial"/>
          <w:sz w:val="24"/>
          <w:szCs w:val="24"/>
        </w:rPr>
        <w:t xml:space="preserve">, 13(2), p. 84. Available at: </w:t>
      </w:r>
      <w:hyperlink r:id="rId6" w:history="1">
        <w:r w:rsidRPr="00934F02">
          <w:rPr>
            <w:rStyle w:val="Hyperlink"/>
            <w:rFonts w:ascii="Arial" w:hAnsi="Arial" w:cs="Arial"/>
            <w:sz w:val="24"/>
            <w:szCs w:val="24"/>
          </w:rPr>
          <w:t>https://doi.org/10.3390/bs13020084</w:t>
        </w:r>
      </w:hyperlink>
      <w:r>
        <w:rPr>
          <w:rFonts w:ascii="Arial" w:hAnsi="Arial" w:cs="Arial"/>
          <w:sz w:val="24"/>
          <w:szCs w:val="24"/>
        </w:rPr>
        <w:t xml:space="preserve"> (Accessed 19 Jan. 2026).</w:t>
      </w:r>
    </w:p>
    <w:p w14:paraId="54DB3AF0" w14:textId="468DA61B" w:rsidR="00354C37" w:rsidRDefault="00354C37" w:rsidP="00354C37">
      <w:pPr>
        <w:spacing w:line="360" w:lineRule="auto"/>
        <w:jc w:val="both"/>
        <w:rPr>
          <w:rFonts w:ascii="Arial" w:hAnsi="Arial" w:cs="Arial"/>
          <w:sz w:val="24"/>
          <w:szCs w:val="24"/>
        </w:rPr>
      </w:pPr>
      <w:r w:rsidRPr="00354C37">
        <w:rPr>
          <w:rFonts w:ascii="Arial" w:hAnsi="Arial" w:cs="Arial"/>
          <w:sz w:val="24"/>
          <w:szCs w:val="24"/>
        </w:rPr>
        <w:t xml:space="preserve">Baum, T., Mooney, S.K., Robinson, R.N. and </w:t>
      </w:r>
      <w:proofErr w:type="spellStart"/>
      <w:r w:rsidRPr="00354C37">
        <w:rPr>
          <w:rFonts w:ascii="Arial" w:hAnsi="Arial" w:cs="Arial"/>
          <w:sz w:val="24"/>
          <w:szCs w:val="24"/>
        </w:rPr>
        <w:t>Solnet</w:t>
      </w:r>
      <w:proofErr w:type="spellEnd"/>
      <w:r w:rsidRPr="00354C37">
        <w:rPr>
          <w:rFonts w:ascii="Arial" w:hAnsi="Arial" w:cs="Arial"/>
          <w:sz w:val="24"/>
          <w:szCs w:val="24"/>
        </w:rPr>
        <w:t>, D. (2020)</w:t>
      </w:r>
      <w:r>
        <w:rPr>
          <w:rFonts w:ascii="Arial" w:hAnsi="Arial" w:cs="Arial"/>
          <w:sz w:val="24"/>
          <w:szCs w:val="24"/>
        </w:rPr>
        <w:t xml:space="preserve">. </w:t>
      </w:r>
      <w:r w:rsidRPr="00354C37">
        <w:rPr>
          <w:rFonts w:ascii="Arial" w:hAnsi="Arial" w:cs="Arial"/>
          <w:sz w:val="24"/>
          <w:szCs w:val="24"/>
        </w:rPr>
        <w:t xml:space="preserve">COVID-19’s impact on the hospitality workforce – new crisis or amplification of the norm? </w:t>
      </w:r>
      <w:r w:rsidRPr="00354C37">
        <w:rPr>
          <w:rFonts w:ascii="Arial" w:hAnsi="Arial" w:cs="Arial"/>
          <w:i/>
          <w:iCs/>
          <w:sz w:val="24"/>
          <w:szCs w:val="24"/>
        </w:rPr>
        <w:t>International Journal of Contemporary Hospitality Management</w:t>
      </w:r>
      <w:r w:rsidRPr="00354C37">
        <w:rPr>
          <w:rFonts w:ascii="Arial" w:hAnsi="Arial" w:cs="Arial"/>
          <w:sz w:val="24"/>
          <w:szCs w:val="24"/>
        </w:rPr>
        <w:t>, 32(9), pp. 2813–2829.</w:t>
      </w:r>
      <w:r>
        <w:rPr>
          <w:rFonts w:ascii="Arial" w:hAnsi="Arial" w:cs="Arial"/>
          <w:sz w:val="24"/>
          <w:szCs w:val="24"/>
        </w:rPr>
        <w:t xml:space="preserve"> Available at: </w:t>
      </w:r>
      <w:hyperlink r:id="rId7" w:history="1">
        <w:r w:rsidRPr="00934F02">
          <w:rPr>
            <w:rStyle w:val="Hyperlink"/>
            <w:rFonts w:ascii="Arial" w:hAnsi="Arial" w:cs="Arial"/>
            <w:sz w:val="24"/>
            <w:szCs w:val="24"/>
          </w:rPr>
          <w:t>https://doi.org/10.1108/IJCHM-04-2020-0314</w:t>
        </w:r>
      </w:hyperlink>
      <w:r>
        <w:rPr>
          <w:rFonts w:ascii="Arial" w:hAnsi="Arial" w:cs="Arial"/>
          <w:sz w:val="24"/>
          <w:szCs w:val="24"/>
        </w:rPr>
        <w:t xml:space="preserve"> (Accessed 18 Jan. 2025).</w:t>
      </w:r>
    </w:p>
    <w:p w14:paraId="60145E97" w14:textId="497BC4A4" w:rsidR="00C22A88" w:rsidRDefault="00C22A88" w:rsidP="00C22A88">
      <w:pPr>
        <w:spacing w:line="360" w:lineRule="auto"/>
        <w:jc w:val="both"/>
        <w:rPr>
          <w:rFonts w:ascii="Arial" w:hAnsi="Arial" w:cs="Arial"/>
          <w:sz w:val="24"/>
          <w:szCs w:val="24"/>
        </w:rPr>
      </w:pPr>
      <w:r w:rsidRPr="00C22A88">
        <w:rPr>
          <w:rFonts w:ascii="Arial" w:hAnsi="Arial" w:cs="Arial"/>
          <w:sz w:val="24"/>
          <w:szCs w:val="24"/>
        </w:rPr>
        <w:t>Braun, V. and Clarke, V. (2006)</w:t>
      </w:r>
      <w:r>
        <w:rPr>
          <w:rFonts w:ascii="Arial" w:hAnsi="Arial" w:cs="Arial"/>
          <w:sz w:val="24"/>
          <w:szCs w:val="24"/>
        </w:rPr>
        <w:t xml:space="preserve">. </w:t>
      </w:r>
      <w:r w:rsidRPr="00C22A88">
        <w:rPr>
          <w:rFonts w:ascii="Arial" w:hAnsi="Arial" w:cs="Arial"/>
          <w:sz w:val="24"/>
          <w:szCs w:val="24"/>
        </w:rPr>
        <w:t xml:space="preserve">Using thematic analysis in psychology, </w:t>
      </w:r>
      <w:r w:rsidRPr="00167288">
        <w:rPr>
          <w:rFonts w:ascii="Arial" w:hAnsi="Arial" w:cs="Arial"/>
          <w:i/>
          <w:iCs/>
          <w:sz w:val="24"/>
          <w:szCs w:val="24"/>
        </w:rPr>
        <w:t>Qualitative Research in Psychology</w:t>
      </w:r>
      <w:r w:rsidRPr="00C22A88">
        <w:rPr>
          <w:rFonts w:ascii="Arial" w:hAnsi="Arial" w:cs="Arial"/>
          <w:sz w:val="24"/>
          <w:szCs w:val="24"/>
        </w:rPr>
        <w:t>, 3(2), pp. 77–101.</w:t>
      </w:r>
      <w:r w:rsidR="00167288">
        <w:rPr>
          <w:rFonts w:ascii="Arial" w:hAnsi="Arial" w:cs="Arial"/>
          <w:sz w:val="24"/>
          <w:szCs w:val="24"/>
        </w:rPr>
        <w:t xml:space="preserve"> Available at: </w:t>
      </w:r>
      <w:hyperlink r:id="rId8" w:history="1">
        <w:r w:rsidR="00167288" w:rsidRPr="00934F02">
          <w:rPr>
            <w:rStyle w:val="Hyperlink"/>
            <w:rFonts w:ascii="Arial" w:hAnsi="Arial" w:cs="Arial"/>
            <w:sz w:val="24"/>
            <w:szCs w:val="24"/>
          </w:rPr>
          <w:t>https://doi.org/10.1191/1478088706qp063oa</w:t>
        </w:r>
      </w:hyperlink>
      <w:r w:rsidR="00167288">
        <w:rPr>
          <w:rFonts w:ascii="Arial" w:hAnsi="Arial" w:cs="Arial"/>
          <w:sz w:val="24"/>
          <w:szCs w:val="24"/>
        </w:rPr>
        <w:t xml:space="preserve"> (Accessed 24 Jan. 2026).</w:t>
      </w:r>
    </w:p>
    <w:p w14:paraId="63F6B670" w14:textId="54AA1BFC" w:rsidR="00E37C56" w:rsidRDefault="00E37C56" w:rsidP="00354C37">
      <w:pPr>
        <w:spacing w:line="360" w:lineRule="auto"/>
        <w:jc w:val="both"/>
        <w:rPr>
          <w:rFonts w:ascii="Arial" w:hAnsi="Arial" w:cs="Arial"/>
          <w:sz w:val="24"/>
          <w:szCs w:val="24"/>
        </w:rPr>
      </w:pPr>
      <w:r w:rsidRPr="00E37C56">
        <w:rPr>
          <w:rFonts w:ascii="Arial" w:hAnsi="Arial" w:cs="Arial"/>
          <w:sz w:val="24"/>
          <w:szCs w:val="24"/>
        </w:rPr>
        <w:t>Demerouti, E., Bakker, A.B., Nachreiner, F. and Schaufeli, W.B. (2001)</w:t>
      </w:r>
      <w:r w:rsidR="003A7B45">
        <w:rPr>
          <w:rFonts w:ascii="Arial" w:hAnsi="Arial" w:cs="Arial"/>
          <w:sz w:val="24"/>
          <w:szCs w:val="24"/>
        </w:rPr>
        <w:t xml:space="preserve">. </w:t>
      </w:r>
      <w:r w:rsidRPr="00E37C56">
        <w:rPr>
          <w:rFonts w:ascii="Arial" w:hAnsi="Arial" w:cs="Arial"/>
          <w:sz w:val="24"/>
          <w:szCs w:val="24"/>
        </w:rPr>
        <w:t xml:space="preserve">The job demands–resources model of burnout, </w:t>
      </w:r>
      <w:r w:rsidRPr="003A7B45">
        <w:rPr>
          <w:rFonts w:ascii="Arial" w:hAnsi="Arial" w:cs="Arial"/>
          <w:i/>
          <w:iCs/>
          <w:sz w:val="24"/>
          <w:szCs w:val="24"/>
        </w:rPr>
        <w:t>Journal of Applied Psychology</w:t>
      </w:r>
      <w:r w:rsidRPr="00E37C56">
        <w:rPr>
          <w:rFonts w:ascii="Arial" w:hAnsi="Arial" w:cs="Arial"/>
          <w:sz w:val="24"/>
          <w:szCs w:val="24"/>
        </w:rPr>
        <w:t xml:space="preserve">, 86(3), pp. 499–512. </w:t>
      </w:r>
      <w:r w:rsidR="003A7B45">
        <w:rPr>
          <w:rFonts w:ascii="Arial" w:hAnsi="Arial" w:cs="Arial"/>
          <w:sz w:val="24"/>
          <w:szCs w:val="24"/>
        </w:rPr>
        <w:t xml:space="preserve">Available at: </w:t>
      </w:r>
      <w:hyperlink r:id="rId9" w:history="1">
        <w:r w:rsidR="003A7B45" w:rsidRPr="00934F02">
          <w:rPr>
            <w:rStyle w:val="Hyperlink"/>
            <w:rFonts w:ascii="Arial" w:hAnsi="Arial" w:cs="Arial"/>
            <w:sz w:val="24"/>
            <w:szCs w:val="24"/>
          </w:rPr>
          <w:t>https://doi.org/10.1037/0021-9010.86.3.499</w:t>
        </w:r>
      </w:hyperlink>
      <w:r w:rsidR="003A7B45">
        <w:rPr>
          <w:rFonts w:ascii="Arial" w:hAnsi="Arial" w:cs="Arial"/>
          <w:sz w:val="24"/>
          <w:szCs w:val="24"/>
        </w:rPr>
        <w:t xml:space="preserve"> (Accessed </w:t>
      </w:r>
      <w:r w:rsidR="00ED05C7">
        <w:rPr>
          <w:rFonts w:ascii="Arial" w:hAnsi="Arial" w:cs="Arial"/>
          <w:sz w:val="24"/>
          <w:szCs w:val="24"/>
        </w:rPr>
        <w:t>19 Jan. 2026).</w:t>
      </w:r>
    </w:p>
    <w:p w14:paraId="2E678B21" w14:textId="61B8B55F" w:rsidR="00A7737F" w:rsidRDefault="00A7737F" w:rsidP="00354C37">
      <w:pPr>
        <w:spacing w:line="360" w:lineRule="auto"/>
        <w:jc w:val="both"/>
        <w:rPr>
          <w:rFonts w:ascii="Arial" w:hAnsi="Arial" w:cs="Arial"/>
          <w:sz w:val="24"/>
          <w:szCs w:val="24"/>
        </w:rPr>
      </w:pPr>
      <w:r w:rsidRPr="00A7737F">
        <w:rPr>
          <w:rFonts w:ascii="Arial" w:hAnsi="Arial" w:cs="Arial"/>
          <w:sz w:val="24"/>
          <w:szCs w:val="24"/>
        </w:rPr>
        <w:t>Grandey, A.A. (2000)</w:t>
      </w:r>
      <w:r>
        <w:rPr>
          <w:rFonts w:ascii="Arial" w:hAnsi="Arial" w:cs="Arial"/>
          <w:sz w:val="24"/>
          <w:szCs w:val="24"/>
        </w:rPr>
        <w:t xml:space="preserve">. </w:t>
      </w:r>
      <w:r w:rsidRPr="00A7737F">
        <w:rPr>
          <w:rFonts w:ascii="Arial" w:hAnsi="Arial" w:cs="Arial"/>
          <w:sz w:val="24"/>
          <w:szCs w:val="24"/>
        </w:rPr>
        <w:t xml:space="preserve">Emotion regulation in the workplace, </w:t>
      </w:r>
      <w:r w:rsidRPr="00A7737F">
        <w:rPr>
          <w:rFonts w:ascii="Arial" w:hAnsi="Arial" w:cs="Arial"/>
          <w:i/>
          <w:iCs/>
          <w:sz w:val="24"/>
          <w:szCs w:val="24"/>
        </w:rPr>
        <w:t>Journal of Occupational Health Psychology</w:t>
      </w:r>
      <w:r w:rsidRPr="00A7737F">
        <w:rPr>
          <w:rFonts w:ascii="Arial" w:hAnsi="Arial" w:cs="Arial"/>
          <w:sz w:val="24"/>
          <w:szCs w:val="24"/>
        </w:rPr>
        <w:t xml:space="preserve">, 5(1), pp. 95–110. </w:t>
      </w:r>
      <w:r>
        <w:rPr>
          <w:rFonts w:ascii="Arial" w:hAnsi="Arial" w:cs="Arial"/>
          <w:sz w:val="24"/>
          <w:szCs w:val="24"/>
        </w:rPr>
        <w:t xml:space="preserve">Available at: </w:t>
      </w:r>
      <w:hyperlink r:id="rId10" w:history="1">
        <w:r w:rsidRPr="00934F02">
          <w:rPr>
            <w:rStyle w:val="Hyperlink"/>
            <w:rFonts w:ascii="Arial" w:hAnsi="Arial" w:cs="Arial"/>
            <w:sz w:val="24"/>
            <w:szCs w:val="24"/>
          </w:rPr>
          <w:t>https://doi.org/10.1037/1076-8998.5.1.95</w:t>
        </w:r>
      </w:hyperlink>
      <w:r>
        <w:rPr>
          <w:rFonts w:ascii="Arial" w:hAnsi="Arial" w:cs="Arial"/>
          <w:sz w:val="24"/>
          <w:szCs w:val="24"/>
        </w:rPr>
        <w:t xml:space="preserve"> (Accessed </w:t>
      </w:r>
      <w:r w:rsidR="00FC10DF">
        <w:rPr>
          <w:rFonts w:ascii="Arial" w:hAnsi="Arial" w:cs="Arial"/>
          <w:sz w:val="24"/>
          <w:szCs w:val="24"/>
        </w:rPr>
        <w:t>21 Jan. 2026).</w:t>
      </w:r>
    </w:p>
    <w:p w14:paraId="2BA71046" w14:textId="15E356B1" w:rsidR="00EE3AE0" w:rsidRDefault="003E4BAA" w:rsidP="00354C37">
      <w:pPr>
        <w:spacing w:line="360" w:lineRule="auto"/>
        <w:jc w:val="both"/>
        <w:rPr>
          <w:rFonts w:ascii="Arial" w:hAnsi="Arial" w:cs="Arial"/>
          <w:sz w:val="24"/>
          <w:szCs w:val="24"/>
        </w:rPr>
      </w:pPr>
      <w:r w:rsidRPr="003E4BAA">
        <w:rPr>
          <w:rFonts w:ascii="Arial" w:hAnsi="Arial" w:cs="Arial"/>
          <w:sz w:val="24"/>
          <w:szCs w:val="24"/>
        </w:rPr>
        <w:t>Health and Safety Executive (HSE) (202</w:t>
      </w:r>
      <w:r>
        <w:rPr>
          <w:rFonts w:ascii="Arial" w:hAnsi="Arial" w:cs="Arial"/>
          <w:sz w:val="24"/>
          <w:szCs w:val="24"/>
        </w:rPr>
        <w:t>5</w:t>
      </w:r>
      <w:r w:rsidRPr="003E4BAA">
        <w:rPr>
          <w:rFonts w:ascii="Arial" w:hAnsi="Arial" w:cs="Arial"/>
          <w:i/>
          <w:iCs/>
          <w:sz w:val="24"/>
          <w:szCs w:val="24"/>
        </w:rPr>
        <w:t>). Work-related stress, anxiety or depression statistics in Great Britain</w:t>
      </w:r>
      <w:r w:rsidRPr="003E4BAA">
        <w:rPr>
          <w:rFonts w:ascii="Arial" w:hAnsi="Arial" w:cs="Arial"/>
          <w:sz w:val="24"/>
          <w:szCs w:val="24"/>
        </w:rPr>
        <w:t xml:space="preserve"> (Statistics report). Available at: </w:t>
      </w:r>
      <w:hyperlink r:id="rId11" w:history="1">
        <w:r w:rsidRPr="00934F02">
          <w:rPr>
            <w:rStyle w:val="Hyperlink"/>
            <w:rFonts w:ascii="Arial" w:hAnsi="Arial" w:cs="Arial"/>
            <w:sz w:val="24"/>
            <w:szCs w:val="24"/>
          </w:rPr>
          <w:t>https://www.hse.gov.uk/statistics/assets/docs/stress.pdf</w:t>
        </w:r>
      </w:hyperlink>
      <w:r>
        <w:rPr>
          <w:rFonts w:ascii="Arial" w:hAnsi="Arial" w:cs="Arial"/>
          <w:sz w:val="24"/>
          <w:szCs w:val="24"/>
        </w:rPr>
        <w:t xml:space="preserve"> (Accessed 28 Jan. 2026).</w:t>
      </w:r>
    </w:p>
    <w:p w14:paraId="408B5A86" w14:textId="43893EC4" w:rsidR="00421726" w:rsidRDefault="00421726" w:rsidP="00354C37">
      <w:pPr>
        <w:spacing w:line="360" w:lineRule="auto"/>
        <w:jc w:val="both"/>
        <w:rPr>
          <w:rFonts w:ascii="Arial" w:hAnsi="Arial" w:cs="Arial"/>
          <w:sz w:val="24"/>
          <w:szCs w:val="24"/>
        </w:rPr>
      </w:pPr>
      <w:r w:rsidRPr="00421726">
        <w:rPr>
          <w:rFonts w:ascii="Arial" w:hAnsi="Arial" w:cs="Arial"/>
          <w:sz w:val="24"/>
          <w:szCs w:val="24"/>
        </w:rPr>
        <w:t>Hochschild, A.R. (1983)</w:t>
      </w:r>
      <w:r>
        <w:rPr>
          <w:rFonts w:ascii="Arial" w:hAnsi="Arial" w:cs="Arial"/>
          <w:sz w:val="24"/>
          <w:szCs w:val="24"/>
        </w:rPr>
        <w:t>.</w:t>
      </w:r>
      <w:r w:rsidRPr="00421726">
        <w:rPr>
          <w:rFonts w:ascii="Arial" w:hAnsi="Arial" w:cs="Arial"/>
          <w:sz w:val="24"/>
          <w:szCs w:val="24"/>
        </w:rPr>
        <w:t xml:space="preserve"> </w:t>
      </w:r>
      <w:r w:rsidRPr="00AA51FE">
        <w:rPr>
          <w:rFonts w:ascii="Arial" w:hAnsi="Arial" w:cs="Arial"/>
          <w:i/>
          <w:iCs/>
          <w:sz w:val="24"/>
          <w:szCs w:val="24"/>
        </w:rPr>
        <w:t>The Managed Heart: Commercialization of Human Feeling</w:t>
      </w:r>
      <w:r w:rsidRPr="00421726">
        <w:rPr>
          <w:rFonts w:ascii="Arial" w:hAnsi="Arial" w:cs="Arial"/>
          <w:sz w:val="24"/>
          <w:szCs w:val="24"/>
        </w:rPr>
        <w:t>. Berkeley: University of California Press</w:t>
      </w:r>
      <w:r w:rsidR="00AA51FE">
        <w:rPr>
          <w:rFonts w:ascii="Arial" w:hAnsi="Arial" w:cs="Arial"/>
          <w:sz w:val="24"/>
          <w:szCs w:val="24"/>
        </w:rPr>
        <w:t>.</w:t>
      </w:r>
    </w:p>
    <w:p w14:paraId="3BD239E9" w14:textId="412BCE09" w:rsidR="00D022C6" w:rsidRDefault="00D022C6" w:rsidP="00354C37">
      <w:pPr>
        <w:spacing w:line="360" w:lineRule="auto"/>
        <w:jc w:val="both"/>
        <w:rPr>
          <w:rFonts w:ascii="Arial" w:hAnsi="Arial" w:cs="Arial"/>
          <w:sz w:val="24"/>
          <w:szCs w:val="24"/>
        </w:rPr>
      </w:pPr>
      <w:r w:rsidRPr="00D022C6">
        <w:rPr>
          <w:rFonts w:ascii="Arial" w:hAnsi="Arial" w:cs="Arial"/>
          <w:sz w:val="24"/>
          <w:szCs w:val="24"/>
        </w:rPr>
        <w:lastRenderedPageBreak/>
        <w:t>Hotel Dive (2024)</w:t>
      </w:r>
      <w:r>
        <w:rPr>
          <w:rFonts w:ascii="Arial" w:hAnsi="Arial" w:cs="Arial"/>
          <w:sz w:val="24"/>
          <w:szCs w:val="24"/>
        </w:rPr>
        <w:t xml:space="preserve">. </w:t>
      </w:r>
      <w:r w:rsidRPr="00D022C6">
        <w:rPr>
          <w:rFonts w:ascii="Arial" w:hAnsi="Arial" w:cs="Arial"/>
          <w:i/>
          <w:iCs/>
          <w:sz w:val="24"/>
          <w:szCs w:val="24"/>
        </w:rPr>
        <w:t>Hospitality industry faces increased pressure over worker burnout</w:t>
      </w:r>
      <w:r w:rsidRPr="00D022C6">
        <w:rPr>
          <w:rFonts w:ascii="Arial" w:hAnsi="Arial" w:cs="Arial"/>
          <w:sz w:val="24"/>
          <w:szCs w:val="24"/>
        </w:rPr>
        <w:t xml:space="preserve">. Available at: </w:t>
      </w:r>
      <w:hyperlink r:id="rId12" w:history="1">
        <w:r w:rsidR="00E47CC2" w:rsidRPr="00934F02">
          <w:rPr>
            <w:rStyle w:val="Hyperlink"/>
            <w:rFonts w:ascii="Arial" w:hAnsi="Arial" w:cs="Arial"/>
            <w:sz w:val="24"/>
            <w:szCs w:val="24"/>
          </w:rPr>
          <w:t>https://www.hoteldive.com/news/hospitality-industry-worker-burnout/725528/</w:t>
        </w:r>
      </w:hyperlink>
      <w:r w:rsidR="00E47CC2">
        <w:rPr>
          <w:rFonts w:ascii="Arial" w:hAnsi="Arial" w:cs="Arial"/>
          <w:sz w:val="24"/>
          <w:szCs w:val="24"/>
        </w:rPr>
        <w:t xml:space="preserve"> (Accessed 18 Jan. 2026).</w:t>
      </w:r>
    </w:p>
    <w:p w14:paraId="114C7B50" w14:textId="059D1778" w:rsidR="0099296A" w:rsidRDefault="0099296A" w:rsidP="00354C37">
      <w:pPr>
        <w:spacing w:line="360" w:lineRule="auto"/>
        <w:jc w:val="both"/>
        <w:rPr>
          <w:rFonts w:ascii="Arial" w:hAnsi="Arial" w:cs="Arial"/>
          <w:sz w:val="24"/>
          <w:szCs w:val="24"/>
        </w:rPr>
      </w:pPr>
      <w:r w:rsidRPr="0099296A">
        <w:rPr>
          <w:rFonts w:ascii="Arial" w:hAnsi="Arial" w:cs="Arial"/>
          <w:sz w:val="24"/>
          <w:szCs w:val="24"/>
        </w:rPr>
        <w:t>International Labour Organization (ILO) and World Health Organization (WHO) (2022)</w:t>
      </w:r>
      <w:r w:rsidR="00BF43B6">
        <w:rPr>
          <w:rFonts w:ascii="Arial" w:hAnsi="Arial" w:cs="Arial"/>
          <w:sz w:val="24"/>
          <w:szCs w:val="24"/>
        </w:rPr>
        <w:t>.</w:t>
      </w:r>
      <w:r w:rsidRPr="0099296A">
        <w:rPr>
          <w:rFonts w:ascii="Arial" w:hAnsi="Arial" w:cs="Arial"/>
          <w:sz w:val="24"/>
          <w:szCs w:val="24"/>
        </w:rPr>
        <w:t xml:space="preserve"> </w:t>
      </w:r>
      <w:r w:rsidRPr="00BF43B6">
        <w:rPr>
          <w:rFonts w:ascii="Arial" w:hAnsi="Arial" w:cs="Arial"/>
          <w:i/>
          <w:iCs/>
          <w:sz w:val="24"/>
          <w:szCs w:val="24"/>
        </w:rPr>
        <w:t>Mental health at work: policy brief</w:t>
      </w:r>
      <w:r w:rsidRPr="0099296A">
        <w:rPr>
          <w:rFonts w:ascii="Arial" w:hAnsi="Arial" w:cs="Arial"/>
          <w:sz w:val="24"/>
          <w:szCs w:val="24"/>
        </w:rPr>
        <w:t xml:space="preserve">. Available at: </w:t>
      </w:r>
      <w:hyperlink r:id="rId13" w:history="1">
        <w:r w:rsidR="00BF43B6" w:rsidRPr="00934F02">
          <w:rPr>
            <w:rStyle w:val="Hyperlink"/>
            <w:rFonts w:ascii="Arial" w:hAnsi="Arial" w:cs="Arial"/>
            <w:sz w:val="24"/>
            <w:szCs w:val="24"/>
          </w:rPr>
          <w:t>https://www.ilo.org/sites/default/files/wcmsp5/groups/public/%40ed_protect/%40protrav/%40safework/documents/publication/wcms_856976.pdf</w:t>
        </w:r>
      </w:hyperlink>
      <w:r w:rsidR="00BF43B6">
        <w:rPr>
          <w:rFonts w:ascii="Arial" w:hAnsi="Arial" w:cs="Arial"/>
          <w:sz w:val="24"/>
          <w:szCs w:val="24"/>
        </w:rPr>
        <w:t xml:space="preserve"> (Accessed 25 Jan. 2026).</w:t>
      </w:r>
    </w:p>
    <w:p w14:paraId="3E6EC7C2" w14:textId="0AC49495" w:rsidR="00A14A78" w:rsidRDefault="00A14A78" w:rsidP="00354C37">
      <w:pPr>
        <w:spacing w:line="360" w:lineRule="auto"/>
        <w:jc w:val="both"/>
        <w:rPr>
          <w:rFonts w:ascii="Arial" w:hAnsi="Arial" w:cs="Arial"/>
          <w:sz w:val="24"/>
          <w:szCs w:val="24"/>
        </w:rPr>
      </w:pPr>
      <w:r w:rsidRPr="00A14A78">
        <w:rPr>
          <w:rFonts w:ascii="Arial" w:hAnsi="Arial" w:cs="Arial"/>
          <w:sz w:val="24"/>
          <w:szCs w:val="24"/>
        </w:rPr>
        <w:t>Ivanov, S. and Webster, C. (2019)</w:t>
      </w:r>
      <w:r>
        <w:rPr>
          <w:rFonts w:ascii="Arial" w:hAnsi="Arial" w:cs="Arial"/>
          <w:sz w:val="24"/>
          <w:szCs w:val="24"/>
        </w:rPr>
        <w:t>.</w:t>
      </w:r>
      <w:r w:rsidRPr="00A14A78">
        <w:rPr>
          <w:rFonts w:ascii="Arial" w:hAnsi="Arial" w:cs="Arial"/>
          <w:sz w:val="24"/>
          <w:szCs w:val="24"/>
        </w:rPr>
        <w:t xml:space="preserve"> </w:t>
      </w:r>
      <w:r w:rsidRPr="00A14A78">
        <w:rPr>
          <w:rFonts w:ascii="Arial" w:hAnsi="Arial" w:cs="Arial"/>
          <w:i/>
          <w:iCs/>
          <w:sz w:val="24"/>
          <w:szCs w:val="24"/>
        </w:rPr>
        <w:t>Robots, artificial intelligence and service automation in travel, tourism and hospitality</w:t>
      </w:r>
      <w:r w:rsidRPr="00A14A78">
        <w:rPr>
          <w:rFonts w:ascii="Arial" w:hAnsi="Arial" w:cs="Arial"/>
          <w:sz w:val="24"/>
          <w:szCs w:val="24"/>
        </w:rPr>
        <w:t>. Bingley: Emerald Publishing.</w:t>
      </w:r>
    </w:p>
    <w:p w14:paraId="7E4D725A" w14:textId="1BCA3BBC" w:rsidR="002B311E" w:rsidRDefault="002B311E" w:rsidP="002B311E">
      <w:pPr>
        <w:spacing w:line="360" w:lineRule="auto"/>
        <w:jc w:val="both"/>
        <w:rPr>
          <w:rFonts w:ascii="Arial" w:hAnsi="Arial" w:cs="Arial"/>
          <w:sz w:val="24"/>
          <w:szCs w:val="24"/>
        </w:rPr>
      </w:pPr>
      <w:r w:rsidRPr="002B311E">
        <w:rPr>
          <w:rFonts w:ascii="Arial" w:hAnsi="Arial" w:cs="Arial"/>
          <w:sz w:val="24"/>
          <w:szCs w:val="24"/>
        </w:rPr>
        <w:t>Jiang, K., Lepak, D.P., Hu, J. and Baer, J.C. (2012)</w:t>
      </w:r>
      <w:r>
        <w:rPr>
          <w:rFonts w:ascii="Arial" w:hAnsi="Arial" w:cs="Arial"/>
          <w:sz w:val="24"/>
          <w:szCs w:val="24"/>
        </w:rPr>
        <w:t xml:space="preserve">. </w:t>
      </w:r>
      <w:r w:rsidRPr="002B311E">
        <w:rPr>
          <w:rFonts w:ascii="Arial" w:hAnsi="Arial" w:cs="Arial"/>
          <w:sz w:val="24"/>
          <w:szCs w:val="24"/>
        </w:rPr>
        <w:t xml:space="preserve">How does human resource management influence organisational </w:t>
      </w:r>
      <w:proofErr w:type="gramStart"/>
      <w:r w:rsidRPr="002B311E">
        <w:rPr>
          <w:rFonts w:ascii="Arial" w:hAnsi="Arial" w:cs="Arial"/>
          <w:sz w:val="24"/>
          <w:szCs w:val="24"/>
        </w:rPr>
        <w:t>outcomes?,</w:t>
      </w:r>
      <w:proofErr w:type="gramEnd"/>
      <w:r w:rsidRPr="002B311E">
        <w:rPr>
          <w:rFonts w:ascii="Arial" w:hAnsi="Arial" w:cs="Arial"/>
          <w:sz w:val="24"/>
          <w:szCs w:val="24"/>
        </w:rPr>
        <w:t xml:space="preserve"> </w:t>
      </w:r>
      <w:r w:rsidRPr="002B311E">
        <w:rPr>
          <w:rFonts w:ascii="Arial" w:hAnsi="Arial" w:cs="Arial"/>
          <w:i/>
          <w:iCs/>
          <w:sz w:val="24"/>
          <w:szCs w:val="24"/>
        </w:rPr>
        <w:t>Academy of Management Journal</w:t>
      </w:r>
      <w:r w:rsidRPr="002B311E">
        <w:rPr>
          <w:rFonts w:ascii="Arial" w:hAnsi="Arial" w:cs="Arial"/>
          <w:sz w:val="24"/>
          <w:szCs w:val="24"/>
        </w:rPr>
        <w:t>, 55(6), pp. 1264–1294.</w:t>
      </w:r>
      <w:r>
        <w:rPr>
          <w:rFonts w:ascii="Arial" w:hAnsi="Arial" w:cs="Arial"/>
          <w:sz w:val="24"/>
          <w:szCs w:val="24"/>
        </w:rPr>
        <w:t xml:space="preserve"> Available at: </w:t>
      </w:r>
      <w:hyperlink r:id="rId14" w:history="1">
        <w:r w:rsidRPr="002E23DB">
          <w:rPr>
            <w:rStyle w:val="Hyperlink"/>
            <w:rFonts w:ascii="Arial" w:hAnsi="Arial" w:cs="Arial"/>
            <w:sz w:val="24"/>
            <w:szCs w:val="24"/>
          </w:rPr>
          <w:t>https://doi.org/10.5465/amj.2011.0088</w:t>
        </w:r>
      </w:hyperlink>
      <w:r>
        <w:rPr>
          <w:rFonts w:ascii="Arial" w:hAnsi="Arial" w:cs="Arial"/>
          <w:sz w:val="24"/>
          <w:szCs w:val="24"/>
        </w:rPr>
        <w:t xml:space="preserve"> (Accessed 2 Feb. 2026)</w:t>
      </w:r>
    </w:p>
    <w:p w14:paraId="1E58EC7D" w14:textId="0E4B5DE9" w:rsidR="00A953C0" w:rsidRDefault="00A953C0" w:rsidP="00354C37">
      <w:pPr>
        <w:spacing w:line="360" w:lineRule="auto"/>
        <w:jc w:val="both"/>
        <w:rPr>
          <w:rFonts w:ascii="Arial" w:hAnsi="Arial" w:cs="Arial"/>
          <w:sz w:val="24"/>
          <w:szCs w:val="24"/>
        </w:rPr>
      </w:pPr>
      <w:r w:rsidRPr="00A953C0">
        <w:rPr>
          <w:rFonts w:ascii="Arial" w:hAnsi="Arial" w:cs="Arial"/>
          <w:sz w:val="24"/>
          <w:szCs w:val="24"/>
        </w:rPr>
        <w:t>Karatepe, O.M. (2013)</w:t>
      </w:r>
      <w:r>
        <w:rPr>
          <w:rFonts w:ascii="Arial" w:hAnsi="Arial" w:cs="Arial"/>
          <w:sz w:val="24"/>
          <w:szCs w:val="24"/>
        </w:rPr>
        <w:t xml:space="preserve">. </w:t>
      </w:r>
      <w:r w:rsidRPr="00A953C0">
        <w:rPr>
          <w:rFonts w:ascii="Arial" w:hAnsi="Arial" w:cs="Arial"/>
          <w:sz w:val="24"/>
          <w:szCs w:val="24"/>
        </w:rPr>
        <w:t>High-performance work practices and hotel employee performance</w:t>
      </w:r>
      <w:r w:rsidR="00B27781">
        <w:rPr>
          <w:rFonts w:ascii="Arial" w:hAnsi="Arial" w:cs="Arial"/>
          <w:sz w:val="24"/>
          <w:szCs w:val="24"/>
        </w:rPr>
        <w:t xml:space="preserve">: </w:t>
      </w:r>
      <w:r w:rsidR="00B27781" w:rsidRPr="00B27781">
        <w:rPr>
          <w:rFonts w:ascii="Arial" w:hAnsi="Arial" w:cs="Arial"/>
          <w:sz w:val="24"/>
          <w:szCs w:val="24"/>
        </w:rPr>
        <w:t>The mediation of work engagement</w:t>
      </w:r>
      <w:r w:rsidRPr="00A953C0">
        <w:rPr>
          <w:rFonts w:ascii="Arial" w:hAnsi="Arial" w:cs="Arial"/>
          <w:sz w:val="24"/>
          <w:szCs w:val="24"/>
        </w:rPr>
        <w:t xml:space="preserve">, </w:t>
      </w:r>
      <w:r w:rsidRPr="00B27781">
        <w:rPr>
          <w:rFonts w:ascii="Arial" w:hAnsi="Arial" w:cs="Arial"/>
          <w:i/>
          <w:iCs/>
          <w:sz w:val="24"/>
          <w:szCs w:val="24"/>
        </w:rPr>
        <w:t>International Journal of Hospitality Management</w:t>
      </w:r>
      <w:r w:rsidRPr="00A953C0">
        <w:rPr>
          <w:rFonts w:ascii="Arial" w:hAnsi="Arial" w:cs="Arial"/>
          <w:sz w:val="24"/>
          <w:szCs w:val="24"/>
        </w:rPr>
        <w:t xml:space="preserve">, 32, pp. 132–140. </w:t>
      </w:r>
      <w:r w:rsidR="00B27781">
        <w:rPr>
          <w:rFonts w:ascii="Arial" w:hAnsi="Arial" w:cs="Arial"/>
          <w:sz w:val="24"/>
          <w:szCs w:val="24"/>
        </w:rPr>
        <w:t xml:space="preserve">Available at: </w:t>
      </w:r>
      <w:hyperlink r:id="rId15" w:history="1">
        <w:r w:rsidR="00B27781" w:rsidRPr="00934F02">
          <w:rPr>
            <w:rStyle w:val="Hyperlink"/>
            <w:rFonts w:ascii="Arial" w:hAnsi="Arial" w:cs="Arial"/>
            <w:sz w:val="24"/>
            <w:szCs w:val="24"/>
          </w:rPr>
          <w:t>https://doi.org/10.1016/j.ijhm.2012.05.003</w:t>
        </w:r>
      </w:hyperlink>
      <w:r w:rsidR="00B27781">
        <w:rPr>
          <w:rFonts w:ascii="Arial" w:hAnsi="Arial" w:cs="Arial"/>
          <w:sz w:val="24"/>
          <w:szCs w:val="24"/>
        </w:rPr>
        <w:t xml:space="preserve"> (Accessed 20 Jan. 2026).</w:t>
      </w:r>
    </w:p>
    <w:p w14:paraId="389DBF2B" w14:textId="5E82F4FA" w:rsidR="00030B97" w:rsidRDefault="00030B97" w:rsidP="00354C37">
      <w:pPr>
        <w:spacing w:line="360" w:lineRule="auto"/>
        <w:jc w:val="both"/>
        <w:rPr>
          <w:rFonts w:ascii="Arial" w:hAnsi="Arial" w:cs="Arial"/>
          <w:sz w:val="24"/>
          <w:szCs w:val="24"/>
        </w:rPr>
      </w:pPr>
      <w:r>
        <w:rPr>
          <w:rFonts w:ascii="Arial" w:hAnsi="Arial" w:cs="Arial"/>
          <w:sz w:val="24"/>
          <w:szCs w:val="24"/>
        </w:rPr>
        <w:t>K</w:t>
      </w:r>
      <w:r w:rsidRPr="00030B97">
        <w:rPr>
          <w:rFonts w:ascii="Arial" w:hAnsi="Arial" w:cs="Arial"/>
          <w:sz w:val="24"/>
          <w:szCs w:val="24"/>
        </w:rPr>
        <w:t>im, H.J. (2008)</w:t>
      </w:r>
      <w:r>
        <w:rPr>
          <w:rFonts w:ascii="Arial" w:hAnsi="Arial" w:cs="Arial"/>
          <w:sz w:val="24"/>
          <w:szCs w:val="24"/>
        </w:rPr>
        <w:t xml:space="preserve">. </w:t>
      </w:r>
      <w:r w:rsidRPr="00030B97">
        <w:rPr>
          <w:rFonts w:ascii="Arial" w:hAnsi="Arial" w:cs="Arial"/>
          <w:sz w:val="24"/>
          <w:szCs w:val="24"/>
        </w:rPr>
        <w:t xml:space="preserve">Hotel service providers’ emotional </w:t>
      </w:r>
      <w:proofErr w:type="spellStart"/>
      <w:r w:rsidRPr="00030B97">
        <w:rPr>
          <w:rFonts w:ascii="Arial" w:hAnsi="Arial" w:cs="Arial"/>
          <w:sz w:val="24"/>
          <w:szCs w:val="24"/>
        </w:rPr>
        <w:t>labor</w:t>
      </w:r>
      <w:proofErr w:type="spellEnd"/>
      <w:r w:rsidRPr="00030B97">
        <w:rPr>
          <w:rFonts w:ascii="Arial" w:hAnsi="Arial" w:cs="Arial"/>
          <w:sz w:val="24"/>
          <w:szCs w:val="24"/>
        </w:rPr>
        <w:t xml:space="preserve">: The antecedents and effects on burnout, </w:t>
      </w:r>
      <w:r w:rsidRPr="00030B97">
        <w:rPr>
          <w:rFonts w:ascii="Arial" w:hAnsi="Arial" w:cs="Arial"/>
          <w:i/>
          <w:iCs/>
          <w:sz w:val="24"/>
          <w:szCs w:val="24"/>
        </w:rPr>
        <w:t>International Journal of Hospitality Management</w:t>
      </w:r>
      <w:r w:rsidRPr="00030B97">
        <w:rPr>
          <w:rFonts w:ascii="Arial" w:hAnsi="Arial" w:cs="Arial"/>
          <w:sz w:val="24"/>
          <w:szCs w:val="24"/>
        </w:rPr>
        <w:t xml:space="preserve">, 27(2), pp. 151–161. </w:t>
      </w:r>
      <w:r>
        <w:rPr>
          <w:rFonts w:ascii="Arial" w:hAnsi="Arial" w:cs="Arial"/>
          <w:sz w:val="24"/>
          <w:szCs w:val="24"/>
        </w:rPr>
        <w:t xml:space="preserve">Available at: </w:t>
      </w:r>
      <w:hyperlink r:id="rId16" w:history="1">
        <w:r w:rsidRPr="00934F02">
          <w:rPr>
            <w:rStyle w:val="Hyperlink"/>
            <w:rFonts w:ascii="Arial" w:hAnsi="Arial" w:cs="Arial"/>
            <w:sz w:val="24"/>
            <w:szCs w:val="24"/>
          </w:rPr>
          <w:t>https://doi.org/10.1016/j.ijhm.2007.07.019</w:t>
        </w:r>
      </w:hyperlink>
      <w:r>
        <w:rPr>
          <w:rFonts w:ascii="Arial" w:hAnsi="Arial" w:cs="Arial"/>
          <w:sz w:val="24"/>
          <w:szCs w:val="24"/>
        </w:rPr>
        <w:t xml:space="preserve"> (Accessed 22 Jan. 2026).</w:t>
      </w:r>
    </w:p>
    <w:p w14:paraId="202D23E3" w14:textId="3278CB21" w:rsidR="00470D90" w:rsidRDefault="00470D90" w:rsidP="00354C37">
      <w:pPr>
        <w:spacing w:line="360" w:lineRule="auto"/>
        <w:jc w:val="both"/>
        <w:rPr>
          <w:rFonts w:ascii="Arial" w:hAnsi="Arial" w:cs="Arial"/>
          <w:sz w:val="24"/>
          <w:szCs w:val="24"/>
        </w:rPr>
      </w:pPr>
      <w:r w:rsidRPr="00470D90">
        <w:rPr>
          <w:rFonts w:ascii="Arial" w:hAnsi="Arial" w:cs="Arial"/>
          <w:sz w:val="24"/>
          <w:szCs w:val="24"/>
        </w:rPr>
        <w:t>Kotera, Y., Adhikari, P. and Van Gordon, W. (2018)</w:t>
      </w:r>
      <w:r>
        <w:rPr>
          <w:rFonts w:ascii="Arial" w:hAnsi="Arial" w:cs="Arial"/>
          <w:sz w:val="24"/>
          <w:szCs w:val="24"/>
        </w:rPr>
        <w:t xml:space="preserve">. </w:t>
      </w:r>
      <w:r w:rsidRPr="00470D90">
        <w:rPr>
          <w:rFonts w:ascii="Arial" w:hAnsi="Arial" w:cs="Arial"/>
          <w:sz w:val="24"/>
          <w:szCs w:val="24"/>
        </w:rPr>
        <w:t xml:space="preserve">Motivation Types and Mental Health of UK Hospitality Workers, </w:t>
      </w:r>
      <w:r w:rsidRPr="00E40E7A">
        <w:rPr>
          <w:rFonts w:ascii="Arial" w:hAnsi="Arial" w:cs="Arial"/>
          <w:i/>
          <w:iCs/>
          <w:sz w:val="24"/>
          <w:szCs w:val="24"/>
        </w:rPr>
        <w:t>International journal of mental health and addiction</w:t>
      </w:r>
      <w:r w:rsidRPr="00470D90">
        <w:rPr>
          <w:rFonts w:ascii="Arial" w:hAnsi="Arial" w:cs="Arial"/>
          <w:sz w:val="24"/>
          <w:szCs w:val="24"/>
        </w:rPr>
        <w:t xml:space="preserve">, 16(3), pp. 751–763. Available at: </w:t>
      </w:r>
      <w:hyperlink r:id="rId17" w:history="1">
        <w:r w:rsidR="00E40E7A" w:rsidRPr="00934F02">
          <w:rPr>
            <w:rStyle w:val="Hyperlink"/>
            <w:rFonts w:ascii="Arial" w:hAnsi="Arial" w:cs="Arial"/>
            <w:sz w:val="24"/>
            <w:szCs w:val="24"/>
          </w:rPr>
          <w:t>https://doi.org/10.1007/s11469-018-9874-z</w:t>
        </w:r>
      </w:hyperlink>
      <w:r w:rsidR="00E40E7A">
        <w:rPr>
          <w:rFonts w:ascii="Arial" w:hAnsi="Arial" w:cs="Arial"/>
          <w:sz w:val="24"/>
          <w:szCs w:val="24"/>
        </w:rPr>
        <w:t xml:space="preserve"> (Accessed 19 Jan. 2026).</w:t>
      </w:r>
    </w:p>
    <w:p w14:paraId="4B4AB2D3" w14:textId="7FC6AF47" w:rsidR="005744C7" w:rsidRDefault="005744C7" w:rsidP="00354C37">
      <w:pPr>
        <w:spacing w:line="360" w:lineRule="auto"/>
        <w:jc w:val="both"/>
        <w:rPr>
          <w:rFonts w:ascii="Arial" w:hAnsi="Arial" w:cs="Arial"/>
          <w:sz w:val="24"/>
          <w:szCs w:val="24"/>
        </w:rPr>
      </w:pPr>
      <w:r w:rsidRPr="005744C7">
        <w:rPr>
          <w:rFonts w:ascii="Arial" w:hAnsi="Arial" w:cs="Arial"/>
          <w:sz w:val="24"/>
          <w:szCs w:val="24"/>
        </w:rPr>
        <w:t>Lee, L. and Madera, J.M. (2019)</w:t>
      </w:r>
      <w:r>
        <w:rPr>
          <w:rFonts w:ascii="Arial" w:hAnsi="Arial" w:cs="Arial"/>
          <w:sz w:val="24"/>
          <w:szCs w:val="24"/>
        </w:rPr>
        <w:t xml:space="preserve">. </w:t>
      </w:r>
      <w:r w:rsidRPr="005744C7">
        <w:rPr>
          <w:rFonts w:ascii="Arial" w:hAnsi="Arial" w:cs="Arial"/>
          <w:sz w:val="24"/>
          <w:szCs w:val="24"/>
        </w:rPr>
        <w:t xml:space="preserve">A systematic literature review of emotional </w:t>
      </w:r>
      <w:proofErr w:type="spellStart"/>
      <w:r w:rsidRPr="005744C7">
        <w:rPr>
          <w:rFonts w:ascii="Arial" w:hAnsi="Arial" w:cs="Arial"/>
          <w:sz w:val="24"/>
          <w:szCs w:val="24"/>
        </w:rPr>
        <w:t>labor</w:t>
      </w:r>
      <w:proofErr w:type="spellEnd"/>
      <w:r w:rsidRPr="005744C7">
        <w:rPr>
          <w:rFonts w:ascii="Arial" w:hAnsi="Arial" w:cs="Arial"/>
          <w:sz w:val="24"/>
          <w:szCs w:val="24"/>
        </w:rPr>
        <w:t xml:space="preserve"> research from the hospitality and tourism literature, </w:t>
      </w:r>
      <w:r w:rsidRPr="005744C7">
        <w:rPr>
          <w:rFonts w:ascii="Arial" w:hAnsi="Arial" w:cs="Arial"/>
          <w:i/>
          <w:iCs/>
          <w:sz w:val="24"/>
          <w:szCs w:val="24"/>
        </w:rPr>
        <w:t>International Journal of Contemporary Hospitality Management</w:t>
      </w:r>
      <w:r w:rsidRPr="005744C7">
        <w:rPr>
          <w:rFonts w:ascii="Arial" w:hAnsi="Arial" w:cs="Arial"/>
          <w:sz w:val="24"/>
          <w:szCs w:val="24"/>
        </w:rPr>
        <w:t xml:space="preserve">, 31(7), pp. 2808–2826. </w:t>
      </w:r>
      <w:r>
        <w:rPr>
          <w:rFonts w:ascii="Arial" w:hAnsi="Arial" w:cs="Arial"/>
          <w:sz w:val="24"/>
          <w:szCs w:val="24"/>
        </w:rPr>
        <w:t xml:space="preserve">Available at: </w:t>
      </w:r>
      <w:hyperlink r:id="rId18" w:history="1">
        <w:r w:rsidRPr="00934F02">
          <w:rPr>
            <w:rStyle w:val="Hyperlink"/>
            <w:rFonts w:ascii="Arial" w:hAnsi="Arial" w:cs="Arial"/>
            <w:sz w:val="24"/>
            <w:szCs w:val="24"/>
          </w:rPr>
          <w:t>https://doi.org/10.1108/IJCHM-05-2018-0395</w:t>
        </w:r>
      </w:hyperlink>
      <w:r>
        <w:rPr>
          <w:rFonts w:ascii="Arial" w:hAnsi="Arial" w:cs="Arial"/>
          <w:sz w:val="24"/>
          <w:szCs w:val="24"/>
        </w:rPr>
        <w:t xml:space="preserve"> (Accessed 23 Jan. 2026).</w:t>
      </w:r>
    </w:p>
    <w:p w14:paraId="33214F0E" w14:textId="2A5A12C3" w:rsidR="00F306ED" w:rsidRDefault="00F306ED" w:rsidP="00354C37">
      <w:pPr>
        <w:spacing w:line="360" w:lineRule="auto"/>
        <w:jc w:val="both"/>
        <w:rPr>
          <w:rFonts w:ascii="Arial" w:hAnsi="Arial" w:cs="Arial"/>
          <w:sz w:val="24"/>
          <w:szCs w:val="24"/>
        </w:rPr>
      </w:pPr>
      <w:r w:rsidRPr="00F306ED">
        <w:rPr>
          <w:rFonts w:ascii="Arial" w:hAnsi="Arial" w:cs="Arial"/>
          <w:sz w:val="24"/>
          <w:szCs w:val="24"/>
        </w:rPr>
        <w:lastRenderedPageBreak/>
        <w:t>Maslach, C. and Jackson, S.E. (1981)</w:t>
      </w:r>
      <w:r>
        <w:rPr>
          <w:rFonts w:ascii="Arial" w:hAnsi="Arial" w:cs="Arial"/>
          <w:sz w:val="24"/>
          <w:szCs w:val="24"/>
        </w:rPr>
        <w:t xml:space="preserve">. </w:t>
      </w:r>
      <w:r w:rsidRPr="00F306ED">
        <w:rPr>
          <w:rFonts w:ascii="Arial" w:hAnsi="Arial" w:cs="Arial"/>
          <w:sz w:val="24"/>
          <w:szCs w:val="24"/>
        </w:rPr>
        <w:t xml:space="preserve">The measurement of experienced burnout, </w:t>
      </w:r>
      <w:r w:rsidRPr="00F306ED">
        <w:rPr>
          <w:rFonts w:ascii="Arial" w:hAnsi="Arial" w:cs="Arial"/>
          <w:i/>
          <w:iCs/>
          <w:sz w:val="24"/>
          <w:szCs w:val="24"/>
        </w:rPr>
        <w:t>Journal of Occupational Behaviour</w:t>
      </w:r>
      <w:r w:rsidRPr="00F306ED">
        <w:rPr>
          <w:rFonts w:ascii="Arial" w:hAnsi="Arial" w:cs="Arial"/>
          <w:sz w:val="24"/>
          <w:szCs w:val="24"/>
        </w:rPr>
        <w:t xml:space="preserve">, 2(2), pp. 99–113. </w:t>
      </w:r>
      <w:r w:rsidR="00D50E65">
        <w:rPr>
          <w:rFonts w:ascii="Arial" w:hAnsi="Arial" w:cs="Arial"/>
          <w:sz w:val="24"/>
          <w:szCs w:val="24"/>
        </w:rPr>
        <w:t xml:space="preserve">Available at: </w:t>
      </w:r>
      <w:hyperlink r:id="rId19" w:history="1">
        <w:r w:rsidR="00D50E65" w:rsidRPr="00934F02">
          <w:rPr>
            <w:rStyle w:val="Hyperlink"/>
            <w:rFonts w:ascii="Arial" w:hAnsi="Arial" w:cs="Arial"/>
            <w:sz w:val="24"/>
            <w:szCs w:val="24"/>
          </w:rPr>
          <w:t>https://doi.org/10.1002/job.4030020205</w:t>
        </w:r>
      </w:hyperlink>
      <w:r w:rsidR="00D50E65">
        <w:rPr>
          <w:rFonts w:ascii="Arial" w:hAnsi="Arial" w:cs="Arial"/>
          <w:sz w:val="24"/>
          <w:szCs w:val="24"/>
        </w:rPr>
        <w:t xml:space="preserve"> (Accessed 23 Jan. 2026).</w:t>
      </w:r>
    </w:p>
    <w:p w14:paraId="4FD70622" w14:textId="42879B7F" w:rsidR="008D606A" w:rsidRDefault="008D606A" w:rsidP="00354C37">
      <w:pPr>
        <w:spacing w:line="360" w:lineRule="auto"/>
        <w:jc w:val="both"/>
        <w:rPr>
          <w:rFonts w:ascii="Arial" w:hAnsi="Arial" w:cs="Arial"/>
          <w:sz w:val="24"/>
          <w:szCs w:val="24"/>
        </w:rPr>
      </w:pPr>
      <w:r w:rsidRPr="008D606A">
        <w:rPr>
          <w:rFonts w:ascii="Arial" w:hAnsi="Arial" w:cs="Arial"/>
          <w:sz w:val="24"/>
          <w:szCs w:val="24"/>
        </w:rPr>
        <w:t>O’Neill, J.W. and Davis, K. (2011)</w:t>
      </w:r>
      <w:r>
        <w:rPr>
          <w:rFonts w:ascii="Arial" w:hAnsi="Arial" w:cs="Arial"/>
          <w:sz w:val="24"/>
          <w:szCs w:val="24"/>
        </w:rPr>
        <w:t xml:space="preserve">. </w:t>
      </w:r>
      <w:r w:rsidRPr="008D606A">
        <w:rPr>
          <w:rFonts w:ascii="Arial" w:hAnsi="Arial" w:cs="Arial"/>
          <w:sz w:val="24"/>
          <w:szCs w:val="24"/>
        </w:rPr>
        <w:t xml:space="preserve">Work stress and well-being in the hotel industry, </w:t>
      </w:r>
      <w:r w:rsidRPr="008D606A">
        <w:rPr>
          <w:rFonts w:ascii="Arial" w:hAnsi="Arial" w:cs="Arial"/>
          <w:i/>
          <w:iCs/>
          <w:sz w:val="24"/>
          <w:szCs w:val="24"/>
        </w:rPr>
        <w:t>International Journal of Hospitality Management</w:t>
      </w:r>
      <w:r w:rsidRPr="008D606A">
        <w:rPr>
          <w:rFonts w:ascii="Arial" w:hAnsi="Arial" w:cs="Arial"/>
          <w:sz w:val="24"/>
          <w:szCs w:val="24"/>
        </w:rPr>
        <w:t xml:space="preserve">, 30(2), pp. 385–390. </w:t>
      </w:r>
      <w:r>
        <w:rPr>
          <w:rFonts w:ascii="Arial" w:hAnsi="Arial" w:cs="Arial"/>
          <w:sz w:val="24"/>
          <w:szCs w:val="24"/>
        </w:rPr>
        <w:t xml:space="preserve">Available at: </w:t>
      </w:r>
      <w:hyperlink r:id="rId20" w:history="1">
        <w:r w:rsidRPr="00810959">
          <w:rPr>
            <w:rStyle w:val="Hyperlink"/>
            <w:rFonts w:ascii="Arial" w:hAnsi="Arial" w:cs="Arial"/>
            <w:sz w:val="24"/>
            <w:szCs w:val="24"/>
          </w:rPr>
          <w:t>https://doi.org/10.1016/j.ijhm.2010.07.007</w:t>
        </w:r>
      </w:hyperlink>
      <w:r>
        <w:rPr>
          <w:rFonts w:ascii="Arial" w:hAnsi="Arial" w:cs="Arial"/>
          <w:sz w:val="24"/>
          <w:szCs w:val="24"/>
        </w:rPr>
        <w:t xml:space="preserve"> (Accessed 18 Jan. 2026).</w:t>
      </w:r>
    </w:p>
    <w:p w14:paraId="45AB7E1E" w14:textId="116DFE1C" w:rsidR="005055F0" w:rsidRDefault="005055F0" w:rsidP="00354C37">
      <w:pPr>
        <w:spacing w:line="360" w:lineRule="auto"/>
        <w:jc w:val="both"/>
        <w:rPr>
          <w:rFonts w:ascii="Arial" w:hAnsi="Arial" w:cs="Arial"/>
          <w:sz w:val="24"/>
          <w:szCs w:val="24"/>
        </w:rPr>
      </w:pPr>
      <w:r w:rsidRPr="005055F0">
        <w:rPr>
          <w:rFonts w:ascii="Arial" w:hAnsi="Arial" w:cs="Arial"/>
          <w:sz w:val="24"/>
          <w:szCs w:val="24"/>
        </w:rPr>
        <w:t>Saito, H., Brozović, D. and Baum, T. (2025)</w:t>
      </w:r>
      <w:r>
        <w:rPr>
          <w:rFonts w:ascii="Arial" w:hAnsi="Arial" w:cs="Arial"/>
          <w:sz w:val="24"/>
          <w:szCs w:val="24"/>
        </w:rPr>
        <w:t xml:space="preserve">. </w:t>
      </w:r>
      <w:r w:rsidRPr="005055F0">
        <w:rPr>
          <w:rFonts w:ascii="Arial" w:hAnsi="Arial" w:cs="Arial"/>
          <w:sz w:val="24"/>
          <w:szCs w:val="24"/>
        </w:rPr>
        <w:t xml:space="preserve">Well-being of hospitality employees: A systematic literature review, </w:t>
      </w:r>
      <w:r w:rsidRPr="005055F0">
        <w:rPr>
          <w:rFonts w:ascii="Arial" w:hAnsi="Arial" w:cs="Arial"/>
          <w:i/>
          <w:iCs/>
          <w:sz w:val="24"/>
          <w:szCs w:val="24"/>
        </w:rPr>
        <w:t>International Journal of Hospitality Management</w:t>
      </w:r>
      <w:r w:rsidRPr="005055F0">
        <w:rPr>
          <w:rFonts w:ascii="Arial" w:hAnsi="Arial" w:cs="Arial"/>
          <w:sz w:val="24"/>
          <w:szCs w:val="24"/>
        </w:rPr>
        <w:t xml:space="preserve">, 124, 103955. </w:t>
      </w:r>
      <w:r>
        <w:rPr>
          <w:rFonts w:ascii="Arial" w:hAnsi="Arial" w:cs="Arial"/>
          <w:sz w:val="24"/>
          <w:szCs w:val="24"/>
        </w:rPr>
        <w:t xml:space="preserve">Available at: </w:t>
      </w:r>
      <w:hyperlink r:id="rId21" w:history="1">
        <w:r w:rsidRPr="00934F02">
          <w:rPr>
            <w:rStyle w:val="Hyperlink"/>
            <w:rFonts w:ascii="Arial" w:hAnsi="Arial" w:cs="Arial"/>
            <w:sz w:val="24"/>
            <w:szCs w:val="24"/>
          </w:rPr>
          <w:t>https://doi.org/10.1016/j.ijhm.2024.103955</w:t>
        </w:r>
      </w:hyperlink>
      <w:r>
        <w:rPr>
          <w:rFonts w:ascii="Arial" w:hAnsi="Arial" w:cs="Arial"/>
          <w:sz w:val="24"/>
          <w:szCs w:val="24"/>
        </w:rPr>
        <w:t xml:space="preserve"> (Accessed 19 Jan. 2026).</w:t>
      </w:r>
    </w:p>
    <w:p w14:paraId="56D39EC4" w14:textId="2A31B9B4" w:rsidR="00710B47" w:rsidRDefault="00710B47" w:rsidP="00354C37">
      <w:pPr>
        <w:spacing w:line="360" w:lineRule="auto"/>
        <w:jc w:val="both"/>
        <w:rPr>
          <w:rFonts w:ascii="Arial" w:hAnsi="Arial" w:cs="Arial"/>
          <w:sz w:val="24"/>
          <w:szCs w:val="24"/>
        </w:rPr>
      </w:pPr>
      <w:r w:rsidRPr="00710B47">
        <w:rPr>
          <w:rFonts w:ascii="Arial" w:hAnsi="Arial" w:cs="Arial"/>
          <w:sz w:val="24"/>
          <w:szCs w:val="24"/>
        </w:rPr>
        <w:t>Salama, W., Abdou, A.H., Mohamed, S.A.K. and Shehata, H.S. (2022)</w:t>
      </w:r>
      <w:r>
        <w:rPr>
          <w:rFonts w:ascii="Arial" w:hAnsi="Arial" w:cs="Arial"/>
          <w:sz w:val="24"/>
          <w:szCs w:val="24"/>
        </w:rPr>
        <w:t xml:space="preserve">. </w:t>
      </w:r>
      <w:r w:rsidRPr="00710B47">
        <w:rPr>
          <w:rFonts w:ascii="Arial" w:hAnsi="Arial" w:cs="Arial"/>
          <w:sz w:val="24"/>
          <w:szCs w:val="24"/>
        </w:rPr>
        <w:t xml:space="preserve">Impact of work stress and job burnout on turnover intentions among hotel employees, </w:t>
      </w:r>
      <w:r w:rsidRPr="00710B47">
        <w:rPr>
          <w:rFonts w:ascii="Arial" w:hAnsi="Arial" w:cs="Arial"/>
          <w:i/>
          <w:iCs/>
          <w:sz w:val="24"/>
          <w:szCs w:val="24"/>
        </w:rPr>
        <w:t>International Journal of Environmental Research and Public Health</w:t>
      </w:r>
      <w:r w:rsidRPr="00710B47">
        <w:rPr>
          <w:rFonts w:ascii="Arial" w:hAnsi="Arial" w:cs="Arial"/>
          <w:sz w:val="24"/>
          <w:szCs w:val="24"/>
        </w:rPr>
        <w:t xml:space="preserve">, 19(15), 9724. </w:t>
      </w:r>
      <w:r>
        <w:rPr>
          <w:rFonts w:ascii="Arial" w:hAnsi="Arial" w:cs="Arial"/>
          <w:sz w:val="24"/>
          <w:szCs w:val="24"/>
        </w:rPr>
        <w:t xml:space="preserve">Available at: </w:t>
      </w:r>
      <w:hyperlink r:id="rId22" w:history="1">
        <w:r w:rsidRPr="00934F02">
          <w:rPr>
            <w:rStyle w:val="Hyperlink"/>
            <w:rFonts w:ascii="Arial" w:hAnsi="Arial" w:cs="Arial"/>
            <w:sz w:val="24"/>
            <w:szCs w:val="24"/>
          </w:rPr>
          <w:t>https://doi.org/10.3390/ijerph19159724</w:t>
        </w:r>
      </w:hyperlink>
      <w:r>
        <w:rPr>
          <w:rFonts w:ascii="Arial" w:hAnsi="Arial" w:cs="Arial"/>
          <w:sz w:val="24"/>
          <w:szCs w:val="24"/>
        </w:rPr>
        <w:t xml:space="preserve"> (Accessed 18 Jan. 2026).</w:t>
      </w:r>
    </w:p>
    <w:p w14:paraId="7EE4259F" w14:textId="5DD1F7B8" w:rsidR="00354C37" w:rsidRDefault="00837C2C" w:rsidP="000E73C3">
      <w:pPr>
        <w:spacing w:line="360" w:lineRule="auto"/>
        <w:jc w:val="both"/>
        <w:rPr>
          <w:rFonts w:ascii="Arial" w:hAnsi="Arial" w:cs="Arial"/>
          <w:sz w:val="24"/>
          <w:szCs w:val="24"/>
        </w:rPr>
      </w:pPr>
      <w:r w:rsidRPr="00837C2C">
        <w:rPr>
          <w:rFonts w:ascii="Arial" w:hAnsi="Arial" w:cs="Arial"/>
          <w:sz w:val="24"/>
          <w:szCs w:val="24"/>
        </w:rPr>
        <w:t>Saunders, M., Lewis, P. and Thornhill, A. (2019)</w:t>
      </w:r>
      <w:r>
        <w:rPr>
          <w:rFonts w:ascii="Arial" w:hAnsi="Arial" w:cs="Arial"/>
          <w:sz w:val="24"/>
          <w:szCs w:val="24"/>
        </w:rPr>
        <w:t>.</w:t>
      </w:r>
      <w:r w:rsidRPr="00837C2C">
        <w:rPr>
          <w:rFonts w:ascii="Arial" w:hAnsi="Arial" w:cs="Arial"/>
          <w:sz w:val="24"/>
          <w:szCs w:val="24"/>
        </w:rPr>
        <w:t xml:space="preserve"> </w:t>
      </w:r>
      <w:r w:rsidRPr="00253708">
        <w:rPr>
          <w:rFonts w:ascii="Arial" w:hAnsi="Arial" w:cs="Arial"/>
          <w:i/>
          <w:iCs/>
          <w:sz w:val="24"/>
          <w:szCs w:val="24"/>
        </w:rPr>
        <w:t>Research Methods for Business Students</w:t>
      </w:r>
      <w:r w:rsidRPr="00837C2C">
        <w:rPr>
          <w:rFonts w:ascii="Arial" w:hAnsi="Arial" w:cs="Arial"/>
          <w:sz w:val="24"/>
          <w:szCs w:val="24"/>
        </w:rPr>
        <w:t xml:space="preserve">. 8th </w:t>
      </w:r>
      <w:proofErr w:type="spellStart"/>
      <w:r w:rsidRPr="00837C2C">
        <w:rPr>
          <w:rFonts w:ascii="Arial" w:hAnsi="Arial" w:cs="Arial"/>
          <w:sz w:val="24"/>
          <w:szCs w:val="24"/>
        </w:rPr>
        <w:t>edn</w:t>
      </w:r>
      <w:proofErr w:type="spellEnd"/>
      <w:r w:rsidRPr="00837C2C">
        <w:rPr>
          <w:rFonts w:ascii="Arial" w:hAnsi="Arial" w:cs="Arial"/>
          <w:sz w:val="24"/>
          <w:szCs w:val="24"/>
        </w:rPr>
        <w:t>. Harlow: Pearson.</w:t>
      </w:r>
    </w:p>
    <w:p w14:paraId="67E38254" w14:textId="7970FE99" w:rsidR="00B828D4" w:rsidRDefault="00BC2841" w:rsidP="000E73C3">
      <w:pPr>
        <w:spacing w:line="360" w:lineRule="auto"/>
        <w:jc w:val="both"/>
        <w:rPr>
          <w:rFonts w:ascii="Arial" w:hAnsi="Arial" w:cs="Arial"/>
          <w:sz w:val="24"/>
          <w:szCs w:val="24"/>
        </w:rPr>
      </w:pPr>
      <w:proofErr w:type="spellStart"/>
      <w:r w:rsidRPr="00BC2841">
        <w:rPr>
          <w:rFonts w:ascii="Arial" w:hAnsi="Arial" w:cs="Arial"/>
          <w:sz w:val="24"/>
          <w:szCs w:val="24"/>
        </w:rPr>
        <w:t>Üngüren</w:t>
      </w:r>
      <w:proofErr w:type="spellEnd"/>
      <w:r w:rsidRPr="00BC2841">
        <w:rPr>
          <w:rFonts w:ascii="Arial" w:hAnsi="Arial" w:cs="Arial"/>
          <w:sz w:val="24"/>
          <w:szCs w:val="24"/>
        </w:rPr>
        <w:t>, E., Arslan, S. and Kaçmaz, Y.Y. (2024)</w:t>
      </w:r>
      <w:r>
        <w:rPr>
          <w:rFonts w:ascii="Arial" w:hAnsi="Arial" w:cs="Arial"/>
          <w:sz w:val="24"/>
          <w:szCs w:val="24"/>
        </w:rPr>
        <w:t xml:space="preserve">. </w:t>
      </w:r>
      <w:r w:rsidRPr="00BC2841">
        <w:rPr>
          <w:rFonts w:ascii="Arial" w:hAnsi="Arial" w:cs="Arial"/>
          <w:sz w:val="24"/>
          <w:szCs w:val="24"/>
        </w:rPr>
        <w:t xml:space="preserve">The effects of job stress on burnout and turnover intention: The moderating effects of job security and financial dependency, </w:t>
      </w:r>
      <w:proofErr w:type="spellStart"/>
      <w:r w:rsidRPr="00BC2841">
        <w:rPr>
          <w:rFonts w:ascii="Arial" w:hAnsi="Arial" w:cs="Arial"/>
          <w:i/>
          <w:iCs/>
          <w:sz w:val="24"/>
          <w:szCs w:val="24"/>
        </w:rPr>
        <w:t>Behavioral</w:t>
      </w:r>
      <w:proofErr w:type="spellEnd"/>
      <w:r w:rsidRPr="00BC2841">
        <w:rPr>
          <w:rFonts w:ascii="Arial" w:hAnsi="Arial" w:cs="Arial"/>
          <w:i/>
          <w:iCs/>
          <w:sz w:val="24"/>
          <w:szCs w:val="24"/>
        </w:rPr>
        <w:t xml:space="preserve"> Sciences</w:t>
      </w:r>
      <w:r w:rsidRPr="00BC2841">
        <w:rPr>
          <w:rFonts w:ascii="Arial" w:hAnsi="Arial" w:cs="Arial"/>
          <w:sz w:val="24"/>
          <w:szCs w:val="24"/>
        </w:rPr>
        <w:t xml:space="preserve">, 14(4), p. 322. </w:t>
      </w:r>
      <w:r>
        <w:rPr>
          <w:rFonts w:ascii="Arial" w:hAnsi="Arial" w:cs="Arial"/>
          <w:sz w:val="24"/>
          <w:szCs w:val="24"/>
        </w:rPr>
        <w:t xml:space="preserve">Available at: </w:t>
      </w:r>
      <w:hyperlink r:id="rId23" w:history="1">
        <w:r w:rsidRPr="00934F02">
          <w:rPr>
            <w:rStyle w:val="Hyperlink"/>
            <w:rFonts w:ascii="Arial" w:hAnsi="Arial" w:cs="Arial"/>
            <w:sz w:val="24"/>
            <w:szCs w:val="24"/>
          </w:rPr>
          <w:t>https://doi.org/10.3390/bs14040322</w:t>
        </w:r>
      </w:hyperlink>
      <w:r>
        <w:rPr>
          <w:rFonts w:ascii="Arial" w:hAnsi="Arial" w:cs="Arial"/>
          <w:sz w:val="24"/>
          <w:szCs w:val="24"/>
        </w:rPr>
        <w:t xml:space="preserve"> (Accessed 18 Jan. 2026).</w:t>
      </w:r>
    </w:p>
    <w:p w14:paraId="188528E4" w14:textId="27523427" w:rsidR="00D95ADF" w:rsidRDefault="00D95ADF" w:rsidP="000E73C3">
      <w:pPr>
        <w:spacing w:line="360" w:lineRule="auto"/>
        <w:jc w:val="both"/>
        <w:rPr>
          <w:rFonts w:ascii="Arial" w:hAnsi="Arial" w:cs="Arial"/>
          <w:sz w:val="24"/>
          <w:szCs w:val="24"/>
        </w:rPr>
      </w:pPr>
      <w:r w:rsidRPr="00D95ADF">
        <w:rPr>
          <w:rFonts w:ascii="Arial" w:hAnsi="Arial" w:cs="Arial"/>
          <w:sz w:val="24"/>
          <w:szCs w:val="24"/>
        </w:rPr>
        <w:t>Xiong, W., Huang, M., Okumus, B., Leung, X.Y., Cai, X. and Fan, F. (2023)</w:t>
      </w:r>
      <w:r>
        <w:rPr>
          <w:rFonts w:ascii="Arial" w:hAnsi="Arial" w:cs="Arial"/>
          <w:sz w:val="24"/>
          <w:szCs w:val="24"/>
        </w:rPr>
        <w:t xml:space="preserve">. </w:t>
      </w:r>
      <w:r w:rsidRPr="00D95ADF">
        <w:rPr>
          <w:rFonts w:ascii="Arial" w:hAnsi="Arial" w:cs="Arial"/>
          <w:sz w:val="24"/>
          <w:szCs w:val="24"/>
        </w:rPr>
        <w:t xml:space="preserve">How emotional </w:t>
      </w:r>
      <w:proofErr w:type="spellStart"/>
      <w:r w:rsidRPr="00D95ADF">
        <w:rPr>
          <w:rFonts w:ascii="Arial" w:hAnsi="Arial" w:cs="Arial"/>
          <w:sz w:val="24"/>
          <w:szCs w:val="24"/>
        </w:rPr>
        <w:t>labor</w:t>
      </w:r>
      <w:proofErr w:type="spellEnd"/>
      <w:r w:rsidRPr="00D95ADF">
        <w:rPr>
          <w:rFonts w:ascii="Arial" w:hAnsi="Arial" w:cs="Arial"/>
          <w:sz w:val="24"/>
          <w:szCs w:val="24"/>
        </w:rPr>
        <w:t xml:space="preserve"> affect hotel employees’ mental health: A longitudinal study, </w:t>
      </w:r>
      <w:r w:rsidRPr="00D95ADF">
        <w:rPr>
          <w:rFonts w:ascii="Arial" w:hAnsi="Arial" w:cs="Arial"/>
          <w:i/>
          <w:iCs/>
          <w:sz w:val="24"/>
          <w:szCs w:val="24"/>
        </w:rPr>
        <w:t>Tourism Management</w:t>
      </w:r>
      <w:r w:rsidRPr="00D95ADF">
        <w:rPr>
          <w:rFonts w:ascii="Arial" w:hAnsi="Arial" w:cs="Arial"/>
          <w:sz w:val="24"/>
          <w:szCs w:val="24"/>
        </w:rPr>
        <w:t>, 94, 104631</w:t>
      </w:r>
      <w:r w:rsidR="00E657D5">
        <w:rPr>
          <w:rFonts w:ascii="Arial" w:hAnsi="Arial" w:cs="Arial"/>
          <w:sz w:val="24"/>
          <w:szCs w:val="24"/>
        </w:rPr>
        <w:t>. Available at:</w:t>
      </w:r>
      <w:r w:rsidRPr="00D95ADF">
        <w:rPr>
          <w:rFonts w:ascii="Arial" w:hAnsi="Arial" w:cs="Arial"/>
          <w:sz w:val="24"/>
          <w:szCs w:val="24"/>
        </w:rPr>
        <w:t xml:space="preserve"> </w:t>
      </w:r>
      <w:hyperlink r:id="rId24" w:history="1">
        <w:r w:rsidR="00E657D5" w:rsidRPr="00810959">
          <w:rPr>
            <w:rStyle w:val="Hyperlink"/>
            <w:rFonts w:ascii="Arial" w:hAnsi="Arial" w:cs="Arial"/>
            <w:sz w:val="24"/>
            <w:szCs w:val="24"/>
          </w:rPr>
          <w:t>https://doi.org/10.1016/j.tourman.2022.104631</w:t>
        </w:r>
      </w:hyperlink>
      <w:r w:rsidR="00E657D5">
        <w:rPr>
          <w:rFonts w:ascii="Arial" w:hAnsi="Arial" w:cs="Arial"/>
          <w:sz w:val="24"/>
          <w:szCs w:val="24"/>
        </w:rPr>
        <w:t xml:space="preserve"> (Accessed 19 Jan. 2026).</w:t>
      </w:r>
    </w:p>
    <w:p w14:paraId="4761109F" w14:textId="1F6B0675" w:rsidR="004416BE" w:rsidRDefault="007B79B8" w:rsidP="000E73C3">
      <w:pPr>
        <w:spacing w:line="360" w:lineRule="auto"/>
        <w:jc w:val="both"/>
        <w:rPr>
          <w:rFonts w:ascii="Arial" w:hAnsi="Arial" w:cs="Arial"/>
          <w:sz w:val="24"/>
          <w:szCs w:val="24"/>
        </w:rPr>
      </w:pPr>
      <w:r>
        <w:rPr>
          <w:rFonts w:ascii="Arial" w:hAnsi="Arial" w:cs="Arial"/>
          <w:sz w:val="24"/>
          <w:szCs w:val="24"/>
        </w:rPr>
        <w:t>Y</w:t>
      </w:r>
      <w:r w:rsidRPr="007B79B8">
        <w:rPr>
          <w:rFonts w:ascii="Arial" w:hAnsi="Arial" w:cs="Arial"/>
          <w:sz w:val="24"/>
          <w:szCs w:val="24"/>
        </w:rPr>
        <w:t>oo, D.Y. (2023)</w:t>
      </w:r>
      <w:r>
        <w:rPr>
          <w:rFonts w:ascii="Arial" w:hAnsi="Arial" w:cs="Arial"/>
          <w:sz w:val="24"/>
          <w:szCs w:val="24"/>
        </w:rPr>
        <w:t xml:space="preserve">. </w:t>
      </w:r>
      <w:r w:rsidRPr="007B79B8">
        <w:rPr>
          <w:rFonts w:ascii="Arial" w:hAnsi="Arial" w:cs="Arial"/>
          <w:sz w:val="24"/>
          <w:szCs w:val="24"/>
        </w:rPr>
        <w:t>The Hospitality Stress Matrix: Exploring Job Stressors and Their Effects on Psychological Well-Being,</w:t>
      </w:r>
      <w:r>
        <w:rPr>
          <w:rFonts w:ascii="Arial" w:hAnsi="Arial" w:cs="Arial"/>
          <w:sz w:val="24"/>
          <w:szCs w:val="24"/>
        </w:rPr>
        <w:t xml:space="preserve"> </w:t>
      </w:r>
      <w:r w:rsidRPr="007B79B8">
        <w:rPr>
          <w:rFonts w:ascii="Arial" w:hAnsi="Arial" w:cs="Arial"/>
          <w:i/>
          <w:iCs/>
          <w:sz w:val="24"/>
          <w:szCs w:val="24"/>
        </w:rPr>
        <w:t>Sustainability,</w:t>
      </w:r>
      <w:r w:rsidRPr="007B79B8">
        <w:rPr>
          <w:rFonts w:ascii="Arial" w:hAnsi="Arial" w:cs="Arial"/>
          <w:sz w:val="24"/>
          <w:szCs w:val="24"/>
        </w:rPr>
        <w:t xml:space="preserve"> 15(17), p. 13116. Available at: </w:t>
      </w:r>
      <w:hyperlink r:id="rId25" w:history="1">
        <w:r w:rsidRPr="00934F02">
          <w:rPr>
            <w:rStyle w:val="Hyperlink"/>
            <w:rFonts w:ascii="Arial" w:hAnsi="Arial" w:cs="Arial"/>
            <w:sz w:val="24"/>
            <w:szCs w:val="24"/>
          </w:rPr>
          <w:t>https://doi.org/10.3390/su151713116</w:t>
        </w:r>
      </w:hyperlink>
      <w:r>
        <w:rPr>
          <w:rFonts w:ascii="Arial" w:hAnsi="Arial" w:cs="Arial"/>
          <w:sz w:val="24"/>
          <w:szCs w:val="24"/>
        </w:rPr>
        <w:t xml:space="preserve"> (Accessed </w:t>
      </w:r>
      <w:r w:rsidR="00B828D4">
        <w:rPr>
          <w:rFonts w:ascii="Arial" w:hAnsi="Arial" w:cs="Arial"/>
          <w:sz w:val="24"/>
          <w:szCs w:val="24"/>
        </w:rPr>
        <w:t>18 Jan. 2026)</w:t>
      </w:r>
      <w:r w:rsidRPr="007B79B8">
        <w:rPr>
          <w:rFonts w:ascii="Arial" w:hAnsi="Arial" w:cs="Arial"/>
          <w:sz w:val="24"/>
          <w:szCs w:val="24"/>
        </w:rPr>
        <w:t>.</w:t>
      </w:r>
    </w:p>
    <w:p w14:paraId="0DABA8CD" w14:textId="77777777" w:rsidR="004416BE" w:rsidRDefault="004416BE" w:rsidP="000E73C3">
      <w:pPr>
        <w:spacing w:line="360" w:lineRule="auto"/>
        <w:jc w:val="both"/>
        <w:rPr>
          <w:rFonts w:ascii="Arial" w:hAnsi="Arial" w:cs="Arial"/>
          <w:sz w:val="24"/>
          <w:szCs w:val="24"/>
        </w:rPr>
      </w:pPr>
    </w:p>
    <w:p w14:paraId="3B8DF89B" w14:textId="77777777" w:rsidR="004416BE" w:rsidRDefault="004416BE" w:rsidP="000E73C3">
      <w:pPr>
        <w:spacing w:line="360" w:lineRule="auto"/>
        <w:jc w:val="both"/>
        <w:rPr>
          <w:rFonts w:ascii="Arial" w:hAnsi="Arial" w:cs="Arial"/>
          <w:sz w:val="24"/>
          <w:szCs w:val="24"/>
        </w:rPr>
      </w:pPr>
    </w:p>
    <w:p w14:paraId="27B55FCF" w14:textId="77777777" w:rsidR="0020741C" w:rsidRPr="0020741C" w:rsidRDefault="0020741C" w:rsidP="0020741C">
      <w:pPr>
        <w:spacing w:line="360" w:lineRule="auto"/>
        <w:jc w:val="both"/>
        <w:rPr>
          <w:rFonts w:ascii="Arial" w:hAnsi="Arial" w:cs="Arial"/>
          <w:sz w:val="24"/>
          <w:szCs w:val="24"/>
        </w:rPr>
      </w:pPr>
    </w:p>
    <w:sectPr w:rsidR="0020741C" w:rsidRPr="0020741C" w:rsidSect="008D766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51C"/>
    <w:rsid w:val="00024C66"/>
    <w:rsid w:val="00030B97"/>
    <w:rsid w:val="00033FFD"/>
    <w:rsid w:val="000478A9"/>
    <w:rsid w:val="00062437"/>
    <w:rsid w:val="00094F17"/>
    <w:rsid w:val="000A5A24"/>
    <w:rsid w:val="000B63C8"/>
    <w:rsid w:val="000D266C"/>
    <w:rsid w:val="000D3300"/>
    <w:rsid w:val="000E3B70"/>
    <w:rsid w:val="000E719A"/>
    <w:rsid w:val="000E73C3"/>
    <w:rsid w:val="000F000B"/>
    <w:rsid w:val="0012430A"/>
    <w:rsid w:val="00155EF2"/>
    <w:rsid w:val="00167288"/>
    <w:rsid w:val="00181A14"/>
    <w:rsid w:val="00181C5F"/>
    <w:rsid w:val="001D2C66"/>
    <w:rsid w:val="001F4A1D"/>
    <w:rsid w:val="001F6761"/>
    <w:rsid w:val="0020741C"/>
    <w:rsid w:val="002119B8"/>
    <w:rsid w:val="00253708"/>
    <w:rsid w:val="00254F7B"/>
    <w:rsid w:val="00256154"/>
    <w:rsid w:val="00260174"/>
    <w:rsid w:val="002A0FAC"/>
    <w:rsid w:val="002A5091"/>
    <w:rsid w:val="002B206E"/>
    <w:rsid w:val="002B311E"/>
    <w:rsid w:val="003448D6"/>
    <w:rsid w:val="00354C37"/>
    <w:rsid w:val="003A7B45"/>
    <w:rsid w:val="003E4BAA"/>
    <w:rsid w:val="003E5F71"/>
    <w:rsid w:val="004046C1"/>
    <w:rsid w:val="00421726"/>
    <w:rsid w:val="00437D9D"/>
    <w:rsid w:val="004416BE"/>
    <w:rsid w:val="00470D90"/>
    <w:rsid w:val="00486CE9"/>
    <w:rsid w:val="004D5AAA"/>
    <w:rsid w:val="004E1A19"/>
    <w:rsid w:val="004F48E3"/>
    <w:rsid w:val="005055F0"/>
    <w:rsid w:val="00527AC4"/>
    <w:rsid w:val="00542539"/>
    <w:rsid w:val="00557B1C"/>
    <w:rsid w:val="005611D4"/>
    <w:rsid w:val="005744C7"/>
    <w:rsid w:val="005F5E1C"/>
    <w:rsid w:val="00614552"/>
    <w:rsid w:val="0063463F"/>
    <w:rsid w:val="006866DD"/>
    <w:rsid w:val="00710B47"/>
    <w:rsid w:val="00745A73"/>
    <w:rsid w:val="00787EA0"/>
    <w:rsid w:val="007B79B8"/>
    <w:rsid w:val="007C0B9F"/>
    <w:rsid w:val="007C1B67"/>
    <w:rsid w:val="00825B6B"/>
    <w:rsid w:val="00837C2C"/>
    <w:rsid w:val="00857852"/>
    <w:rsid w:val="008A66EB"/>
    <w:rsid w:val="008D606A"/>
    <w:rsid w:val="008D7663"/>
    <w:rsid w:val="008F25A1"/>
    <w:rsid w:val="00907B4A"/>
    <w:rsid w:val="00907BC5"/>
    <w:rsid w:val="0091381E"/>
    <w:rsid w:val="0091471B"/>
    <w:rsid w:val="00933280"/>
    <w:rsid w:val="00937B40"/>
    <w:rsid w:val="00941C97"/>
    <w:rsid w:val="00972C98"/>
    <w:rsid w:val="0099296A"/>
    <w:rsid w:val="00A12D58"/>
    <w:rsid w:val="00A14A78"/>
    <w:rsid w:val="00A3710D"/>
    <w:rsid w:val="00A57CA3"/>
    <w:rsid w:val="00A66701"/>
    <w:rsid w:val="00A7737F"/>
    <w:rsid w:val="00A845D4"/>
    <w:rsid w:val="00A953C0"/>
    <w:rsid w:val="00AA51FE"/>
    <w:rsid w:val="00AC151C"/>
    <w:rsid w:val="00AD30E0"/>
    <w:rsid w:val="00AE2C14"/>
    <w:rsid w:val="00B27781"/>
    <w:rsid w:val="00B53759"/>
    <w:rsid w:val="00B828D4"/>
    <w:rsid w:val="00B96F3E"/>
    <w:rsid w:val="00BC121A"/>
    <w:rsid w:val="00BC2841"/>
    <w:rsid w:val="00BF2E0B"/>
    <w:rsid w:val="00BF43B6"/>
    <w:rsid w:val="00C067E7"/>
    <w:rsid w:val="00C22A88"/>
    <w:rsid w:val="00C65107"/>
    <w:rsid w:val="00D022C6"/>
    <w:rsid w:val="00D2672A"/>
    <w:rsid w:val="00D26C31"/>
    <w:rsid w:val="00D50E65"/>
    <w:rsid w:val="00D95ADF"/>
    <w:rsid w:val="00DB2AC3"/>
    <w:rsid w:val="00DC363B"/>
    <w:rsid w:val="00DE7118"/>
    <w:rsid w:val="00E37C56"/>
    <w:rsid w:val="00E40E7A"/>
    <w:rsid w:val="00E47CC2"/>
    <w:rsid w:val="00E657D5"/>
    <w:rsid w:val="00ED05C7"/>
    <w:rsid w:val="00EE3AE0"/>
    <w:rsid w:val="00EE70E0"/>
    <w:rsid w:val="00EF45F4"/>
    <w:rsid w:val="00F26CCF"/>
    <w:rsid w:val="00F306ED"/>
    <w:rsid w:val="00F31D57"/>
    <w:rsid w:val="00F37CB6"/>
    <w:rsid w:val="00F75F3D"/>
    <w:rsid w:val="00F90245"/>
    <w:rsid w:val="00F92F50"/>
    <w:rsid w:val="00FC10DF"/>
    <w:rsid w:val="00FC6851"/>
    <w:rsid w:val="00FF54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591BE"/>
  <w15:chartTrackingRefBased/>
  <w15:docId w15:val="{9E2DC70A-C512-43CE-B3E2-F0B4826136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151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C151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C151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C151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C151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C15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15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15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15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151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C151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C151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C151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C151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C15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15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15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151C"/>
    <w:rPr>
      <w:rFonts w:eastAsiaTheme="majorEastAsia" w:cstheme="majorBidi"/>
      <w:color w:val="272727" w:themeColor="text1" w:themeTint="D8"/>
    </w:rPr>
  </w:style>
  <w:style w:type="paragraph" w:styleId="Title">
    <w:name w:val="Title"/>
    <w:basedOn w:val="Normal"/>
    <w:next w:val="Normal"/>
    <w:link w:val="TitleChar"/>
    <w:uiPriority w:val="10"/>
    <w:qFormat/>
    <w:rsid w:val="00AC15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15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15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15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151C"/>
    <w:pPr>
      <w:spacing w:before="160"/>
      <w:jc w:val="center"/>
    </w:pPr>
    <w:rPr>
      <w:i/>
      <w:iCs/>
      <w:color w:val="404040" w:themeColor="text1" w:themeTint="BF"/>
    </w:rPr>
  </w:style>
  <w:style w:type="character" w:customStyle="1" w:styleId="QuoteChar">
    <w:name w:val="Quote Char"/>
    <w:basedOn w:val="DefaultParagraphFont"/>
    <w:link w:val="Quote"/>
    <w:uiPriority w:val="29"/>
    <w:rsid w:val="00AC151C"/>
    <w:rPr>
      <w:i/>
      <w:iCs/>
      <w:color w:val="404040" w:themeColor="text1" w:themeTint="BF"/>
    </w:rPr>
  </w:style>
  <w:style w:type="paragraph" w:styleId="ListParagraph">
    <w:name w:val="List Paragraph"/>
    <w:basedOn w:val="Normal"/>
    <w:uiPriority w:val="34"/>
    <w:qFormat/>
    <w:rsid w:val="00AC151C"/>
    <w:pPr>
      <w:ind w:left="720"/>
      <w:contextualSpacing/>
    </w:pPr>
  </w:style>
  <w:style w:type="character" w:styleId="IntenseEmphasis">
    <w:name w:val="Intense Emphasis"/>
    <w:basedOn w:val="DefaultParagraphFont"/>
    <w:uiPriority w:val="21"/>
    <w:qFormat/>
    <w:rsid w:val="00AC151C"/>
    <w:rPr>
      <w:i/>
      <w:iCs/>
      <w:color w:val="2F5496" w:themeColor="accent1" w:themeShade="BF"/>
    </w:rPr>
  </w:style>
  <w:style w:type="paragraph" w:styleId="IntenseQuote">
    <w:name w:val="Intense Quote"/>
    <w:basedOn w:val="Normal"/>
    <w:next w:val="Normal"/>
    <w:link w:val="IntenseQuoteChar"/>
    <w:uiPriority w:val="30"/>
    <w:qFormat/>
    <w:rsid w:val="00AC151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C151C"/>
    <w:rPr>
      <w:i/>
      <w:iCs/>
      <w:color w:val="2F5496" w:themeColor="accent1" w:themeShade="BF"/>
    </w:rPr>
  </w:style>
  <w:style w:type="character" w:styleId="IntenseReference">
    <w:name w:val="Intense Reference"/>
    <w:basedOn w:val="DefaultParagraphFont"/>
    <w:uiPriority w:val="32"/>
    <w:qFormat/>
    <w:rsid w:val="00AC151C"/>
    <w:rPr>
      <w:b/>
      <w:bCs/>
      <w:smallCaps/>
      <w:color w:val="2F5496" w:themeColor="accent1" w:themeShade="BF"/>
      <w:spacing w:val="5"/>
    </w:rPr>
  </w:style>
  <w:style w:type="paragraph" w:styleId="NoSpacing">
    <w:name w:val="No Spacing"/>
    <w:link w:val="NoSpacingChar"/>
    <w:uiPriority w:val="1"/>
    <w:qFormat/>
    <w:rsid w:val="008D766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D7663"/>
    <w:rPr>
      <w:rFonts w:eastAsiaTheme="minorEastAsia"/>
      <w:kern w:val="0"/>
      <w:lang w:val="en-US"/>
      <w14:ligatures w14:val="none"/>
    </w:rPr>
  </w:style>
  <w:style w:type="character" w:styleId="Hyperlink">
    <w:name w:val="Hyperlink"/>
    <w:basedOn w:val="DefaultParagraphFont"/>
    <w:uiPriority w:val="99"/>
    <w:unhideWhenUsed/>
    <w:rsid w:val="007B79B8"/>
    <w:rPr>
      <w:color w:val="0563C1" w:themeColor="hyperlink"/>
      <w:u w:val="single"/>
    </w:rPr>
  </w:style>
  <w:style w:type="character" w:styleId="UnresolvedMention">
    <w:name w:val="Unresolved Mention"/>
    <w:basedOn w:val="DefaultParagraphFont"/>
    <w:uiPriority w:val="99"/>
    <w:semiHidden/>
    <w:unhideWhenUsed/>
    <w:rsid w:val="007B79B8"/>
    <w:rPr>
      <w:color w:val="605E5C"/>
      <w:shd w:val="clear" w:color="auto" w:fill="E1DFDD"/>
    </w:rPr>
  </w:style>
  <w:style w:type="character" w:styleId="FollowedHyperlink">
    <w:name w:val="FollowedHyperlink"/>
    <w:basedOn w:val="DefaultParagraphFont"/>
    <w:uiPriority w:val="99"/>
    <w:semiHidden/>
    <w:unhideWhenUsed/>
    <w:rsid w:val="00B828D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91/1478088706qp063oa" TargetMode="External"/><Relationship Id="rId13" Type="http://schemas.openxmlformats.org/officeDocument/2006/relationships/hyperlink" Target="https://www.ilo.org/sites/default/files/wcmsp5/groups/public/%40ed_protect/%40protrav/%40safework/documents/publication/wcms_856976.pdf" TargetMode="External"/><Relationship Id="rId18" Type="http://schemas.openxmlformats.org/officeDocument/2006/relationships/hyperlink" Target="https://doi.org/10.1108/IJCHM-05-2018-0395"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doi.org/10.1016/j.ijhm.2024.103955" TargetMode="External"/><Relationship Id="rId7" Type="http://schemas.openxmlformats.org/officeDocument/2006/relationships/hyperlink" Target="https://doi.org/10.1108/IJCHM-04-2020-0314" TargetMode="External"/><Relationship Id="rId12" Type="http://schemas.openxmlformats.org/officeDocument/2006/relationships/hyperlink" Target="https://www.hoteldive.com/news/hospitality-industry-worker-burnout/725528/" TargetMode="External"/><Relationship Id="rId17" Type="http://schemas.openxmlformats.org/officeDocument/2006/relationships/hyperlink" Target="https://doi.org/10.1007/s11469-018-9874-z" TargetMode="External"/><Relationship Id="rId25" Type="http://schemas.openxmlformats.org/officeDocument/2006/relationships/hyperlink" Target="https://doi.org/10.3390/su151713116" TargetMode="External"/><Relationship Id="rId2" Type="http://schemas.openxmlformats.org/officeDocument/2006/relationships/settings" Target="settings.xml"/><Relationship Id="rId16" Type="http://schemas.openxmlformats.org/officeDocument/2006/relationships/hyperlink" Target="https://doi.org/10.1016/j.ijhm.2007.07.019" TargetMode="External"/><Relationship Id="rId20" Type="http://schemas.openxmlformats.org/officeDocument/2006/relationships/hyperlink" Target="https://doi.org/10.1016/j.ijhm.2010.07.007" TargetMode="External"/><Relationship Id="rId1" Type="http://schemas.openxmlformats.org/officeDocument/2006/relationships/styles" Target="styles.xml"/><Relationship Id="rId6" Type="http://schemas.openxmlformats.org/officeDocument/2006/relationships/hyperlink" Target="https://doi.org/10.3390/bs13020084" TargetMode="External"/><Relationship Id="rId11" Type="http://schemas.openxmlformats.org/officeDocument/2006/relationships/hyperlink" Target="https://www.hse.gov.uk/statistics/assets/docs/stress.pdf" TargetMode="External"/><Relationship Id="rId24" Type="http://schemas.openxmlformats.org/officeDocument/2006/relationships/hyperlink" Target="https://doi.org/10.1016/j.tourman.2022.104631" TargetMode="External"/><Relationship Id="rId5" Type="http://schemas.openxmlformats.org/officeDocument/2006/relationships/hyperlink" Target="https://doi.org/10.1037/ocp0000056" TargetMode="External"/><Relationship Id="rId15" Type="http://schemas.openxmlformats.org/officeDocument/2006/relationships/hyperlink" Target="https://doi.org/10.1016/j.ijhm.2012.05.003" TargetMode="External"/><Relationship Id="rId23" Type="http://schemas.openxmlformats.org/officeDocument/2006/relationships/hyperlink" Target="https://doi.org/10.3390/bs14040322" TargetMode="External"/><Relationship Id="rId10" Type="http://schemas.openxmlformats.org/officeDocument/2006/relationships/hyperlink" Target="https://doi.org/10.1037/1076-8998.5.1.95" TargetMode="External"/><Relationship Id="rId19" Type="http://schemas.openxmlformats.org/officeDocument/2006/relationships/hyperlink" Target="https://doi.org/10.1002/job.4030020205" TargetMode="External"/><Relationship Id="rId4" Type="http://schemas.openxmlformats.org/officeDocument/2006/relationships/hyperlink" Target="https://doi.org/10.1108/02683940710733115" TargetMode="External"/><Relationship Id="rId9" Type="http://schemas.openxmlformats.org/officeDocument/2006/relationships/hyperlink" Target="https://doi.org/10.1037/0021-9010.86.3.499" TargetMode="External"/><Relationship Id="rId14" Type="http://schemas.openxmlformats.org/officeDocument/2006/relationships/hyperlink" Target="https://doi.org/10.5465/amj.2011.0088" TargetMode="External"/><Relationship Id="rId22" Type="http://schemas.openxmlformats.org/officeDocument/2006/relationships/hyperlink" Target="https://doi.org/10.3390/ijerph19159724"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4529</Words>
  <Characters>25816</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dc:creator>
  <cp:keywords/>
  <dc:description/>
  <cp:lastModifiedBy>Eugen Gherasim (2242387)</cp:lastModifiedBy>
  <cp:revision>111</cp:revision>
  <dcterms:created xsi:type="dcterms:W3CDTF">2026-02-10T17:41:00Z</dcterms:created>
  <dcterms:modified xsi:type="dcterms:W3CDTF">2026-02-12T14:36:00Z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875c3744-3b01-42ae-9b13-3f672211d729</vt:lpwstr>
  </property>
</Properties>
</file>