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D72DAD">
      <w:pPr>
        <w:pStyle w:val="3"/>
        <w:rPr>
          <w:sz w:val="20"/>
          <w:szCs w:val="20"/>
          <w:lang w:val="en-GB"/>
        </w:rPr>
      </w:pPr>
      <w:r>
        <w:drawing>
          <wp:anchor distT="0" distB="0" distL="114300" distR="114300" simplePos="0" relativeHeight="251659264" behindDoc="0" locked="0" layoutInCell="1" allowOverlap="1">
            <wp:simplePos x="0" y="0"/>
            <wp:positionH relativeFrom="column">
              <wp:posOffset>642620</wp:posOffset>
            </wp:positionH>
            <wp:positionV relativeFrom="paragraph">
              <wp:posOffset>-1334135</wp:posOffset>
            </wp:positionV>
            <wp:extent cx="5438775" cy="1328420"/>
            <wp:effectExtent l="0" t="0" r="0" b="0"/>
            <wp:wrapSquare wrapText="bothSides"/>
            <wp:docPr id="1" name="image1.png" descr="SCVO | Sandwell Council of Voluntary Organisations."/>
            <wp:cNvGraphicFramePr/>
            <a:graphic xmlns:a="http://schemas.openxmlformats.org/drawingml/2006/main">
              <a:graphicData uri="http://schemas.openxmlformats.org/drawingml/2006/picture">
                <pic:pic xmlns:pic="http://schemas.openxmlformats.org/drawingml/2006/picture">
                  <pic:nvPicPr>
                    <pic:cNvPr id="1" name="image1.png" descr="SCVO | Sandwell Council of Voluntary Organisations."/>
                    <pic:cNvPicPr preferRelativeResize="0"/>
                  </pic:nvPicPr>
                  <pic:blipFill>
                    <a:blip r:embed="rId10"/>
                    <a:srcRect/>
                    <a:stretch>
                      <a:fillRect/>
                    </a:stretch>
                  </pic:blipFill>
                  <pic:spPr>
                    <a:xfrm>
                      <a:off x="0" y="0"/>
                      <a:ext cx="5438775" cy="1328420"/>
                    </a:xfrm>
                    <a:prstGeom prst="rect">
                      <a:avLst/>
                    </a:prstGeom>
                  </pic:spPr>
                </pic:pic>
              </a:graphicData>
            </a:graphic>
          </wp:anchor>
        </w:drawing>
      </w:r>
    </w:p>
    <w:p w14:paraId="1A001739">
      <w:pPr>
        <w:pStyle w:val="3"/>
        <w:ind w:left="2798"/>
        <w:rPr>
          <w:sz w:val="20"/>
          <w:szCs w:val="20"/>
          <w:lang w:val="en-GB"/>
        </w:rPr>
      </w:pPr>
    </w:p>
    <w:p w14:paraId="1087A33A">
      <w:pPr>
        <w:pStyle w:val="3"/>
        <w:ind w:left="2798"/>
        <w:rPr>
          <w:sz w:val="20"/>
          <w:szCs w:val="20"/>
          <w:lang w:val="en-GB"/>
        </w:rPr>
      </w:pPr>
    </w:p>
    <w:p w14:paraId="3E8DA06B">
      <w:pPr>
        <w:pStyle w:val="3"/>
        <w:rPr>
          <w:sz w:val="58"/>
          <w:szCs w:val="58"/>
          <w:lang w:val="en-GB"/>
        </w:rPr>
      </w:pPr>
    </w:p>
    <w:p w14:paraId="5A4FF320">
      <w:pPr>
        <w:pStyle w:val="3"/>
        <w:rPr>
          <w:sz w:val="44"/>
          <w:szCs w:val="44"/>
          <w:lang w:val="en-GB"/>
        </w:rPr>
      </w:pPr>
      <w:r>
        <w:rPr>
          <w:sz w:val="52"/>
          <w:szCs w:val="52"/>
          <w:lang w:val="en-GB"/>
        </w:rPr>
        <w:t xml:space="preserve">         </w:t>
      </w:r>
      <w:r>
        <w:rPr>
          <w:sz w:val="44"/>
          <w:szCs w:val="44"/>
          <w:lang w:val="en-GB"/>
        </w:rPr>
        <w:t>SefydliadDysguCanolDinas /</w:t>
      </w:r>
    </w:p>
    <w:p w14:paraId="482EECB0">
      <w:pPr>
        <w:pStyle w:val="3"/>
        <w:ind w:left="1234" w:right="1229"/>
        <w:rPr>
          <w:sz w:val="44"/>
          <w:szCs w:val="44"/>
          <w:lang w:val="en-GB"/>
        </w:rPr>
      </w:pPr>
      <w:r>
        <w:rPr>
          <w:sz w:val="44"/>
          <w:szCs w:val="44"/>
          <w:lang w:val="en-GB"/>
        </w:rPr>
        <w:t>Institute of Inner City Learning</w:t>
      </w:r>
    </w:p>
    <w:p w14:paraId="0D7C5C06">
      <w:pPr>
        <w:pStyle w:val="3"/>
        <w:tabs>
          <w:tab w:val="left" w:pos="1740"/>
          <w:tab w:val="center" w:pos="4320"/>
        </w:tabs>
        <w:jc w:val="left"/>
        <w:rPr>
          <w:sz w:val="48"/>
          <w:szCs w:val="48"/>
          <w:lang w:val="en-GB"/>
        </w:rPr>
      </w:pPr>
      <w:r>
        <w:rPr>
          <w:sz w:val="48"/>
          <w:szCs w:val="48"/>
          <w:lang w:val="en-GB"/>
        </w:rPr>
        <w:tab/>
      </w:r>
    </w:p>
    <w:p w14:paraId="4B3B0284">
      <w:pPr>
        <w:pStyle w:val="3"/>
        <w:tabs>
          <w:tab w:val="left" w:pos="1740"/>
          <w:tab w:val="center" w:pos="4320"/>
        </w:tabs>
        <w:jc w:val="left"/>
        <w:rPr>
          <w:sz w:val="44"/>
          <w:szCs w:val="44"/>
          <w:lang w:val="en-GB"/>
        </w:rPr>
        <w:sectPr>
          <w:headerReference r:id="rId5" w:type="default"/>
          <w:footerReference r:id="rId6" w:type="default"/>
          <w:pgSz w:w="12240" w:h="15840"/>
          <w:pgMar w:top="3658" w:right="1800" w:bottom="3658" w:left="1800" w:header="720" w:footer="1053" w:gutter="0"/>
          <w:pgNumType w:start="0"/>
          <w:cols w:space="720" w:num="1"/>
          <w:titlePg/>
        </w:sectPr>
      </w:pPr>
      <w:r>
        <w:rPr>
          <w:sz w:val="48"/>
          <w:szCs w:val="48"/>
          <w:lang w:val="en-GB"/>
        </w:rPr>
        <w:tab/>
      </w:r>
      <w:r>
        <w:rPr>
          <w:sz w:val="44"/>
          <w:szCs w:val="44"/>
          <w:lang w:val="en-GB"/>
        </w:rPr>
        <w:t xml:space="preserve">MSc Public Health and </w:t>
      </w:r>
      <w:r>
        <w:rPr>
          <w:sz w:val="44"/>
          <w:szCs w:val="44"/>
          <w:lang w:val="en-GB"/>
        </w:rPr>
        <w:br w:type="textWrapping"/>
      </w:r>
      <w:r>
        <w:rPr>
          <w:sz w:val="44"/>
          <w:szCs w:val="44"/>
          <w:lang w:val="en-GB"/>
        </w:rPr>
        <w:t xml:space="preserve">              Social Care in Practice</w:t>
      </w:r>
    </w:p>
    <w:p w14:paraId="6BCEC288">
      <w:pPr>
        <w:pStyle w:val="3"/>
        <w:jc w:val="center"/>
        <w:rPr>
          <w:b/>
          <w:bCs/>
          <w:sz w:val="56"/>
          <w:szCs w:val="56"/>
          <w:lang w:val="en-GB"/>
        </w:rPr>
      </w:pPr>
      <w:bookmarkStart w:id="0" w:name="_heading=h.lo3ld1dwu988" w:colFirst="0" w:colLast="0"/>
      <w:bookmarkEnd w:id="0"/>
      <w:r>
        <w:rPr>
          <w:b/>
          <w:bCs/>
          <w:sz w:val="56"/>
          <w:szCs w:val="56"/>
          <w:lang w:val="en-GB"/>
        </w:rPr>
        <w:t>Supporting the Mental Health of Social Care Workers After Covid-19: Exploring Practical Solutions to Reduce Burnout in the United Kingdom</w:t>
      </w:r>
    </w:p>
    <w:p w14:paraId="779FD025">
      <w:pPr>
        <w:pStyle w:val="3"/>
        <w:widowControl/>
        <w:spacing w:before="240" w:after="240"/>
        <w:jc w:val="both"/>
        <w:rPr>
          <w:b/>
          <w:bCs/>
          <w:sz w:val="28"/>
          <w:szCs w:val="28"/>
          <w:lang w:val="en-GB"/>
        </w:rPr>
      </w:pPr>
    </w:p>
    <w:p w14:paraId="490106AA">
      <w:pPr>
        <w:pStyle w:val="3"/>
        <w:widowControl/>
        <w:spacing w:before="240" w:after="240"/>
        <w:jc w:val="center"/>
        <w:rPr>
          <w:b/>
          <w:bCs/>
          <w:sz w:val="56"/>
          <w:szCs w:val="56"/>
          <w:lang w:val="en-GB"/>
        </w:rPr>
      </w:pPr>
      <w:r>
        <w:rPr>
          <w:b/>
          <w:bCs/>
          <w:sz w:val="56"/>
          <w:szCs w:val="56"/>
          <w:lang w:val="en-GB"/>
        </w:rPr>
        <w:t>Name: Keyur Ashvinbhai Patel</w:t>
      </w:r>
    </w:p>
    <w:p w14:paraId="72D04A3F">
      <w:pPr>
        <w:pStyle w:val="3"/>
        <w:widowControl/>
        <w:spacing w:before="240" w:after="240"/>
        <w:ind w:left="720"/>
        <w:jc w:val="center"/>
        <w:rPr>
          <w:b/>
          <w:bCs/>
          <w:sz w:val="56"/>
          <w:szCs w:val="56"/>
          <w:lang w:val="en-GB"/>
        </w:rPr>
      </w:pPr>
      <w:r>
        <w:rPr>
          <w:b/>
          <w:bCs/>
          <w:sz w:val="56"/>
          <w:szCs w:val="56"/>
          <w:lang w:val="en-GB"/>
        </w:rPr>
        <w:t>Student number: 2434370</w:t>
      </w:r>
    </w:p>
    <w:p w14:paraId="353620E9">
      <w:pPr>
        <w:pStyle w:val="3"/>
        <w:widowControl/>
        <w:spacing w:before="240" w:after="240"/>
        <w:ind w:left="720"/>
        <w:jc w:val="center"/>
        <w:rPr>
          <w:b/>
          <w:bCs/>
          <w:sz w:val="52"/>
          <w:szCs w:val="52"/>
          <w:lang w:val="en-GB"/>
        </w:rPr>
      </w:pPr>
      <w:r>
        <w:rPr>
          <w:b/>
          <w:bCs/>
          <w:sz w:val="52"/>
          <w:szCs w:val="52"/>
          <w:lang w:val="en-GB"/>
        </w:rPr>
        <w:t>Supervisor name: Philip Jones</w:t>
      </w:r>
    </w:p>
    <w:p w14:paraId="78995EF0">
      <w:pPr>
        <w:pStyle w:val="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32"/>
          <w:szCs w:val="32"/>
          <w:lang w:val="en-GB"/>
        </w:rPr>
      </w:pPr>
    </w:p>
    <w:p w14:paraId="02A7672F">
      <w:pPr>
        <w:pStyle w:val="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hint="default"/>
          <w:sz w:val="32"/>
          <w:szCs w:val="32"/>
          <w:lang w:val="en-GB"/>
        </w:rPr>
      </w:pPr>
      <w:r>
        <w:rPr>
          <w:rFonts w:hint="default"/>
          <w:sz w:val="32"/>
          <w:szCs w:val="32"/>
          <w:lang w:val="en-GB"/>
        </w:rPr>
        <w:t>Dissertation submitted as part of the requirements for the award of MSc Public Health and Social Care in Practice</w:t>
      </w:r>
    </w:p>
    <w:p w14:paraId="449B5825">
      <w:pPr>
        <w:pStyle w:val="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hint="default"/>
          <w:sz w:val="32"/>
          <w:szCs w:val="32"/>
          <w:lang w:val="en-GB"/>
        </w:rPr>
      </w:pPr>
    </w:p>
    <w:p w14:paraId="2EDC044A">
      <w:pPr>
        <w:pStyle w:val="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hint="default"/>
          <w:sz w:val="32"/>
          <w:szCs w:val="32"/>
          <w:lang w:val="en-US"/>
        </w:rPr>
      </w:pPr>
      <w:r>
        <w:rPr>
          <w:rFonts w:hint="default"/>
          <w:sz w:val="32"/>
          <w:szCs w:val="32"/>
          <w:lang w:val="en-GB"/>
        </w:rPr>
        <w:t>M</w:t>
      </w:r>
      <w:r>
        <w:rPr>
          <w:rFonts w:hint="default"/>
          <w:sz w:val="32"/>
          <w:szCs w:val="32"/>
          <w:lang w:val="en-US"/>
        </w:rPr>
        <w:t>ay 2026</w:t>
      </w:r>
    </w:p>
    <w:p w14:paraId="499D6253">
      <w:pPr>
        <w:pStyle w:val="3"/>
        <w:rPr>
          <w:b/>
          <w:bCs/>
          <w:lang w:val="en-GB"/>
        </w:rPr>
      </w:pPr>
    </w:p>
    <w:p w14:paraId="4FFEFAA0">
      <w:pPr>
        <w:pStyle w:val="2"/>
        <w:spacing w:line="480" w:lineRule="auto"/>
        <w:rPr>
          <w:sz w:val="28"/>
          <w:szCs w:val="28"/>
          <w:lang w:val="en-GB"/>
        </w:rPr>
      </w:pPr>
      <w:bookmarkStart w:id="1" w:name="_Toc228745791"/>
      <w:r>
        <w:rPr>
          <w:sz w:val="28"/>
          <w:szCs w:val="28"/>
          <w:lang w:val="en-GB"/>
        </w:rPr>
        <w:t>DECLARATION</w:t>
      </w:r>
      <w:bookmarkEnd w:id="1"/>
    </w:p>
    <w:p w14:paraId="03E1B4BB">
      <w:pPr>
        <w:pStyle w:val="3"/>
        <w:rPr>
          <w:lang w:val="en-GB"/>
        </w:rPr>
      </w:pPr>
    </w:p>
    <w:p w14:paraId="04DF0CEE">
      <w:pPr>
        <w:pStyle w:val="3"/>
        <w:rPr>
          <w:lang w:val="en-GB"/>
        </w:rPr>
      </w:pPr>
      <w:r>
        <w:rPr>
          <w:lang w:val="en-GB"/>
        </w:rPr>
        <w:t>I, Keyur Ashvinbhai Patel, attest that this dissertation is my original work and is titled Supporting the Mental Health of Social Care Workers After Covid-19: Exploring Practical Solutions to Reduce Burnout in the United Kingdom. I testify that this research has not been presented in any degree or qualification at this or any other institution before. Each and every information source such as published literature, datasets, and theoretical frameworks has been adequately cited in regard with academic standards. I know plagiarism is a grave academic crime, and I have done everything to make sure that this systematic literature review is integrity and original.</w:t>
      </w:r>
    </w:p>
    <w:p w14:paraId="7BFFB344">
      <w:pPr>
        <w:pStyle w:val="3"/>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sz w:val="28"/>
          <w:szCs w:val="28"/>
          <w:lang w:val="en-GB"/>
        </w:rPr>
      </w:pPr>
    </w:p>
    <w:p w14:paraId="47C17C7C">
      <w:pPr>
        <w:pStyle w:val="3"/>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hint="default"/>
          <w:b w:val="0"/>
          <w:bCs w:val="0"/>
          <w:sz w:val="24"/>
          <w:szCs w:val="24"/>
          <w:u w:val="dotted"/>
          <w:lang w:val="en-US"/>
        </w:rPr>
      </w:pPr>
      <w:r>
        <w:rPr>
          <w:rFonts w:hint="default"/>
          <w:b w:val="0"/>
          <w:bCs w:val="0"/>
          <w:sz w:val="24"/>
          <w:szCs w:val="24"/>
          <w:lang w:val="en-GB"/>
        </w:rPr>
        <w:t>Signature</w:t>
      </w:r>
      <w:r>
        <w:rPr>
          <w:rFonts w:hint="default"/>
          <w:b w:val="0"/>
          <w:bCs w:val="0"/>
          <w:sz w:val="24"/>
          <w:szCs w:val="24"/>
          <w:lang w:val="en-US"/>
        </w:rPr>
        <w:t xml:space="preserve">: </w:t>
      </w:r>
      <w:r>
        <w:rPr>
          <w:rFonts w:hint="default"/>
          <w:b w:val="0"/>
          <w:bCs w:val="0"/>
          <w:sz w:val="24"/>
          <w:szCs w:val="24"/>
          <w:u w:val="dotted"/>
          <w:lang w:val="en-US"/>
        </w:rPr>
        <w:t xml:space="preserve">Patel.K.A          </w:t>
      </w:r>
    </w:p>
    <w:p w14:paraId="784634A8">
      <w:pPr>
        <w:pStyle w:val="3"/>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hint="default"/>
          <w:b w:val="0"/>
          <w:bCs w:val="0"/>
          <w:sz w:val="24"/>
          <w:szCs w:val="24"/>
          <w:lang w:val="en-GB"/>
        </w:rPr>
      </w:pPr>
    </w:p>
    <w:p w14:paraId="1178EA1F">
      <w:pPr>
        <w:pStyle w:val="3"/>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hint="default"/>
          <w:b/>
          <w:bCs/>
          <w:sz w:val="28"/>
          <w:szCs w:val="28"/>
          <w:u w:val="dotted"/>
          <w:lang w:val="en-US"/>
        </w:rPr>
      </w:pPr>
      <w:r>
        <w:rPr>
          <w:rFonts w:hint="default"/>
          <w:b w:val="0"/>
          <w:bCs w:val="0"/>
          <w:sz w:val="24"/>
          <w:szCs w:val="24"/>
          <w:lang w:val="en-GB"/>
        </w:rPr>
        <w:t xml:space="preserve">Date: </w:t>
      </w:r>
      <w:r>
        <w:rPr>
          <w:rFonts w:hint="default"/>
          <w:b w:val="0"/>
          <w:bCs w:val="0"/>
          <w:sz w:val="24"/>
          <w:szCs w:val="24"/>
          <w:u w:val="dotted"/>
          <w:lang w:val="en-US"/>
        </w:rPr>
        <w:t>12/05/2026</w:t>
      </w:r>
    </w:p>
    <w:p w14:paraId="66BA5B1C">
      <w:pPr>
        <w:pStyle w:val="3"/>
        <w:tabs>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8"/>
          <w:szCs w:val="28"/>
          <w:lang w:val="en-GB"/>
        </w:rPr>
      </w:pPr>
    </w:p>
    <w:p w14:paraId="164635B0">
      <w:pPr>
        <w:pStyle w:val="3"/>
        <w:jc w:val="left"/>
        <w:rPr>
          <w:b/>
          <w:bCs/>
          <w:sz w:val="28"/>
          <w:szCs w:val="28"/>
          <w:lang w:val="en-GB"/>
        </w:rPr>
      </w:pPr>
      <w:r>
        <w:rPr>
          <w:lang w:val="en-GB"/>
        </w:rPr>
        <w:br w:type="page"/>
      </w:r>
      <w:bookmarkStart w:id="98" w:name="_GoBack"/>
      <w:bookmarkEnd w:id="98"/>
    </w:p>
    <w:p w14:paraId="1E8665B9">
      <w:pPr>
        <w:pStyle w:val="2"/>
        <w:spacing w:line="480" w:lineRule="auto"/>
        <w:rPr>
          <w:sz w:val="28"/>
          <w:szCs w:val="28"/>
          <w:lang w:val="en-GB"/>
        </w:rPr>
      </w:pPr>
      <w:bookmarkStart w:id="2" w:name="_Toc228745792"/>
      <w:r>
        <w:rPr>
          <w:sz w:val="28"/>
          <w:szCs w:val="28"/>
          <w:lang w:val="en-GB"/>
        </w:rPr>
        <w:t>ACKNOWLEDGEMENT</w:t>
      </w:r>
      <w:bookmarkEnd w:id="2"/>
    </w:p>
    <w:p w14:paraId="24F93A4F">
      <w:pPr>
        <w:pStyle w:val="3"/>
        <w:rPr>
          <w:lang w:val="en-GB"/>
        </w:rPr>
      </w:pPr>
    </w:p>
    <w:p w14:paraId="083EA2D9">
      <w:pPr>
        <w:pStyle w:val="3"/>
        <w:rPr>
          <w:lang w:val="en-GB"/>
        </w:rPr>
      </w:pPr>
      <w:r>
        <w:rPr>
          <w:lang w:val="en-GB"/>
        </w:rPr>
        <w:t>I would like to take this time to thank my supervisor, Philip Jones, who has been of great help, provided constructive comments, and encouraged me through this research process. His experience and tolerance have played a critical role in developing this dissertation.</w:t>
      </w:r>
    </w:p>
    <w:p w14:paraId="65FA1082">
      <w:pPr>
        <w:pStyle w:val="3"/>
        <w:rPr>
          <w:lang w:val="en-GB"/>
        </w:rPr>
      </w:pPr>
      <w:r>
        <w:rPr>
          <w:lang w:val="en-GB"/>
        </w:rPr>
        <w:t>I am also very grateful to the faculty and staff of the Institute of Inner City Learning and the MSc Public Health and Social Care in Practice programme that offered a positive academic environment.</w:t>
      </w:r>
    </w:p>
    <w:p w14:paraId="4558357A">
      <w:pPr>
        <w:pStyle w:val="3"/>
        <w:rPr>
          <w:lang w:val="en-GB"/>
        </w:rPr>
      </w:pPr>
      <w:r>
        <w:rPr>
          <w:lang w:val="en-GB"/>
        </w:rPr>
        <w:t>I would like to sincerely thank the social care workers throughout the United Kingdom whose hard work and determination in the face of the COVID-19 pandemic inspired the course of my research. Lastly, I want to thank my family and friends who have been very supportive and understanding throughout this difficult yet rewarding academic process.</w:t>
      </w:r>
      <w:r>
        <w:rPr>
          <w:lang w:val="en-GB"/>
        </w:rPr>
        <w:br w:type="page"/>
      </w:r>
    </w:p>
    <w:p w14:paraId="64085286">
      <w:pPr>
        <w:pStyle w:val="2"/>
        <w:spacing w:line="480" w:lineRule="auto"/>
        <w:rPr>
          <w:sz w:val="28"/>
          <w:szCs w:val="28"/>
          <w:lang w:val="en-GB"/>
        </w:rPr>
      </w:pPr>
      <w:bookmarkStart w:id="3" w:name="_Toc228745793"/>
      <w:r>
        <w:rPr>
          <w:sz w:val="28"/>
          <w:szCs w:val="28"/>
          <w:lang w:val="en-GB"/>
        </w:rPr>
        <w:t>ABSTRACT</w:t>
      </w:r>
      <w:bookmarkEnd w:id="3"/>
    </w:p>
    <w:p w14:paraId="2E52CA47">
      <w:pPr>
        <w:pStyle w:val="3"/>
        <w:rPr>
          <w:lang w:val="en-GB"/>
        </w:rPr>
      </w:pPr>
      <w:r>
        <w:rPr>
          <w:b/>
          <w:bCs/>
          <w:lang w:val="en-GB"/>
        </w:rPr>
        <w:t>Background:</w:t>
      </w:r>
      <w:r>
        <w:rPr>
          <w:lang w:val="en-GB"/>
        </w:rPr>
        <w:t xml:space="preserve"> COVID-19 has also had a major influence on the mental health of social care workers in the United Kingdom, which resulted in higher rates of burnout, psychological distress, and workforce issues. The current literature demonstrates the increasing pressure on the sector; nevertheless, it is necessary to critically assess feasible and organisational solutions that may be effective in the situation of supporting the well-being of workers in the post-pandemic period.</w:t>
      </w:r>
    </w:p>
    <w:p w14:paraId="3926D957">
      <w:pPr>
        <w:pStyle w:val="3"/>
        <w:rPr>
          <w:lang w:val="en-GB"/>
        </w:rPr>
      </w:pPr>
      <w:r>
        <w:rPr>
          <w:b/>
          <w:bCs/>
          <w:lang w:val="en-GB"/>
        </w:rPr>
        <w:t>Aim:</w:t>
      </w:r>
      <w:r>
        <w:rPr>
          <w:lang w:val="en-GB"/>
        </w:rPr>
        <w:t xml:space="preserve"> The purpose of the study is to investigate and assess feasible methods and organisational interventions that can assist in the mental well-being of social care workers in the UK and decrease burnout in the post-COVID-19 period.</w:t>
      </w:r>
    </w:p>
    <w:p w14:paraId="226CA664">
      <w:pPr>
        <w:pStyle w:val="3"/>
        <w:rPr>
          <w:lang w:val="en-GB"/>
        </w:rPr>
      </w:pPr>
      <w:r>
        <w:rPr>
          <w:b/>
          <w:bCs/>
          <w:lang w:val="en-GB"/>
        </w:rPr>
        <w:t>Method:</w:t>
      </w:r>
      <w:r>
        <w:rPr>
          <w:lang w:val="en-GB"/>
        </w:rPr>
        <w:t xml:space="preserve"> To make the process systematic and transparent, a systematic literature review (SLR) was carried out according to the PRISMA guidelines. The databases such as PubMed, CINAHL, Scopus, and Google Scholar were used to identify relevant studies. There were inclusion and exclusion criteria, which led to the selection of 12 studies. The thematic analysis was employed in data analysis, whereas the CASP appraisal tools were used to evaluate the quality of the studies.</w:t>
      </w:r>
    </w:p>
    <w:p w14:paraId="3D37FE41">
      <w:pPr>
        <w:pStyle w:val="3"/>
        <w:rPr>
          <w:lang w:val="en-GB"/>
        </w:rPr>
      </w:pPr>
      <w:r>
        <w:rPr>
          <w:b/>
          <w:bCs/>
          <w:lang w:val="en-GB"/>
        </w:rPr>
        <w:t>Findings</w:t>
      </w:r>
      <w:r>
        <w:rPr>
          <w:lang w:val="en-GB"/>
        </w:rPr>
        <w:t>: The results indicated that burnout is a common challenge among social care workers whose main causes include organisational issues like excessive workload, staffing, and insufficient managerial support. Individual coping mechanisms, such as resilience and social support, have short-term benefits, but they cannot be effective without organisational change. Wellbeing hubs and peer support systems proved to be helpful, however, inconsistent because of such barriers as stigma, lack of time, and poor organisational culture.</w:t>
      </w:r>
    </w:p>
    <w:p w14:paraId="2821D8BC">
      <w:pPr>
        <w:pStyle w:val="3"/>
        <w:rPr>
          <w:lang w:val="en-GB"/>
        </w:rPr>
      </w:pPr>
      <w:r>
        <w:rPr>
          <w:b/>
          <w:bCs/>
          <w:lang w:val="en-GB"/>
        </w:rPr>
        <w:t>Conclusion:</w:t>
      </w:r>
      <w:r>
        <w:rPr>
          <w:lang w:val="en-GB"/>
        </w:rPr>
        <w:t xml:space="preserve"> The paper finds that burnout is an organisational-wide problem that needs both organisational and individual level interventions. The structural changes, supportive leadership, and the availability of support systems are the key to sustainable changes in mental health outcomes. It is recommended that future studies concentrate on longitudinal and intervention-based studies that can enhance evidence and policy formulation.</w:t>
      </w:r>
    </w:p>
    <w:p w14:paraId="358464F6">
      <w:pPr>
        <w:pStyle w:val="3"/>
        <w:rPr>
          <w:lang w:val="en-GB"/>
        </w:rPr>
      </w:pPr>
    </w:p>
    <w:p w14:paraId="332201D7">
      <w:pPr>
        <w:pStyle w:val="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bCs/>
          <w:lang w:val="en-GB"/>
        </w:rPr>
      </w:pPr>
    </w:p>
    <w:p w14:paraId="3AAD7218">
      <w:pPr>
        <w:pStyle w:val="3"/>
        <w:jc w:val="left"/>
        <w:rPr>
          <w:b/>
          <w:bCs/>
          <w:sz w:val="28"/>
          <w:szCs w:val="28"/>
          <w:lang w:val="en-GB"/>
        </w:rPr>
      </w:pPr>
      <w:r>
        <w:rPr>
          <w:lang w:val="en-GB"/>
        </w:rPr>
        <w:br w:type="page"/>
      </w:r>
    </w:p>
    <w:p w14:paraId="2AFEC628">
      <w:pPr>
        <w:pStyle w:val="3"/>
        <w:keepNext/>
        <w:keepLines/>
        <w:widowControl/>
        <w:spacing w:before="480" w:line="276" w:lineRule="auto"/>
        <w:jc w:val="center"/>
        <w:rPr>
          <w:b/>
          <w:bCs/>
          <w:sz w:val="28"/>
          <w:szCs w:val="28"/>
          <w:lang w:val="en-GB"/>
        </w:rPr>
      </w:pPr>
      <w:r>
        <w:rPr>
          <w:b/>
          <w:bCs/>
          <w:sz w:val="28"/>
          <w:szCs w:val="28"/>
          <w:lang w:val="en-GB"/>
        </w:rPr>
        <w:t>Table of Contents</w:t>
      </w:r>
    </w:p>
    <w:sdt>
      <w:sdtPr>
        <w:id w:val="-1328417439"/>
        <w:docPartObj>
          <w:docPartGallery w:val="Table of Contents"/>
          <w:docPartUnique/>
        </w:docPartObj>
      </w:sdtPr>
      <w:sdtEndPr>
        <w:rPr>
          <w:lang w:val="en-US"/>
        </w:rPr>
      </w:sdtEndPr>
      <w:sdtContent>
        <w:p w14:paraId="0B04B24B">
          <w:pPr>
            <w:pStyle w:val="22"/>
            <w:tabs>
              <w:tab w:val="right" w:leader="dot" w:pos="8630"/>
            </w:tabs>
            <w:rPr>
              <w:rFonts w:asciiTheme="minorHAnsi" w:hAnsiTheme="minorHAnsi" w:eastAsiaTheme="minorEastAsia" w:cstheme="minorBidi"/>
              <w:kern w:val="2"/>
              <w:sz w:val="24"/>
              <w:szCs w:val="24"/>
              <w:lang w:eastAsia="en-GB"/>
              <w14:ligatures w14:val="standardContextual"/>
            </w:rPr>
          </w:pPr>
          <w:r>
            <w:rPr>
              <w:lang w:val="en-US"/>
            </w:rPr>
            <w:fldChar w:fldCharType="begin"/>
          </w:r>
          <w:r>
            <w:instrText xml:space="preserve"> TOC \h \u \z \t "Heading 1,1,Heading 2,2,Heading 3,3,"</w:instrText>
          </w:r>
          <w:r>
            <w:rPr>
              <w:lang w:val="en-US"/>
            </w:rPr>
            <w:fldChar w:fldCharType="separate"/>
          </w:r>
          <w:r>
            <w:fldChar w:fldCharType="begin"/>
          </w:r>
          <w:r>
            <w:instrText xml:space="preserve"> HYPERLINK \l "_Toc228745791" </w:instrText>
          </w:r>
          <w:r>
            <w:fldChar w:fldCharType="separate"/>
          </w:r>
          <w:r>
            <w:rPr>
              <w:rStyle w:val="16"/>
            </w:rPr>
            <w:t>DECLARATION</w:t>
          </w:r>
          <w:r>
            <w:tab/>
          </w:r>
          <w:r>
            <w:fldChar w:fldCharType="begin"/>
          </w:r>
          <w:r>
            <w:instrText xml:space="preserve"> PAGEREF _Toc228745791 \h </w:instrText>
          </w:r>
          <w:r>
            <w:fldChar w:fldCharType="separate"/>
          </w:r>
          <w:r>
            <w:t>2</w:t>
          </w:r>
          <w:r>
            <w:fldChar w:fldCharType="end"/>
          </w:r>
          <w:r>
            <w:fldChar w:fldCharType="end"/>
          </w:r>
        </w:p>
        <w:p w14:paraId="4E389ED8">
          <w:pPr>
            <w:pStyle w:val="22"/>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"_Toc228745792" </w:instrText>
          </w:r>
          <w:r>
            <w:fldChar w:fldCharType="separate"/>
          </w:r>
          <w:r>
            <w:rPr>
              <w:rStyle w:val="16"/>
            </w:rPr>
            <w:t>ACKNOWLEDGEMENT</w:t>
          </w:r>
          <w:r>
            <w:tab/>
          </w:r>
          <w:r>
            <w:fldChar w:fldCharType="begin"/>
          </w:r>
          <w:r>
            <w:instrText xml:space="preserve"> PAGEREF _Toc228745792 \h </w:instrText>
          </w:r>
          <w:r>
            <w:fldChar w:fldCharType="separate"/>
          </w:r>
          <w:r>
            <w:t>3</w:t>
          </w:r>
          <w:r>
            <w:fldChar w:fldCharType="end"/>
          </w:r>
          <w:r>
            <w:fldChar w:fldCharType="end"/>
          </w:r>
        </w:p>
        <w:p w14:paraId="6D3295C3">
          <w:pPr>
            <w:pStyle w:val="22"/>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"_Toc228745793" </w:instrText>
          </w:r>
          <w:r>
            <w:fldChar w:fldCharType="separate"/>
          </w:r>
          <w:r>
            <w:rPr>
              <w:rStyle w:val="16"/>
            </w:rPr>
            <w:t>ABSTRACT</w:t>
          </w:r>
          <w:r>
            <w:tab/>
          </w:r>
          <w:r>
            <w:fldChar w:fldCharType="begin"/>
          </w:r>
          <w:r>
            <w:instrText xml:space="preserve"> PAGEREF _Toc228745793 \h </w:instrText>
          </w:r>
          <w:r>
            <w:fldChar w:fldCharType="separate"/>
          </w:r>
          <w:r>
            <w:t>4</w:t>
          </w:r>
          <w:r>
            <w:fldChar w:fldCharType="end"/>
          </w:r>
          <w:r>
            <w:fldChar w:fldCharType="end"/>
          </w:r>
        </w:p>
        <w:p w14:paraId="48A85D1D">
          <w:pPr>
            <w:pStyle w:val="22"/>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"_Toc228745794" </w:instrText>
          </w:r>
          <w:r>
            <w:fldChar w:fldCharType="separate"/>
          </w:r>
          <w:r>
            <w:rPr>
              <w:rStyle w:val="16"/>
            </w:rPr>
            <w:t>List of Tables</w:t>
          </w:r>
          <w:r>
            <w:tab/>
          </w:r>
          <w:r>
            <w:fldChar w:fldCharType="begin"/>
          </w:r>
          <w:r>
            <w:instrText xml:space="preserve"> PAGEREF _Toc228745794 \h </w:instrText>
          </w:r>
          <w:r>
            <w:fldChar w:fldCharType="separate"/>
          </w:r>
          <w:r>
            <w:t>9</w:t>
          </w:r>
          <w:r>
            <w:fldChar w:fldCharType="end"/>
          </w:r>
          <w:r>
            <w:fldChar w:fldCharType="end"/>
          </w:r>
        </w:p>
        <w:p w14:paraId="7E09045D">
          <w:pPr>
            <w:pStyle w:val="22"/>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"_Toc228745795" </w:instrText>
          </w:r>
          <w:r>
            <w:fldChar w:fldCharType="separate"/>
          </w:r>
          <w:r>
            <w:rPr>
              <w:rStyle w:val="16"/>
            </w:rPr>
            <w:t>List of Figures</w:t>
          </w:r>
          <w:r>
            <w:tab/>
          </w:r>
          <w:r>
            <w:fldChar w:fldCharType="begin"/>
          </w:r>
          <w:r>
            <w:instrText xml:space="preserve"> PAGEREF _Toc228745795 \h </w:instrText>
          </w:r>
          <w:r>
            <w:fldChar w:fldCharType="separate"/>
          </w:r>
          <w:r>
            <w:t>9</w:t>
          </w:r>
          <w:r>
            <w:fldChar w:fldCharType="end"/>
          </w:r>
          <w:r>
            <w:fldChar w:fldCharType="end"/>
          </w:r>
        </w:p>
        <w:p w14:paraId="3AF95407">
          <w:pPr>
            <w:pStyle w:val="22"/>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"_Toc228745796" </w:instrText>
          </w:r>
          <w:r>
            <w:fldChar w:fldCharType="separate"/>
          </w:r>
          <w:r>
            <w:rPr>
              <w:rStyle w:val="16"/>
            </w:rPr>
            <w:t>List of Abbreviation</w:t>
          </w:r>
          <w:r>
            <w:tab/>
          </w:r>
          <w:r>
            <w:fldChar w:fldCharType="begin"/>
          </w:r>
          <w:r>
            <w:instrText xml:space="preserve"> PAGEREF _Toc228745796 \h </w:instrText>
          </w:r>
          <w:r>
            <w:fldChar w:fldCharType="separate"/>
          </w:r>
          <w:r>
            <w:t>10</w:t>
          </w:r>
          <w:r>
            <w:fldChar w:fldCharType="end"/>
          </w:r>
          <w:r>
            <w:fldChar w:fldCharType="end"/>
          </w:r>
        </w:p>
        <w:p w14:paraId="0A196E48">
          <w:pPr>
            <w:pStyle w:val="22"/>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"_Toc228745797" </w:instrText>
          </w:r>
          <w:r>
            <w:fldChar w:fldCharType="separate"/>
          </w:r>
          <w:r>
            <w:rPr>
              <w:rStyle w:val="16"/>
            </w:rPr>
            <w:t>CHAPTER 1: INTRODUCTION AND BACKGROUND</w:t>
          </w:r>
          <w:r>
            <w:tab/>
          </w:r>
          <w:r>
            <w:fldChar w:fldCharType="begin"/>
          </w:r>
          <w:r>
            <w:instrText xml:space="preserve"> PAGEREF _Toc228745797 \h </w:instrText>
          </w:r>
          <w:r>
            <w:fldChar w:fldCharType="separate"/>
          </w:r>
          <w:r>
            <w:t>11</w:t>
          </w:r>
          <w:r>
            <w:fldChar w:fldCharType="end"/>
          </w:r>
          <w:r>
            <w:fldChar w:fldCharType="end"/>
          </w:r>
        </w:p>
        <w:p w14:paraId="0CA87C8D">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"_Toc228745798" </w:instrText>
          </w:r>
          <w:r>
            <w:fldChar w:fldCharType="separate"/>
          </w:r>
          <w:r>
            <w:rPr>
              <w:rStyle w:val="16"/>
            </w:rPr>
            <w:t>1.1 Introduction to the topic</w:t>
          </w:r>
          <w:r>
            <w:tab/>
          </w:r>
          <w:r>
            <w:fldChar w:fldCharType="begin"/>
          </w:r>
          <w:r>
            <w:instrText xml:space="preserve"> PAGEREF _Toc228745798 \h </w:instrText>
          </w:r>
          <w:r>
            <w:fldChar w:fldCharType="separate"/>
          </w:r>
          <w:r>
            <w:t>11</w:t>
          </w:r>
          <w:r>
            <w:fldChar w:fldCharType="end"/>
          </w:r>
          <w:r>
            <w:fldChar w:fldCharType="end"/>
          </w:r>
        </w:p>
        <w:p w14:paraId="36BEF022">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"_Toc228745799" </w:instrText>
          </w:r>
          <w:r>
            <w:fldChar w:fldCharType="separate"/>
          </w:r>
          <w:r>
            <w:rPr>
              <w:rStyle w:val="16"/>
            </w:rPr>
            <w:t>1.2 Background and Current Context</w:t>
          </w:r>
          <w:r>
            <w:tab/>
          </w:r>
          <w:r>
            <w:fldChar w:fldCharType="begin"/>
          </w:r>
          <w:r>
            <w:instrText xml:space="preserve"> PAGEREF _Toc228745799 \h </w:instrText>
          </w:r>
          <w:r>
            <w:fldChar w:fldCharType="separate"/>
          </w:r>
          <w:r>
            <w:t>11</w:t>
          </w:r>
          <w:r>
            <w:fldChar w:fldCharType="end"/>
          </w:r>
          <w:r>
            <w:fldChar w:fldCharType="end"/>
          </w:r>
        </w:p>
        <w:p w14:paraId="560F2A0F">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"_Toc228745800" </w:instrText>
          </w:r>
          <w:r>
            <w:fldChar w:fldCharType="separate"/>
          </w:r>
          <w:r>
            <w:rPr>
              <w:rStyle w:val="16"/>
            </w:rPr>
            <w:t>1.3 Rationale for Research or Problem Statement</w:t>
          </w:r>
          <w:r>
            <w:tab/>
          </w:r>
          <w:r>
            <w:fldChar w:fldCharType="begin"/>
          </w:r>
          <w:r>
            <w:instrText xml:space="preserve"> PAGEREF _Toc228745800 \h </w:instrText>
          </w:r>
          <w:r>
            <w:fldChar w:fldCharType="separate"/>
          </w:r>
          <w:r>
            <w:t>14</w:t>
          </w:r>
          <w:r>
            <w:fldChar w:fldCharType="end"/>
          </w:r>
          <w:r>
            <w:fldChar w:fldCharType="end"/>
          </w:r>
        </w:p>
        <w:p w14:paraId="1ECD55E5">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"_Toc228745801" </w:instrText>
          </w:r>
          <w:r>
            <w:fldChar w:fldCharType="separate"/>
          </w:r>
          <w:r>
            <w:rPr>
              <w:rStyle w:val="16"/>
            </w:rPr>
            <w:t>1.4 Research question</w:t>
          </w:r>
          <w:r>
            <w:tab/>
          </w:r>
          <w:r>
            <w:fldChar w:fldCharType="begin"/>
          </w:r>
          <w:r>
            <w:instrText xml:space="preserve"> PAGEREF _Toc228745801 \h </w:instrText>
          </w:r>
          <w:r>
            <w:fldChar w:fldCharType="separate"/>
          </w:r>
          <w:r>
            <w:t>14</w:t>
          </w:r>
          <w:r>
            <w:fldChar w:fldCharType="end"/>
          </w:r>
          <w:r>
            <w:fldChar w:fldCharType="end"/>
          </w:r>
        </w:p>
        <w:p w14:paraId="466500DE">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"_Toc228745802" </w:instrText>
          </w:r>
          <w:r>
            <w:fldChar w:fldCharType="separate"/>
          </w:r>
          <w:r>
            <w:rPr>
              <w:rStyle w:val="16"/>
            </w:rPr>
            <w:t>1.5 Research Aim</w:t>
          </w:r>
          <w:r>
            <w:tab/>
          </w:r>
          <w:r>
            <w:fldChar w:fldCharType="begin"/>
          </w:r>
          <w:r>
            <w:instrText xml:space="preserve"> PAGEREF _Toc228745802 \h </w:instrText>
          </w:r>
          <w:r>
            <w:fldChar w:fldCharType="separate"/>
          </w:r>
          <w:r>
            <w:t>14</w:t>
          </w:r>
          <w:r>
            <w:fldChar w:fldCharType="end"/>
          </w:r>
          <w:r>
            <w:fldChar w:fldCharType="end"/>
          </w:r>
        </w:p>
        <w:p w14:paraId="2BDF13D9">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"_Toc228745803" </w:instrText>
          </w:r>
          <w:r>
            <w:fldChar w:fldCharType="separate"/>
          </w:r>
          <w:r>
            <w:rPr>
              <w:rStyle w:val="16"/>
            </w:rPr>
            <w:t>1.6 Research Objectives</w:t>
          </w:r>
          <w:r>
            <w:tab/>
          </w:r>
          <w:r>
            <w:fldChar w:fldCharType="begin"/>
          </w:r>
          <w:r>
            <w:instrText xml:space="preserve"> PAGEREF _Toc228745803 \h </w:instrText>
          </w:r>
          <w:r>
            <w:fldChar w:fldCharType="separate"/>
          </w:r>
          <w:r>
            <w:t>14</w:t>
          </w:r>
          <w:r>
            <w:fldChar w:fldCharType="end"/>
          </w:r>
          <w:r>
            <w:fldChar w:fldCharType="end"/>
          </w:r>
        </w:p>
        <w:p w14:paraId="28094573">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"_Toc228745804" </w:instrText>
          </w:r>
          <w:r>
            <w:fldChar w:fldCharType="separate"/>
          </w:r>
          <w:r>
            <w:rPr>
              <w:rStyle w:val="16"/>
            </w:rPr>
            <w:t>1.7 Chapter summary</w:t>
          </w:r>
          <w:r>
            <w:tab/>
          </w:r>
          <w:r>
            <w:fldChar w:fldCharType="begin"/>
          </w:r>
          <w:r>
            <w:instrText xml:space="preserve"> PAGEREF _Toc228745804 \h </w:instrText>
          </w:r>
          <w:r>
            <w:fldChar w:fldCharType="separate"/>
          </w:r>
          <w:r>
            <w:t>15</w:t>
          </w:r>
          <w:r>
            <w:fldChar w:fldCharType="end"/>
          </w:r>
          <w:r>
            <w:fldChar w:fldCharType="end"/>
          </w:r>
        </w:p>
        <w:p w14:paraId="06BA098C">
          <w:pPr>
            <w:pStyle w:val="22"/>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"_Toc228745805" </w:instrText>
          </w:r>
          <w:r>
            <w:fldChar w:fldCharType="separate"/>
          </w:r>
          <w:r>
            <w:rPr>
              <w:rStyle w:val="16"/>
            </w:rPr>
            <w:t>CHAPTER 2:  LITERATURE REVIEW</w:t>
          </w:r>
          <w:r>
            <w:tab/>
          </w:r>
          <w:r>
            <w:fldChar w:fldCharType="begin"/>
          </w:r>
          <w:r>
            <w:instrText xml:space="preserve"> PAGEREF _Toc228745805 \h </w:instrText>
          </w:r>
          <w:r>
            <w:fldChar w:fldCharType="separate"/>
          </w:r>
          <w:r>
            <w:t>16</w:t>
          </w:r>
          <w:r>
            <w:fldChar w:fldCharType="end"/>
          </w:r>
          <w:r>
            <w:fldChar w:fldCharType="end"/>
          </w:r>
        </w:p>
        <w:p w14:paraId="2A0CFF40">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"_Toc228745806" </w:instrText>
          </w:r>
          <w:r>
            <w:fldChar w:fldCharType="separate"/>
          </w:r>
          <w:r>
            <w:rPr>
              <w:rStyle w:val="16"/>
            </w:rPr>
            <w:t>2.1 Chapter Introduction</w:t>
          </w:r>
          <w:r>
            <w:tab/>
          </w:r>
          <w:r>
            <w:fldChar w:fldCharType="begin"/>
          </w:r>
          <w:r>
            <w:instrText xml:space="preserve"> PAGEREF _Toc228745806 \h </w:instrText>
          </w:r>
          <w:r>
            <w:fldChar w:fldCharType="separate"/>
          </w:r>
          <w:r>
            <w:t>16</w:t>
          </w:r>
          <w:r>
            <w:fldChar w:fldCharType="end"/>
          </w:r>
          <w:r>
            <w:fldChar w:fldCharType="end"/>
          </w:r>
        </w:p>
        <w:p w14:paraId="4FA9075A">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"_Toc228745807" </w:instrText>
          </w:r>
          <w:r>
            <w:fldChar w:fldCharType="separate"/>
          </w:r>
          <w:r>
            <w:rPr>
              <w:rStyle w:val="16"/>
            </w:rPr>
            <w:t>2.2 Understanding Burnout in Social Care</w:t>
          </w:r>
          <w:r>
            <w:tab/>
          </w:r>
          <w:r>
            <w:fldChar w:fldCharType="begin"/>
          </w:r>
          <w:r>
            <w:instrText xml:space="preserve"> PAGEREF _Toc228745807 \h </w:instrText>
          </w:r>
          <w:r>
            <w:fldChar w:fldCharType="separate"/>
          </w:r>
          <w:r>
            <w:t>16</w:t>
          </w:r>
          <w:r>
            <w:fldChar w:fldCharType="end"/>
          </w:r>
          <w:r>
            <w:fldChar w:fldCharType="end"/>
          </w:r>
        </w:p>
        <w:p w14:paraId="228BDE04">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"_Toc228745808" </w:instrText>
          </w:r>
          <w:r>
            <w:fldChar w:fldCharType="separate"/>
          </w:r>
          <w:r>
            <w:rPr>
              <w:rStyle w:val="16"/>
            </w:rPr>
            <w:t>2.3 Key Factors Contributing to Burnout</w:t>
          </w:r>
          <w:r>
            <w:tab/>
          </w:r>
          <w:r>
            <w:fldChar w:fldCharType="begin"/>
          </w:r>
          <w:r>
            <w:instrText xml:space="preserve"> PAGEREF _Toc228745808 \h </w:instrText>
          </w:r>
          <w:r>
            <w:fldChar w:fldCharType="separate"/>
          </w:r>
          <w:r>
            <w:t>17</w:t>
          </w:r>
          <w:r>
            <w:fldChar w:fldCharType="end"/>
          </w:r>
          <w:r>
            <w:fldChar w:fldCharType="end"/>
          </w:r>
        </w:p>
        <w:p w14:paraId="6AD0FC84">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"_Toc228745809" </w:instrText>
          </w:r>
          <w:r>
            <w:fldChar w:fldCharType="separate"/>
          </w:r>
          <w:r>
            <w:rPr>
              <w:rStyle w:val="16"/>
            </w:rPr>
            <w:t>2.4 Impact of COVID-19 on Mental Health</w:t>
          </w:r>
          <w:r>
            <w:tab/>
          </w:r>
          <w:r>
            <w:fldChar w:fldCharType="begin"/>
          </w:r>
          <w:r>
            <w:instrText xml:space="preserve"> PAGEREF _Toc228745809 \h </w:instrText>
          </w:r>
          <w:r>
            <w:fldChar w:fldCharType="separate"/>
          </w:r>
          <w:r>
            <w:t>18</w:t>
          </w:r>
          <w:r>
            <w:fldChar w:fldCharType="end"/>
          </w:r>
          <w:r>
            <w:fldChar w:fldCharType="end"/>
          </w:r>
        </w:p>
        <w:p w14:paraId="6E745594">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"_Toc228745810" </w:instrText>
          </w:r>
          <w:r>
            <w:fldChar w:fldCharType="separate"/>
          </w:r>
          <w:r>
            <w:rPr>
              <w:rStyle w:val="16"/>
            </w:rPr>
            <w:t>2.5 Organisational Interventions</w:t>
          </w:r>
          <w:r>
            <w:tab/>
          </w:r>
          <w:r>
            <w:fldChar w:fldCharType="begin"/>
          </w:r>
          <w:r>
            <w:instrText xml:space="preserve"> PAGEREF _Toc228745810 \h </w:instrText>
          </w:r>
          <w:r>
            <w:fldChar w:fldCharType="separate"/>
          </w:r>
          <w:r>
            <w:t>18</w:t>
          </w:r>
          <w:r>
            <w:fldChar w:fldCharType="end"/>
          </w:r>
          <w:r>
            <w:fldChar w:fldCharType="end"/>
          </w:r>
        </w:p>
        <w:p w14:paraId="0003F1E6">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"_Toc228745811" </w:instrText>
          </w:r>
          <w:r>
            <w:fldChar w:fldCharType="separate"/>
          </w:r>
          <w:r>
            <w:rPr>
              <w:rStyle w:val="16"/>
            </w:rPr>
            <w:t>2.6 Individual-Level Interventions</w:t>
          </w:r>
          <w:r>
            <w:tab/>
          </w:r>
          <w:r>
            <w:fldChar w:fldCharType="begin"/>
          </w:r>
          <w:r>
            <w:instrText xml:space="preserve"> PAGEREF _Toc228745811 \h </w:instrText>
          </w:r>
          <w:r>
            <w:fldChar w:fldCharType="separate"/>
          </w:r>
          <w:r>
            <w:t>19</w:t>
          </w:r>
          <w:r>
            <w:fldChar w:fldCharType="end"/>
          </w:r>
          <w:r>
            <w:fldChar w:fldCharType="end"/>
          </w:r>
        </w:p>
        <w:p w14:paraId="3263C405">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"_Toc228745812" </w:instrText>
          </w:r>
          <w:r>
            <w:fldChar w:fldCharType="separate"/>
          </w:r>
          <w:r>
            <w:rPr>
              <w:rStyle w:val="16"/>
            </w:rPr>
            <w:t>2.7 Barriers to Accessing Support</w:t>
          </w:r>
          <w:r>
            <w:tab/>
          </w:r>
          <w:r>
            <w:fldChar w:fldCharType="begin"/>
          </w:r>
          <w:r>
            <w:instrText xml:space="preserve"> PAGEREF _Toc228745812 \h </w:instrText>
          </w:r>
          <w:r>
            <w:fldChar w:fldCharType="separate"/>
          </w:r>
          <w:r>
            <w:t>20</w:t>
          </w:r>
          <w:r>
            <w:fldChar w:fldCharType="end"/>
          </w:r>
          <w:r>
            <w:fldChar w:fldCharType="end"/>
          </w:r>
        </w:p>
        <w:p w14:paraId="3863C7E3">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"_Toc228745813" </w:instrText>
          </w:r>
          <w:r>
            <w:fldChar w:fldCharType="separate"/>
          </w:r>
          <w:r>
            <w:rPr>
              <w:rStyle w:val="16"/>
            </w:rPr>
            <w:t>2.8 Gaps in Existing Literature</w:t>
          </w:r>
          <w:r>
            <w:tab/>
          </w:r>
          <w:r>
            <w:fldChar w:fldCharType="begin"/>
          </w:r>
          <w:r>
            <w:instrText xml:space="preserve"> PAGEREF _Toc228745813 \h </w:instrText>
          </w:r>
          <w:r>
            <w:fldChar w:fldCharType="separate"/>
          </w:r>
          <w:r>
            <w:t>20</w:t>
          </w:r>
          <w:r>
            <w:fldChar w:fldCharType="end"/>
          </w:r>
          <w:r>
            <w:fldChar w:fldCharType="end"/>
          </w:r>
        </w:p>
        <w:p w14:paraId="66F82F7C">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"_Toc228745814" </w:instrText>
          </w:r>
          <w:r>
            <w:fldChar w:fldCharType="separate"/>
          </w:r>
          <w:r>
            <w:rPr>
              <w:rStyle w:val="16"/>
            </w:rPr>
            <w:t>2.9 Chapter Summary</w:t>
          </w:r>
          <w:r>
            <w:tab/>
          </w:r>
          <w:r>
            <w:fldChar w:fldCharType="begin"/>
          </w:r>
          <w:r>
            <w:instrText xml:space="preserve"> PAGEREF _Toc228745814 \h </w:instrText>
          </w:r>
          <w:r>
            <w:fldChar w:fldCharType="separate"/>
          </w:r>
          <w:r>
            <w:t>21</w:t>
          </w:r>
          <w:r>
            <w:fldChar w:fldCharType="end"/>
          </w:r>
          <w:r>
            <w:fldChar w:fldCharType="end"/>
          </w:r>
        </w:p>
        <w:p w14:paraId="5A428C4D">
          <w:pPr>
            <w:pStyle w:val="22"/>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"_Toc228745815" </w:instrText>
          </w:r>
          <w:r>
            <w:fldChar w:fldCharType="separate"/>
          </w:r>
          <w:r>
            <w:rPr>
              <w:rStyle w:val="16"/>
            </w:rPr>
            <w:t>CHAPTER 3: METHODOLOGY</w:t>
          </w:r>
          <w:r>
            <w:tab/>
          </w:r>
          <w:r>
            <w:fldChar w:fldCharType="begin"/>
          </w:r>
          <w:r>
            <w:instrText xml:space="preserve"> PAGEREF _Toc228745815 \h </w:instrText>
          </w:r>
          <w:r>
            <w:fldChar w:fldCharType="separate"/>
          </w:r>
          <w:r>
            <w:t>22</w:t>
          </w:r>
          <w:r>
            <w:fldChar w:fldCharType="end"/>
          </w:r>
          <w:r>
            <w:fldChar w:fldCharType="end"/>
          </w:r>
        </w:p>
        <w:p w14:paraId="460D4129">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"_Toc228745816" </w:instrText>
          </w:r>
          <w:r>
            <w:fldChar w:fldCharType="separate"/>
          </w:r>
          <w:r>
            <w:rPr>
              <w:rStyle w:val="16"/>
            </w:rPr>
            <w:t>3.1 Introduction to the Methodology Chapter</w:t>
          </w:r>
          <w:r>
            <w:tab/>
          </w:r>
          <w:r>
            <w:fldChar w:fldCharType="begin"/>
          </w:r>
          <w:r>
            <w:instrText xml:space="preserve"> PAGEREF _Toc228745816 \h </w:instrText>
          </w:r>
          <w:r>
            <w:fldChar w:fldCharType="separate"/>
          </w:r>
          <w:r>
            <w:t>22</w:t>
          </w:r>
          <w:r>
            <w:fldChar w:fldCharType="end"/>
          </w:r>
          <w:r>
            <w:fldChar w:fldCharType="end"/>
          </w:r>
        </w:p>
        <w:p w14:paraId="05899DE9">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"_Toc228745817" </w:instrText>
          </w:r>
          <w:r>
            <w:fldChar w:fldCharType="separate"/>
          </w:r>
          <w:r>
            <w:rPr>
              <w:rStyle w:val="16"/>
            </w:rPr>
            <w:t>3.2 Systematic Literature Review (SLR)</w:t>
          </w:r>
          <w:r>
            <w:tab/>
          </w:r>
          <w:r>
            <w:fldChar w:fldCharType="begin"/>
          </w:r>
          <w:r>
            <w:instrText xml:space="preserve"> PAGEREF _Toc228745817 \h </w:instrText>
          </w:r>
          <w:r>
            <w:fldChar w:fldCharType="separate"/>
          </w:r>
          <w:r>
            <w:t>22</w:t>
          </w:r>
          <w:r>
            <w:fldChar w:fldCharType="end"/>
          </w:r>
          <w:r>
            <w:fldChar w:fldCharType="end"/>
          </w:r>
        </w:p>
        <w:p w14:paraId="0B7BA939">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"_Toc228745818" </w:instrText>
          </w:r>
          <w:r>
            <w:fldChar w:fldCharType="separate"/>
          </w:r>
          <w:r>
            <w:rPr>
              <w:rStyle w:val="16"/>
            </w:rPr>
            <w:t>3.3 Search Strategy</w:t>
          </w:r>
          <w:r>
            <w:tab/>
          </w:r>
          <w:r>
            <w:fldChar w:fldCharType="begin"/>
          </w:r>
          <w:r>
            <w:instrText xml:space="preserve"> PAGEREF _Toc228745818 \h </w:instrText>
          </w:r>
          <w:r>
            <w:fldChar w:fldCharType="separate"/>
          </w:r>
          <w:r>
            <w:t>23</w:t>
          </w:r>
          <w:r>
            <w:fldChar w:fldCharType="end"/>
          </w:r>
          <w:r>
            <w:fldChar w:fldCharType="end"/>
          </w:r>
        </w:p>
        <w:p w14:paraId="22179E51">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"_Toc228745819" </w:instrText>
          </w:r>
          <w:r>
            <w:fldChar w:fldCharType="separate"/>
          </w:r>
          <w:r>
            <w:rPr>
              <w:rStyle w:val="16"/>
            </w:rPr>
            <w:t>3.4 Search Terms</w:t>
          </w:r>
          <w:r>
            <w:tab/>
          </w:r>
          <w:r>
            <w:fldChar w:fldCharType="begin"/>
          </w:r>
          <w:r>
            <w:instrText xml:space="preserve"> PAGEREF _Toc228745819 \h </w:instrText>
          </w:r>
          <w:r>
            <w:fldChar w:fldCharType="separate"/>
          </w:r>
          <w:r>
            <w:t>23</w:t>
          </w:r>
          <w:r>
            <w:fldChar w:fldCharType="end"/>
          </w:r>
          <w:r>
            <w:fldChar w:fldCharType="end"/>
          </w:r>
        </w:p>
        <w:p w14:paraId="7F213C26">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"_Toc228745820" </w:instrText>
          </w:r>
          <w:r>
            <w:fldChar w:fldCharType="separate"/>
          </w:r>
          <w:r>
            <w:rPr>
              <w:rStyle w:val="16"/>
            </w:rPr>
            <w:t>3.5 Keywords</w:t>
          </w:r>
          <w:r>
            <w:tab/>
          </w:r>
          <w:r>
            <w:fldChar w:fldCharType="begin"/>
          </w:r>
          <w:r>
            <w:instrText xml:space="preserve"> PAGEREF _Toc228745820 \h </w:instrText>
          </w:r>
          <w:r>
            <w:fldChar w:fldCharType="separate"/>
          </w:r>
          <w:r>
            <w:t>25</w:t>
          </w:r>
          <w:r>
            <w:fldChar w:fldCharType="end"/>
          </w:r>
          <w:r>
            <w:fldChar w:fldCharType="end"/>
          </w:r>
        </w:p>
        <w:p w14:paraId="390D7CE2">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"_Toc228745821" </w:instrText>
          </w:r>
          <w:r>
            <w:fldChar w:fldCharType="separate"/>
          </w:r>
          <w:r>
            <w:rPr>
              <w:rStyle w:val="16"/>
            </w:rPr>
            <w:t>3.6 Databases</w:t>
          </w:r>
          <w:r>
            <w:tab/>
          </w:r>
          <w:r>
            <w:fldChar w:fldCharType="begin"/>
          </w:r>
          <w:r>
            <w:instrText xml:space="preserve"> PAGEREF _Toc228745821 \h </w:instrText>
          </w:r>
          <w:r>
            <w:fldChar w:fldCharType="separate"/>
          </w:r>
          <w:r>
            <w:t>25</w:t>
          </w:r>
          <w:r>
            <w:fldChar w:fldCharType="end"/>
          </w:r>
          <w:r>
            <w:fldChar w:fldCharType="end"/>
          </w:r>
        </w:p>
        <w:p w14:paraId="557CC656">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"_Toc228745822" </w:instrText>
          </w:r>
          <w:r>
            <w:fldChar w:fldCharType="separate"/>
          </w:r>
          <w:r>
            <w:rPr>
              <w:rStyle w:val="16"/>
            </w:rPr>
            <w:t>3.7 Inclusion and Exclusion Criteria</w:t>
          </w:r>
          <w:r>
            <w:tab/>
          </w:r>
          <w:r>
            <w:fldChar w:fldCharType="begin"/>
          </w:r>
          <w:r>
            <w:instrText xml:space="preserve"> PAGEREF _Toc228745822 \h </w:instrText>
          </w:r>
          <w:r>
            <w:fldChar w:fldCharType="separate"/>
          </w:r>
          <w:r>
            <w:t>26</w:t>
          </w:r>
          <w:r>
            <w:fldChar w:fldCharType="end"/>
          </w:r>
          <w:r>
            <w:fldChar w:fldCharType="end"/>
          </w:r>
        </w:p>
        <w:p w14:paraId="2ED1C216">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"_Toc228745823" </w:instrText>
          </w:r>
          <w:r>
            <w:fldChar w:fldCharType="separate"/>
          </w:r>
          <w:r>
            <w:rPr>
              <w:rStyle w:val="16"/>
            </w:rPr>
            <w:t>3.8 Search Results</w:t>
          </w:r>
          <w:r>
            <w:tab/>
          </w:r>
          <w:r>
            <w:fldChar w:fldCharType="begin"/>
          </w:r>
          <w:r>
            <w:instrText xml:space="preserve"> PAGEREF _Toc228745823 \h </w:instrText>
          </w:r>
          <w:r>
            <w:fldChar w:fldCharType="separate"/>
          </w:r>
          <w:r>
            <w:t>26</w:t>
          </w:r>
          <w:r>
            <w:fldChar w:fldCharType="end"/>
          </w:r>
          <w:r>
            <w:fldChar w:fldCharType="end"/>
          </w:r>
        </w:p>
        <w:p w14:paraId="400F8E99">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"_Toc228745824" </w:instrText>
          </w:r>
          <w:r>
            <w:fldChar w:fldCharType="separate"/>
          </w:r>
          <w:r>
            <w:rPr>
              <w:rStyle w:val="16"/>
            </w:rPr>
            <w:t>3.9 Data analysis</w:t>
          </w:r>
          <w:r>
            <w:tab/>
          </w:r>
          <w:r>
            <w:fldChar w:fldCharType="begin"/>
          </w:r>
          <w:r>
            <w:instrText xml:space="preserve"> PAGEREF _Toc228745824 \h </w:instrText>
          </w:r>
          <w:r>
            <w:fldChar w:fldCharType="separate"/>
          </w:r>
          <w:r>
            <w:t>28</w:t>
          </w:r>
          <w:r>
            <w:fldChar w:fldCharType="end"/>
          </w:r>
          <w:r>
            <w:fldChar w:fldCharType="end"/>
          </w:r>
        </w:p>
        <w:p w14:paraId="2FDE5DCC">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"_Toc228745825" </w:instrText>
          </w:r>
          <w:r>
            <w:fldChar w:fldCharType="separate"/>
          </w:r>
          <w:r>
            <w:rPr>
              <w:rStyle w:val="16"/>
            </w:rPr>
            <w:t>3.10 Ethical Considerations</w:t>
          </w:r>
          <w:r>
            <w:tab/>
          </w:r>
          <w:r>
            <w:fldChar w:fldCharType="begin"/>
          </w:r>
          <w:r>
            <w:instrText xml:space="preserve"> PAGEREF _Toc228745825 \h </w:instrText>
          </w:r>
          <w:r>
            <w:fldChar w:fldCharType="separate"/>
          </w:r>
          <w:r>
            <w:t>28</w:t>
          </w:r>
          <w:r>
            <w:fldChar w:fldCharType="end"/>
          </w:r>
          <w:r>
            <w:fldChar w:fldCharType="end"/>
          </w:r>
        </w:p>
        <w:p w14:paraId="00C12944">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"_Toc228745826" </w:instrText>
          </w:r>
          <w:r>
            <w:fldChar w:fldCharType="separate"/>
          </w:r>
          <w:r>
            <w:rPr>
              <w:rStyle w:val="16"/>
            </w:rPr>
            <w:t>3.11 Chapter Summary</w:t>
          </w:r>
          <w:r>
            <w:tab/>
          </w:r>
          <w:r>
            <w:fldChar w:fldCharType="begin"/>
          </w:r>
          <w:r>
            <w:instrText xml:space="preserve"> PAGEREF _Toc228745826 \h </w:instrText>
          </w:r>
          <w:r>
            <w:fldChar w:fldCharType="separate"/>
          </w:r>
          <w:r>
            <w:t>29</w:t>
          </w:r>
          <w:r>
            <w:fldChar w:fldCharType="end"/>
          </w:r>
          <w:r>
            <w:fldChar w:fldCharType="end"/>
          </w:r>
        </w:p>
        <w:p w14:paraId="0D58B421">
          <w:pPr>
            <w:pStyle w:val="22"/>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"_Toc228745827" </w:instrText>
          </w:r>
          <w:r>
            <w:fldChar w:fldCharType="separate"/>
          </w:r>
          <w:r>
            <w:rPr>
              <w:rStyle w:val="16"/>
            </w:rPr>
            <w:t>CHAPTER 4: DATA EXTRACTION AND EVALUATION</w:t>
          </w:r>
          <w:r>
            <w:tab/>
          </w:r>
          <w:r>
            <w:fldChar w:fldCharType="begin"/>
          </w:r>
          <w:r>
            <w:instrText xml:space="preserve"> PAGEREF _Toc228745827 \h </w:instrText>
          </w:r>
          <w:r>
            <w:fldChar w:fldCharType="separate"/>
          </w:r>
          <w:r>
            <w:t>30</w:t>
          </w:r>
          <w:r>
            <w:fldChar w:fldCharType="end"/>
          </w:r>
          <w:r>
            <w:fldChar w:fldCharType="end"/>
          </w:r>
        </w:p>
        <w:p w14:paraId="1F02FFBA">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"_Toc228745828" </w:instrText>
          </w:r>
          <w:r>
            <w:fldChar w:fldCharType="separate"/>
          </w:r>
          <w:r>
            <w:rPr>
              <w:rStyle w:val="16"/>
            </w:rPr>
            <w:t>4.1 Introduction to Chapter</w:t>
          </w:r>
          <w:r>
            <w:tab/>
          </w:r>
          <w:r>
            <w:fldChar w:fldCharType="begin"/>
          </w:r>
          <w:r>
            <w:instrText xml:space="preserve"> PAGEREF _Toc228745828 \h </w:instrText>
          </w:r>
          <w:r>
            <w:fldChar w:fldCharType="separate"/>
          </w:r>
          <w:r>
            <w:t>30</w:t>
          </w:r>
          <w:r>
            <w:fldChar w:fldCharType="end"/>
          </w:r>
          <w:r>
            <w:fldChar w:fldCharType="end"/>
          </w:r>
        </w:p>
        <w:p w14:paraId="51194837">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"_Toc228745829" </w:instrText>
          </w:r>
          <w:r>
            <w:fldChar w:fldCharType="separate"/>
          </w:r>
          <w:r>
            <w:rPr>
              <w:rStyle w:val="16"/>
            </w:rPr>
            <w:t>4.2 Data Extraction</w:t>
          </w:r>
          <w:r>
            <w:tab/>
          </w:r>
          <w:r>
            <w:fldChar w:fldCharType="begin"/>
          </w:r>
          <w:r>
            <w:instrText xml:space="preserve"> PAGEREF _Toc228745829 \h </w:instrText>
          </w:r>
          <w:r>
            <w:fldChar w:fldCharType="separate"/>
          </w:r>
          <w:r>
            <w:t>30</w:t>
          </w:r>
          <w:r>
            <w:fldChar w:fldCharType="end"/>
          </w:r>
          <w:r>
            <w:fldChar w:fldCharType="end"/>
          </w:r>
        </w:p>
        <w:p w14:paraId="51F44CAB">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"_Toc228745830" </w:instrText>
          </w:r>
          <w:r>
            <w:fldChar w:fldCharType="separate"/>
          </w:r>
          <w:r>
            <w:rPr>
              <w:rStyle w:val="16"/>
            </w:rPr>
            <w:t>4.3 Brief introduction to critical appraisal and paper quality assessment</w:t>
          </w:r>
          <w:r>
            <w:tab/>
          </w:r>
          <w:r>
            <w:fldChar w:fldCharType="begin"/>
          </w:r>
          <w:r>
            <w:instrText xml:space="preserve"> PAGEREF _Toc228745830 \h </w:instrText>
          </w:r>
          <w:r>
            <w:fldChar w:fldCharType="separate"/>
          </w:r>
          <w:r>
            <w:t>30</w:t>
          </w:r>
          <w:r>
            <w:fldChar w:fldCharType="end"/>
          </w:r>
          <w:r>
            <w:fldChar w:fldCharType="end"/>
          </w:r>
        </w:p>
        <w:p w14:paraId="242E26D2">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"_Toc228745831" </w:instrText>
          </w:r>
          <w:r>
            <w:fldChar w:fldCharType="separate"/>
          </w:r>
          <w:r>
            <w:rPr>
              <w:rStyle w:val="16"/>
            </w:rPr>
            <w:t>4.4 Critical Appraisal Tools</w:t>
          </w:r>
          <w:r>
            <w:tab/>
          </w:r>
          <w:r>
            <w:fldChar w:fldCharType="begin"/>
          </w:r>
          <w:r>
            <w:instrText xml:space="preserve"> PAGEREF _Toc228745831 \h </w:instrText>
          </w:r>
          <w:r>
            <w:fldChar w:fldCharType="separate"/>
          </w:r>
          <w:r>
            <w:t>31</w:t>
          </w:r>
          <w:r>
            <w:fldChar w:fldCharType="end"/>
          </w:r>
          <w:r>
            <w:fldChar w:fldCharType="end"/>
          </w:r>
        </w:p>
        <w:p w14:paraId="199412F2">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"_Toc228745832" </w:instrText>
          </w:r>
          <w:r>
            <w:fldChar w:fldCharType="separate"/>
          </w:r>
          <w:r>
            <w:rPr>
              <w:rStyle w:val="16"/>
            </w:rPr>
            <w:t>4.5 Evaluation of Qualitative Studies</w:t>
          </w:r>
          <w:r>
            <w:tab/>
          </w:r>
          <w:r>
            <w:fldChar w:fldCharType="begin"/>
          </w:r>
          <w:r>
            <w:instrText xml:space="preserve"> PAGEREF _Toc228745832 \h </w:instrText>
          </w:r>
          <w:r>
            <w:fldChar w:fldCharType="separate"/>
          </w:r>
          <w:r>
            <w:t>32</w:t>
          </w:r>
          <w:r>
            <w:fldChar w:fldCharType="end"/>
          </w:r>
          <w:r>
            <w:fldChar w:fldCharType="end"/>
          </w:r>
        </w:p>
        <w:p w14:paraId="60A77A6B">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"_Toc228745833" </w:instrText>
          </w:r>
          <w:r>
            <w:fldChar w:fldCharType="separate"/>
          </w:r>
          <w:r>
            <w:rPr>
              <w:rStyle w:val="16"/>
            </w:rPr>
            <w:t>4.6 Evaluation of Quantitative Studies Using an Appropriate Tool</w:t>
          </w:r>
          <w:r>
            <w:tab/>
          </w:r>
          <w:r>
            <w:fldChar w:fldCharType="begin"/>
          </w:r>
          <w:r>
            <w:instrText xml:space="preserve"> PAGEREF _Toc228745833 \h </w:instrText>
          </w:r>
          <w:r>
            <w:fldChar w:fldCharType="separate"/>
          </w:r>
          <w:r>
            <w:t>33</w:t>
          </w:r>
          <w:r>
            <w:fldChar w:fldCharType="end"/>
          </w:r>
          <w:r>
            <w:fldChar w:fldCharType="end"/>
          </w:r>
        </w:p>
        <w:p w14:paraId="14105708">
          <w:pPr>
            <w:pStyle w:val="24"/>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"_Toc228745834" </w:instrText>
          </w:r>
          <w:r>
            <w:fldChar w:fldCharType="separate"/>
          </w:r>
          <w:r>
            <w:rPr>
              <w:rStyle w:val="16"/>
            </w:rPr>
            <w:t>4.6.1 Purpose of Quantitative Studies</w:t>
          </w:r>
          <w:r>
            <w:tab/>
          </w:r>
          <w:r>
            <w:fldChar w:fldCharType="begin"/>
          </w:r>
          <w:r>
            <w:instrText xml:space="preserve"> PAGEREF _Toc228745834 \h </w:instrText>
          </w:r>
          <w:r>
            <w:fldChar w:fldCharType="separate"/>
          </w:r>
          <w:r>
            <w:t>34</w:t>
          </w:r>
          <w:r>
            <w:fldChar w:fldCharType="end"/>
          </w:r>
          <w:r>
            <w:fldChar w:fldCharType="end"/>
          </w:r>
        </w:p>
        <w:p w14:paraId="51E7808F">
          <w:pPr>
            <w:pStyle w:val="24"/>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"_Toc228745835" </w:instrText>
          </w:r>
          <w:r>
            <w:fldChar w:fldCharType="separate"/>
          </w:r>
          <w:r>
            <w:rPr>
              <w:rStyle w:val="16"/>
            </w:rPr>
            <w:t>4.6.2 Evaluation of Quantitative Studies (Cross-Sectional Method)</w:t>
          </w:r>
          <w:r>
            <w:tab/>
          </w:r>
          <w:r>
            <w:fldChar w:fldCharType="begin"/>
          </w:r>
          <w:r>
            <w:instrText xml:space="preserve"> PAGEREF _Toc228745835 \h </w:instrText>
          </w:r>
          <w:r>
            <w:fldChar w:fldCharType="separate"/>
          </w:r>
          <w:r>
            <w:t>34</w:t>
          </w:r>
          <w:r>
            <w:fldChar w:fldCharType="end"/>
          </w:r>
          <w:r>
            <w:fldChar w:fldCharType="end"/>
          </w:r>
        </w:p>
        <w:p w14:paraId="393BBFB2">
          <w:pPr>
            <w:pStyle w:val="24"/>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"_Toc228745836" </w:instrText>
          </w:r>
          <w:r>
            <w:fldChar w:fldCharType="separate"/>
          </w:r>
          <w:r>
            <w:rPr>
              <w:rStyle w:val="16"/>
            </w:rPr>
            <w:t>4.6.3 Evaluation of Quantitative Studies (Cohort Method)</w:t>
          </w:r>
          <w:r>
            <w:tab/>
          </w:r>
          <w:r>
            <w:fldChar w:fldCharType="begin"/>
          </w:r>
          <w:r>
            <w:instrText xml:space="preserve"> PAGEREF _Toc228745836 \h </w:instrText>
          </w:r>
          <w:r>
            <w:fldChar w:fldCharType="separate"/>
          </w:r>
          <w:r>
            <w:t>35</w:t>
          </w:r>
          <w:r>
            <w:fldChar w:fldCharType="end"/>
          </w:r>
          <w:r>
            <w:fldChar w:fldCharType="end"/>
          </w:r>
        </w:p>
        <w:p w14:paraId="4435F006">
          <w:pPr>
            <w:pStyle w:val="24"/>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"_Toc228745837" </w:instrText>
          </w:r>
          <w:r>
            <w:fldChar w:fldCharType="separate"/>
          </w:r>
          <w:r>
            <w:rPr>
              <w:rStyle w:val="16"/>
            </w:rPr>
            <w:t>4.6.4 Appropriateness of Methodology</w:t>
          </w:r>
          <w:r>
            <w:tab/>
          </w:r>
          <w:r>
            <w:fldChar w:fldCharType="begin"/>
          </w:r>
          <w:r>
            <w:instrText xml:space="preserve"> PAGEREF _Toc228745837 \h </w:instrText>
          </w:r>
          <w:r>
            <w:fldChar w:fldCharType="separate"/>
          </w:r>
          <w:r>
            <w:t>36</w:t>
          </w:r>
          <w:r>
            <w:fldChar w:fldCharType="end"/>
          </w:r>
          <w:r>
            <w:fldChar w:fldCharType="end"/>
          </w:r>
        </w:p>
        <w:p w14:paraId="6445E048">
          <w:pPr>
            <w:pStyle w:val="24"/>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"_Toc228745838" </w:instrText>
          </w:r>
          <w:r>
            <w:fldChar w:fldCharType="separate"/>
          </w:r>
          <w:r>
            <w:rPr>
              <w:rStyle w:val="16"/>
            </w:rPr>
            <w:t>4.6.5 Overall Quality Assessment for Quantitative Studies</w:t>
          </w:r>
          <w:r>
            <w:tab/>
          </w:r>
          <w:r>
            <w:fldChar w:fldCharType="begin"/>
          </w:r>
          <w:r>
            <w:instrText xml:space="preserve"> PAGEREF _Toc228745838 \h </w:instrText>
          </w:r>
          <w:r>
            <w:fldChar w:fldCharType="separate"/>
          </w:r>
          <w:r>
            <w:t>37</w:t>
          </w:r>
          <w:r>
            <w:fldChar w:fldCharType="end"/>
          </w:r>
          <w:r>
            <w:fldChar w:fldCharType="end"/>
          </w:r>
        </w:p>
        <w:p w14:paraId="67BA1CA5">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"_Toc228745839" </w:instrText>
          </w:r>
          <w:r>
            <w:fldChar w:fldCharType="separate"/>
          </w:r>
          <w:r>
            <w:rPr>
              <w:rStyle w:val="16"/>
            </w:rPr>
            <w:t>4.7 Evaluation of Mixed Methods Studies</w:t>
          </w:r>
          <w:r>
            <w:tab/>
          </w:r>
          <w:r>
            <w:fldChar w:fldCharType="begin"/>
          </w:r>
          <w:r>
            <w:instrText xml:space="preserve"> PAGEREF _Toc228745839 \h </w:instrText>
          </w:r>
          <w:r>
            <w:fldChar w:fldCharType="separate"/>
          </w:r>
          <w:r>
            <w:t>37</w:t>
          </w:r>
          <w:r>
            <w:fldChar w:fldCharType="end"/>
          </w:r>
          <w:r>
            <w:fldChar w:fldCharType="end"/>
          </w:r>
        </w:p>
        <w:p w14:paraId="69E9D4C2">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"_Toc228745840" </w:instrText>
          </w:r>
          <w:r>
            <w:fldChar w:fldCharType="separate"/>
          </w:r>
          <w:r>
            <w:rPr>
              <w:rStyle w:val="16"/>
            </w:rPr>
            <w:t>4.8 Chapter Summary</w:t>
          </w:r>
          <w:r>
            <w:tab/>
          </w:r>
          <w:r>
            <w:fldChar w:fldCharType="begin"/>
          </w:r>
          <w:r>
            <w:instrText xml:space="preserve"> PAGEREF _Toc228745840 \h </w:instrText>
          </w:r>
          <w:r>
            <w:fldChar w:fldCharType="separate"/>
          </w:r>
          <w:r>
            <w:t>38</w:t>
          </w:r>
          <w:r>
            <w:fldChar w:fldCharType="end"/>
          </w:r>
          <w:r>
            <w:fldChar w:fldCharType="end"/>
          </w:r>
        </w:p>
        <w:p w14:paraId="4A94091E">
          <w:pPr>
            <w:pStyle w:val="22"/>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"_Toc228745841" </w:instrText>
          </w:r>
          <w:r>
            <w:fldChar w:fldCharType="separate"/>
          </w:r>
          <w:r>
            <w:rPr>
              <w:rStyle w:val="16"/>
            </w:rPr>
            <w:t>CHAPTER 5: DATA ANALYSIS AND SYNTHESIS</w:t>
          </w:r>
          <w:r>
            <w:tab/>
          </w:r>
          <w:r>
            <w:fldChar w:fldCharType="begin"/>
          </w:r>
          <w:r>
            <w:instrText xml:space="preserve"> PAGEREF _Toc228745841 \h </w:instrText>
          </w:r>
          <w:r>
            <w:fldChar w:fldCharType="separate"/>
          </w:r>
          <w:r>
            <w:t>39</w:t>
          </w:r>
          <w:r>
            <w:fldChar w:fldCharType="end"/>
          </w:r>
          <w:r>
            <w:fldChar w:fldCharType="end"/>
          </w:r>
        </w:p>
        <w:p w14:paraId="2C2E9A4B">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"_Toc228745842" </w:instrText>
          </w:r>
          <w:r>
            <w:fldChar w:fldCharType="separate"/>
          </w:r>
          <w:r>
            <w:rPr>
              <w:rStyle w:val="16"/>
            </w:rPr>
            <w:t>5.1 Introduction to Chapter</w:t>
          </w:r>
          <w:r>
            <w:tab/>
          </w:r>
          <w:r>
            <w:fldChar w:fldCharType="begin"/>
          </w:r>
          <w:r>
            <w:instrText xml:space="preserve"> PAGEREF _Toc228745842 \h </w:instrText>
          </w:r>
          <w:r>
            <w:fldChar w:fldCharType="separate"/>
          </w:r>
          <w:r>
            <w:t>39</w:t>
          </w:r>
          <w:r>
            <w:fldChar w:fldCharType="end"/>
          </w:r>
          <w:r>
            <w:fldChar w:fldCharType="end"/>
          </w:r>
        </w:p>
        <w:p w14:paraId="12E1F349">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"_Toc228745843" </w:instrText>
          </w:r>
          <w:r>
            <w:fldChar w:fldCharType="separate"/>
          </w:r>
          <w:r>
            <w:rPr>
              <w:rStyle w:val="16"/>
            </w:rPr>
            <w:t>5.2 Thematic Analysis</w:t>
          </w:r>
          <w:r>
            <w:tab/>
          </w:r>
          <w:r>
            <w:fldChar w:fldCharType="begin"/>
          </w:r>
          <w:r>
            <w:instrText xml:space="preserve"> PAGEREF _Toc228745843 \h </w:instrText>
          </w:r>
          <w:r>
            <w:fldChar w:fldCharType="separate"/>
          </w:r>
          <w:r>
            <w:t>39</w:t>
          </w:r>
          <w:r>
            <w:fldChar w:fldCharType="end"/>
          </w:r>
          <w:r>
            <w:fldChar w:fldCharType="end"/>
          </w:r>
        </w:p>
        <w:p w14:paraId="013EE84D">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"_Toc228745844" </w:instrText>
          </w:r>
          <w:r>
            <w:fldChar w:fldCharType="separate"/>
          </w:r>
          <w:r>
            <w:rPr>
              <w:rStyle w:val="16"/>
            </w:rPr>
            <w:t>5.3 Data Analysis Tool</w:t>
          </w:r>
          <w:r>
            <w:tab/>
          </w:r>
          <w:r>
            <w:fldChar w:fldCharType="begin"/>
          </w:r>
          <w:r>
            <w:instrText xml:space="preserve"> PAGEREF _Toc228745844 \h </w:instrText>
          </w:r>
          <w:r>
            <w:fldChar w:fldCharType="separate"/>
          </w:r>
          <w:r>
            <w:t>39</w:t>
          </w:r>
          <w:r>
            <w:fldChar w:fldCharType="end"/>
          </w:r>
          <w:r>
            <w:fldChar w:fldCharType="end"/>
          </w:r>
        </w:p>
        <w:p w14:paraId="65628EF6">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"_Toc228745845" </w:instrText>
          </w:r>
          <w:r>
            <w:fldChar w:fldCharType="separate"/>
          </w:r>
          <w:r>
            <w:rPr>
              <w:rStyle w:val="16"/>
            </w:rPr>
            <w:t>5.4 Characteristics of the Identified Studies</w:t>
          </w:r>
          <w:r>
            <w:tab/>
          </w:r>
          <w:r>
            <w:fldChar w:fldCharType="begin"/>
          </w:r>
          <w:r>
            <w:instrText xml:space="preserve"> PAGEREF _Toc228745845 \h </w:instrText>
          </w:r>
          <w:r>
            <w:fldChar w:fldCharType="separate"/>
          </w:r>
          <w:r>
            <w:t>39</w:t>
          </w:r>
          <w:r>
            <w:fldChar w:fldCharType="end"/>
          </w:r>
          <w:r>
            <w:fldChar w:fldCharType="end"/>
          </w:r>
        </w:p>
        <w:p w14:paraId="11136E07">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"_Toc228745846" </w:instrText>
          </w:r>
          <w:r>
            <w:fldChar w:fldCharType="separate"/>
          </w:r>
          <w:r>
            <w:rPr>
              <w:rStyle w:val="16"/>
            </w:rPr>
            <w:t>5.5 Emerging Themes from included studies (Analysis/Synthesis of included studies)</w:t>
          </w:r>
          <w:r>
            <w:tab/>
          </w:r>
          <w:r>
            <w:fldChar w:fldCharType="begin"/>
          </w:r>
          <w:r>
            <w:instrText xml:space="preserve"> PAGEREF _Toc228745846 \h </w:instrText>
          </w:r>
          <w:r>
            <w:fldChar w:fldCharType="separate"/>
          </w:r>
          <w:r>
            <w:t>40</w:t>
          </w:r>
          <w:r>
            <w:fldChar w:fldCharType="end"/>
          </w:r>
          <w:r>
            <w:fldChar w:fldCharType="end"/>
          </w:r>
        </w:p>
        <w:p w14:paraId="3170CEBF">
          <w:pPr>
            <w:pStyle w:val="24"/>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"_Toc228745847" </w:instrText>
          </w:r>
          <w:r>
            <w:fldChar w:fldCharType="separate"/>
          </w:r>
          <w:r>
            <w:rPr>
              <w:rStyle w:val="16"/>
            </w:rPr>
            <w:t>5.5.1 Theme 1: Escalation of Burnout and Psychological Distress</w:t>
          </w:r>
          <w:r>
            <w:tab/>
          </w:r>
          <w:r>
            <w:fldChar w:fldCharType="begin"/>
          </w:r>
          <w:r>
            <w:instrText xml:space="preserve"> PAGEREF _Toc228745847 \h </w:instrText>
          </w:r>
          <w:r>
            <w:fldChar w:fldCharType="separate"/>
          </w:r>
          <w:r>
            <w:t>40</w:t>
          </w:r>
          <w:r>
            <w:fldChar w:fldCharType="end"/>
          </w:r>
          <w:r>
            <w:fldChar w:fldCharType="end"/>
          </w:r>
        </w:p>
        <w:p w14:paraId="4FB844CF">
          <w:pPr>
            <w:pStyle w:val="24"/>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"_Toc228745848" </w:instrText>
          </w:r>
          <w:r>
            <w:fldChar w:fldCharType="separate"/>
          </w:r>
          <w:r>
            <w:rPr>
              <w:rStyle w:val="16"/>
            </w:rPr>
            <w:t>5.5.2 Theme 2: Organisational Factors as Determinants of Well-being</w:t>
          </w:r>
          <w:r>
            <w:tab/>
          </w:r>
          <w:r>
            <w:fldChar w:fldCharType="begin"/>
          </w:r>
          <w:r>
            <w:instrText xml:space="preserve"> PAGEREF _Toc228745848 \h </w:instrText>
          </w:r>
          <w:r>
            <w:fldChar w:fldCharType="separate"/>
          </w:r>
          <w:r>
            <w:t>41</w:t>
          </w:r>
          <w:r>
            <w:fldChar w:fldCharType="end"/>
          </w:r>
          <w:r>
            <w:fldChar w:fldCharType="end"/>
          </w:r>
        </w:p>
        <w:p w14:paraId="6B34A7B7">
          <w:pPr>
            <w:pStyle w:val="24"/>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"_Toc228745849" </w:instrText>
          </w:r>
          <w:r>
            <w:fldChar w:fldCharType="separate"/>
          </w:r>
          <w:r>
            <w:rPr>
              <w:rStyle w:val="16"/>
            </w:rPr>
            <w:t>Sub-theme 2.1: Workload and Staffing Pressures</w:t>
          </w:r>
          <w:r>
            <w:tab/>
          </w:r>
          <w:r>
            <w:fldChar w:fldCharType="begin"/>
          </w:r>
          <w:r>
            <w:instrText xml:space="preserve"> PAGEREF _Toc228745849 \h </w:instrText>
          </w:r>
          <w:r>
            <w:fldChar w:fldCharType="separate"/>
          </w:r>
          <w:r>
            <w:t>42</w:t>
          </w:r>
          <w:r>
            <w:fldChar w:fldCharType="end"/>
          </w:r>
          <w:r>
            <w:fldChar w:fldCharType="end"/>
          </w:r>
        </w:p>
        <w:p w14:paraId="5E13149C">
          <w:pPr>
            <w:pStyle w:val="24"/>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"_Toc228745850" </w:instrText>
          </w:r>
          <w:r>
            <w:fldChar w:fldCharType="separate"/>
          </w:r>
          <w:r>
            <w:rPr>
              <w:rStyle w:val="16"/>
            </w:rPr>
            <w:t>Sub-theme 2.2: Leadership and Managerial Support</w:t>
          </w:r>
          <w:r>
            <w:tab/>
          </w:r>
          <w:r>
            <w:fldChar w:fldCharType="begin"/>
          </w:r>
          <w:r>
            <w:instrText xml:space="preserve"> PAGEREF _Toc228745850 \h </w:instrText>
          </w:r>
          <w:r>
            <w:fldChar w:fldCharType="separate"/>
          </w:r>
          <w:r>
            <w:t>42</w:t>
          </w:r>
          <w:r>
            <w:fldChar w:fldCharType="end"/>
          </w:r>
          <w:r>
            <w:fldChar w:fldCharType="end"/>
          </w:r>
        </w:p>
        <w:p w14:paraId="1D0A8BB3">
          <w:pPr>
            <w:pStyle w:val="24"/>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"_Toc228745851" </w:instrText>
          </w:r>
          <w:r>
            <w:fldChar w:fldCharType="separate"/>
          </w:r>
          <w:r>
            <w:rPr>
              <w:rStyle w:val="16"/>
            </w:rPr>
            <w:t>5.5.3 Theme 3: Coping Strategies and Individual-Level Responses</w:t>
          </w:r>
          <w:r>
            <w:tab/>
          </w:r>
          <w:r>
            <w:fldChar w:fldCharType="begin"/>
          </w:r>
          <w:r>
            <w:instrText xml:space="preserve"> PAGEREF _Toc228745851 \h </w:instrText>
          </w:r>
          <w:r>
            <w:fldChar w:fldCharType="separate"/>
          </w:r>
          <w:r>
            <w:t>43</w:t>
          </w:r>
          <w:r>
            <w:fldChar w:fldCharType="end"/>
          </w:r>
          <w:r>
            <w:fldChar w:fldCharType="end"/>
          </w:r>
        </w:p>
        <w:p w14:paraId="389E2280">
          <w:pPr>
            <w:pStyle w:val="24"/>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"_Toc228745852" </w:instrText>
          </w:r>
          <w:r>
            <w:fldChar w:fldCharType="separate"/>
          </w:r>
          <w:r>
            <w:rPr>
              <w:rStyle w:val="16"/>
            </w:rPr>
            <w:t>5.5.4 Theme 4: Organisational Interventions and Support Mechanisms</w:t>
          </w:r>
          <w:r>
            <w:tab/>
          </w:r>
          <w:r>
            <w:fldChar w:fldCharType="begin"/>
          </w:r>
          <w:r>
            <w:instrText xml:space="preserve"> PAGEREF _Toc228745852 \h </w:instrText>
          </w:r>
          <w:r>
            <w:fldChar w:fldCharType="separate"/>
          </w:r>
          <w:r>
            <w:t>44</w:t>
          </w:r>
          <w:r>
            <w:fldChar w:fldCharType="end"/>
          </w:r>
          <w:r>
            <w:fldChar w:fldCharType="end"/>
          </w:r>
        </w:p>
        <w:p w14:paraId="259E657D">
          <w:pPr>
            <w:pStyle w:val="24"/>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"_Toc228745853" </w:instrText>
          </w:r>
          <w:r>
            <w:fldChar w:fldCharType="separate"/>
          </w:r>
          <w:r>
            <w:rPr>
              <w:rStyle w:val="16"/>
            </w:rPr>
            <w:t>5.5.5 Theme 5: Barriers to Accessing Support</w:t>
          </w:r>
          <w:r>
            <w:tab/>
          </w:r>
          <w:r>
            <w:fldChar w:fldCharType="begin"/>
          </w:r>
          <w:r>
            <w:instrText xml:space="preserve"> PAGEREF _Toc228745853 \h </w:instrText>
          </w:r>
          <w:r>
            <w:fldChar w:fldCharType="separate"/>
          </w:r>
          <w:r>
            <w:t>47</w:t>
          </w:r>
          <w:r>
            <w:fldChar w:fldCharType="end"/>
          </w:r>
          <w:r>
            <w:fldChar w:fldCharType="end"/>
          </w:r>
        </w:p>
        <w:p w14:paraId="48A82FD8">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"_Toc228745854" </w:instrText>
          </w:r>
          <w:r>
            <w:fldChar w:fldCharType="separate"/>
          </w:r>
          <w:r>
            <w:rPr>
              <w:rStyle w:val="16"/>
            </w:rPr>
            <w:t>5.6 Chapter Summary</w:t>
          </w:r>
          <w:r>
            <w:tab/>
          </w:r>
          <w:r>
            <w:fldChar w:fldCharType="begin"/>
          </w:r>
          <w:r>
            <w:instrText xml:space="preserve"> PAGEREF _Toc228745854 \h </w:instrText>
          </w:r>
          <w:r>
            <w:fldChar w:fldCharType="separate"/>
          </w:r>
          <w:r>
            <w:t>48</w:t>
          </w:r>
          <w:r>
            <w:fldChar w:fldCharType="end"/>
          </w:r>
          <w:r>
            <w:fldChar w:fldCharType="end"/>
          </w:r>
        </w:p>
        <w:p w14:paraId="77405D96">
          <w:pPr>
            <w:pStyle w:val="22"/>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"_Toc228745855" </w:instrText>
          </w:r>
          <w:r>
            <w:fldChar w:fldCharType="separate"/>
          </w:r>
          <w:r>
            <w:rPr>
              <w:rStyle w:val="16"/>
            </w:rPr>
            <w:t>CHAPTER 6: DISCUSSION</w:t>
          </w:r>
          <w:r>
            <w:tab/>
          </w:r>
          <w:r>
            <w:fldChar w:fldCharType="begin"/>
          </w:r>
          <w:r>
            <w:instrText xml:space="preserve"> PAGEREF _Toc228745855 \h </w:instrText>
          </w:r>
          <w:r>
            <w:fldChar w:fldCharType="separate"/>
          </w:r>
          <w:r>
            <w:t>50</w:t>
          </w:r>
          <w:r>
            <w:fldChar w:fldCharType="end"/>
          </w:r>
          <w:r>
            <w:fldChar w:fldCharType="end"/>
          </w:r>
        </w:p>
        <w:p w14:paraId="7B5347D0">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"_Toc228745856" </w:instrText>
          </w:r>
          <w:r>
            <w:fldChar w:fldCharType="separate"/>
          </w:r>
          <w:r>
            <w:rPr>
              <w:rStyle w:val="16"/>
            </w:rPr>
            <w:t>6.1 Introduction to Chapter</w:t>
          </w:r>
          <w:r>
            <w:tab/>
          </w:r>
          <w:r>
            <w:fldChar w:fldCharType="begin"/>
          </w:r>
          <w:r>
            <w:instrText xml:space="preserve"> PAGEREF _Toc228745856 \h </w:instrText>
          </w:r>
          <w:r>
            <w:fldChar w:fldCharType="separate"/>
          </w:r>
          <w:r>
            <w:t>50</w:t>
          </w:r>
          <w:r>
            <w:fldChar w:fldCharType="end"/>
          </w:r>
          <w:r>
            <w:fldChar w:fldCharType="end"/>
          </w:r>
        </w:p>
        <w:p w14:paraId="44F6EE5F">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"_Toc228745857" </w:instrText>
          </w:r>
          <w:r>
            <w:fldChar w:fldCharType="separate"/>
          </w:r>
          <w:r>
            <w:rPr>
              <w:rStyle w:val="16"/>
            </w:rPr>
            <w:t>6.2 Discussion of Key Findings</w:t>
          </w:r>
          <w:r>
            <w:tab/>
          </w:r>
          <w:r>
            <w:fldChar w:fldCharType="begin"/>
          </w:r>
          <w:r>
            <w:instrText xml:space="preserve"> PAGEREF _Toc228745857 \h </w:instrText>
          </w:r>
          <w:r>
            <w:fldChar w:fldCharType="separate"/>
          </w:r>
          <w:r>
            <w:t>50</w:t>
          </w:r>
          <w:r>
            <w:fldChar w:fldCharType="end"/>
          </w:r>
          <w:r>
            <w:fldChar w:fldCharType="end"/>
          </w:r>
        </w:p>
        <w:p w14:paraId="50239D6F">
          <w:pPr>
            <w:pStyle w:val="24"/>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"_Toc228745858" </w:instrText>
          </w:r>
          <w:r>
            <w:fldChar w:fldCharType="separate"/>
          </w:r>
          <w:r>
            <w:rPr>
              <w:rStyle w:val="16"/>
            </w:rPr>
            <w:t>6.2.1 Escalation of Burnout and Psychological Distress</w:t>
          </w:r>
          <w:r>
            <w:tab/>
          </w:r>
          <w:r>
            <w:fldChar w:fldCharType="begin"/>
          </w:r>
          <w:r>
            <w:instrText xml:space="preserve"> PAGEREF _Toc228745858 \h </w:instrText>
          </w:r>
          <w:r>
            <w:fldChar w:fldCharType="separate"/>
          </w:r>
          <w:r>
            <w:t>50</w:t>
          </w:r>
          <w:r>
            <w:fldChar w:fldCharType="end"/>
          </w:r>
          <w:r>
            <w:fldChar w:fldCharType="end"/>
          </w:r>
        </w:p>
        <w:p w14:paraId="015B8CE3">
          <w:pPr>
            <w:pStyle w:val="24"/>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"_Toc228745859" </w:instrText>
          </w:r>
          <w:r>
            <w:fldChar w:fldCharType="separate"/>
          </w:r>
          <w:r>
            <w:rPr>
              <w:rStyle w:val="16"/>
            </w:rPr>
            <w:t>6.2.2 Organisational Factors as Determinants of Well-being</w:t>
          </w:r>
          <w:r>
            <w:tab/>
          </w:r>
          <w:r>
            <w:fldChar w:fldCharType="begin"/>
          </w:r>
          <w:r>
            <w:instrText xml:space="preserve"> PAGEREF _Toc228745859 \h </w:instrText>
          </w:r>
          <w:r>
            <w:fldChar w:fldCharType="separate"/>
          </w:r>
          <w:r>
            <w:t>51</w:t>
          </w:r>
          <w:r>
            <w:fldChar w:fldCharType="end"/>
          </w:r>
          <w:r>
            <w:fldChar w:fldCharType="end"/>
          </w:r>
        </w:p>
        <w:p w14:paraId="3038809C">
          <w:pPr>
            <w:pStyle w:val="24"/>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"_Toc228745860" </w:instrText>
          </w:r>
          <w:r>
            <w:fldChar w:fldCharType="separate"/>
          </w:r>
          <w:r>
            <w:rPr>
              <w:rStyle w:val="16"/>
            </w:rPr>
            <w:t>6.2.3 Coping Strategies and Individual-Level Responses</w:t>
          </w:r>
          <w:r>
            <w:tab/>
          </w:r>
          <w:r>
            <w:fldChar w:fldCharType="begin"/>
          </w:r>
          <w:r>
            <w:instrText xml:space="preserve"> PAGEREF _Toc228745860 \h </w:instrText>
          </w:r>
          <w:r>
            <w:fldChar w:fldCharType="separate"/>
          </w:r>
          <w:r>
            <w:t>52</w:t>
          </w:r>
          <w:r>
            <w:fldChar w:fldCharType="end"/>
          </w:r>
          <w:r>
            <w:fldChar w:fldCharType="end"/>
          </w:r>
        </w:p>
        <w:p w14:paraId="02AAB798">
          <w:pPr>
            <w:pStyle w:val="24"/>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"_Toc228745861" </w:instrText>
          </w:r>
          <w:r>
            <w:fldChar w:fldCharType="separate"/>
          </w:r>
          <w:r>
            <w:rPr>
              <w:rStyle w:val="16"/>
            </w:rPr>
            <w:t>6.2.4 Organisational Interventions and Support Mechanisms</w:t>
          </w:r>
          <w:r>
            <w:tab/>
          </w:r>
          <w:r>
            <w:fldChar w:fldCharType="begin"/>
          </w:r>
          <w:r>
            <w:instrText xml:space="preserve"> PAGEREF _Toc228745861 \h </w:instrText>
          </w:r>
          <w:r>
            <w:fldChar w:fldCharType="separate"/>
          </w:r>
          <w:r>
            <w:t>52</w:t>
          </w:r>
          <w:r>
            <w:fldChar w:fldCharType="end"/>
          </w:r>
          <w:r>
            <w:fldChar w:fldCharType="end"/>
          </w:r>
        </w:p>
        <w:p w14:paraId="6A51F5CE">
          <w:pPr>
            <w:pStyle w:val="24"/>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"_Toc228745862" </w:instrText>
          </w:r>
          <w:r>
            <w:fldChar w:fldCharType="separate"/>
          </w:r>
          <w:r>
            <w:rPr>
              <w:rStyle w:val="16"/>
            </w:rPr>
            <w:t>6.2.5 Barriers to Accessing Support</w:t>
          </w:r>
          <w:r>
            <w:tab/>
          </w:r>
          <w:r>
            <w:fldChar w:fldCharType="begin"/>
          </w:r>
          <w:r>
            <w:instrText xml:space="preserve"> PAGEREF _Toc228745862 \h </w:instrText>
          </w:r>
          <w:r>
            <w:fldChar w:fldCharType="separate"/>
          </w:r>
          <w:r>
            <w:t>53</w:t>
          </w:r>
          <w:r>
            <w:fldChar w:fldCharType="end"/>
          </w:r>
          <w:r>
            <w:fldChar w:fldCharType="end"/>
          </w:r>
        </w:p>
        <w:p w14:paraId="654FCF24">
          <w:pPr>
            <w:pStyle w:val="24"/>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"_Toc228745863" </w:instrText>
          </w:r>
          <w:r>
            <w:fldChar w:fldCharType="separate"/>
          </w:r>
          <w:r>
            <w:rPr>
              <w:rStyle w:val="16"/>
            </w:rPr>
            <w:t>Reflective Criticism of the Research Method</w:t>
          </w:r>
          <w:r>
            <w:tab/>
          </w:r>
          <w:r>
            <w:fldChar w:fldCharType="begin"/>
          </w:r>
          <w:r>
            <w:instrText xml:space="preserve"> PAGEREF _Toc228745863 \h </w:instrText>
          </w:r>
          <w:r>
            <w:fldChar w:fldCharType="separate"/>
          </w:r>
          <w:r>
            <w:t>53</w:t>
          </w:r>
          <w:r>
            <w:fldChar w:fldCharType="end"/>
          </w:r>
          <w:r>
            <w:fldChar w:fldCharType="end"/>
          </w:r>
        </w:p>
        <w:p w14:paraId="41CA956F">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"_Toc228745864" </w:instrText>
          </w:r>
          <w:r>
            <w:fldChar w:fldCharType="separate"/>
          </w:r>
          <w:r>
            <w:rPr>
              <w:rStyle w:val="16"/>
            </w:rPr>
            <w:t>6.3 Strengths and Limitations</w:t>
          </w:r>
          <w:r>
            <w:tab/>
          </w:r>
          <w:r>
            <w:fldChar w:fldCharType="begin"/>
          </w:r>
          <w:r>
            <w:instrText xml:space="preserve"> PAGEREF _Toc228745864 \h </w:instrText>
          </w:r>
          <w:r>
            <w:fldChar w:fldCharType="separate"/>
          </w:r>
          <w:r>
            <w:t>54</w:t>
          </w:r>
          <w:r>
            <w:fldChar w:fldCharType="end"/>
          </w:r>
          <w:r>
            <w:fldChar w:fldCharType="end"/>
          </w:r>
        </w:p>
        <w:p w14:paraId="13D398BF">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"_Toc228745865" </w:instrText>
          </w:r>
          <w:r>
            <w:fldChar w:fldCharType="separate"/>
          </w:r>
          <w:r>
            <w:rPr>
              <w:rStyle w:val="16"/>
            </w:rPr>
            <w:t>6.4 Chapter Summary</w:t>
          </w:r>
          <w:r>
            <w:tab/>
          </w:r>
          <w:r>
            <w:fldChar w:fldCharType="begin"/>
          </w:r>
          <w:r>
            <w:instrText xml:space="preserve"> PAGEREF _Toc228745865 \h </w:instrText>
          </w:r>
          <w:r>
            <w:fldChar w:fldCharType="separate"/>
          </w:r>
          <w:r>
            <w:t>55</w:t>
          </w:r>
          <w:r>
            <w:fldChar w:fldCharType="end"/>
          </w:r>
          <w:r>
            <w:fldChar w:fldCharType="end"/>
          </w:r>
        </w:p>
        <w:p w14:paraId="37978D90">
          <w:pPr>
            <w:pStyle w:val="22"/>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"_Toc228745866" </w:instrText>
          </w:r>
          <w:r>
            <w:fldChar w:fldCharType="separate"/>
          </w:r>
          <w:r>
            <w:rPr>
              <w:rStyle w:val="16"/>
            </w:rPr>
            <w:t>CHAPTER 7: RECOMMENDATIONS AND CONCLUSION</w:t>
          </w:r>
          <w:r>
            <w:tab/>
          </w:r>
          <w:r>
            <w:fldChar w:fldCharType="begin"/>
          </w:r>
          <w:r>
            <w:instrText xml:space="preserve"> PAGEREF _Toc228745866 \h </w:instrText>
          </w:r>
          <w:r>
            <w:fldChar w:fldCharType="separate"/>
          </w:r>
          <w:r>
            <w:t>56</w:t>
          </w:r>
          <w:r>
            <w:fldChar w:fldCharType="end"/>
          </w:r>
          <w:r>
            <w:fldChar w:fldCharType="end"/>
          </w:r>
        </w:p>
        <w:p w14:paraId="4C1E8D4D">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"_Toc228745867" </w:instrText>
          </w:r>
          <w:r>
            <w:fldChar w:fldCharType="separate"/>
          </w:r>
          <w:r>
            <w:rPr>
              <w:rStyle w:val="16"/>
            </w:rPr>
            <w:t>7.1 Introduction to Chapter</w:t>
          </w:r>
          <w:r>
            <w:tab/>
          </w:r>
          <w:r>
            <w:fldChar w:fldCharType="begin"/>
          </w:r>
          <w:r>
            <w:instrText xml:space="preserve"> PAGEREF _Toc228745867 \h </w:instrText>
          </w:r>
          <w:r>
            <w:fldChar w:fldCharType="separate"/>
          </w:r>
          <w:r>
            <w:t>56</w:t>
          </w:r>
          <w:r>
            <w:fldChar w:fldCharType="end"/>
          </w:r>
          <w:r>
            <w:fldChar w:fldCharType="end"/>
          </w:r>
        </w:p>
        <w:p w14:paraId="4B1FA175">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"_Toc228745868" </w:instrText>
          </w:r>
          <w:r>
            <w:fldChar w:fldCharType="separate"/>
          </w:r>
          <w:r>
            <w:rPr>
              <w:rStyle w:val="16"/>
            </w:rPr>
            <w:t>7.2 Implications of Findings</w:t>
          </w:r>
          <w:r>
            <w:tab/>
          </w:r>
          <w:r>
            <w:fldChar w:fldCharType="begin"/>
          </w:r>
          <w:r>
            <w:instrText xml:space="preserve"> PAGEREF _Toc228745868 \h </w:instrText>
          </w:r>
          <w:r>
            <w:fldChar w:fldCharType="separate"/>
          </w:r>
          <w:r>
            <w:t>56</w:t>
          </w:r>
          <w:r>
            <w:fldChar w:fldCharType="end"/>
          </w:r>
          <w:r>
            <w:fldChar w:fldCharType="end"/>
          </w:r>
        </w:p>
        <w:p w14:paraId="1781E138">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"_Toc228745869" </w:instrText>
          </w:r>
          <w:r>
            <w:fldChar w:fldCharType="separate"/>
          </w:r>
          <w:r>
            <w:rPr>
              <w:rStyle w:val="16"/>
            </w:rPr>
            <w:t>7.3 Recommendations for Practice</w:t>
          </w:r>
          <w:r>
            <w:tab/>
          </w:r>
          <w:r>
            <w:fldChar w:fldCharType="begin"/>
          </w:r>
          <w:r>
            <w:instrText xml:space="preserve"> PAGEREF _Toc228745869 \h </w:instrText>
          </w:r>
          <w:r>
            <w:fldChar w:fldCharType="separate"/>
          </w:r>
          <w:r>
            <w:t>56</w:t>
          </w:r>
          <w:r>
            <w:fldChar w:fldCharType="end"/>
          </w:r>
          <w:r>
            <w:fldChar w:fldCharType="end"/>
          </w:r>
        </w:p>
        <w:p w14:paraId="6CA9E168">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"_Toc228745870" </w:instrText>
          </w:r>
          <w:r>
            <w:fldChar w:fldCharType="separate"/>
          </w:r>
          <w:r>
            <w:rPr>
              <w:rStyle w:val="16"/>
            </w:rPr>
            <w:t>7.4 Recommendations for Future Research</w:t>
          </w:r>
          <w:r>
            <w:tab/>
          </w:r>
          <w:r>
            <w:fldChar w:fldCharType="begin"/>
          </w:r>
          <w:r>
            <w:instrText xml:space="preserve"> PAGEREF _Toc228745870 \h </w:instrText>
          </w:r>
          <w:r>
            <w:fldChar w:fldCharType="separate"/>
          </w:r>
          <w:r>
            <w:t>57</w:t>
          </w:r>
          <w:r>
            <w:fldChar w:fldCharType="end"/>
          </w:r>
          <w:r>
            <w:fldChar w:fldCharType="end"/>
          </w:r>
        </w:p>
        <w:p w14:paraId="4C39383C">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"_Toc228745871" </w:instrText>
          </w:r>
          <w:r>
            <w:fldChar w:fldCharType="separate"/>
          </w:r>
          <w:r>
            <w:rPr>
              <w:rStyle w:val="16"/>
            </w:rPr>
            <w:t>7.5 Conclusion</w:t>
          </w:r>
          <w:r>
            <w:tab/>
          </w:r>
          <w:r>
            <w:fldChar w:fldCharType="begin"/>
          </w:r>
          <w:r>
            <w:instrText xml:space="preserve"> PAGEREF _Toc228745871 \h </w:instrText>
          </w:r>
          <w:r>
            <w:fldChar w:fldCharType="separate"/>
          </w:r>
          <w:r>
            <w:t>58</w:t>
          </w:r>
          <w:r>
            <w:fldChar w:fldCharType="end"/>
          </w:r>
          <w:r>
            <w:fldChar w:fldCharType="end"/>
          </w:r>
        </w:p>
        <w:p w14:paraId="4A2F2D8A">
          <w:pPr>
            <w:pStyle w:val="22"/>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"_Toc228745872" </w:instrText>
          </w:r>
          <w:r>
            <w:fldChar w:fldCharType="separate"/>
          </w:r>
          <w:r>
            <w:rPr>
              <w:rStyle w:val="16"/>
            </w:rPr>
            <w:t>REFERENCES</w:t>
          </w:r>
          <w:r>
            <w:tab/>
          </w:r>
          <w:r>
            <w:fldChar w:fldCharType="begin"/>
          </w:r>
          <w:r>
            <w:instrText xml:space="preserve"> PAGEREF _Toc228745872 \h </w:instrText>
          </w:r>
          <w:r>
            <w:fldChar w:fldCharType="separate"/>
          </w:r>
          <w:r>
            <w:t>60</w:t>
          </w:r>
          <w:r>
            <w:fldChar w:fldCharType="end"/>
          </w:r>
          <w:r>
            <w:fldChar w:fldCharType="end"/>
          </w:r>
        </w:p>
        <w:p w14:paraId="0EF2D583">
          <w:pPr>
            <w:pStyle w:val="22"/>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"_Toc228745873" </w:instrText>
          </w:r>
          <w:r>
            <w:fldChar w:fldCharType="separate"/>
          </w:r>
          <w:r>
            <w:rPr>
              <w:rStyle w:val="16"/>
            </w:rPr>
            <w:t>APPENDICES</w:t>
          </w:r>
          <w:r>
            <w:tab/>
          </w:r>
          <w:r>
            <w:fldChar w:fldCharType="begin"/>
          </w:r>
          <w:r>
            <w:instrText xml:space="preserve"> PAGEREF _Toc228745873 \h </w:instrText>
          </w:r>
          <w:r>
            <w:fldChar w:fldCharType="separate"/>
          </w:r>
          <w:r>
            <w:t>73</w:t>
          </w:r>
          <w:r>
            <w:fldChar w:fldCharType="end"/>
          </w:r>
          <w:r>
            <w:fldChar w:fldCharType="end"/>
          </w:r>
        </w:p>
        <w:p w14:paraId="14F5B5EB">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"_Toc228745874" </w:instrText>
          </w:r>
          <w:r>
            <w:fldChar w:fldCharType="separate"/>
          </w:r>
          <w:r>
            <w:rPr>
              <w:rStyle w:val="16"/>
            </w:rPr>
            <w:t>Appendix 1: Qualitative Studies Appraisal</w:t>
          </w:r>
          <w:r>
            <w:tab/>
          </w:r>
          <w:r>
            <w:fldChar w:fldCharType="begin"/>
          </w:r>
          <w:r>
            <w:instrText xml:space="preserve"> PAGEREF _Toc228745874 \h </w:instrText>
          </w:r>
          <w:r>
            <w:fldChar w:fldCharType="separate"/>
          </w:r>
          <w:r>
            <w:t>73</w:t>
          </w:r>
          <w:r>
            <w:fldChar w:fldCharType="end"/>
          </w:r>
          <w:r>
            <w:fldChar w:fldCharType="end"/>
          </w:r>
        </w:p>
        <w:p w14:paraId="3150BC1C">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"_Toc228745875" </w:instrText>
          </w:r>
          <w:r>
            <w:fldChar w:fldCharType="separate"/>
          </w:r>
          <w:r>
            <w:rPr>
              <w:rStyle w:val="16"/>
            </w:rPr>
            <w:t>Appendix 2- Quantitative Studies Appraisal</w:t>
          </w:r>
          <w:r>
            <w:tab/>
          </w:r>
          <w:r>
            <w:fldChar w:fldCharType="begin"/>
          </w:r>
          <w:r>
            <w:instrText xml:space="preserve"> PAGEREF _Toc228745875 \h </w:instrText>
          </w:r>
          <w:r>
            <w:fldChar w:fldCharType="separate"/>
          </w:r>
          <w:r>
            <w:t>75</w:t>
          </w:r>
          <w:r>
            <w:fldChar w:fldCharType="end"/>
          </w:r>
          <w:r>
            <w:fldChar w:fldCharType="end"/>
          </w:r>
        </w:p>
        <w:p w14:paraId="014D3972">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"_Toc228745876" </w:instrText>
          </w:r>
          <w:r>
            <w:fldChar w:fldCharType="separate"/>
          </w:r>
          <w:r>
            <w:rPr>
              <w:rStyle w:val="16"/>
            </w:rPr>
            <w:t>Appendix 3- Mixed-Method Studies Appraisal</w:t>
          </w:r>
          <w:r>
            <w:tab/>
          </w:r>
          <w:r>
            <w:fldChar w:fldCharType="begin"/>
          </w:r>
          <w:r>
            <w:instrText xml:space="preserve"> PAGEREF _Toc228745876 \h </w:instrText>
          </w:r>
          <w:r>
            <w:fldChar w:fldCharType="separate"/>
          </w:r>
          <w:r>
            <w:t>79</w:t>
          </w:r>
          <w:r>
            <w:fldChar w:fldCharType="end"/>
          </w:r>
          <w:r>
            <w:fldChar w:fldCharType="end"/>
          </w:r>
        </w:p>
        <w:p w14:paraId="0AA17188">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"_Toc228745877" </w:instrText>
          </w:r>
          <w:r>
            <w:fldChar w:fldCharType="separate"/>
          </w:r>
          <w:r>
            <w:rPr>
              <w:rStyle w:val="16"/>
            </w:rPr>
            <w:t>Appendix 4- Study Characteristics</w:t>
          </w:r>
          <w:r>
            <w:tab/>
          </w:r>
          <w:r>
            <w:fldChar w:fldCharType="begin"/>
          </w:r>
          <w:r>
            <w:instrText xml:space="preserve"> PAGEREF _Toc228745877 \h </w:instrText>
          </w:r>
          <w:r>
            <w:fldChar w:fldCharType="separate"/>
          </w:r>
          <w:r>
            <w:t>83</w:t>
          </w:r>
          <w:r>
            <w:fldChar w:fldCharType="end"/>
          </w:r>
          <w:r>
            <w:fldChar w:fldCharType="end"/>
          </w:r>
        </w:p>
        <w:p w14:paraId="6E8D1AD6">
          <w:pPr>
            <w:pStyle w:val="23"/>
            <w:tabs>
              <w:tab w:val="right" w:leader="dot" w:pos="8630"/>
            </w:tabs>
            <w:rPr>
              <w:rFonts w:asciiTheme="minorHAnsi" w:hAnsiTheme="minorHAnsi" w:eastAsiaTheme="minorEastAsia" w:cstheme="minorBidi"/>
              <w:kern w:val="2"/>
              <w:sz w:val="24"/>
              <w:szCs w:val="24"/>
              <w:lang w:eastAsia="en-GB"/>
              <w14:ligatures w14:val="standardContextual"/>
            </w:rPr>
          </w:pPr>
          <w:r>
            <w:fldChar w:fldCharType="begin"/>
          </w:r>
          <w:r>
            <w:instrText xml:space="preserve"> HYPERLINK \l "_Toc228745878" </w:instrText>
          </w:r>
          <w:r>
            <w:fldChar w:fldCharType="separate"/>
          </w:r>
          <w:r>
            <w:rPr>
              <w:rStyle w:val="16"/>
            </w:rPr>
            <w:t>Appendix 5: Themes Table</w:t>
          </w:r>
          <w:r>
            <w:tab/>
          </w:r>
          <w:r>
            <w:fldChar w:fldCharType="begin"/>
          </w:r>
          <w:r>
            <w:instrText xml:space="preserve"> PAGEREF _Toc228745878 \h </w:instrText>
          </w:r>
          <w:r>
            <w:fldChar w:fldCharType="separate"/>
          </w:r>
          <w:r>
            <w:t>88</w:t>
          </w:r>
          <w:r>
            <w:fldChar w:fldCharType="end"/>
          </w:r>
          <w:r>
            <w:fldChar w:fldCharType="end"/>
          </w:r>
        </w:p>
        <w:p w14:paraId="364B846F">
          <w:pPr>
            <w:pStyle w:val="22"/>
            <w:tabs>
              <w:tab w:val="right" w:leader="dot" w:pos="9350"/>
            </w:tabs>
            <w:rPr>
              <w:sz w:val="24"/>
              <w:szCs w:val="24"/>
            </w:rPr>
          </w:pPr>
          <w:r>
            <w:fldChar w:fldCharType="end"/>
          </w:r>
        </w:p>
      </w:sdtContent>
    </w:sdt>
    <w:p w14:paraId="0A245BC9">
      <w:pPr>
        <w:pStyle w:val="3"/>
        <w:jc w:val="left"/>
        <w:rPr>
          <w:b/>
          <w:bCs/>
          <w:sz w:val="28"/>
          <w:szCs w:val="28"/>
          <w:lang w:val="en-GB"/>
        </w:rPr>
      </w:pPr>
      <w:r>
        <w:rPr>
          <w:lang w:val="en-GB"/>
        </w:rPr>
        <w:br w:type="page"/>
      </w:r>
    </w:p>
    <w:p w14:paraId="2FE1F01C">
      <w:pPr>
        <w:pStyle w:val="2"/>
        <w:spacing w:line="480" w:lineRule="auto"/>
        <w:rPr>
          <w:sz w:val="28"/>
          <w:szCs w:val="28"/>
        </w:rPr>
      </w:pPr>
      <w:bookmarkStart w:id="4" w:name="_Toc228745794"/>
      <w:r>
        <w:rPr>
          <w:sz w:val="28"/>
          <w:szCs w:val="28"/>
        </w:rPr>
        <w:t>LIST OF TABLES</w:t>
      </w:r>
      <w:bookmarkEnd w:id="4"/>
    </w:p>
    <w:p w14:paraId="2D4260B8">
      <w:pPr>
        <w:pStyle w:val="20"/>
        <w:tabs>
          <w:tab w:val="right" w:leader="dot" w:pos="8640"/>
        </w:tabs>
      </w:pPr>
      <w:r>
        <w:fldChar w:fldCharType="begin"/>
      </w:r>
      <w:r>
        <w:instrText xml:space="preserve">TOC \h \c "Table"</w:instrText>
      </w:r>
      <w:r>
        <w:fldChar w:fldCharType="separate"/>
      </w:r>
      <w:r>
        <w:fldChar w:fldCharType="begin"/>
      </w:r>
      <w:r>
        <w:instrText xml:space="preserve"> HYPERLINK \l _Toc21068 </w:instrText>
      </w:r>
      <w:r>
        <w:fldChar w:fldCharType="separate"/>
      </w:r>
      <w:r>
        <w:rPr>
          <w:bCs/>
          <w:szCs w:val="24"/>
        </w:rPr>
        <w:t xml:space="preserve">Table </w:t>
      </w:r>
      <w:r>
        <w:t xml:space="preserve">1 </w:t>
      </w:r>
      <w:r>
        <w:rPr>
          <w:rFonts w:hint="default"/>
          <w:bCs/>
          <w:szCs w:val="24"/>
          <w:lang w:val="en-US"/>
        </w:rPr>
        <w:t xml:space="preserve">: </w:t>
      </w:r>
      <w:r>
        <w:rPr>
          <w:bCs/>
          <w:szCs w:val="24"/>
          <w:lang w:val="en-GB"/>
        </w:rPr>
        <w:t xml:space="preserve">PEO Framework </w:t>
      </w:r>
      <w:r>
        <w:tab/>
      </w:r>
      <w:r>
        <w:fldChar w:fldCharType="begin"/>
      </w:r>
      <w:r>
        <w:instrText xml:space="preserve"> PAGEREF _Toc21068 \h </w:instrText>
      </w:r>
      <w:r>
        <w:fldChar w:fldCharType="separate"/>
      </w:r>
      <w:r>
        <w:t>24</w:t>
      </w:r>
      <w:r>
        <w:fldChar w:fldCharType="end"/>
      </w:r>
      <w:r>
        <w:fldChar w:fldCharType="end"/>
      </w:r>
    </w:p>
    <w:p w14:paraId="09C51D98">
      <w:pPr>
        <w:pStyle w:val="3"/>
      </w:pPr>
      <w:r>
        <w:fldChar w:fldCharType="end"/>
      </w:r>
    </w:p>
    <w:p w14:paraId="7BE29BD7">
      <w:pPr>
        <w:pStyle w:val="3"/>
      </w:pPr>
    </w:p>
    <w:p w14:paraId="3F8175B3">
      <w:pPr>
        <w:pStyle w:val="3"/>
      </w:pPr>
    </w:p>
    <w:p w14:paraId="648D31C3">
      <w:pPr>
        <w:pStyle w:val="3"/>
      </w:pPr>
    </w:p>
    <w:p w14:paraId="7A3EDB7A">
      <w:pPr>
        <w:pStyle w:val="3"/>
      </w:pPr>
    </w:p>
    <w:p w14:paraId="61680ABC">
      <w:pPr>
        <w:pStyle w:val="2"/>
        <w:bidi w:val="0"/>
        <w:spacing w:line="480" w:lineRule="auto"/>
        <w:rPr>
          <w:sz w:val="28"/>
          <w:szCs w:val="28"/>
        </w:rPr>
      </w:pPr>
      <w:bookmarkStart w:id="5" w:name="_Toc228745795"/>
      <w:r>
        <w:rPr>
          <w:sz w:val="28"/>
          <w:szCs w:val="28"/>
        </w:rPr>
        <w:t>LIST OF FIGURES</w:t>
      </w:r>
      <w:bookmarkEnd w:id="5"/>
    </w:p>
    <w:p w14:paraId="795D5E85">
      <w:pPr>
        <w:pStyle w:val="20"/>
        <w:tabs>
          <w:tab w:val="right" w:leader="dot" w:pos="8640"/>
        </w:tabs>
        <w:rPr>
          <w:lang w:val="en-US"/>
        </w:rPr>
      </w:pPr>
      <w:r>
        <w:rPr>
          <w:lang w:val="en-US"/>
        </w:rPr>
        <w:fldChar w:fldCharType="begin"/>
      </w:r>
      <w:r>
        <w:rPr>
          <w:lang w:val="en-US"/>
        </w:rPr>
        <w:instrText xml:space="preserve">TOC \h \c "Figure"</w:instrText>
      </w:r>
      <w:r>
        <w:rPr>
          <w:lang w:val="en-US"/>
        </w:rPr>
        <w:fldChar w:fldCharType="separate"/>
      </w:r>
      <w:r>
        <w:rPr>
          <w:lang w:val="en-US"/>
        </w:rPr>
        <w:fldChar w:fldCharType="begin"/>
      </w:r>
      <w:r>
        <w:rPr>
          <w:lang w:val="en-US"/>
        </w:rPr>
        <w:instrText xml:space="preserve"> HYPERLINK \l _Toc4957 </w:instrText>
      </w:r>
      <w:r>
        <w:rPr>
          <w:lang w:val="en-US"/>
        </w:rPr>
        <w:fldChar w:fldCharType="separate"/>
      </w:r>
      <w:r>
        <w:rPr>
          <w:bCs/>
          <w:szCs w:val="24"/>
        </w:rPr>
        <w:t xml:space="preserve">Figure </w:t>
      </w:r>
      <w:r>
        <w:t xml:space="preserve">1 </w:t>
      </w:r>
      <w:r>
        <w:rPr>
          <w:rFonts w:hint="default"/>
          <w:bCs/>
          <w:szCs w:val="24"/>
          <w:lang w:val="en-US"/>
        </w:rPr>
        <w:t xml:space="preserve">: </w:t>
      </w:r>
      <w:r>
        <w:rPr>
          <w:bCs/>
          <w:szCs w:val="24"/>
          <w:lang w:val="en-GB"/>
        </w:rPr>
        <w:t>PRISMA Chart</w:t>
      </w:r>
      <w:r>
        <w:tab/>
      </w:r>
      <w:r>
        <w:fldChar w:fldCharType="begin"/>
      </w:r>
      <w:r>
        <w:instrText xml:space="preserve"> PAGEREF _Toc4957 \h </w:instrText>
      </w:r>
      <w:r>
        <w:fldChar w:fldCharType="separate"/>
      </w:r>
      <w:r>
        <w:t>27</w:t>
      </w:r>
      <w:r>
        <w:fldChar w:fldCharType="end"/>
      </w:r>
      <w:r>
        <w:rPr>
          <w:lang w:val="en-US"/>
        </w:rPr>
        <w:fldChar w:fldCharType="end"/>
      </w:r>
    </w:p>
    <w:p w14:paraId="47D7600B">
      <w:pPr>
        <w:rPr>
          <w:lang w:val="en-US"/>
        </w:rPr>
      </w:pPr>
    </w:p>
    <w:p w14:paraId="1FF69CA6">
      <w:pPr>
        <w:rPr>
          <w:lang w:val="en-US"/>
        </w:rPr>
      </w:pPr>
    </w:p>
    <w:p w14:paraId="4472B73B">
      <w:pPr>
        <w:rPr>
          <w:lang w:val="en-US"/>
        </w:rPr>
      </w:pPr>
    </w:p>
    <w:p w14:paraId="0DA4E4E6">
      <w:pPr>
        <w:rPr>
          <w:lang w:val="en-US"/>
        </w:rPr>
      </w:pPr>
    </w:p>
    <w:p w14:paraId="5AAEE78F">
      <w:pPr>
        <w:rPr>
          <w:lang w:val="en-US"/>
        </w:rPr>
      </w:pPr>
    </w:p>
    <w:p w14:paraId="04D39001">
      <w:pPr>
        <w:rPr>
          <w:lang w:val="en-US"/>
        </w:rPr>
      </w:pPr>
    </w:p>
    <w:p w14:paraId="4330623D">
      <w:pPr>
        <w:rPr>
          <w:lang w:val="en-US"/>
        </w:rPr>
      </w:pPr>
    </w:p>
    <w:p w14:paraId="5678D3A5">
      <w:pPr>
        <w:rPr>
          <w:lang w:val="en-US"/>
        </w:rPr>
      </w:pPr>
    </w:p>
    <w:p w14:paraId="6BAB5451">
      <w:pPr>
        <w:rPr>
          <w:lang w:val="en-US"/>
        </w:rPr>
      </w:pPr>
    </w:p>
    <w:p w14:paraId="17B2F0BB">
      <w:pPr>
        <w:rPr>
          <w:lang w:val="en-US"/>
        </w:rPr>
      </w:pPr>
    </w:p>
    <w:p w14:paraId="05FF9D3A">
      <w:pPr>
        <w:rPr>
          <w:lang w:val="en-US"/>
        </w:rPr>
      </w:pPr>
    </w:p>
    <w:p w14:paraId="30EBBF0A">
      <w:pPr>
        <w:rPr>
          <w:lang w:val="en-US"/>
        </w:rPr>
      </w:pPr>
    </w:p>
    <w:p w14:paraId="600C2691">
      <w:pPr>
        <w:rPr>
          <w:lang w:val="en-US"/>
        </w:rPr>
      </w:pPr>
    </w:p>
    <w:p w14:paraId="515391BE">
      <w:pPr>
        <w:rPr>
          <w:lang w:val="en-US"/>
        </w:rPr>
      </w:pPr>
    </w:p>
    <w:p w14:paraId="3EA10EAF">
      <w:pPr>
        <w:rPr>
          <w:lang w:val="en-US"/>
        </w:rPr>
      </w:pPr>
    </w:p>
    <w:p w14:paraId="4600CBAA">
      <w:pPr>
        <w:rPr>
          <w:rFonts w:hint="default"/>
          <w:lang w:val="en-US"/>
        </w:rPr>
      </w:pPr>
    </w:p>
    <w:p w14:paraId="5EBE0DC2">
      <w:pPr>
        <w:rPr>
          <w:rFonts w:hint="default"/>
          <w:lang w:val="en-US"/>
        </w:rPr>
      </w:pPr>
    </w:p>
    <w:p w14:paraId="6AD7CF2B">
      <w:pPr>
        <w:rPr>
          <w:rFonts w:hint="default"/>
          <w:lang w:val="en-US"/>
        </w:rPr>
      </w:pPr>
    </w:p>
    <w:p w14:paraId="0DE51109">
      <w:pPr>
        <w:rPr>
          <w:rFonts w:hint="default"/>
          <w:lang w:val="en-US"/>
        </w:rPr>
      </w:pPr>
    </w:p>
    <w:p w14:paraId="54031951">
      <w:pPr>
        <w:rPr>
          <w:rFonts w:hint="default"/>
          <w:lang w:val="en-US"/>
        </w:rPr>
      </w:pPr>
    </w:p>
    <w:p w14:paraId="00A05E30">
      <w:pPr>
        <w:rPr>
          <w:rFonts w:hint="default"/>
          <w:lang w:val="en-US"/>
        </w:rPr>
      </w:pPr>
    </w:p>
    <w:p w14:paraId="0EDECA62">
      <w:pPr>
        <w:widowControl/>
        <w:spacing w:line="240" w:lineRule="auto"/>
        <w:jc w:val="left"/>
        <w:rPr>
          <w:lang w:val="en-US"/>
        </w:rPr>
      </w:pPr>
      <w:r>
        <w:rPr>
          <w:lang w:val="en-US"/>
        </w:rPr>
        <w:fldChar w:fldCharType="end"/>
      </w:r>
    </w:p>
    <w:p w14:paraId="632AA34A">
      <w:pPr>
        <w:pStyle w:val="2"/>
        <w:spacing w:line="480" w:lineRule="auto"/>
        <w:rPr>
          <w:sz w:val="28"/>
          <w:szCs w:val="28"/>
        </w:rPr>
      </w:pPr>
      <w:bookmarkStart w:id="6" w:name="_Toc228745796"/>
      <w:r>
        <w:rPr>
          <w:sz w:val="28"/>
          <w:szCs w:val="28"/>
        </w:rPr>
        <w:t>LIST OF ABBREVIATION</w:t>
      </w:r>
      <w:bookmarkEnd w:id="6"/>
    </w:p>
    <w:p w14:paraId="75C7428B">
      <w:pPr>
        <w:pStyle w:val="3"/>
      </w:pPr>
    </w:p>
    <w:tbl>
      <w:tblPr>
        <w:tblStyle w:val="38"/>
        <w:tblW w:w="9575" w:type="dxa"/>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1738"/>
        <w:gridCol w:w="7837"/>
      </w:tblGrid>
      <w:tr w14:paraId="404CB2E1">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394" w:hRule="atLeast"/>
        </w:trPr>
        <w:tc>
          <w:tcPr>
            <w:tcW w:w="0" w:type="auto"/>
          </w:tcPr>
          <w:p w14:paraId="7850C794">
            <w:pPr>
              <w:jc w:val="center"/>
              <w:rPr>
                <w:rFonts w:hint="default" w:ascii="Arial" w:hAnsi="Arial" w:cs="Arial"/>
                <w:b/>
                <w:bCs/>
                <w:sz w:val="22"/>
                <w:szCs w:val="22"/>
              </w:rPr>
            </w:pPr>
            <w:r>
              <w:rPr>
                <w:rFonts w:hint="default" w:ascii="Arial" w:hAnsi="Arial" w:cs="Arial"/>
                <w:b/>
                <w:bCs/>
                <w:sz w:val="22"/>
                <w:szCs w:val="22"/>
              </w:rPr>
              <w:t>Abbreviation</w:t>
            </w:r>
          </w:p>
        </w:tc>
        <w:tc>
          <w:tcPr>
            <w:tcW w:w="0" w:type="auto"/>
          </w:tcPr>
          <w:p w14:paraId="4E0566FC">
            <w:pPr>
              <w:jc w:val="center"/>
              <w:rPr>
                <w:rFonts w:hint="default" w:ascii="Arial" w:hAnsi="Arial" w:cs="Arial"/>
                <w:b/>
                <w:bCs/>
                <w:sz w:val="22"/>
                <w:szCs w:val="22"/>
              </w:rPr>
            </w:pPr>
            <w:r>
              <w:rPr>
                <w:rFonts w:hint="default" w:ascii="Arial" w:hAnsi="Arial" w:cs="Arial"/>
                <w:b/>
                <w:bCs/>
                <w:sz w:val="22"/>
                <w:szCs w:val="22"/>
              </w:rPr>
              <w:t>Definition</w:t>
            </w:r>
          </w:p>
        </w:tc>
      </w:tr>
      <w:tr w14:paraId="2DFA40D0">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06" w:hRule="atLeast"/>
        </w:trPr>
        <w:tc>
          <w:tcPr>
            <w:tcW w:w="0" w:type="auto"/>
          </w:tcPr>
          <w:p w14:paraId="597739B4">
            <w:pPr>
              <w:jc w:val="center"/>
              <w:rPr>
                <w:rFonts w:hint="default" w:ascii="Arial" w:hAnsi="Arial" w:cs="Arial"/>
                <w:sz w:val="22"/>
                <w:szCs w:val="22"/>
              </w:rPr>
            </w:pPr>
            <w:r>
              <w:rPr>
                <w:rFonts w:hint="default" w:ascii="Arial" w:hAnsi="Arial" w:cs="Arial"/>
                <w:b/>
                <w:bCs/>
                <w:sz w:val="22"/>
                <w:szCs w:val="22"/>
              </w:rPr>
              <w:t>CASP</w:t>
            </w:r>
          </w:p>
        </w:tc>
        <w:tc>
          <w:tcPr>
            <w:tcW w:w="0" w:type="auto"/>
          </w:tcPr>
          <w:p w14:paraId="4DED91AC">
            <w:pPr>
              <w:jc w:val="center"/>
              <w:rPr>
                <w:rFonts w:hint="default" w:ascii="Arial" w:hAnsi="Arial" w:cs="Arial"/>
                <w:sz w:val="22"/>
                <w:szCs w:val="22"/>
              </w:rPr>
            </w:pPr>
            <w:r>
              <w:rPr>
                <w:rFonts w:hint="default" w:ascii="Arial" w:hAnsi="Arial" w:cs="Arial"/>
                <w:sz w:val="22"/>
                <w:szCs w:val="22"/>
              </w:rPr>
              <w:t>Critical Appraisal Skills Programme</w:t>
            </w:r>
          </w:p>
        </w:tc>
      </w:tr>
      <w:tr w14:paraId="411A4482">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394" w:hRule="atLeast"/>
        </w:trPr>
        <w:tc>
          <w:tcPr>
            <w:tcW w:w="0" w:type="auto"/>
          </w:tcPr>
          <w:p w14:paraId="7495306B">
            <w:pPr>
              <w:jc w:val="center"/>
              <w:rPr>
                <w:rFonts w:hint="default" w:ascii="Arial" w:hAnsi="Arial" w:cs="Arial"/>
                <w:sz w:val="22"/>
                <w:szCs w:val="22"/>
              </w:rPr>
            </w:pPr>
            <w:r>
              <w:rPr>
                <w:rFonts w:hint="default" w:ascii="Arial" w:hAnsi="Arial" w:cs="Arial"/>
                <w:b/>
                <w:bCs/>
                <w:sz w:val="22"/>
                <w:szCs w:val="22"/>
              </w:rPr>
              <w:t>COREQ</w:t>
            </w:r>
          </w:p>
        </w:tc>
        <w:tc>
          <w:tcPr>
            <w:tcW w:w="0" w:type="auto"/>
          </w:tcPr>
          <w:p w14:paraId="1A6F764E">
            <w:pPr>
              <w:jc w:val="center"/>
              <w:rPr>
                <w:rFonts w:hint="default" w:ascii="Arial" w:hAnsi="Arial" w:cs="Arial"/>
                <w:sz w:val="22"/>
                <w:szCs w:val="22"/>
              </w:rPr>
            </w:pPr>
            <w:r>
              <w:rPr>
                <w:rFonts w:hint="default" w:ascii="Arial" w:hAnsi="Arial" w:cs="Arial"/>
                <w:sz w:val="22"/>
                <w:szCs w:val="22"/>
              </w:rPr>
              <w:t>Consolidated criteria for Reporting Qualitative research</w:t>
            </w:r>
          </w:p>
        </w:tc>
      </w:tr>
      <w:tr w14:paraId="14464BF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06" w:hRule="atLeast"/>
        </w:trPr>
        <w:tc>
          <w:tcPr>
            <w:tcW w:w="0" w:type="auto"/>
          </w:tcPr>
          <w:p w14:paraId="27C31595">
            <w:pPr>
              <w:jc w:val="center"/>
              <w:rPr>
                <w:rFonts w:hint="default" w:ascii="Arial" w:hAnsi="Arial" w:cs="Arial"/>
                <w:sz w:val="22"/>
                <w:szCs w:val="22"/>
              </w:rPr>
            </w:pPr>
            <w:r>
              <w:rPr>
                <w:rFonts w:hint="default" w:ascii="Arial" w:hAnsi="Arial" w:cs="Arial"/>
                <w:b/>
                <w:bCs/>
                <w:sz w:val="22"/>
                <w:szCs w:val="22"/>
              </w:rPr>
              <w:t>GAD-7</w:t>
            </w:r>
          </w:p>
        </w:tc>
        <w:tc>
          <w:tcPr>
            <w:tcW w:w="0" w:type="auto"/>
          </w:tcPr>
          <w:p w14:paraId="021FAD41">
            <w:pPr>
              <w:jc w:val="center"/>
              <w:rPr>
                <w:rFonts w:hint="default" w:ascii="Arial" w:hAnsi="Arial" w:cs="Arial"/>
                <w:sz w:val="22"/>
                <w:szCs w:val="22"/>
              </w:rPr>
            </w:pPr>
            <w:r>
              <w:rPr>
                <w:rFonts w:hint="default" w:ascii="Arial" w:hAnsi="Arial" w:cs="Arial"/>
                <w:sz w:val="22"/>
                <w:szCs w:val="22"/>
              </w:rPr>
              <w:t>Generalised Anxiety Disorder Assessment (7-item)</w:t>
            </w:r>
          </w:p>
        </w:tc>
      </w:tr>
      <w:tr w14:paraId="2049F36B">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394" w:hRule="atLeast"/>
        </w:trPr>
        <w:tc>
          <w:tcPr>
            <w:tcW w:w="0" w:type="auto"/>
          </w:tcPr>
          <w:p w14:paraId="67DD02CB">
            <w:pPr>
              <w:jc w:val="center"/>
              <w:rPr>
                <w:rFonts w:hint="default" w:ascii="Arial" w:hAnsi="Arial" w:cs="Arial"/>
                <w:sz w:val="22"/>
                <w:szCs w:val="22"/>
              </w:rPr>
            </w:pPr>
            <w:r>
              <w:rPr>
                <w:rFonts w:hint="default" w:ascii="Arial" w:hAnsi="Arial" w:cs="Arial"/>
                <w:b/>
                <w:bCs/>
                <w:sz w:val="22"/>
                <w:szCs w:val="22"/>
              </w:rPr>
              <w:t>HSC</w:t>
            </w:r>
          </w:p>
        </w:tc>
        <w:tc>
          <w:tcPr>
            <w:tcW w:w="0" w:type="auto"/>
          </w:tcPr>
          <w:p w14:paraId="24C12234">
            <w:pPr>
              <w:jc w:val="center"/>
              <w:rPr>
                <w:rFonts w:hint="default" w:ascii="Arial" w:hAnsi="Arial" w:cs="Arial"/>
                <w:sz w:val="22"/>
                <w:szCs w:val="22"/>
              </w:rPr>
            </w:pPr>
            <w:r>
              <w:rPr>
                <w:rFonts w:hint="default" w:ascii="Arial" w:hAnsi="Arial" w:cs="Arial"/>
                <w:sz w:val="22"/>
                <w:szCs w:val="22"/>
              </w:rPr>
              <w:t>Health and Social Care</w:t>
            </w:r>
          </w:p>
        </w:tc>
      </w:tr>
      <w:tr w14:paraId="0CBEFEA3">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06" w:hRule="atLeast"/>
        </w:trPr>
        <w:tc>
          <w:tcPr>
            <w:tcW w:w="0" w:type="auto"/>
          </w:tcPr>
          <w:p w14:paraId="500C1122">
            <w:pPr>
              <w:jc w:val="center"/>
              <w:rPr>
                <w:rFonts w:hint="default" w:ascii="Arial" w:hAnsi="Arial" w:cs="Arial"/>
                <w:sz w:val="22"/>
                <w:szCs w:val="22"/>
              </w:rPr>
            </w:pPr>
            <w:r>
              <w:rPr>
                <w:rFonts w:hint="default" w:ascii="Arial" w:hAnsi="Arial" w:cs="Arial"/>
                <w:b/>
                <w:bCs/>
                <w:sz w:val="22"/>
                <w:szCs w:val="22"/>
              </w:rPr>
              <w:t>JD-R</w:t>
            </w:r>
          </w:p>
        </w:tc>
        <w:tc>
          <w:tcPr>
            <w:tcW w:w="0" w:type="auto"/>
          </w:tcPr>
          <w:p w14:paraId="79FA2734">
            <w:pPr>
              <w:jc w:val="center"/>
              <w:rPr>
                <w:rFonts w:hint="default" w:ascii="Arial" w:hAnsi="Arial" w:cs="Arial"/>
                <w:sz w:val="22"/>
                <w:szCs w:val="22"/>
              </w:rPr>
            </w:pPr>
            <w:r>
              <w:rPr>
                <w:rFonts w:hint="default" w:ascii="Arial" w:hAnsi="Arial" w:cs="Arial"/>
                <w:sz w:val="22"/>
                <w:szCs w:val="22"/>
              </w:rPr>
              <w:t>Job Demands-Resources</w:t>
            </w:r>
          </w:p>
        </w:tc>
      </w:tr>
      <w:tr w14:paraId="2234EB14">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394" w:hRule="atLeast"/>
        </w:trPr>
        <w:tc>
          <w:tcPr>
            <w:tcW w:w="0" w:type="auto"/>
          </w:tcPr>
          <w:p w14:paraId="163B79BA">
            <w:pPr>
              <w:jc w:val="center"/>
              <w:rPr>
                <w:rFonts w:hint="default" w:ascii="Arial" w:hAnsi="Arial" w:cs="Arial"/>
                <w:sz w:val="22"/>
                <w:szCs w:val="22"/>
              </w:rPr>
            </w:pPr>
            <w:r>
              <w:rPr>
                <w:rFonts w:hint="default" w:ascii="Arial" w:hAnsi="Arial" w:cs="Arial"/>
                <w:b/>
                <w:bCs/>
                <w:sz w:val="22"/>
                <w:szCs w:val="22"/>
              </w:rPr>
              <w:t>JBI</w:t>
            </w:r>
          </w:p>
        </w:tc>
        <w:tc>
          <w:tcPr>
            <w:tcW w:w="0" w:type="auto"/>
          </w:tcPr>
          <w:p w14:paraId="02B98521">
            <w:pPr>
              <w:jc w:val="center"/>
              <w:rPr>
                <w:rFonts w:hint="default" w:ascii="Arial" w:hAnsi="Arial" w:cs="Arial"/>
                <w:sz w:val="22"/>
                <w:szCs w:val="22"/>
              </w:rPr>
            </w:pPr>
            <w:r>
              <w:rPr>
                <w:rFonts w:hint="default" w:ascii="Arial" w:hAnsi="Arial" w:cs="Arial"/>
                <w:sz w:val="22"/>
                <w:szCs w:val="22"/>
              </w:rPr>
              <w:t>Joanna Briggs Institute</w:t>
            </w:r>
          </w:p>
        </w:tc>
      </w:tr>
      <w:tr w14:paraId="27FADD6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06" w:hRule="atLeast"/>
        </w:trPr>
        <w:tc>
          <w:tcPr>
            <w:tcW w:w="0" w:type="auto"/>
          </w:tcPr>
          <w:p w14:paraId="632B188F">
            <w:pPr>
              <w:jc w:val="center"/>
              <w:rPr>
                <w:rFonts w:hint="default" w:ascii="Arial" w:hAnsi="Arial" w:cs="Arial"/>
                <w:sz w:val="22"/>
                <w:szCs w:val="22"/>
              </w:rPr>
            </w:pPr>
            <w:r>
              <w:rPr>
                <w:rFonts w:hint="default" w:ascii="Arial" w:hAnsi="Arial" w:cs="Arial"/>
                <w:b/>
                <w:bCs/>
                <w:sz w:val="22"/>
                <w:szCs w:val="22"/>
              </w:rPr>
              <w:t>NHS</w:t>
            </w:r>
          </w:p>
        </w:tc>
        <w:tc>
          <w:tcPr>
            <w:tcW w:w="0" w:type="auto"/>
          </w:tcPr>
          <w:p w14:paraId="075A22EF">
            <w:pPr>
              <w:jc w:val="center"/>
              <w:rPr>
                <w:rFonts w:hint="default" w:ascii="Arial" w:hAnsi="Arial" w:cs="Arial"/>
                <w:sz w:val="22"/>
                <w:szCs w:val="22"/>
              </w:rPr>
            </w:pPr>
            <w:r>
              <w:rPr>
                <w:rFonts w:hint="default" w:ascii="Arial" w:hAnsi="Arial" w:cs="Arial"/>
                <w:sz w:val="22"/>
                <w:szCs w:val="22"/>
              </w:rPr>
              <w:t>National Health Service</w:t>
            </w:r>
          </w:p>
        </w:tc>
      </w:tr>
      <w:tr w14:paraId="49A2F8AC">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394" w:hRule="atLeast"/>
        </w:trPr>
        <w:tc>
          <w:tcPr>
            <w:tcW w:w="0" w:type="auto"/>
          </w:tcPr>
          <w:p w14:paraId="5E0C8332">
            <w:pPr>
              <w:jc w:val="center"/>
              <w:rPr>
                <w:rFonts w:hint="default" w:ascii="Arial" w:hAnsi="Arial" w:cs="Arial"/>
                <w:sz w:val="22"/>
                <w:szCs w:val="22"/>
              </w:rPr>
            </w:pPr>
            <w:r>
              <w:rPr>
                <w:rFonts w:hint="default" w:ascii="Arial" w:hAnsi="Arial" w:cs="Arial"/>
                <w:b/>
                <w:bCs/>
                <w:sz w:val="22"/>
                <w:szCs w:val="22"/>
              </w:rPr>
              <w:t>PEO</w:t>
            </w:r>
          </w:p>
        </w:tc>
        <w:tc>
          <w:tcPr>
            <w:tcW w:w="0" w:type="auto"/>
          </w:tcPr>
          <w:p w14:paraId="2111F9A5">
            <w:pPr>
              <w:jc w:val="center"/>
              <w:rPr>
                <w:rFonts w:hint="default" w:ascii="Arial" w:hAnsi="Arial" w:cs="Arial"/>
                <w:sz w:val="22"/>
                <w:szCs w:val="22"/>
              </w:rPr>
            </w:pPr>
            <w:r>
              <w:rPr>
                <w:rFonts w:hint="default" w:ascii="Arial" w:hAnsi="Arial" w:cs="Arial"/>
                <w:sz w:val="22"/>
                <w:szCs w:val="22"/>
              </w:rPr>
              <w:t>Population, Exposure, Outcome</w:t>
            </w:r>
          </w:p>
        </w:tc>
      </w:tr>
      <w:tr w14:paraId="7CF94BE9">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06" w:hRule="atLeast"/>
        </w:trPr>
        <w:tc>
          <w:tcPr>
            <w:tcW w:w="0" w:type="auto"/>
          </w:tcPr>
          <w:p w14:paraId="0C2AAE23">
            <w:pPr>
              <w:jc w:val="center"/>
              <w:rPr>
                <w:rFonts w:hint="default" w:ascii="Arial" w:hAnsi="Arial" w:cs="Arial"/>
                <w:sz w:val="22"/>
                <w:szCs w:val="22"/>
              </w:rPr>
            </w:pPr>
            <w:r>
              <w:rPr>
                <w:rFonts w:hint="default" w:ascii="Arial" w:hAnsi="Arial" w:cs="Arial"/>
                <w:b/>
                <w:bCs/>
                <w:sz w:val="22"/>
                <w:szCs w:val="22"/>
              </w:rPr>
              <w:t>PHQ-9</w:t>
            </w:r>
          </w:p>
        </w:tc>
        <w:tc>
          <w:tcPr>
            <w:tcW w:w="0" w:type="auto"/>
          </w:tcPr>
          <w:p w14:paraId="5C672B69">
            <w:pPr>
              <w:jc w:val="center"/>
              <w:rPr>
                <w:rFonts w:hint="default" w:ascii="Arial" w:hAnsi="Arial" w:cs="Arial"/>
                <w:sz w:val="22"/>
                <w:szCs w:val="22"/>
              </w:rPr>
            </w:pPr>
            <w:r>
              <w:rPr>
                <w:rFonts w:hint="default" w:ascii="Arial" w:hAnsi="Arial" w:cs="Arial"/>
                <w:sz w:val="22"/>
                <w:szCs w:val="22"/>
              </w:rPr>
              <w:t>Patient Health Questionnaire (9-item)</w:t>
            </w:r>
          </w:p>
        </w:tc>
      </w:tr>
      <w:tr w14:paraId="655C0292">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394" w:hRule="atLeast"/>
        </w:trPr>
        <w:tc>
          <w:tcPr>
            <w:tcW w:w="0" w:type="auto"/>
          </w:tcPr>
          <w:p w14:paraId="02E211A6">
            <w:pPr>
              <w:jc w:val="center"/>
              <w:rPr>
                <w:rFonts w:hint="default" w:ascii="Arial" w:hAnsi="Arial" w:cs="Arial"/>
                <w:sz w:val="22"/>
                <w:szCs w:val="22"/>
              </w:rPr>
            </w:pPr>
            <w:r>
              <w:rPr>
                <w:rFonts w:hint="default" w:ascii="Arial" w:hAnsi="Arial" w:cs="Arial"/>
                <w:b/>
                <w:bCs/>
                <w:sz w:val="22"/>
                <w:szCs w:val="22"/>
              </w:rPr>
              <w:t>PRISMA</w:t>
            </w:r>
          </w:p>
        </w:tc>
        <w:tc>
          <w:tcPr>
            <w:tcW w:w="0" w:type="auto"/>
          </w:tcPr>
          <w:p w14:paraId="35CBC547">
            <w:pPr>
              <w:jc w:val="center"/>
              <w:rPr>
                <w:rFonts w:hint="default" w:ascii="Arial" w:hAnsi="Arial" w:cs="Arial"/>
                <w:sz w:val="22"/>
                <w:szCs w:val="22"/>
              </w:rPr>
            </w:pPr>
            <w:r>
              <w:rPr>
                <w:rFonts w:hint="default" w:ascii="Arial" w:hAnsi="Arial" w:cs="Arial"/>
                <w:sz w:val="22"/>
                <w:szCs w:val="22"/>
              </w:rPr>
              <w:t>Preferred Reporting Items for Systematic Reviews and Meta-Analyses</w:t>
            </w:r>
          </w:p>
        </w:tc>
      </w:tr>
      <w:tr w14:paraId="0F60A08E">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394" w:hRule="atLeast"/>
        </w:trPr>
        <w:tc>
          <w:tcPr>
            <w:tcW w:w="0" w:type="auto"/>
          </w:tcPr>
          <w:p w14:paraId="15DB7A5A">
            <w:pPr>
              <w:jc w:val="center"/>
              <w:rPr>
                <w:rFonts w:hint="default" w:ascii="Arial" w:hAnsi="Arial" w:cs="Arial"/>
                <w:sz w:val="22"/>
                <w:szCs w:val="22"/>
              </w:rPr>
            </w:pPr>
            <w:r>
              <w:rPr>
                <w:rFonts w:hint="default" w:ascii="Arial" w:hAnsi="Arial" w:cs="Arial"/>
                <w:b/>
                <w:bCs/>
                <w:sz w:val="22"/>
                <w:szCs w:val="22"/>
              </w:rPr>
              <w:t>PSS-14</w:t>
            </w:r>
          </w:p>
        </w:tc>
        <w:tc>
          <w:tcPr>
            <w:tcW w:w="0" w:type="auto"/>
          </w:tcPr>
          <w:p w14:paraId="1FF183F9">
            <w:pPr>
              <w:jc w:val="center"/>
              <w:rPr>
                <w:rFonts w:hint="default" w:ascii="Arial" w:hAnsi="Arial" w:cs="Arial"/>
                <w:sz w:val="22"/>
                <w:szCs w:val="22"/>
              </w:rPr>
            </w:pPr>
            <w:r>
              <w:rPr>
                <w:rFonts w:hint="default" w:ascii="Arial" w:hAnsi="Arial" w:cs="Arial"/>
                <w:sz w:val="22"/>
                <w:szCs w:val="22"/>
              </w:rPr>
              <w:t>Perceived Stress Scale (14-item)</w:t>
            </w:r>
          </w:p>
        </w:tc>
      </w:tr>
      <w:tr w14:paraId="7A737979">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06" w:hRule="atLeast"/>
        </w:trPr>
        <w:tc>
          <w:tcPr>
            <w:tcW w:w="0" w:type="auto"/>
          </w:tcPr>
          <w:p w14:paraId="08FC2ACD">
            <w:pPr>
              <w:jc w:val="center"/>
              <w:rPr>
                <w:rFonts w:hint="default" w:ascii="Arial" w:hAnsi="Arial" w:cs="Arial"/>
                <w:sz w:val="22"/>
                <w:szCs w:val="22"/>
              </w:rPr>
            </w:pPr>
            <w:r>
              <w:rPr>
                <w:rFonts w:hint="default" w:ascii="Arial" w:hAnsi="Arial" w:cs="Arial"/>
                <w:b/>
                <w:bCs/>
                <w:sz w:val="22"/>
                <w:szCs w:val="22"/>
              </w:rPr>
              <w:t>RCT</w:t>
            </w:r>
          </w:p>
        </w:tc>
        <w:tc>
          <w:tcPr>
            <w:tcW w:w="0" w:type="auto"/>
          </w:tcPr>
          <w:p w14:paraId="4D02AB53">
            <w:pPr>
              <w:jc w:val="center"/>
              <w:rPr>
                <w:rFonts w:hint="default" w:ascii="Arial" w:hAnsi="Arial" w:cs="Arial"/>
                <w:sz w:val="22"/>
                <w:szCs w:val="22"/>
              </w:rPr>
            </w:pPr>
            <w:r>
              <w:rPr>
                <w:rFonts w:hint="default" w:ascii="Arial" w:hAnsi="Arial" w:cs="Arial"/>
                <w:sz w:val="22"/>
                <w:szCs w:val="22"/>
              </w:rPr>
              <w:t>Randomised Controlled Trial</w:t>
            </w:r>
          </w:p>
        </w:tc>
      </w:tr>
      <w:tr w14:paraId="2B6964EA">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394" w:hRule="atLeast"/>
        </w:trPr>
        <w:tc>
          <w:tcPr>
            <w:tcW w:w="0" w:type="auto"/>
          </w:tcPr>
          <w:p w14:paraId="3B080D7F">
            <w:pPr>
              <w:jc w:val="center"/>
              <w:rPr>
                <w:rFonts w:hint="default" w:ascii="Arial" w:hAnsi="Arial" w:cs="Arial"/>
                <w:sz w:val="22"/>
                <w:szCs w:val="22"/>
              </w:rPr>
            </w:pPr>
            <w:r>
              <w:rPr>
                <w:rFonts w:hint="default" w:ascii="Arial" w:hAnsi="Arial" w:cs="Arial"/>
                <w:b/>
                <w:bCs/>
                <w:sz w:val="22"/>
                <w:szCs w:val="22"/>
              </w:rPr>
              <w:t>SLR</w:t>
            </w:r>
          </w:p>
        </w:tc>
        <w:tc>
          <w:tcPr>
            <w:tcW w:w="0" w:type="auto"/>
          </w:tcPr>
          <w:p w14:paraId="3EFA8266">
            <w:pPr>
              <w:jc w:val="center"/>
              <w:rPr>
                <w:rFonts w:hint="default" w:ascii="Arial" w:hAnsi="Arial" w:cs="Arial"/>
                <w:sz w:val="22"/>
                <w:szCs w:val="22"/>
              </w:rPr>
            </w:pPr>
            <w:r>
              <w:rPr>
                <w:rFonts w:hint="default" w:ascii="Arial" w:hAnsi="Arial" w:cs="Arial"/>
                <w:sz w:val="22"/>
                <w:szCs w:val="22"/>
              </w:rPr>
              <w:t>Systematic Literature Review</w:t>
            </w:r>
          </w:p>
        </w:tc>
      </w:tr>
      <w:tr w14:paraId="2D7379C5">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06" w:hRule="atLeast"/>
        </w:trPr>
        <w:tc>
          <w:tcPr>
            <w:tcW w:w="0" w:type="auto"/>
          </w:tcPr>
          <w:p w14:paraId="05512107">
            <w:pPr>
              <w:jc w:val="center"/>
              <w:rPr>
                <w:rFonts w:hint="default" w:ascii="Arial" w:hAnsi="Arial" w:cs="Arial"/>
                <w:sz w:val="22"/>
                <w:szCs w:val="22"/>
              </w:rPr>
            </w:pPr>
            <w:r>
              <w:rPr>
                <w:rFonts w:hint="default" w:ascii="Arial" w:hAnsi="Arial" w:cs="Arial"/>
                <w:b/>
                <w:bCs/>
                <w:sz w:val="22"/>
                <w:szCs w:val="22"/>
              </w:rPr>
              <w:t>SWEMWBS</w:t>
            </w:r>
          </w:p>
        </w:tc>
        <w:tc>
          <w:tcPr>
            <w:tcW w:w="0" w:type="auto"/>
          </w:tcPr>
          <w:p w14:paraId="146CCFFB">
            <w:pPr>
              <w:jc w:val="center"/>
              <w:rPr>
                <w:rFonts w:hint="default" w:ascii="Arial" w:hAnsi="Arial" w:cs="Arial"/>
                <w:sz w:val="22"/>
                <w:szCs w:val="22"/>
              </w:rPr>
            </w:pPr>
            <w:r>
              <w:rPr>
                <w:rFonts w:hint="default" w:ascii="Arial" w:hAnsi="Arial" w:cs="Arial"/>
                <w:sz w:val="22"/>
                <w:szCs w:val="22"/>
              </w:rPr>
              <w:t>Short Warwick-Edinburgh Mental Well-Being Scale</w:t>
            </w:r>
          </w:p>
        </w:tc>
      </w:tr>
      <w:tr w14:paraId="353C7B23">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394" w:hRule="atLeast"/>
        </w:trPr>
        <w:tc>
          <w:tcPr>
            <w:tcW w:w="0" w:type="auto"/>
          </w:tcPr>
          <w:p w14:paraId="42134D23">
            <w:pPr>
              <w:jc w:val="center"/>
              <w:rPr>
                <w:rFonts w:hint="default" w:ascii="Arial" w:hAnsi="Arial" w:cs="Arial"/>
                <w:sz w:val="22"/>
                <w:szCs w:val="22"/>
              </w:rPr>
            </w:pPr>
            <w:r>
              <w:rPr>
                <w:rFonts w:hint="default" w:ascii="Arial" w:hAnsi="Arial" w:cs="Arial"/>
                <w:b/>
                <w:bCs/>
                <w:sz w:val="22"/>
                <w:szCs w:val="22"/>
              </w:rPr>
              <w:t>UK</w:t>
            </w:r>
          </w:p>
        </w:tc>
        <w:tc>
          <w:tcPr>
            <w:tcW w:w="0" w:type="auto"/>
          </w:tcPr>
          <w:p w14:paraId="798317FF">
            <w:pPr>
              <w:jc w:val="center"/>
              <w:rPr>
                <w:rFonts w:hint="default" w:ascii="Arial" w:hAnsi="Arial" w:cs="Arial"/>
                <w:sz w:val="22"/>
                <w:szCs w:val="22"/>
              </w:rPr>
            </w:pPr>
            <w:r>
              <w:rPr>
                <w:rFonts w:hint="default" w:ascii="Arial" w:hAnsi="Arial" w:cs="Arial"/>
                <w:sz w:val="22"/>
                <w:szCs w:val="22"/>
              </w:rPr>
              <w:t>United Kingdom</w:t>
            </w:r>
          </w:p>
        </w:tc>
      </w:tr>
      <w:tr w14:paraId="132E1F84">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06" w:hRule="atLeast"/>
        </w:trPr>
        <w:tc>
          <w:tcPr>
            <w:tcW w:w="0" w:type="auto"/>
          </w:tcPr>
          <w:p w14:paraId="6C4CBDF6">
            <w:pPr>
              <w:jc w:val="center"/>
              <w:rPr>
                <w:rFonts w:hint="default" w:ascii="Arial" w:hAnsi="Arial" w:cs="Arial"/>
                <w:sz w:val="22"/>
                <w:szCs w:val="22"/>
              </w:rPr>
            </w:pPr>
            <w:r>
              <w:rPr>
                <w:rFonts w:hint="default" w:ascii="Arial" w:hAnsi="Arial" w:cs="Arial"/>
                <w:b/>
                <w:bCs/>
                <w:sz w:val="22"/>
                <w:szCs w:val="22"/>
              </w:rPr>
              <w:t>WRQoL</w:t>
            </w:r>
          </w:p>
        </w:tc>
        <w:tc>
          <w:tcPr>
            <w:tcW w:w="0" w:type="auto"/>
          </w:tcPr>
          <w:p w14:paraId="572074CF">
            <w:pPr>
              <w:jc w:val="center"/>
              <w:rPr>
                <w:rFonts w:hint="default" w:ascii="Arial" w:hAnsi="Arial" w:cs="Arial"/>
                <w:sz w:val="22"/>
                <w:szCs w:val="22"/>
              </w:rPr>
            </w:pPr>
            <w:r>
              <w:rPr>
                <w:rFonts w:hint="default" w:ascii="Arial" w:hAnsi="Arial" w:cs="Arial"/>
                <w:sz w:val="22"/>
                <w:szCs w:val="22"/>
              </w:rPr>
              <w:t>Work-Related Quality of Life</w:t>
            </w:r>
          </w:p>
        </w:tc>
      </w:tr>
    </w:tbl>
    <w:p w14:paraId="6B7BB729">
      <w:pPr>
        <w:jc w:val="center"/>
      </w:pPr>
    </w:p>
    <w:p w14:paraId="042E802E">
      <w:pPr>
        <w:widowControl/>
        <w:jc w:val="left"/>
        <w:rPr>
          <w:b/>
          <w:bCs/>
          <w:sz w:val="28"/>
          <w:szCs w:val="28"/>
        </w:rPr>
      </w:pPr>
      <w:r>
        <w:br w:type="page"/>
      </w:r>
    </w:p>
    <w:p w14:paraId="06F827ED">
      <w:pPr>
        <w:pStyle w:val="2"/>
        <w:spacing w:line="480" w:lineRule="auto"/>
        <w:rPr>
          <w:sz w:val="28"/>
          <w:szCs w:val="28"/>
          <w:lang w:val="en-GB"/>
        </w:rPr>
      </w:pPr>
      <w:bookmarkStart w:id="7" w:name="_Toc228745797"/>
      <w:r>
        <w:rPr>
          <w:sz w:val="28"/>
          <w:szCs w:val="28"/>
          <w:lang w:val="en-GB"/>
        </w:rPr>
        <w:t>CHAPTER 1: INTRODUCTION AND BACKGROUND</w:t>
      </w:r>
      <w:bookmarkEnd w:id="7"/>
    </w:p>
    <w:p w14:paraId="79205FF3">
      <w:pPr>
        <w:pStyle w:val="4"/>
        <w:spacing w:line="480" w:lineRule="auto"/>
        <w:ind w:left="0"/>
        <w:rPr>
          <w:lang w:val="en-GB"/>
        </w:rPr>
      </w:pPr>
      <w:bookmarkStart w:id="8" w:name="_Toc228745798"/>
      <w:r>
        <w:rPr>
          <w:lang w:val="en-GB"/>
        </w:rPr>
        <w:t>1.1 Introduction to the topic</w:t>
      </w:r>
      <w:bookmarkEnd w:id="8"/>
    </w:p>
    <w:p w14:paraId="6A0DD799">
      <w:pPr>
        <w:pStyle w:val="3"/>
        <w:rPr>
          <w:lang w:val="en-GB"/>
        </w:rPr>
      </w:pPr>
      <w:r>
        <w:rPr>
          <w:lang w:val="en-GB"/>
        </w:rPr>
        <w:t>The pandemic of COVID-19 increased pre-existing structures, specifically within the United Kingdom social care segment, triggering widespread burnout as well as noteworthy issues with the mental health of its employee group. Burnout, specifically a work-associated syndrome characterised by emotional exhaustion or depersonalisation in addition to decreased professional efficiency emerging from chronic workplace stress that has not been successfully addressed (Khammissa</w:t>
      </w:r>
      <w:r>
        <w:rPr>
          <w:i/>
          <w:iCs/>
          <w:lang w:val="en-GB"/>
        </w:rPr>
        <w:t xml:space="preserve"> et al., </w:t>
      </w:r>
      <w:r>
        <w:rPr>
          <w:lang w:val="en-GB"/>
        </w:rPr>
        <w:t xml:space="preserve">2022 and </w:t>
      </w:r>
      <w:r>
        <w:rPr>
          <w:shd w:val="clear" w:color="auto" w:fill="FFFFFF"/>
        </w:rPr>
        <w:t xml:space="preserve">Gaspar </w:t>
      </w:r>
      <w:r>
        <w:rPr>
          <w:i/>
          <w:shd w:val="clear" w:color="auto" w:fill="FFFFFF"/>
        </w:rPr>
        <w:t xml:space="preserve">et al., </w:t>
      </w:r>
      <w:r>
        <w:rPr>
          <w:shd w:val="clear" w:color="auto" w:fill="FFFFFF"/>
        </w:rPr>
        <w:t>2025</w:t>
      </w:r>
      <w:r>
        <w:rPr>
          <w:lang w:val="en-GB"/>
        </w:rPr>
        <w:t>). In the social care segment, these symptoms have been increased by higher workloads, emotional labour, as well as insufficient organisational assets, finally undermining the welfare of employees along with the quality of delivery of care (Chen </w:t>
      </w:r>
      <w:r>
        <w:rPr>
          <w:i/>
          <w:iCs/>
          <w:lang w:val="en-GB"/>
        </w:rPr>
        <w:t>et al.,</w:t>
      </w:r>
      <w:r>
        <w:rPr>
          <w:lang w:val="en-GB"/>
        </w:rPr>
        <w:t xml:space="preserve"> 2022 and Fan </w:t>
      </w:r>
      <w:r>
        <w:rPr>
          <w:i/>
          <w:lang w:val="en-GB"/>
        </w:rPr>
        <w:t xml:space="preserve">et al., </w:t>
      </w:r>
      <w:r>
        <w:rPr>
          <w:lang w:val="en-GB"/>
        </w:rPr>
        <w:t xml:space="preserve">2024). Social care employees are integral to the health and community environments, offering essential assistance to vulnerable adults in addition to older individuals </w:t>
      </w:r>
      <w:r>
        <w:rPr>
          <w:shd w:val="clear" w:color="auto" w:fill="FFFFFF"/>
        </w:rPr>
        <w:t>(World Health Organization, 2018).</w:t>
      </w:r>
      <w:r>
        <w:rPr>
          <w:lang w:val="en-GB"/>
        </w:rPr>
        <w:t xml:space="preserve"> Moreover, the pandemic increased job requirements while decreasing protective resources, directing it to increase psychological stress, anxiety and exhaustion among employees (Britt </w:t>
      </w:r>
      <w:r>
        <w:rPr>
          <w:i/>
          <w:lang w:val="en-GB"/>
        </w:rPr>
        <w:t xml:space="preserve">et al., </w:t>
      </w:r>
      <w:r>
        <w:rPr>
          <w:lang w:val="en-GB"/>
        </w:rPr>
        <w:t xml:space="preserve">2021 and </w:t>
      </w:r>
      <w:r>
        <w:t xml:space="preserve">Meyer </w:t>
      </w:r>
      <w:r>
        <w:rPr>
          <w:i/>
          <w:iCs/>
        </w:rPr>
        <w:t>et al.,</w:t>
      </w:r>
      <w:r>
        <w:t xml:space="preserve"> 2021)</w:t>
      </w:r>
      <w:r>
        <w:rPr>
          <w:lang w:val="en-GB"/>
        </w:rPr>
        <w:t>. Evidence demonstrates that organisational assistance, along with appropriate workplace resources, can conquer burnout in addition to optimistically impact worker welfare (</w:t>
      </w:r>
      <w:r>
        <w:t xml:space="preserve">Awashreh and AlGhunaimi, 2024; Cohen </w:t>
      </w:r>
      <w:r>
        <w:rPr>
          <w:i/>
          <w:iCs/>
        </w:rPr>
        <w:t>et al.,</w:t>
      </w:r>
      <w:r>
        <w:t xml:space="preserve"> 2023)</w:t>
      </w:r>
      <w:r>
        <w:rPr>
          <w:lang w:val="en-GB"/>
        </w:rPr>
        <w:t>. The job demands resources model, as well as associated theories, framed the specific segment of burnout as an imbalance between the chronic requirements and insufficient resources, assisting in explaining why particular social care employees are specifically vulnerable to sustained stress after the pandemic. </w:t>
      </w:r>
    </w:p>
    <w:p w14:paraId="3014FF32">
      <w:pPr>
        <w:pStyle w:val="4"/>
        <w:spacing w:line="480" w:lineRule="auto"/>
        <w:ind w:left="0"/>
        <w:rPr>
          <w:lang w:val="en-GB"/>
        </w:rPr>
      </w:pPr>
      <w:bookmarkStart w:id="9" w:name="_Toc228745799"/>
      <w:r>
        <w:rPr>
          <w:lang w:val="en-GB"/>
        </w:rPr>
        <w:t>1.2 Background and Current Context</w:t>
      </w:r>
      <w:bookmarkEnd w:id="9"/>
    </w:p>
    <w:p w14:paraId="308EE93F">
      <w:pPr>
        <w:pStyle w:val="3"/>
        <w:spacing w:line="480" w:lineRule="auto"/>
        <w:rPr>
          <w:b/>
          <w:bCs/>
          <w:lang w:val="en-GB"/>
        </w:rPr>
      </w:pPr>
      <w:r>
        <w:rPr>
          <w:b/>
          <w:bCs/>
          <w:lang w:val="en-GB"/>
        </w:rPr>
        <w:t>Pre-Pandemic Challenges in UK Social Care</w:t>
      </w:r>
    </w:p>
    <w:p w14:paraId="7596E5AF">
      <w:pPr>
        <w:pStyle w:val="3"/>
        <w:rPr>
          <w:lang w:val="en-GB"/>
        </w:rPr>
      </w:pPr>
      <w:r>
        <w:rPr>
          <w:lang w:val="en-GB"/>
        </w:rPr>
        <w:t xml:space="preserve">The social care sector of the United Kingdom had been facing issues related to a shortage in the workforce even before the COVID-19 pandemic. There were consistent issues related to the levels of staffing and their retention, with the very high turnover rates, along with difficulties related to recruitment and job demands, which resulted in stress among the staff (Owens </w:t>
      </w:r>
      <w:r>
        <w:rPr>
          <w:i/>
          <w:iCs/>
          <w:lang w:val="en-GB"/>
        </w:rPr>
        <w:t>et al</w:t>
      </w:r>
      <w:r>
        <w:rPr>
          <w:lang w:val="en-GB"/>
        </w:rPr>
        <w:t xml:space="preserve">., 2023 and </w:t>
      </w:r>
      <w:r>
        <w:rPr>
          <w:shd w:val="clear" w:color="auto" w:fill="FFFFFF"/>
        </w:rPr>
        <w:t xml:space="preserve">McDermid </w:t>
      </w:r>
      <w:r>
        <w:rPr>
          <w:i/>
          <w:shd w:val="clear" w:color="auto" w:fill="FFFFFF"/>
        </w:rPr>
        <w:t xml:space="preserve">et al., </w:t>
      </w:r>
      <w:r>
        <w:rPr>
          <w:shd w:val="clear" w:color="auto" w:fill="FFFFFF"/>
        </w:rPr>
        <w:t>2020</w:t>
      </w:r>
      <w:r>
        <w:rPr>
          <w:lang w:val="en-GB"/>
        </w:rPr>
        <w:t>). This suggested that before the arrival of the COVID-19 pandemic, the staff were already struggling and had very limited support from the organisations.</w:t>
      </w:r>
    </w:p>
    <w:p w14:paraId="38F65593">
      <w:pPr>
        <w:pStyle w:val="3"/>
        <w:rPr>
          <w:lang w:val="en-GB"/>
        </w:rPr>
      </w:pPr>
      <w:r>
        <w:rPr>
          <w:lang w:val="en-GB"/>
        </w:rPr>
        <w:t>The major concerns of the sector included the insufficient availability of staff, limited availability of health resources and proper support from managers (</w:t>
      </w:r>
      <w:r>
        <w:t xml:space="preserve">Yusefi </w:t>
      </w:r>
      <w:r>
        <w:rPr>
          <w:i/>
          <w:iCs/>
        </w:rPr>
        <w:t>et al.,</w:t>
      </w:r>
      <w:r>
        <w:t xml:space="preserve"> 2022 and </w:t>
      </w:r>
      <w:r>
        <w:rPr>
          <w:shd w:val="clear" w:color="auto" w:fill="FFFFFF"/>
        </w:rPr>
        <w:t xml:space="preserve">Nyawira </w:t>
      </w:r>
      <w:r>
        <w:rPr>
          <w:i/>
          <w:shd w:val="clear" w:color="auto" w:fill="FFFFFF"/>
        </w:rPr>
        <w:t xml:space="preserve">et al., </w:t>
      </w:r>
      <w:r>
        <w:rPr>
          <w:shd w:val="clear" w:color="auto" w:fill="FFFFFF"/>
        </w:rPr>
        <w:t>2022</w:t>
      </w:r>
      <w:r>
        <w:t>)</w:t>
      </w:r>
      <w:r>
        <w:rPr>
          <w:lang w:val="en-GB"/>
        </w:rPr>
        <w:t>. All of these reasons resulted in stress and poor mental well-being among the staff. There was also an inconsistency in the availability of the workplace support services due to the fact that this sector is fragmented across private, public and voluntary providers (</w:t>
      </w:r>
      <w:r>
        <w:rPr>
          <w:shd w:val="clear" w:color="auto" w:fill="FFFFFF"/>
        </w:rPr>
        <w:t xml:space="preserve">Wollmann </w:t>
      </w:r>
      <w:r>
        <w:rPr>
          <w:i/>
          <w:shd w:val="clear" w:color="auto" w:fill="FFFFFF"/>
        </w:rPr>
        <w:t xml:space="preserve">et al., </w:t>
      </w:r>
      <w:r>
        <w:rPr>
          <w:shd w:val="clear" w:color="auto" w:fill="FFFFFF"/>
        </w:rPr>
        <w:t xml:space="preserve">2016 and Topp </w:t>
      </w:r>
      <w:r>
        <w:rPr>
          <w:i/>
          <w:shd w:val="clear" w:color="auto" w:fill="FFFFFF"/>
        </w:rPr>
        <w:t xml:space="preserve">et al., </w:t>
      </w:r>
      <w:r>
        <w:rPr>
          <w:shd w:val="clear" w:color="auto" w:fill="FFFFFF"/>
        </w:rPr>
        <w:t>2025)</w:t>
      </w:r>
      <w:r>
        <w:rPr>
          <w:lang w:val="en-GB"/>
        </w:rPr>
        <w:t xml:space="preserve">. These issues led to the vulnerable position of the healthcare staff in the landscape of the UK healthcare sector during the COVID-19 pandemic. </w:t>
      </w:r>
    </w:p>
    <w:p w14:paraId="5D3DAA90">
      <w:pPr>
        <w:pStyle w:val="3"/>
        <w:rPr>
          <w:lang w:val="en-GB"/>
        </w:rPr>
      </w:pPr>
    </w:p>
    <w:p w14:paraId="21C53F10">
      <w:pPr>
        <w:pStyle w:val="3"/>
        <w:spacing w:line="480" w:lineRule="auto"/>
        <w:rPr>
          <w:lang w:val="en-GB"/>
        </w:rPr>
      </w:pPr>
      <w:r>
        <w:rPr>
          <w:b/>
          <w:bCs/>
          <w:lang w:val="en-GB"/>
        </w:rPr>
        <w:t>Impact of COVID-19 on Social Care Worker Well-Being</w:t>
      </w:r>
    </w:p>
    <w:p w14:paraId="2711201B">
      <w:pPr>
        <w:pStyle w:val="3"/>
        <w:rPr>
          <w:lang w:val="en-GB"/>
        </w:rPr>
      </w:pPr>
      <w:r>
        <w:rPr>
          <w:lang w:val="en-GB"/>
        </w:rPr>
        <w:t xml:space="preserve">The job demand in the health and care sectors faced a sudden pressure during the COVID-19 pandemic </w:t>
      </w:r>
      <w:r>
        <w:rPr>
          <w:shd w:val="clear" w:color="auto" w:fill="FFFFFF"/>
        </w:rPr>
        <w:t xml:space="preserve">(Teixeira </w:t>
      </w:r>
      <w:r>
        <w:rPr>
          <w:i/>
          <w:shd w:val="clear" w:color="auto" w:fill="FFFFFF"/>
        </w:rPr>
        <w:t>et al.,</w:t>
      </w:r>
      <w:r>
        <w:rPr>
          <w:shd w:val="clear" w:color="auto" w:fill="FFFFFF"/>
        </w:rPr>
        <w:t xml:space="preserve"> 2020; </w:t>
      </w:r>
      <w:r>
        <w:t xml:space="preserve">Golu </w:t>
      </w:r>
      <w:r>
        <w:rPr>
          <w:i/>
          <w:iCs/>
        </w:rPr>
        <w:t>et al.,</w:t>
      </w:r>
      <w:r>
        <w:t xml:space="preserve"> 2022</w:t>
      </w:r>
      <w:r>
        <w:rPr>
          <w:shd w:val="clear" w:color="auto" w:fill="FFFFFF"/>
        </w:rPr>
        <w:t>)</w:t>
      </w:r>
      <w:r>
        <w:rPr>
          <w:lang w:val="en-GB"/>
        </w:rPr>
        <w:t>. There were sudden changes in the work, including long hours, different practices of work, along with the emotional pressure of caring for patients who were highly vulnerable in an environment with very high risks (Care Quality Commission, 2022). It has been shown in research that the emotional pressure faced by the healthcare staff during the pandemic was significant, with increasing levels of anxiety, stress and exhaustion as a result of increased work hours and difficult conditions of work (</w:t>
      </w:r>
      <w:r>
        <w:t xml:space="preserve">Costin </w:t>
      </w:r>
      <w:r>
        <w:rPr>
          <w:i/>
          <w:iCs/>
        </w:rPr>
        <w:t>et al.,</w:t>
      </w:r>
      <w:r>
        <w:t xml:space="preserve"> 2023)</w:t>
      </w:r>
      <w:r>
        <w:rPr>
          <w:lang w:val="en-GB"/>
        </w:rPr>
        <w:t xml:space="preserve">. </w:t>
      </w:r>
    </w:p>
    <w:p w14:paraId="570976BC">
      <w:pPr>
        <w:pStyle w:val="3"/>
        <w:rPr>
          <w:lang w:val="en-GB"/>
        </w:rPr>
      </w:pPr>
      <w:r>
        <w:rPr>
          <w:lang w:val="en-GB"/>
        </w:rPr>
        <w:t xml:space="preserve">It has been found in studies that these pressures resulted in burnout among the workers. Some reported physical exhaustion, difficulties in sleep and psychological strain, whereas some mentioned facing moral issues caused by the feeling that they are unable to provide the quality care due to shortcomings in the systems (Davies </w:t>
      </w:r>
      <w:r>
        <w:rPr>
          <w:i/>
          <w:iCs/>
          <w:lang w:val="en-GB"/>
        </w:rPr>
        <w:t>et al</w:t>
      </w:r>
      <w:r>
        <w:rPr>
          <w:lang w:val="en-GB"/>
        </w:rPr>
        <w:t xml:space="preserve">., 2025 and </w:t>
      </w:r>
      <w:r>
        <w:rPr>
          <w:shd w:val="clear" w:color="auto" w:fill="FFFFFF"/>
        </w:rPr>
        <w:t xml:space="preserve">Buchbinder </w:t>
      </w:r>
      <w:r>
        <w:rPr>
          <w:i/>
          <w:shd w:val="clear" w:color="auto" w:fill="FFFFFF"/>
        </w:rPr>
        <w:t xml:space="preserve">et al., </w:t>
      </w:r>
      <w:r>
        <w:rPr>
          <w:shd w:val="clear" w:color="auto" w:fill="FFFFFF"/>
        </w:rPr>
        <w:t>2024</w:t>
      </w:r>
      <w:r>
        <w:rPr>
          <w:lang w:val="en-GB"/>
        </w:rPr>
        <w:t xml:space="preserve">). Additionally, the stress levels were not uniform across all workers (Maryani and Gazali, 2024 and Mascayano </w:t>
      </w:r>
      <w:r>
        <w:rPr>
          <w:i/>
          <w:lang w:val="en-GB"/>
        </w:rPr>
        <w:t xml:space="preserve">et al., </w:t>
      </w:r>
      <w:r>
        <w:rPr>
          <w:lang w:val="en-GB"/>
        </w:rPr>
        <w:t xml:space="preserve">2022). Minority ethnic care workers faced increased pressure due to overlapping shifts and social inequalities. </w:t>
      </w:r>
    </w:p>
    <w:p w14:paraId="211CFCB7">
      <w:pPr>
        <w:pStyle w:val="3"/>
        <w:rPr>
          <w:lang w:val="en-GB"/>
        </w:rPr>
      </w:pPr>
    </w:p>
    <w:p w14:paraId="7017B9F7">
      <w:pPr>
        <w:pStyle w:val="3"/>
        <w:spacing w:line="480" w:lineRule="auto"/>
        <w:rPr>
          <w:lang w:val="en-GB"/>
        </w:rPr>
      </w:pPr>
      <w:r>
        <w:rPr>
          <w:b/>
          <w:bCs/>
          <w:lang w:val="en-GB"/>
        </w:rPr>
        <w:t>Burnout in Social Care — A Public Health Issue</w:t>
      </w:r>
    </w:p>
    <w:p w14:paraId="59462F7E">
      <w:pPr>
        <w:pStyle w:val="3"/>
        <w:rPr>
          <w:lang w:val="en-GB"/>
        </w:rPr>
      </w:pPr>
      <w:r>
        <w:rPr>
          <w:lang w:val="en-GB"/>
        </w:rPr>
        <w:t>There are serious implications related to burnout for individual workers as well as the entire social care system. In the context of the workforce, burnout leads to an increased number of sicknesses, absence and turnover, along with the feeling of leaving the sector altogether (</w:t>
      </w:r>
      <w:r>
        <w:t xml:space="preserve">Shinde, 2025 and </w:t>
      </w:r>
      <w:r>
        <w:rPr>
          <w:shd w:val="clear" w:color="auto" w:fill="FFFFFF"/>
        </w:rPr>
        <w:t xml:space="preserve">Khan </w:t>
      </w:r>
      <w:r>
        <w:rPr>
          <w:i/>
          <w:shd w:val="clear" w:color="auto" w:fill="FFFFFF"/>
        </w:rPr>
        <w:t xml:space="preserve">et al., </w:t>
      </w:r>
      <w:r>
        <w:rPr>
          <w:shd w:val="clear" w:color="auto" w:fill="FFFFFF"/>
        </w:rPr>
        <w:t>2016</w:t>
      </w:r>
      <w:r>
        <w:t>)</w:t>
      </w:r>
      <w:r>
        <w:rPr>
          <w:lang w:val="en-GB"/>
        </w:rPr>
        <w:t xml:space="preserve">. This increases the problem further as more workers leave, the remaining staff face increased pressure, further facing the risk of stress and burnout (Care Quality Commission, 2022 and </w:t>
      </w:r>
      <w:r>
        <w:rPr>
          <w:shd w:val="clear" w:color="auto" w:fill="FFFFFF"/>
        </w:rPr>
        <w:t>Maslach and Leiter, 2022</w:t>
      </w:r>
      <w:r>
        <w:rPr>
          <w:lang w:val="en-GB"/>
        </w:rPr>
        <w:t xml:space="preserve">). This has been presented in data where absence due to sickness almost doubled in the early stages of the pandemic, indicating how stress and burnout can have negative impacts on the workforce. It has also been reported that, along with psychological distress, many staff reported facing emotional exhaustion and symptoms of burnout (Petrella </w:t>
      </w:r>
      <w:r>
        <w:rPr>
          <w:i/>
          <w:iCs/>
          <w:lang w:val="en-GB"/>
        </w:rPr>
        <w:t>et al</w:t>
      </w:r>
      <w:r>
        <w:rPr>
          <w:lang w:val="en-GB"/>
        </w:rPr>
        <w:t xml:space="preserve">., 2021 and </w:t>
      </w:r>
      <w:r>
        <w:rPr>
          <w:shd w:val="clear" w:color="auto" w:fill="FFFFFF"/>
        </w:rPr>
        <w:t>Costa and Moss, 2018</w:t>
      </w:r>
      <w:r>
        <w:rPr>
          <w:lang w:val="en-GB"/>
        </w:rPr>
        <w:t xml:space="preserve">). The significance of burnout in social care is highlighted in the sector's role in providing specialised care to the ageing populations to prevent health crises which are avoidable. The instability in the workforce, as well as the poor mental health conditions of the workers, pose a serious threat to increasing the existing pressures on the health care services (Ballout, 2025 and Chib </w:t>
      </w:r>
      <w:r>
        <w:rPr>
          <w:i/>
          <w:lang w:val="en-GB"/>
        </w:rPr>
        <w:t xml:space="preserve">et al., </w:t>
      </w:r>
      <w:r>
        <w:rPr>
          <w:lang w:val="en-GB"/>
        </w:rPr>
        <w:t xml:space="preserve">2025). </w:t>
      </w:r>
    </w:p>
    <w:p w14:paraId="7498CADD">
      <w:pPr>
        <w:pStyle w:val="3"/>
        <w:spacing w:line="480" w:lineRule="auto"/>
        <w:rPr>
          <w:lang w:val="en-GB"/>
        </w:rPr>
      </w:pPr>
      <w:r>
        <w:rPr>
          <w:b/>
          <w:bCs/>
          <w:lang w:val="en-GB"/>
        </w:rPr>
        <w:t>Theoretical Framing of Burnout and Resources</w:t>
      </w:r>
    </w:p>
    <w:p w14:paraId="24AB752D">
      <w:pPr>
        <w:pStyle w:val="3"/>
        <w:rPr>
          <w:lang w:val="en-GB"/>
        </w:rPr>
      </w:pPr>
      <w:r>
        <w:rPr>
          <w:lang w:val="en-GB"/>
        </w:rPr>
        <w:t>A useful framework has been provided by the Job Demands-Resources (JD-R) model, which helps to understand the psychological processes which are a part of burnout in social care work (</w:t>
      </w:r>
      <w:r>
        <w:t xml:space="preserve">Schaufeli, 2017; </w:t>
      </w:r>
      <w:r>
        <w:rPr>
          <w:shd w:val="clear" w:color="auto" w:fill="FFFFFF"/>
        </w:rPr>
        <w:t xml:space="preserve">Luo and Lei, 2021; </w:t>
      </w:r>
      <w:r>
        <w:t>Galanakis and Tsitouri, 2022)</w:t>
      </w:r>
      <w:r>
        <w:rPr>
          <w:lang w:val="en-GB"/>
        </w:rPr>
        <w:t xml:space="preserve">. This model states that the demands of a job, such as the workload and the emotional pressure and the resources of the job, such as the support from peers, organisational support and autonomy, combine to influence the well-being of the employees (Ravalier </w:t>
      </w:r>
      <w:r>
        <w:rPr>
          <w:i/>
          <w:iCs/>
          <w:lang w:val="en-GB"/>
        </w:rPr>
        <w:t>et al</w:t>
      </w:r>
      <w:r>
        <w:rPr>
          <w:lang w:val="en-GB"/>
        </w:rPr>
        <w:t xml:space="preserve">., 2023 and </w:t>
      </w:r>
      <w:r>
        <w:rPr>
          <w:shd w:val="clear" w:color="auto" w:fill="FFFFFF"/>
        </w:rPr>
        <w:t xml:space="preserve">Tu </w:t>
      </w:r>
      <w:r>
        <w:rPr>
          <w:i/>
          <w:shd w:val="clear" w:color="auto" w:fill="FFFFFF"/>
        </w:rPr>
        <w:t xml:space="preserve">et al., </w:t>
      </w:r>
      <w:r>
        <w:rPr>
          <w:shd w:val="clear" w:color="auto" w:fill="FFFFFF"/>
        </w:rPr>
        <w:t>2022</w:t>
      </w:r>
      <w:r>
        <w:rPr>
          <w:lang w:val="en-GB"/>
        </w:rPr>
        <w:t xml:space="preserve">). When the demands from the job are far higher than the resources of the job, there is an undermining of the worker’s ability to cope, which further increases the risk of burnout and makes the mental risks worse. </w:t>
      </w:r>
    </w:p>
    <w:p w14:paraId="60BB009C">
      <w:pPr>
        <w:pStyle w:val="3"/>
        <w:rPr>
          <w:b/>
          <w:bCs/>
          <w:lang w:val="en-GB"/>
        </w:rPr>
      </w:pPr>
      <w:r>
        <w:rPr>
          <w:b/>
          <w:bCs/>
          <w:lang w:val="en-GB"/>
        </w:rPr>
        <w:t>Emerging Evidence on Organisational Support and Interventions</w:t>
      </w:r>
    </w:p>
    <w:p w14:paraId="01134288">
      <w:r>
        <w:t>There is evidence that organisational support and access to work-related resources can mitigate burnout and enhance mental health among care employees. Research indicates that support via formal mental health care, peer networks, or managerial acknowledgment can assist staff to cope with stress and maintain wellbeing (Norful et al., 2024; Franzosa et al., 2019). The access to assistance services and psychological support in NHS settings has been associated with the increased resilience and the decreased psychological distress among staff (Petrella et al., 2021; Shakespeare et al., 2018). Nonetheless, there are still barriers, such as organisational culture, stigma, and workload pressures, which in many cases prevent employees to use the available mental health resources (Chib et al., 2025; Ricciardelli et al., 2020). Much of the focus in many programmes is also on individual resilience rather than structural change or systemic stressors (Ungar, 2018; Asadzadeh et al., 2022). Thus, the sustainable interventions in the UK social care should entail occupational health support, peer support, mental health first aid, welfare-focused leadership, and workload reducing and job control enhancing policies.</w:t>
      </w:r>
    </w:p>
    <w:p w14:paraId="5AEC176C">
      <w:pPr>
        <w:pStyle w:val="4"/>
        <w:spacing w:line="480" w:lineRule="auto"/>
        <w:ind w:left="0"/>
        <w:rPr>
          <w:lang w:val="en-GB"/>
        </w:rPr>
      </w:pPr>
      <w:bookmarkStart w:id="10" w:name="_Toc228745800"/>
      <w:r>
        <w:rPr>
          <w:lang w:val="en-GB"/>
        </w:rPr>
        <w:t>1.3 Rationale for Research or Problem Statement</w:t>
      </w:r>
      <w:bookmarkEnd w:id="10"/>
    </w:p>
    <w:p w14:paraId="2E4B7708">
      <w:pPr>
        <w:pStyle w:val="3"/>
        <w:rPr>
          <w:lang w:val="en-GB"/>
        </w:rPr>
      </w:pPr>
      <w:r>
        <w:rPr>
          <w:lang w:val="en-GB"/>
        </w:rPr>
        <w:t>This research was selected for the reason that, despite developing an identification of burnout among social care workers specifically in the United Kingdom, there remains a deficiency of systematic synthesis of evidence on effective organisational and individual interventions, particularly targeted to this employee group after the pandemic of COVID-19. The pandemic has notably magnified the existing stressors as well as developed new issues for mental health in addition to welfare, but organisational responses have been inconsistent in addition to frequently under-evaluated (Wadkar, 2025). The aim of this research is to evaluate as well as synthesise published evidence, specifically interventions that assist mental health, in addition to decreased burnout in social care environments, utilising well-developed theoretical models. Boundaries are defined by emphasising published peer-reviewed research relevant to the social Care employee group of the United Kingdom, excluding the primary data gathering process. </w:t>
      </w:r>
    </w:p>
    <w:p w14:paraId="20224952">
      <w:pPr>
        <w:pStyle w:val="4"/>
        <w:spacing w:line="480" w:lineRule="auto"/>
        <w:ind w:left="0"/>
        <w:rPr>
          <w:lang w:val="en-GB"/>
        </w:rPr>
      </w:pPr>
      <w:bookmarkStart w:id="11" w:name="_Toc228745801"/>
      <w:r>
        <w:rPr>
          <w:lang w:val="en-GB"/>
        </w:rPr>
        <w:t>1.4 Research question</w:t>
      </w:r>
      <w:bookmarkEnd w:id="11"/>
    </w:p>
    <w:p w14:paraId="5E639957">
      <w:pPr>
        <w:pStyle w:val="3"/>
        <w:rPr>
          <w:lang w:val="en-GB"/>
        </w:rPr>
      </w:pPr>
      <w:r>
        <w:rPr>
          <w:lang w:val="en-GB"/>
        </w:rPr>
        <w:t>What practical approaches, as well as organisational interventions, can efficiently assist the mental welfare of social care employees in the United Kingdom, in addition to reducing rates of burnout after COVID-19? </w:t>
      </w:r>
    </w:p>
    <w:p w14:paraId="2DFE948B">
      <w:pPr>
        <w:pStyle w:val="4"/>
        <w:spacing w:line="480" w:lineRule="auto"/>
        <w:ind w:left="0"/>
        <w:rPr>
          <w:lang w:val="en-GB"/>
        </w:rPr>
      </w:pPr>
      <w:bookmarkStart w:id="12" w:name="_Toc228745802"/>
      <w:r>
        <w:rPr>
          <w:lang w:val="en-GB"/>
        </w:rPr>
        <w:t>1.5 Research Aim</w:t>
      </w:r>
      <w:bookmarkEnd w:id="12"/>
    </w:p>
    <w:p w14:paraId="1A956E97">
      <w:pPr>
        <w:pStyle w:val="3"/>
        <w:rPr>
          <w:lang w:val="en-GB"/>
        </w:rPr>
      </w:pPr>
      <w:r>
        <w:rPr>
          <w:lang w:val="en-GB"/>
        </w:rPr>
        <w:t>To explore and assess practical strategies and organisational interventions that can support the mental health of social care staff in the UK and reduce the rate of burnout.</w:t>
      </w:r>
    </w:p>
    <w:p w14:paraId="71C06561">
      <w:pPr>
        <w:pStyle w:val="4"/>
        <w:spacing w:line="480" w:lineRule="auto"/>
        <w:ind w:left="0"/>
        <w:rPr>
          <w:lang w:val="en-GB"/>
        </w:rPr>
      </w:pPr>
      <w:bookmarkStart w:id="13" w:name="_Toc228745803"/>
      <w:r>
        <w:rPr>
          <w:lang w:val="en-GB"/>
        </w:rPr>
        <w:t>1.6 Research Objectives</w:t>
      </w:r>
      <w:bookmarkEnd w:id="13"/>
    </w:p>
    <w:p w14:paraId="7CFE21DC">
      <w:pPr>
        <w:pStyle w:val="3"/>
        <w:numPr>
          <w:ilvl w:val="0"/>
          <w:numId w:val="1"/>
        </w:numPr>
        <w:rPr>
          <w:lang w:val="en-GB"/>
        </w:rPr>
      </w:pPr>
      <w:r>
        <w:rPr>
          <w:lang w:val="en-GB"/>
        </w:rPr>
        <w:t>To assess key factors contributing to burnout in social care workers.</w:t>
      </w:r>
    </w:p>
    <w:p w14:paraId="3C65FD38">
      <w:pPr>
        <w:pStyle w:val="3"/>
        <w:numPr>
          <w:ilvl w:val="0"/>
          <w:numId w:val="1"/>
        </w:numPr>
        <w:rPr>
          <w:lang w:val="en-GB"/>
        </w:rPr>
      </w:pPr>
      <w:r>
        <w:rPr>
          <w:lang w:val="en-GB"/>
        </w:rPr>
        <w:t>To identify effective organisational and individual interventions that promote mental health and well-being.</w:t>
      </w:r>
    </w:p>
    <w:p w14:paraId="2FB01068">
      <w:pPr>
        <w:pStyle w:val="3"/>
        <w:numPr>
          <w:ilvl w:val="0"/>
          <w:numId w:val="1"/>
        </w:numPr>
        <w:rPr>
          <w:lang w:val="en-GB"/>
        </w:rPr>
      </w:pPr>
      <w:r>
        <w:rPr>
          <w:lang w:val="en-GB"/>
        </w:rPr>
        <w:t>To develop evidence-based recommendations for applying sustainable mental health support in social care settings.</w:t>
      </w:r>
    </w:p>
    <w:p w14:paraId="10722F10">
      <w:pPr>
        <w:pStyle w:val="4"/>
        <w:spacing w:line="480" w:lineRule="auto"/>
        <w:ind w:left="0"/>
        <w:rPr>
          <w:lang w:val="en-GB"/>
        </w:rPr>
      </w:pPr>
      <w:bookmarkStart w:id="14" w:name="_Toc228745804"/>
      <w:r>
        <w:rPr>
          <w:lang w:val="en-GB"/>
        </w:rPr>
        <w:t>1.7 Chapter summary</w:t>
      </w:r>
      <w:bookmarkEnd w:id="14"/>
    </w:p>
    <w:p w14:paraId="07844505">
      <w:pPr>
        <w:pStyle w:val="3"/>
        <w:rPr>
          <w:lang w:val="en-GB"/>
        </w:rPr>
      </w:pPr>
      <w:r>
        <w:rPr>
          <w:lang w:val="en-GB"/>
        </w:rPr>
        <w:t xml:space="preserve">Chapter one has significantly introduced the particular topic of burnout as well as mental welfare among United Kingdom social care employees in the era after COVID-19, developing its relevance as a specific public health challenge. It outlined the particularly pre-existing issues of the sector, the effect of the pandemic, in addition to theoretical frameworks for effectively understanding burnout, before stating the problem, objectives, and the question of the research. The following chapter will notably review the existing literature specifically on assisted intervention and burnout for social care workers. </w:t>
      </w:r>
    </w:p>
    <w:p w14:paraId="785879E0">
      <w:pPr>
        <w:pStyle w:val="3"/>
        <w:rPr>
          <w:i/>
          <w:iCs/>
          <w:lang w:val="en-GB"/>
        </w:rPr>
      </w:pPr>
    </w:p>
    <w:p w14:paraId="754874E4">
      <w:pPr>
        <w:pStyle w:val="3"/>
        <w:rPr>
          <w:i/>
          <w:iCs/>
          <w:lang w:val="en-GB"/>
        </w:rPr>
      </w:pPr>
    </w:p>
    <w:p w14:paraId="77B94C08">
      <w:pPr>
        <w:pStyle w:val="3"/>
        <w:jc w:val="left"/>
        <w:rPr>
          <w:b/>
          <w:bCs/>
          <w:sz w:val="28"/>
          <w:szCs w:val="28"/>
          <w:lang w:val="en-GB"/>
        </w:rPr>
      </w:pPr>
      <w:r>
        <w:rPr>
          <w:lang w:val="en-GB"/>
        </w:rPr>
        <w:br w:type="page"/>
      </w:r>
    </w:p>
    <w:p w14:paraId="1AA6BCD4">
      <w:pPr>
        <w:pStyle w:val="2"/>
        <w:spacing w:line="480" w:lineRule="auto"/>
        <w:rPr>
          <w:sz w:val="28"/>
          <w:szCs w:val="28"/>
          <w:lang w:val="en-GB"/>
        </w:rPr>
      </w:pPr>
      <w:bookmarkStart w:id="15" w:name="_Toc228745805"/>
      <w:r>
        <w:rPr>
          <w:sz w:val="28"/>
          <w:szCs w:val="28"/>
          <w:lang w:val="en-GB"/>
        </w:rPr>
        <w:t>CHAPTER 2:  LITERATURE REVIEW</w:t>
      </w:r>
      <w:bookmarkEnd w:id="15"/>
    </w:p>
    <w:p w14:paraId="09A6D67A">
      <w:pPr>
        <w:pStyle w:val="4"/>
        <w:spacing w:line="480" w:lineRule="auto"/>
        <w:ind w:left="0"/>
      </w:pPr>
      <w:bookmarkStart w:id="16" w:name="_Toc228745806"/>
      <w:r>
        <w:t>2.1 Chapter Introduction</w:t>
      </w:r>
      <w:bookmarkEnd w:id="16"/>
    </w:p>
    <w:p w14:paraId="607EC868">
      <w:pPr>
        <w:pStyle w:val="3"/>
        <w:rPr>
          <w:lang w:val="en-GB"/>
        </w:rPr>
      </w:pPr>
      <w:r>
        <w:rPr>
          <w:lang w:val="en-GB"/>
        </w:rPr>
        <w:t>The current chapter of this dissertation has been developed with the purpose of offering an extensive literature review, quietly exploring the previously published research articles on the focused topic. This literature review approach will therefore help in exploring the idea that has already been investigated and published on the current topic, to eventually develop a foundational step to complete the current dissertation. Furthermore, this chapter also helped in identifying several major research gaps that are currently lingering throughout the available academic insights, which eventually helped in fostering the development of the current research. </w:t>
      </w:r>
    </w:p>
    <w:p w14:paraId="7ADB1F8F">
      <w:pPr>
        <w:pStyle w:val="4"/>
        <w:spacing w:line="480" w:lineRule="auto"/>
        <w:ind w:left="0"/>
      </w:pPr>
      <w:bookmarkStart w:id="17" w:name="_Toc228745807"/>
      <w:r>
        <w:t>2.2 Understanding Burnout in Social Care</w:t>
      </w:r>
      <w:bookmarkEnd w:id="17"/>
    </w:p>
    <w:p w14:paraId="4356B2BA">
      <w:pPr>
        <w:pStyle w:val="3"/>
        <w:rPr>
          <w:lang w:val="en-GB"/>
        </w:rPr>
      </w:pPr>
      <w:r>
        <w:rPr>
          <w:lang w:val="en-GB"/>
        </w:rPr>
        <w:t xml:space="preserve">Burnout in the UK social care is not just an imprecise issue. Neill </w:t>
      </w:r>
      <w:r>
        <w:rPr>
          <w:i/>
          <w:iCs/>
          <w:lang w:val="en-GB"/>
        </w:rPr>
        <w:t>et al.</w:t>
      </w:r>
      <w:r>
        <w:rPr>
          <w:lang w:val="en-GB"/>
        </w:rPr>
        <w:t xml:space="preserve"> (2023) conducted repeated kinds of cross-sectional surveys that reported drastic declines in well-being and work-related measures of life throughout COVID-19. Significant resulting phase decreases were seen in more than 14,000 HSC workers (p&lt;0.001). </w:t>
      </w:r>
    </w:p>
    <w:p w14:paraId="7013541F">
      <w:r>
        <w:t xml:space="preserve">Rapid surveys were proactively conducted with standardised, validated scales and online sampling. As an example, a survey of (n=1,127) hospitals in London conducted by Petrella </w:t>
      </w:r>
      <w:r>
        <w:rPr>
          <w:i/>
          <w:iCs/>
        </w:rPr>
        <w:t>et al.</w:t>
      </w:r>
      <w:r>
        <w:t xml:space="preserve"> </w:t>
      </w:r>
      <w:r>
        <w:rPr>
          <w:i/>
          <w:iCs/>
        </w:rPr>
        <w:t xml:space="preserve">(2021) </w:t>
      </w:r>
      <w:r>
        <w:t>utilised validated kinds of distress and burnout items. It identified percentages of 84% who had marked above the general-population mean in psychological distress, and close to half considered themselves emotionally drained. Stress in regression models was effectively predicted by burnout subscales (emotional exhaustion, depersonalization, and low personal accomplishment) (R²≈0.36).</w:t>
      </w:r>
    </w:p>
    <w:p w14:paraId="308F1F33">
      <w:pPr>
        <w:pStyle w:val="3"/>
        <w:rPr>
          <w:lang w:val="en-GB"/>
        </w:rPr>
      </w:pPr>
      <w:r>
        <w:rPr>
          <w:lang w:val="en-GB"/>
        </w:rPr>
        <w:t xml:space="preserve">Large mixed surveys contrasted careers and applied the WRQoL (Work-Related Quality of Life) and SWEMWBS (Short Warwick-Edinburgh Mental Well-Being Scale) scales. They exhibit regular and generalisable trends; social care employees experience poorer working conditions and much bigger wellbeing declines than much of the rest (Neill </w:t>
      </w:r>
      <w:r>
        <w:rPr>
          <w:i/>
          <w:iCs/>
          <w:lang w:val="en-GB"/>
        </w:rPr>
        <w:t>et al.,</w:t>
      </w:r>
      <w:r>
        <w:rPr>
          <w:lang w:val="en-GB"/>
        </w:rPr>
        <w:t xml:space="preserve"> 2023; Ravalier </w:t>
      </w:r>
      <w:r>
        <w:rPr>
          <w:i/>
          <w:iCs/>
          <w:lang w:val="en-GB"/>
        </w:rPr>
        <w:t>et al.,</w:t>
      </w:r>
      <w:r>
        <w:rPr>
          <w:lang w:val="en-GB"/>
        </w:rPr>
        <w:t xml:space="preserve"> 2023). </w:t>
      </w:r>
    </w:p>
    <w:p w14:paraId="7DACBDC4">
      <w:pPr>
        <w:pStyle w:val="3"/>
        <w:widowControl/>
        <w:rPr>
          <w:rFonts w:ascii="Times New Roman" w:hAnsi="Times New Roman" w:eastAsia="Times New Roman" w:cs="Times New Roman"/>
          <w:sz w:val="24"/>
          <w:szCs w:val="24"/>
          <w:lang w:val="en-GB"/>
        </w:rPr>
      </w:pPr>
      <w:r>
        <w:rPr>
          <w:lang w:val="en-GB"/>
        </w:rPr>
        <w:t xml:space="preserve">However, the use of large sample sizes aligned with the use of repeated measurements, but developed limitations in the overall capacity to acknowledge the causal relationships in methods. Some studies in the UK employed propensity-matching or a longitudinal cohort in order to correct confounders. These enhanced arguments that job demand increased and yet resources decreased, in line with the JD-R model </w:t>
      </w:r>
      <w:r>
        <w:rPr>
          <w:highlight w:val="white"/>
          <w:lang w:val="en-GB"/>
        </w:rPr>
        <w:t>(Grover et al., 2018)</w:t>
      </w:r>
      <w:r>
        <w:rPr>
          <w:lang w:val="en-GB"/>
        </w:rPr>
        <w:t xml:space="preserve">. However, the majority of the evidence is mainly based on self-reports and a convenience sample. It introduces the threat of bias and constrains assertions regarding long-term results (McFadden </w:t>
      </w:r>
      <w:r>
        <w:rPr>
          <w:i/>
          <w:iCs/>
          <w:lang w:val="en-GB"/>
        </w:rPr>
        <w:t>et al.,</w:t>
      </w:r>
      <w:r>
        <w:rPr>
          <w:lang w:val="en-GB"/>
        </w:rPr>
        <w:t xml:space="preserve"> 2024; Davies </w:t>
      </w:r>
      <w:r>
        <w:rPr>
          <w:i/>
          <w:iCs/>
          <w:lang w:val="en-GB"/>
        </w:rPr>
        <w:t>et al.,</w:t>
      </w:r>
      <w:r>
        <w:rPr>
          <w:lang w:val="en-GB"/>
        </w:rPr>
        <w:t xml:space="preserve"> 2025). </w:t>
      </w:r>
    </w:p>
    <w:p w14:paraId="66F90B07">
      <w:pPr>
        <w:pStyle w:val="3"/>
        <w:rPr>
          <w:lang w:val="en-GB"/>
        </w:rPr>
      </w:pPr>
      <w:r>
        <w:rPr>
          <w:lang w:val="en-GB"/>
        </w:rPr>
        <w:t xml:space="preserve">Comprehensively, strong, multi-site surveys record a very high level of emotional exhaustion, depersonalisation and decreased effectiveness. Approaches are much more stringent in prevalence. They are not as robust in proving cause and testing interventions that are lasting. </w:t>
      </w:r>
    </w:p>
    <w:p w14:paraId="7B28EB13">
      <w:pPr>
        <w:pStyle w:val="4"/>
        <w:spacing w:line="480" w:lineRule="auto"/>
        <w:ind w:left="0"/>
      </w:pPr>
      <w:bookmarkStart w:id="18" w:name="_Toc228745808"/>
      <w:r>
        <w:t>2.3 Key Factors Contributing to Burnout</w:t>
      </w:r>
      <w:bookmarkEnd w:id="18"/>
    </w:p>
    <w:p w14:paraId="6BCF2871">
      <w:pPr>
        <w:pStyle w:val="3"/>
        <w:rPr>
          <w:lang w:val="en-GB"/>
        </w:rPr>
      </w:pPr>
      <w:r>
        <w:rPr>
          <w:lang w:val="en-GB"/>
        </w:rPr>
        <w:t xml:space="preserve">The primary source of stressors that pre-COVID-19 was already chronic but became much more acute in the course of the pandemic is the cause of burnout. A study indicated that work pressures, increases in referrals, and staff shortages increased gradually but steadily during 2020-22, and the level of burnout also rose over the years (McFadden </w:t>
      </w:r>
      <w:r>
        <w:rPr>
          <w:i/>
          <w:iCs/>
          <w:lang w:val="en-GB"/>
        </w:rPr>
        <w:t>et al.,</w:t>
      </w:r>
      <w:r>
        <w:rPr>
          <w:lang w:val="en-GB"/>
        </w:rPr>
        <w:t xml:space="preserve"> 2024). These trends coincide with the pre-pandemic data, along with information that social work was already among the most stress-inducing UK occupations. </w:t>
      </w:r>
    </w:p>
    <w:p w14:paraId="054F70AA">
      <w:pPr>
        <w:pStyle w:val="3"/>
        <w:rPr>
          <w:lang w:val="en-GB"/>
        </w:rPr>
      </w:pPr>
      <w:r>
        <w:rPr>
          <w:lang w:val="en-GB"/>
        </w:rPr>
        <w:t>Central factors were very high workloads and staffing shortages. UK longitudinal data on UK care workers (n≈1,791) have demonstrated chronic dissatisfaction with compensation, promotion, and work-life balance, and the turnover rates were still high (~30%) (Saloniki and Hussein, 2025). The loss of personnel just due to Brexit and COVID exacerbated capacity and increased work strain.</w:t>
      </w:r>
    </w:p>
    <w:p w14:paraId="53A1D5BD">
      <w:pPr>
        <w:pStyle w:val="3"/>
        <w:rPr>
          <w:lang w:val="en-GB"/>
        </w:rPr>
      </w:pPr>
      <w:r>
        <w:rPr>
          <w:lang w:val="en-GB"/>
        </w:rPr>
        <w:t xml:space="preserve">Emotional labour often affects the moral distress and grief among the workers while increasing the levels of compassion fatigue (McFadden </w:t>
      </w:r>
      <w:r>
        <w:rPr>
          <w:i/>
          <w:iCs/>
          <w:lang w:val="en-GB"/>
        </w:rPr>
        <w:t>et al.,</w:t>
      </w:r>
      <w:r>
        <w:rPr>
          <w:lang w:val="en-GB"/>
        </w:rPr>
        <w:t xml:space="preserve"> 2024). The number of UK articles in social care-specific topics is scarce, but systematic evidence presented by Chireh </w:t>
      </w:r>
      <w:r>
        <w:rPr>
          <w:i/>
          <w:iCs/>
          <w:lang w:val="en-GB"/>
        </w:rPr>
        <w:t>et al.</w:t>
      </w:r>
      <w:r>
        <w:rPr>
          <w:lang w:val="en-GB"/>
        </w:rPr>
        <w:t xml:space="preserve"> (2025) indicates that job stressors such as emotional demands and resource inadequacy are very significant kinds of predictors of burnout outcomes when confounding factors are controlled in multivariate analysis. </w:t>
      </w:r>
    </w:p>
    <w:p w14:paraId="0291A568">
      <w:r>
        <w:t xml:space="preserve">Organisational support has a tremendous impact, as a mixed methods study by Dima </w:t>
      </w:r>
      <w:r>
        <w:rPr>
          <w:i/>
          <w:iCs/>
        </w:rPr>
        <w:t>et al.</w:t>
      </w:r>
      <w:r>
        <w:t xml:space="preserve"> (2021) found that workers who had very high levels of workloads and strong organisational support had much lower scores on burnout compared to unsupported workers.</w:t>
      </w:r>
    </w:p>
    <w:p w14:paraId="09F4EADD"/>
    <w:p w14:paraId="28832FEB">
      <w:pPr>
        <w:pStyle w:val="4"/>
        <w:spacing w:line="480" w:lineRule="auto"/>
        <w:ind w:left="0"/>
      </w:pPr>
      <w:bookmarkStart w:id="19" w:name="_Toc228745809"/>
      <w:r>
        <w:t>2.4 Impact of COVID-19 on Mental Health</w:t>
      </w:r>
      <w:bookmarkEnd w:id="19"/>
    </w:p>
    <w:p w14:paraId="4BD2197F">
      <w:pPr>
        <w:pStyle w:val="3"/>
        <w:rPr>
          <w:lang w:val="en-GB"/>
        </w:rPr>
      </w:pPr>
      <w:r>
        <w:rPr>
          <w:lang w:val="en-GB"/>
        </w:rPr>
        <w:t xml:space="preserve">The UK reports of evident increases in psychological distress in care workers during the COVID-19 pandemic. Ravalier </w:t>
      </w:r>
      <w:r>
        <w:rPr>
          <w:i/>
          <w:iCs/>
          <w:lang w:val="en-GB"/>
        </w:rPr>
        <w:t>et al.</w:t>
      </w:r>
      <w:r>
        <w:rPr>
          <w:lang w:val="en-GB"/>
        </w:rPr>
        <w:t xml:space="preserve"> (2023) conducted large UK cross-sectional survey studies and discovered that the well-being scores of social care workers were much worse than the general population levels (means of well-being were around 19.96-21.1 vs 23.6 national average; p&lt;0.001), and psychological well-being deteriorated over time as the pandemic progressed. These articles involved mental health scales of validated scales (such as SWEMWBS) and online sampling to evaluate as well as assess anxiety, depression symptoms, and sleep issues, and demonstrated worse statistical results at later stages of COVID-19. </w:t>
      </w:r>
    </w:p>
    <w:p w14:paraId="562906C9">
      <w:pPr>
        <w:pStyle w:val="3"/>
        <w:rPr>
          <w:lang w:val="en-GB"/>
        </w:rPr>
      </w:pPr>
      <w:r>
        <w:rPr>
          <w:lang w:val="en-GB"/>
        </w:rPr>
        <w:t xml:space="preserve">There was also moral injury. A study by Davies </w:t>
      </w:r>
      <w:r>
        <w:rPr>
          <w:i/>
          <w:iCs/>
          <w:lang w:val="en-GB"/>
        </w:rPr>
        <w:t>et al.</w:t>
      </w:r>
      <w:r>
        <w:rPr>
          <w:lang w:val="en-GB"/>
        </w:rPr>
        <w:t xml:space="preserve"> (2025) that carried out an online survey involving 251 adult social care workers who had potentially morally injurious events reported that 40% reported that events, and 30% were likely to be burned out, and 36% were at risk. This finding was the product of regression analyses in a survey developed on a JD-R framework, in which disrupted job demands and scarce resources were very strongly correlated with burnout and moral distress. These included the inability to provide along with deliver high-quality care and ethical experience due to infection control pressures and workload surges. </w:t>
      </w:r>
    </w:p>
    <w:p w14:paraId="7EF62B33">
      <w:pPr>
        <w:pStyle w:val="4"/>
        <w:spacing w:line="480" w:lineRule="auto"/>
        <w:ind w:left="0"/>
      </w:pPr>
      <w:bookmarkStart w:id="20" w:name="_Toc228745810"/>
      <w:r>
        <w:t>2.5 Organisational Interventions</w:t>
      </w:r>
      <w:bookmarkEnd w:id="20"/>
    </w:p>
    <w:p w14:paraId="44E45018">
      <w:pPr>
        <w:pStyle w:val="3"/>
        <w:widowControl/>
        <w:rPr>
          <w:rFonts w:ascii="Times New Roman" w:hAnsi="Times New Roman" w:eastAsia="Times New Roman" w:cs="Times New Roman"/>
          <w:sz w:val="24"/>
          <w:szCs w:val="24"/>
          <w:lang w:val="en-GB"/>
        </w:rPr>
      </w:pPr>
      <w:r>
        <w:rPr>
          <w:lang w:val="en-GB"/>
        </w:rPr>
        <w:t xml:space="preserve">Organisational interventions are the strategies which are implemented at the managerial or institutional level to make improvements in the conditions of workplaces </w:t>
      </w:r>
      <w:r>
        <w:rPr>
          <w:highlight w:val="white"/>
          <w:lang w:val="en-GB"/>
        </w:rPr>
        <w:t>(Holman, 2018)</w:t>
      </w:r>
      <w:r>
        <w:rPr>
          <w:lang w:val="en-GB"/>
        </w:rPr>
        <w:t xml:space="preserve">. According to Belita </w:t>
      </w:r>
      <w:r>
        <w:rPr>
          <w:i/>
          <w:iCs/>
          <w:lang w:val="en-GB"/>
        </w:rPr>
        <w:t>et al.</w:t>
      </w:r>
      <w:r>
        <w:rPr>
          <w:lang w:val="en-GB"/>
        </w:rPr>
        <w:t xml:space="preserve"> (2025) in pandemics, leadership support and management techniques (such as supportive leadership, appreciation and responsiveness) have been very closely linked to reduced burnout, anxiety, and stress among encircled workers; although very few articles examined such interventions rigorously, yielding decisive kinds of outcomes. It implies that leadership support can be very useful, yet there is poor kind of evidence that is divided. </w:t>
      </w:r>
    </w:p>
    <w:p w14:paraId="05E17945">
      <w:pPr>
        <w:pStyle w:val="3"/>
        <w:rPr>
          <w:lang w:val="en-GB"/>
        </w:rPr>
      </w:pPr>
      <w:r>
        <w:rPr>
          <w:lang w:val="en-GB"/>
        </w:rPr>
        <w:t xml:space="preserve">Regarding psychological support services, such as counselling or wellbeing hubs, Belita </w:t>
      </w:r>
      <w:r>
        <w:rPr>
          <w:i/>
          <w:iCs/>
          <w:lang w:val="en-GB"/>
        </w:rPr>
        <w:t>et al.</w:t>
      </w:r>
      <w:r>
        <w:rPr>
          <w:lang w:val="en-GB"/>
        </w:rPr>
        <w:t xml:space="preserve"> (2025) frequently refer to them as responsive solutions that address the stress instead of preventing it. Also, there are limited outcome data because few used controlled designs. Where the outcome was measured, improved communication and increased access to occupational health were moderately related to the well-being score, but effect sizes were very small with non-significant results. </w:t>
      </w:r>
    </w:p>
    <w:p w14:paraId="35F609A9">
      <w:pPr>
        <w:pStyle w:val="3"/>
        <w:rPr>
          <w:lang w:val="en-GB"/>
        </w:rPr>
      </w:pPr>
      <w:r>
        <w:rPr>
          <w:lang w:val="en-GB"/>
        </w:rPr>
        <w:t xml:space="preserve">There is qualitative potential of peer support systems (such as trained peer caregivers), which reported changes in culture and enhanced skills to identify distress by Simms </w:t>
      </w:r>
      <w:r>
        <w:rPr>
          <w:i/>
          <w:iCs/>
          <w:lang w:val="en-GB"/>
        </w:rPr>
        <w:t>et al.</w:t>
      </w:r>
      <w:r>
        <w:rPr>
          <w:lang w:val="en-GB"/>
        </w:rPr>
        <w:t xml:space="preserve"> (2023). However, no large-scale trials establish that burnout reduction really occurs in long-term interventions. This postulates that peer support can benefit morale, but has weak quantitative support. </w:t>
      </w:r>
    </w:p>
    <w:p w14:paraId="3ADD57B6">
      <w:pPr>
        <w:pStyle w:val="3"/>
        <w:rPr>
          <w:lang w:val="en-GB"/>
        </w:rPr>
      </w:pPr>
      <w:r>
        <w:rPr>
          <w:lang w:val="en-GB"/>
        </w:rPr>
        <w:t xml:space="preserve">Training/mental health first aid and flexible working policies have mixed results, and even more. Moreover, according to Belita </w:t>
      </w:r>
      <w:r>
        <w:rPr>
          <w:i/>
          <w:iCs/>
          <w:lang w:val="en-GB"/>
        </w:rPr>
        <w:t xml:space="preserve">et al. </w:t>
      </w:r>
      <w:r>
        <w:rPr>
          <w:lang w:val="en-GB"/>
        </w:rPr>
        <w:t>(2025), workload adjustments and training occasionally lead to improved mental health outcomes, but this is because heterogeneous measures and designs make it difficult to ensure near-term benefit.</w:t>
      </w:r>
    </w:p>
    <w:p w14:paraId="587AA740">
      <w:pPr>
        <w:pStyle w:val="4"/>
        <w:spacing w:line="480" w:lineRule="auto"/>
        <w:ind w:left="0"/>
      </w:pPr>
      <w:bookmarkStart w:id="21" w:name="_Toc228745811"/>
      <w:r>
        <w:t>2.6 Individual-Level Interventions</w:t>
      </w:r>
      <w:bookmarkEnd w:id="21"/>
    </w:p>
    <w:p w14:paraId="746F1CB0">
      <w:pPr>
        <w:pStyle w:val="3"/>
        <w:rPr>
          <w:lang w:val="en-GB"/>
        </w:rPr>
      </w:pPr>
      <w:r>
        <w:rPr>
          <w:lang w:val="en-GB"/>
        </w:rPr>
        <w:t xml:space="preserve">Individual-level interventions, such as coping strategies, resilience training, mindfulness, and self-care, have been identified in most of the previous studies. Research indicates that positive coping (problem-focused) and seeking social support may help mitigate emotional exhaustion and anxiety among healthcare personnel. One review by Hsu </w:t>
      </w:r>
      <w:r>
        <w:rPr>
          <w:i/>
          <w:iCs/>
          <w:lang w:val="en-GB"/>
        </w:rPr>
        <w:t>et al.</w:t>
      </w:r>
      <w:r>
        <w:rPr>
          <w:lang w:val="en-GB"/>
        </w:rPr>
        <w:t xml:space="preserve"> (2024) also identified a significant decrease in emotional exhaustion (~72.7%), depersonalisation (~44%), and occupational stress (~78%) through individual-based strategies, with the help of the validated tool, such as the Maslach Burnout Inventory and occupational stress scales. This indicates a high short-term effect on core burnout symptoms. </w:t>
      </w:r>
    </w:p>
    <w:p w14:paraId="65AC6EFE">
      <w:pPr>
        <w:pStyle w:val="3"/>
        <w:rPr>
          <w:lang w:val="en-GB"/>
        </w:rPr>
      </w:pPr>
      <w:r>
        <w:rPr>
          <w:lang w:val="en-GB"/>
        </w:rPr>
        <w:t xml:space="preserve">On the other hand, the Mindfulness-based programmes and resilience training have been largely investigated. A meta-analysis (n=1,384) of RCTs about mindfulness interventions was analysed by Dou </w:t>
      </w:r>
      <w:r>
        <w:rPr>
          <w:i/>
          <w:iCs/>
          <w:lang w:val="en-GB"/>
        </w:rPr>
        <w:t>et al.</w:t>
      </w:r>
      <w:sdt>
        <w:sdtPr>
          <w:tag w:val="goog_rdk_3"/>
          <w:id w:val="304247939"/>
        </w:sdtPr>
        <w:sdtContent>
          <w:r>
            <w:t xml:space="preserve"> (2025) showed that they outperformed in reducing burnout, improving resilience, and enhancing sleep quality in nurses. According to Unjai </w:t>
          </w:r>
        </w:sdtContent>
      </w:sdt>
      <w:r>
        <w:t>et</w:t>
      </w:r>
      <w:r>
        <w:rPr>
          <w:i/>
          <w:iCs/>
          <w:lang w:val="en-GB"/>
        </w:rPr>
        <w:t xml:space="preserve"> al.</w:t>
      </w:r>
      <w:r>
        <w:rPr>
          <w:lang w:val="en-GB"/>
        </w:rPr>
        <w:t xml:space="preserve"> (2024), resilience interventions tend to illustrate as well as describe substantial psychological well-being changes in 21/29 studies, but the format and measures are diverse. They are much stronger methodologically than the mere coping advice, but they demonstrate moderate quality evidence and heterogeneity of the outcome and follow-up periods. </w:t>
      </w:r>
    </w:p>
    <w:p w14:paraId="232AE536">
      <w:pPr>
        <w:pStyle w:val="3"/>
        <w:rPr>
          <w:lang w:val="en-GB"/>
        </w:rPr>
      </w:pPr>
      <w:r>
        <w:rPr>
          <w:lang w:val="en-GB"/>
        </w:rPr>
        <w:t xml:space="preserve">Nonetheless, scholars such as Lee </w:t>
      </w:r>
      <w:r>
        <w:rPr>
          <w:i/>
          <w:iCs/>
          <w:lang w:val="en-GB"/>
        </w:rPr>
        <w:t>et al.</w:t>
      </w:r>
      <w:r>
        <w:rPr>
          <w:lang w:val="en-GB"/>
        </w:rPr>
        <w:t xml:space="preserve"> (2025) say that these individual-based approaches are usually reactive; they assist workers to manage the existing stress as opposed to correcting the underlying organisational factors such as workload, staffing or bad leadership. It implies that too much emphasis on resiliency and individual practise can indirectly blame workers, instead of employers, to make working conditions better. </w:t>
      </w:r>
    </w:p>
    <w:p w14:paraId="3FA8016A">
      <w:pPr>
        <w:pStyle w:val="3"/>
        <w:rPr>
          <w:lang w:val="en-GB"/>
        </w:rPr>
      </w:pPr>
      <w:r>
        <w:rPr>
          <w:lang w:val="en-GB"/>
        </w:rPr>
        <w:t>However, these articles have also identified limitations that indicate the lack of active use of these solutions on their own. Moreover, in the long run, it may possibly transfer the load onto the worker instead of just the organisation.</w:t>
      </w:r>
    </w:p>
    <w:p w14:paraId="2B4B0D36">
      <w:pPr>
        <w:pStyle w:val="4"/>
        <w:spacing w:line="480" w:lineRule="auto"/>
        <w:ind w:left="0"/>
      </w:pPr>
      <w:bookmarkStart w:id="22" w:name="_Toc228745812"/>
      <w:r>
        <w:t>2.7 Barriers to Accessing Support</w:t>
      </w:r>
      <w:bookmarkEnd w:id="22"/>
    </w:p>
    <w:p w14:paraId="794691F4">
      <w:pPr>
        <w:pStyle w:val="3"/>
        <w:rPr>
          <w:lang w:val="en-GB"/>
        </w:rPr>
      </w:pPr>
      <w:r>
        <w:rPr>
          <w:lang w:val="en-GB"/>
        </w:rPr>
        <w:t xml:space="preserve">A stigma, time, fear of being judged, and the organisation's culture are barriers that hugely limit the effectiveness of support interventions among staff. In a study on 184 community social healthcare professionals by Zamorano </w:t>
      </w:r>
      <w:r>
        <w:rPr>
          <w:i/>
          <w:iCs/>
          <w:lang w:val="en-GB"/>
        </w:rPr>
        <w:t>et al.</w:t>
      </w:r>
      <w:r>
        <w:rPr>
          <w:lang w:val="en-GB"/>
        </w:rPr>
        <w:t xml:space="preserve"> (2024), statistical models that controlled job characteristics and skills demonstrated that mental health stigma is very closely associated with high burnout scores, and stigma has a direct negative outcome affecting well-being. </w:t>
      </w:r>
    </w:p>
    <w:p w14:paraId="235A2678">
      <w:pPr>
        <w:pStyle w:val="3"/>
        <w:rPr>
          <w:lang w:val="en-GB"/>
        </w:rPr>
      </w:pPr>
      <w:r>
        <w:rPr>
          <w:lang w:val="en-GB"/>
        </w:rPr>
        <w:t xml:space="preserve">Apart from these, in one meta-analysis by Haugen </w:t>
      </w:r>
      <w:r>
        <w:rPr>
          <w:i/>
          <w:iCs/>
          <w:lang w:val="en-GB"/>
        </w:rPr>
        <w:t>et al.</w:t>
      </w:r>
      <w:r>
        <w:rPr>
          <w:lang w:val="en-GB"/>
        </w:rPr>
        <w:t xml:space="preserve"> (2017) (among first responders), approximately 33% had stigma that detracted from help-seeking, and approximately 9.3% had actual obstacles as a result of such attitudes. This research also indicated that most of these individuals were medical professionals who feared being judged or labelled in case they sought assistance. </w:t>
      </w:r>
    </w:p>
    <w:p w14:paraId="54828190">
      <w:pPr>
        <w:pStyle w:val="3"/>
        <w:rPr>
          <w:lang w:val="en-GB"/>
        </w:rPr>
      </w:pPr>
      <w:r>
        <w:rPr>
          <w:lang w:val="en-GB"/>
        </w:rPr>
        <w:t xml:space="preserve">Lack of time is also becoming a very detrimental factor. Liu </w:t>
      </w:r>
      <w:r>
        <w:rPr>
          <w:i/>
          <w:iCs/>
          <w:lang w:val="en-GB"/>
        </w:rPr>
        <w:t>et al.</w:t>
      </w:r>
      <w:r>
        <w:rPr>
          <w:lang w:val="en-GB"/>
        </w:rPr>
        <w:t xml:space="preserve"> (2025) note in a qualitative study that, based on structured interviews, heavy workloads and scarcity of free time may severely impair the capacity of the workers to participate in counselling or training programmes, even when these services are available. </w:t>
      </w:r>
    </w:p>
    <w:p w14:paraId="2DB16574">
      <w:pPr>
        <w:pStyle w:val="3"/>
        <w:rPr>
          <w:lang w:val="en-GB"/>
        </w:rPr>
      </w:pPr>
      <w:r>
        <w:rPr>
          <w:lang w:val="en-GB"/>
        </w:rPr>
        <w:t xml:space="preserve">Organisational culture is also of great importance and significance. A systematic review by Kiptulon </w:t>
      </w:r>
      <w:r>
        <w:rPr>
          <w:i/>
          <w:iCs/>
          <w:lang w:val="en-GB"/>
        </w:rPr>
        <w:t>et al.</w:t>
      </w:r>
      <w:r>
        <w:rPr>
          <w:lang w:val="en-GB"/>
        </w:rPr>
        <w:t xml:space="preserve"> (2024) demonstrates that adverse working environments, an inadequate type of communication, and ineffective leadership amplify stress and make employees feel unsafe to discuss their mental health issues, which makes the intervention less likely to be sought and prolongs burnout. </w:t>
      </w:r>
    </w:p>
    <w:p w14:paraId="098DDB73">
      <w:pPr>
        <w:pStyle w:val="4"/>
        <w:spacing w:line="480" w:lineRule="auto"/>
        <w:ind w:left="0"/>
      </w:pPr>
      <w:bookmarkStart w:id="23" w:name="_Toc228745813"/>
      <w:r>
        <w:t>2.8 Gaps in Existing Literature</w:t>
      </w:r>
      <w:bookmarkEnd w:id="23"/>
    </w:p>
    <w:p w14:paraId="2228891F">
      <w:pPr>
        <w:pStyle w:val="3"/>
        <w:rPr>
          <w:lang w:val="en-GB"/>
        </w:rPr>
      </w:pPr>
      <w:r>
        <w:rPr>
          <w:lang w:val="en-GB"/>
        </w:rPr>
        <w:t xml:space="preserve">Based on the above literature review, several research gaps could be identified considering the current research topic. In this aspect, initially, the lack of effective longitudinal evidence could be highlighted, as most of the available research articles have been developed by using cross-sectional research designs. Some of the major examples of such research articles used in this dissertation include McFadden </w:t>
      </w:r>
      <w:r>
        <w:rPr>
          <w:i/>
          <w:iCs/>
          <w:lang w:val="en-GB"/>
        </w:rPr>
        <w:t>et al.</w:t>
      </w:r>
      <w:r>
        <w:rPr>
          <w:lang w:val="en-GB"/>
        </w:rPr>
        <w:t xml:space="preserve"> (2024) and also the work of Neill </w:t>
      </w:r>
      <w:r>
        <w:rPr>
          <w:i/>
          <w:iCs/>
          <w:lang w:val="en-GB"/>
        </w:rPr>
        <w:t xml:space="preserve">et al. </w:t>
      </w:r>
      <w:r>
        <w:rPr>
          <w:lang w:val="en-GB"/>
        </w:rPr>
        <w:t>(2023). </w:t>
      </w:r>
    </w:p>
    <w:p w14:paraId="08212289">
      <w:pPr>
        <w:pStyle w:val="3"/>
        <w:rPr>
          <w:lang w:val="en-GB"/>
        </w:rPr>
      </w:pPr>
      <w:r>
        <w:rPr>
          <w:lang w:val="en-GB"/>
        </w:rPr>
        <w:t>Therefore, despite the effectiveness of these articles in understanding the trends and prevalence of burnout within the social care sector of the United Kingdom, there has been a huge lack in understanding the long-term impacts of the organisational factors in creating such burnouts, specifically in the case of disasters like COVID_19. Therefore, understanding the short-term and long-term impacts of this situation could also be researched in the future. </w:t>
      </w:r>
    </w:p>
    <w:p w14:paraId="7A36A50D">
      <w:pPr>
        <w:pStyle w:val="3"/>
        <w:rPr>
          <w:lang w:val="en-GB"/>
        </w:rPr>
      </w:pPr>
      <w:r>
        <w:rPr>
          <w:lang w:val="en-GB"/>
        </w:rPr>
        <w:t>Not only that, but another major research topic that has been significantly noticed in the current research is that most of the articles focused on the development of well-being hubs along with the implementation of leadership support to offer a mitigation strategy against employee burnout. However, the inconsistent reporting of the results of such strategies due to the lack of experimental research indicated an issue of understanding the practical impact of such interventions. </w:t>
      </w:r>
    </w:p>
    <w:p w14:paraId="1D66E846">
      <w:pPr>
        <w:pStyle w:val="3"/>
        <w:rPr>
          <w:lang w:val="en-GB"/>
        </w:rPr>
      </w:pPr>
      <w:r>
        <w:rPr>
          <w:lang w:val="en-GB"/>
        </w:rPr>
        <w:t>Apart from that, it could also be noticed that in most of the cases the research articles relied on self-reporting measures, which might be associated with some major issues of developing response bias. Therefore, there is a chance that the results of these articles were not completely valuable or justified to be considered as relevant mitigation strategies against the burnout situation among social care employees of the United Kingdom. Finally, the lack of UK-specific research availability could also be mentioned as a major research gap, considering the current literature review. Therefore, these gaps eventually justify the need for developing the current research. </w:t>
      </w:r>
    </w:p>
    <w:p w14:paraId="0FE98559">
      <w:pPr>
        <w:pStyle w:val="4"/>
        <w:spacing w:line="480" w:lineRule="auto"/>
        <w:ind w:left="0"/>
        <w:rPr>
          <w:lang w:val="en-GB"/>
        </w:rPr>
      </w:pPr>
      <w:bookmarkStart w:id="24" w:name="_Toc228745814"/>
      <w:r>
        <w:rPr>
          <w:lang w:val="en-GB"/>
        </w:rPr>
        <w:t>2.9 Chapter Summary</w:t>
      </w:r>
      <w:bookmarkEnd w:id="24"/>
    </w:p>
    <w:p w14:paraId="0CAD587D">
      <w:pPr>
        <w:pStyle w:val="3"/>
        <w:widowControl/>
        <w:rPr>
          <w:lang w:val="en-GB"/>
        </w:rPr>
      </w:pPr>
      <w:r>
        <w:rPr>
          <w:lang w:val="en-GB"/>
        </w:rPr>
        <w:t>To summarise the current literature review chapter, it could be noticed that this chapter helped in exploring the literature articles that indicated the burnout scenario within the social care sector, followed by the key factors that contribute to the burnout of social care employees. Not only does it consider the presence of the COVID-19 pandemic on the research topic, but it also helps in understanding the impact of COVID-19 on mental health. Finally, the organisational interventions and the individual level interventions have been discussed in this chapter, followed by the exploration of the barriers that hinder the application of these interventions. </w:t>
      </w:r>
      <w:r>
        <w:br w:type="page"/>
      </w:r>
    </w:p>
    <w:p w14:paraId="71286CE1">
      <w:pPr>
        <w:pStyle w:val="2"/>
        <w:spacing w:line="480" w:lineRule="auto"/>
        <w:rPr>
          <w:sz w:val="28"/>
          <w:szCs w:val="28"/>
          <w:lang w:val="en-GB"/>
        </w:rPr>
      </w:pPr>
      <w:bookmarkStart w:id="25" w:name="_Toc228745815"/>
      <w:r>
        <w:rPr>
          <w:sz w:val="28"/>
          <w:szCs w:val="28"/>
          <w:lang w:val="en-GB"/>
        </w:rPr>
        <w:t>CHAPTER 3: METHODOLOGY</w:t>
      </w:r>
      <w:bookmarkEnd w:id="25"/>
    </w:p>
    <w:p w14:paraId="36E5D9CB">
      <w:pPr>
        <w:pStyle w:val="4"/>
        <w:spacing w:line="480" w:lineRule="auto"/>
        <w:ind w:left="0"/>
        <w:rPr>
          <w:lang w:val="en-GB"/>
        </w:rPr>
      </w:pPr>
      <w:bookmarkStart w:id="26" w:name="_Toc228745816"/>
      <w:r>
        <w:rPr>
          <w:lang w:val="en-GB"/>
        </w:rPr>
        <w:t>3.1 Introduction to the Methodology Chapter</w:t>
      </w:r>
      <w:bookmarkEnd w:id="26"/>
    </w:p>
    <w:p w14:paraId="2AE10382">
      <w:pPr>
        <w:pStyle w:val="3"/>
        <w:widowControl/>
        <w:spacing w:after="160"/>
        <w:rPr>
          <w:lang w:val="en-GB"/>
        </w:rPr>
      </w:pPr>
      <w:r>
        <w:rPr>
          <w:lang w:val="en-GB"/>
        </w:rPr>
        <w:t>This chapter structures the methodological strategy utilised to discover practical approaches that assist the mental health of social care workers in the United Kingdom, as well as decrease bond not following the COVID-19 pandemic. This systematic literature review was conducted to guarantee a strong, transparent, and evidence-based evaluation of existing strategies relevant to the aims and objectives of the research. This chapter details the process of review, comprising the search strategy, selected database, utilisation of keywords, and the application of intrusion as well as exclusion criteria. </w:t>
      </w:r>
    </w:p>
    <w:p w14:paraId="15506600">
      <w:pPr>
        <w:pStyle w:val="4"/>
        <w:spacing w:line="480" w:lineRule="auto"/>
        <w:ind w:left="0"/>
        <w:rPr>
          <w:lang w:val="en-GB"/>
        </w:rPr>
      </w:pPr>
      <w:bookmarkStart w:id="27" w:name="_Toc228745817"/>
      <w:r>
        <w:rPr>
          <w:lang w:val="en-GB"/>
        </w:rPr>
        <w:t>3.2 Systematic Literature Review (SLR)</w:t>
      </w:r>
      <w:bookmarkEnd w:id="27"/>
    </w:p>
    <w:p w14:paraId="4865C453">
      <w:pPr>
        <w:pStyle w:val="3"/>
        <w:widowControl/>
        <w:spacing w:after="160"/>
        <w:rPr>
          <w:lang w:val="en-GB"/>
        </w:rPr>
      </w:pPr>
      <w:r>
        <w:rPr>
          <w:lang w:val="en-GB"/>
        </w:rPr>
        <w:t xml:space="preserve">This systematic literature reviews as well structured as well as the transparent method of recognising, analysing, and synthesising existing studies to answer particular research questions (Turney, 2022; </w:t>
      </w:r>
      <w:r>
        <w:t>Cooper et al., 2018</w:t>
      </w:r>
      <w:r>
        <w:rPr>
          <w:lang w:val="en-GB"/>
        </w:rPr>
        <w:t xml:space="preserve">). Unlike traditional narrative reviews, the SLR specifically follows predefined protocols to decrease bias as well as guarantee replicability (Azarian </w:t>
      </w:r>
      <w:r>
        <w:rPr>
          <w:i/>
          <w:lang w:val="en-GB"/>
        </w:rPr>
        <w:t xml:space="preserve">et al., </w:t>
      </w:r>
      <w:r>
        <w:rPr>
          <w:lang w:val="en-GB"/>
        </w:rPr>
        <w:t xml:space="preserve">2023). In this research, a systematic literature review was chosen as the most suitable strategy to discover mental health assistance as well as burnout among the employees of social care in the United Kingdom, as it permits for an all-inclusive evaluation of the post-pandemic evidence without gathering primary information (Derakhshani </w:t>
      </w:r>
      <w:r>
        <w:rPr>
          <w:i/>
          <w:iCs/>
          <w:lang w:val="en-GB"/>
        </w:rPr>
        <w:t>et al.,</w:t>
      </w:r>
      <w:r>
        <w:rPr>
          <w:lang w:val="en-GB"/>
        </w:rPr>
        <w:t xml:space="preserve"> 2025). Provided the extensive body of studies published since the pandemic, a systematic literature review allows the consolidation of findings throughout the several studies to recognise patterns, gaps, as well as effective interventions. </w:t>
      </w:r>
    </w:p>
    <w:p w14:paraId="03297215">
      <w:pPr>
        <w:pStyle w:val="3"/>
        <w:widowControl/>
        <w:spacing w:after="160"/>
        <w:rPr>
          <w:lang w:val="en-GB"/>
        </w:rPr>
      </w:pPr>
      <w:r>
        <w:rPr>
          <w:lang w:val="en-GB"/>
        </w:rPr>
        <w:t>The review efficiently followed the preferred reporting items for systematic reviews and meta-analysis (PRISMA) guidelines to guarantee methodological strength (</w:t>
      </w:r>
      <w:r>
        <w:t xml:space="preserve">Nezameslami </w:t>
      </w:r>
      <w:r>
        <w:rPr>
          <w:i/>
          <w:iCs/>
        </w:rPr>
        <w:t>et al.,</w:t>
      </w:r>
      <w:r>
        <w:t xml:space="preserve"> 2025)</w:t>
      </w:r>
      <w:r>
        <w:rPr>
          <w:lang w:val="en-GB"/>
        </w:rPr>
        <w:t>. Full-text articles were then analysed against defined inclusion as well as exclusion criteria to determine eligibility. Quality appraisal was performed to guarantee that only strong and peer reviewed researches were included. Lastly, the findings were effectively synthesised utilising qualitative thematic analysis to recognise the recurring themes. </w:t>
      </w:r>
    </w:p>
    <w:p w14:paraId="6C333AB0">
      <w:pPr>
        <w:widowControl/>
        <w:spacing w:line="240" w:lineRule="auto"/>
        <w:jc w:val="left"/>
        <w:rPr>
          <w:b/>
          <w:bCs/>
          <w:sz w:val="26"/>
          <w:szCs w:val="26"/>
        </w:rPr>
      </w:pPr>
      <w:r>
        <w:br w:type="page"/>
      </w:r>
      <w:bookmarkStart w:id="28" w:name="_Toc228745818"/>
      <w:r>
        <w:rPr>
          <w:b/>
          <w:bCs/>
          <w:sz w:val="26"/>
          <w:szCs w:val="26"/>
        </w:rPr>
        <w:t>3.3 Search Strategy</w:t>
      </w:r>
      <w:bookmarkEnd w:id="28"/>
    </w:p>
    <w:p w14:paraId="705BAA00">
      <w:pPr>
        <w:widowControl/>
        <w:spacing w:line="240" w:lineRule="auto"/>
        <w:jc w:val="left"/>
        <w:rPr>
          <w:b/>
          <w:bCs/>
          <w:sz w:val="26"/>
          <w:szCs w:val="26"/>
        </w:rPr>
      </w:pPr>
    </w:p>
    <w:p w14:paraId="045F6854">
      <w:pPr>
        <w:pStyle w:val="3"/>
        <w:widowControl/>
        <w:spacing w:after="160"/>
        <w:rPr>
          <w:lang w:val="en-GB"/>
        </w:rPr>
      </w:pPr>
      <w:r>
        <w:rPr>
          <w:lang w:val="en-GB"/>
        </w:rPr>
        <w:t xml:space="preserve">A search strategy refers to a planned and systematic approach utilised to locate relevant academic literature that reports the specific research topic (Bramer et al., 2018; </w:t>
      </w:r>
      <w:r>
        <w:t xml:space="preserve">Chigbu </w:t>
      </w:r>
      <w:r>
        <w:rPr>
          <w:i/>
          <w:iCs/>
        </w:rPr>
        <w:t>et al.,</w:t>
      </w:r>
      <w:r>
        <w:t xml:space="preserve"> 2023</w:t>
      </w:r>
      <w:r>
        <w:rPr>
          <w:lang w:val="en-GB"/>
        </w:rPr>
        <w:t>). In this research, an all-inclusive as well as a structured search strategy was generated to guarantee that relevant, high-quality evidence associated with burnout, in addition to mental health assistance among United Kingdom social care employees, was captured. Multimodal academic databases comprising Google Scholar, ResearchGate, Science director and Springer were searched to improve coverage as well as decrease publication bias. Search implemented a specific combination of keywords as well as the controller terms associated with social care, burnout, mental health, workplace interventions, and COVID-19. </w:t>
      </w:r>
    </w:p>
    <w:p w14:paraId="5B3211B1">
      <w:pPr>
        <w:pStyle w:val="3"/>
        <w:widowControl/>
        <w:spacing w:after="160"/>
        <w:rPr>
          <w:lang w:val="en-GB"/>
        </w:rPr>
      </w:pPr>
      <w:r>
        <w:rPr>
          <w:lang w:val="en-GB"/>
        </w:rPr>
        <w:t xml:space="preserve">Boolean operators like "OR" and “AND” were utilised to modify as well as expand searches, whereas phrase searching, along with the truncation, assisted in capturing variations of essential terms (MacFarlane et al., 2022; </w:t>
      </w:r>
      <w:r>
        <w:t xml:space="preserve">Ghamrawi </w:t>
      </w:r>
      <w:r>
        <w:rPr>
          <w:i/>
          <w:iCs/>
        </w:rPr>
        <w:t>et al.,</w:t>
      </w:r>
      <w:r>
        <w:t xml:space="preserve"> 2025</w:t>
      </w:r>
      <w:r>
        <w:rPr>
          <w:lang w:val="en-GB"/>
        </w:rPr>
        <w:t>). The population (P) was effectively defined as social care employees in the United Kingdom, the exposure (E) associated with post-COVID-19 working environment, as well as burnout, in addition to the outcome (O) emphasising mental health assistance approaches, along with burnout reduction interventions. This framework guaranteed synchronisation between the search strategy and the research aims, in addition to the objectives. </w:t>
      </w:r>
    </w:p>
    <w:p w14:paraId="2ADD8F77">
      <w:pPr>
        <w:pStyle w:val="4"/>
        <w:spacing w:line="480" w:lineRule="auto"/>
        <w:ind w:left="0"/>
        <w:rPr>
          <w:lang w:val="en-GB"/>
        </w:rPr>
      </w:pPr>
      <w:bookmarkStart w:id="29" w:name="_Toc228745819"/>
      <w:r>
        <w:rPr>
          <w:lang w:val="en-GB"/>
        </w:rPr>
        <w:t>3.4 Search Terms</w:t>
      </w:r>
      <w:bookmarkEnd w:id="29"/>
    </w:p>
    <w:p w14:paraId="10D58BBE">
      <w:pPr>
        <w:pStyle w:val="3"/>
        <w:rPr>
          <w:lang w:val="en-GB"/>
        </w:rPr>
      </w:pPr>
      <w:r>
        <w:rPr>
          <w:lang w:val="en-GB"/>
        </w:rPr>
        <w:t xml:space="preserve">Search terms can be defined as the specific terms or phrases that are used to search and sort out relevant literature from various academic databases for the purpose of systematic review. They are one of the most significant aspects of the strategy related to search and ensure that the review is detailed, transparent and replicable. According to Phillips and Barker (2021), the usage of search terms that are well-defined allows researchers to find studies that are able to answer their research questions, reduce bias and improve the validity of their findings. </w:t>
      </w:r>
    </w:p>
    <w:p w14:paraId="6B5EC4BF">
      <w:pPr>
        <w:pStyle w:val="3"/>
        <w:rPr>
          <w:lang w:val="en-GB"/>
        </w:rPr>
      </w:pPr>
      <w:r>
        <w:rPr>
          <w:lang w:val="en-GB"/>
        </w:rPr>
        <w:t xml:space="preserve">It is essential to use synonyms as they can enable the authors to describe similar concepts using different words in various disciplines. For instance, “burnout” can be presented as “emotional exhaustion” or “occupational stress” and “social care workers” can be described as “care staff” or “healthcare professionals”. As stated by JSTOR (2022), a combination of the search terms should be done through the usage of Boolean operators such as AND, OR, NOT, which helps to widen the search and capture variations in the terminology. </w:t>
      </w:r>
    </w:p>
    <w:p w14:paraId="2DAED397">
      <w:pPr>
        <w:pStyle w:val="3"/>
        <w:rPr>
          <w:lang w:val="en-GB"/>
        </w:rPr>
      </w:pPr>
      <w:r>
        <w:rPr>
          <w:lang w:val="en-GB"/>
        </w:rPr>
        <w:t xml:space="preserve">The research strategy of this study is guided by the PEO framework, in which the Population is defined as who the study is focused on, Exposure is defined as the various factors, and the Outcome refers to the effects of interest. In the context of this study, the PEO framework is used in the following manner: </w:t>
      </w:r>
    </w:p>
    <w:p w14:paraId="2766640F">
      <w:pPr>
        <w:pStyle w:val="12"/>
        <w:jc w:val="center"/>
        <w:rPr>
          <w:b/>
          <w:bCs/>
          <w:sz w:val="24"/>
          <w:szCs w:val="24"/>
          <w:lang w:val="en-GB"/>
        </w:rPr>
      </w:pPr>
      <w:r>
        <w:rPr>
          <w:b/>
          <w:bCs/>
          <w:sz w:val="24"/>
          <w:szCs w:val="24"/>
        </w:rPr>
        <w:t xml:space="preserve">Table </w:t>
      </w:r>
      <w:r>
        <w:rPr>
          <w:b/>
          <w:bCs/>
          <w:sz w:val="24"/>
          <w:szCs w:val="24"/>
        </w:rPr>
        <w:fldChar w:fldCharType="begin"/>
      </w:r>
      <w:r>
        <w:rPr>
          <w:b/>
          <w:bCs/>
          <w:sz w:val="24"/>
          <w:szCs w:val="24"/>
        </w:rPr>
        <w:instrText xml:space="preserve"> SEQ Table \* ARABIC </w:instrText>
      </w:r>
      <w:r>
        <w:rPr>
          <w:b/>
          <w:bCs/>
          <w:sz w:val="24"/>
          <w:szCs w:val="24"/>
        </w:rPr>
        <w:fldChar w:fldCharType="separate"/>
      </w:r>
      <w:r>
        <w:rPr>
          <w:b/>
          <w:bCs/>
          <w:sz w:val="24"/>
          <w:szCs w:val="24"/>
        </w:rPr>
        <w:t>1</w:t>
      </w:r>
      <w:r>
        <w:rPr>
          <w:b/>
          <w:bCs/>
          <w:sz w:val="24"/>
          <w:szCs w:val="24"/>
        </w:rPr>
        <w:fldChar w:fldCharType="end"/>
      </w:r>
      <w:bookmarkStart w:id="30" w:name="_Toc21068"/>
      <w:r>
        <w:rPr>
          <w:rFonts w:hint="default"/>
          <w:b/>
          <w:bCs/>
          <w:sz w:val="24"/>
          <w:szCs w:val="24"/>
          <w:lang w:val="en-US"/>
        </w:rPr>
        <w:t xml:space="preserve">: </w:t>
      </w:r>
      <w:r>
        <w:rPr>
          <w:b/>
          <w:bCs/>
          <w:sz w:val="24"/>
          <w:szCs w:val="24"/>
          <w:lang w:val="en-GB"/>
        </w:rPr>
        <w:t xml:space="preserve">PEO Framework </w:t>
      </w:r>
      <w:bookmarkEnd w:id="30"/>
    </w:p>
    <w:tbl>
      <w:tblPr>
        <w:tblStyle w:val="26"/>
        <w:tblW w:w="98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269"/>
        <w:gridCol w:w="3273"/>
        <w:gridCol w:w="3275"/>
      </w:tblGrid>
      <w:tr w14:paraId="2CDD1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5" w:hRule="atLeast"/>
          <w:tblHeader/>
          <w:jc w:val="center"/>
        </w:trPr>
        <w:tc>
          <w:tcPr>
            <w:tcW w:w="3269" w:type="dxa"/>
          </w:tcPr>
          <w:p w14:paraId="26F8199B">
            <w:pPr>
              <w:pStyle w:val="3"/>
              <w:widowControl/>
              <w:jc w:val="center"/>
              <w:rPr>
                <w:b/>
                <w:bCs/>
                <w:lang w:val="en-GB"/>
              </w:rPr>
            </w:pPr>
            <w:r>
              <w:rPr>
                <w:b/>
                <w:bCs/>
                <w:lang w:val="en-GB"/>
              </w:rPr>
              <w:t>PEO Component</w:t>
            </w:r>
          </w:p>
        </w:tc>
        <w:tc>
          <w:tcPr>
            <w:tcW w:w="3273" w:type="dxa"/>
          </w:tcPr>
          <w:p w14:paraId="16FB094E">
            <w:pPr>
              <w:pStyle w:val="3"/>
              <w:widowControl/>
              <w:jc w:val="center"/>
              <w:rPr>
                <w:b/>
                <w:bCs/>
                <w:lang w:val="en-GB"/>
              </w:rPr>
            </w:pPr>
            <w:r>
              <w:rPr>
                <w:b/>
                <w:bCs/>
                <w:lang w:val="en-GB"/>
              </w:rPr>
              <w:t>Description</w:t>
            </w:r>
          </w:p>
        </w:tc>
        <w:tc>
          <w:tcPr>
            <w:tcW w:w="3275" w:type="dxa"/>
          </w:tcPr>
          <w:p w14:paraId="37A0BF71">
            <w:pPr>
              <w:pStyle w:val="3"/>
              <w:widowControl/>
              <w:jc w:val="center"/>
              <w:rPr>
                <w:b/>
                <w:bCs/>
                <w:lang w:val="en-GB"/>
              </w:rPr>
            </w:pPr>
            <w:r>
              <w:rPr>
                <w:b/>
                <w:bCs/>
                <w:lang w:val="en-GB"/>
              </w:rPr>
              <w:t>Search Terms / Synonyms</w:t>
            </w:r>
          </w:p>
        </w:tc>
      </w:tr>
      <w:tr w14:paraId="4F13E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89" w:hRule="atLeast"/>
          <w:tblHeader/>
          <w:jc w:val="center"/>
        </w:trPr>
        <w:tc>
          <w:tcPr>
            <w:tcW w:w="3269" w:type="dxa"/>
          </w:tcPr>
          <w:p w14:paraId="39DB932B">
            <w:pPr>
              <w:pStyle w:val="3"/>
              <w:widowControl/>
              <w:jc w:val="center"/>
              <w:rPr>
                <w:lang w:val="en-GB"/>
              </w:rPr>
            </w:pPr>
            <w:r>
              <w:rPr>
                <w:lang w:val="en-GB"/>
              </w:rPr>
              <w:t>Population (P)</w:t>
            </w:r>
          </w:p>
        </w:tc>
        <w:tc>
          <w:tcPr>
            <w:tcW w:w="3273" w:type="dxa"/>
          </w:tcPr>
          <w:p w14:paraId="37A9A4E6">
            <w:pPr>
              <w:pStyle w:val="3"/>
              <w:widowControl/>
              <w:jc w:val="center"/>
              <w:rPr>
                <w:lang w:val="en-GB"/>
              </w:rPr>
            </w:pPr>
            <w:r>
              <w:rPr>
                <w:lang w:val="en-GB"/>
              </w:rPr>
              <w:t>Social care staff in the UK</w:t>
            </w:r>
          </w:p>
        </w:tc>
        <w:tc>
          <w:tcPr>
            <w:tcW w:w="3275" w:type="dxa"/>
          </w:tcPr>
          <w:p w14:paraId="0227E1F3">
            <w:pPr>
              <w:pStyle w:val="3"/>
              <w:widowControl/>
              <w:jc w:val="center"/>
              <w:rPr>
                <w:lang w:val="en-GB"/>
              </w:rPr>
            </w:pPr>
            <w:r>
              <w:rPr>
                <w:lang w:val="en-GB"/>
              </w:rPr>
              <w:t>“Social care workers” OR “care staff” OR “health and social care professionals”</w:t>
            </w:r>
          </w:p>
        </w:tc>
      </w:tr>
      <w:tr w14:paraId="74787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44" w:hRule="atLeast"/>
          <w:tblHeader/>
          <w:jc w:val="center"/>
        </w:trPr>
        <w:tc>
          <w:tcPr>
            <w:tcW w:w="3269" w:type="dxa"/>
          </w:tcPr>
          <w:p w14:paraId="4A373335">
            <w:pPr>
              <w:pStyle w:val="3"/>
              <w:widowControl/>
              <w:jc w:val="center"/>
              <w:rPr>
                <w:lang w:val="en-GB"/>
              </w:rPr>
            </w:pPr>
            <w:r>
              <w:rPr>
                <w:lang w:val="en-GB"/>
              </w:rPr>
              <w:t>Exposure (E)</w:t>
            </w:r>
          </w:p>
        </w:tc>
        <w:tc>
          <w:tcPr>
            <w:tcW w:w="3273" w:type="dxa"/>
          </w:tcPr>
          <w:p w14:paraId="42B44C40">
            <w:pPr>
              <w:pStyle w:val="3"/>
              <w:widowControl/>
              <w:jc w:val="center"/>
              <w:rPr>
                <w:lang w:val="en-GB"/>
              </w:rPr>
            </w:pPr>
            <w:r>
              <w:rPr>
                <w:lang w:val="en-GB"/>
              </w:rPr>
              <w:t>Experience of working in the health sector during the COVID pandemic</w:t>
            </w:r>
          </w:p>
        </w:tc>
        <w:tc>
          <w:tcPr>
            <w:tcW w:w="3275" w:type="dxa"/>
          </w:tcPr>
          <w:p w14:paraId="19DDFE7B">
            <w:pPr>
              <w:pStyle w:val="3"/>
              <w:widowControl/>
              <w:jc w:val="center"/>
              <w:rPr>
                <w:lang w:val="en-GB"/>
              </w:rPr>
            </w:pPr>
            <w:r>
              <w:rPr>
                <w:lang w:val="en-GB"/>
              </w:rPr>
              <w:t>“Working in COVID-19” OR “working during pandemic” OR “workplace stress” OR “job demands”</w:t>
            </w:r>
          </w:p>
        </w:tc>
      </w:tr>
      <w:tr w14:paraId="54D4D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56" w:hRule="atLeast"/>
          <w:tblHeader/>
          <w:jc w:val="center"/>
        </w:trPr>
        <w:tc>
          <w:tcPr>
            <w:tcW w:w="3269" w:type="dxa"/>
          </w:tcPr>
          <w:p w14:paraId="4C5D2641">
            <w:pPr>
              <w:pStyle w:val="3"/>
              <w:widowControl/>
              <w:jc w:val="center"/>
              <w:rPr>
                <w:lang w:val="en-GB"/>
              </w:rPr>
            </w:pPr>
            <w:r>
              <w:rPr>
                <w:lang w:val="en-GB"/>
              </w:rPr>
              <w:t>Outcome (O)</w:t>
            </w:r>
          </w:p>
        </w:tc>
        <w:tc>
          <w:tcPr>
            <w:tcW w:w="3273" w:type="dxa"/>
          </w:tcPr>
          <w:p w14:paraId="2C915DA9">
            <w:pPr>
              <w:pStyle w:val="3"/>
              <w:widowControl/>
              <w:jc w:val="center"/>
              <w:rPr>
                <w:lang w:val="en-GB"/>
              </w:rPr>
            </w:pPr>
            <w:r>
              <w:rPr>
                <w:lang w:val="en-GB"/>
              </w:rPr>
              <w:t>Burnout or mental health and interventions</w:t>
            </w:r>
          </w:p>
        </w:tc>
        <w:tc>
          <w:tcPr>
            <w:tcW w:w="3275" w:type="dxa"/>
          </w:tcPr>
          <w:p w14:paraId="5FC2F243">
            <w:pPr>
              <w:pStyle w:val="3"/>
              <w:widowControl/>
              <w:jc w:val="center"/>
              <w:rPr>
                <w:lang w:val="en-GB"/>
              </w:rPr>
            </w:pPr>
            <w:r>
              <w:rPr>
                <w:lang w:val="en-GB"/>
              </w:rPr>
              <w:t>“burnout” OR “emotional exhaustion” OR “mental health” OR “well-being interventions”</w:t>
            </w:r>
          </w:p>
        </w:tc>
      </w:tr>
    </w:tbl>
    <w:p w14:paraId="1A025007">
      <w:pPr>
        <w:pStyle w:val="3"/>
        <w:jc w:val="center"/>
        <w:rPr>
          <w:i/>
          <w:iCs/>
          <w:lang w:val="en-GB"/>
        </w:rPr>
      </w:pPr>
      <w:r>
        <w:rPr>
          <w:i/>
          <w:iCs/>
          <w:lang w:val="en-GB"/>
        </w:rPr>
        <w:t>(Source: Self-created)</w:t>
      </w:r>
    </w:p>
    <w:p w14:paraId="65C4E320">
      <w:pPr>
        <w:pStyle w:val="3"/>
        <w:rPr>
          <w:lang w:val="en-GB"/>
        </w:rPr>
      </w:pPr>
      <w:r>
        <w:rPr>
          <w:lang w:val="en-GB"/>
        </w:rPr>
        <w:t>The search question is: “Which organisations and individual intervention techniques have effectively reduced burnout and supported mental health among the social care workers in the UK who worked during the COVID-19 pandemic?”</w:t>
      </w:r>
    </w:p>
    <w:p w14:paraId="4D4A2082">
      <w:pPr>
        <w:pStyle w:val="3"/>
        <w:rPr>
          <w:lang w:val="en-GB"/>
        </w:rPr>
      </w:pPr>
      <w:r>
        <w:rPr>
          <w:lang w:val="en-GB"/>
        </w:rPr>
        <w:t>The search strategy is:</w:t>
      </w:r>
    </w:p>
    <w:p w14:paraId="2FCE0BEC">
      <w:pPr>
        <w:pStyle w:val="3"/>
        <w:widowControl/>
        <w:numPr>
          <w:ilvl w:val="0"/>
          <w:numId w:val="2"/>
        </w:numPr>
        <w:rPr>
          <w:lang w:val="en-GB"/>
        </w:rPr>
      </w:pPr>
      <w:r>
        <w:rPr>
          <w:b/>
          <w:bCs/>
          <w:lang w:val="en-GB"/>
        </w:rPr>
        <w:t>Search 1- Population (P):</w:t>
      </w:r>
      <w:r>
        <w:rPr>
          <w:lang w:val="en-GB"/>
        </w:rPr>
        <w:t>( “social care workers” OR “care staff” OR “health and social care professionals”)</w:t>
      </w:r>
    </w:p>
    <w:p w14:paraId="0EAC1768">
      <w:pPr>
        <w:pStyle w:val="3"/>
        <w:widowControl/>
        <w:numPr>
          <w:ilvl w:val="0"/>
          <w:numId w:val="2"/>
        </w:numPr>
        <w:rPr>
          <w:lang w:val="en-GB"/>
        </w:rPr>
      </w:pPr>
      <w:r>
        <w:rPr>
          <w:b/>
          <w:bCs/>
          <w:lang w:val="en-GB"/>
        </w:rPr>
        <w:t>Search 2- Exposure (E):</w:t>
      </w:r>
      <w:r>
        <w:rPr>
          <w:lang w:val="en-GB"/>
        </w:rPr>
        <w:t>( “Working in COVID-19” OR “working during pandemic” OR “workplace stress” OR “job demands”)</w:t>
      </w:r>
    </w:p>
    <w:p w14:paraId="7B0AACDF">
      <w:pPr>
        <w:pStyle w:val="3"/>
        <w:widowControl/>
        <w:numPr>
          <w:ilvl w:val="0"/>
          <w:numId w:val="2"/>
        </w:numPr>
        <w:spacing w:after="160"/>
        <w:rPr>
          <w:lang w:val="en-GB"/>
        </w:rPr>
      </w:pPr>
      <w:r>
        <w:rPr>
          <w:b/>
          <w:bCs/>
          <w:lang w:val="en-GB"/>
        </w:rPr>
        <w:t>Search 3- Outcome (O):</w:t>
      </w:r>
      <w:r>
        <w:rPr>
          <w:lang w:val="en-GB"/>
        </w:rPr>
        <w:t>( “burnout” OR “emotional exhaustion” OR “mental health” OR “well-being interventions”)</w:t>
      </w:r>
    </w:p>
    <w:p w14:paraId="6396DAC6">
      <w:pPr>
        <w:pStyle w:val="3"/>
        <w:rPr>
          <w:lang w:val="en-GB"/>
        </w:rPr>
      </w:pPr>
      <w:r>
        <w:rPr>
          <w:lang w:val="en-GB"/>
        </w:rPr>
        <w:t>The final combined string example for databases is:</w:t>
      </w:r>
    </w:p>
    <w:p w14:paraId="2D53D032">
      <w:pPr>
        <w:pStyle w:val="3"/>
        <w:rPr>
          <w:lang w:val="en-GB"/>
        </w:rPr>
      </w:pPr>
      <w:r>
        <w:rPr>
          <w:lang w:val="en-GB"/>
        </w:rPr>
        <w:t>((P) AND (E) AND (O)) = (“social care workers” OR “care staff”) AND (“during COVID-19” OR “during pandemic”) AND (“burnout” OR “mental health” OR “well-being interventions”).</w:t>
      </w:r>
    </w:p>
    <w:p w14:paraId="0366E815">
      <w:pPr>
        <w:pStyle w:val="4"/>
        <w:spacing w:line="480" w:lineRule="auto"/>
        <w:ind w:left="0"/>
        <w:rPr>
          <w:lang w:val="en-GB"/>
        </w:rPr>
      </w:pPr>
      <w:bookmarkStart w:id="31" w:name="_Toc228745820"/>
      <w:r>
        <w:rPr>
          <w:lang w:val="en-GB"/>
        </w:rPr>
        <w:t>3.5 Keywords</w:t>
      </w:r>
      <w:bookmarkEnd w:id="31"/>
    </w:p>
    <w:p w14:paraId="1DE21FE8">
      <w:pPr>
        <w:pStyle w:val="3"/>
        <w:widowControl/>
        <w:spacing w:after="160"/>
        <w:rPr>
          <w:lang w:val="en-GB"/>
        </w:rPr>
      </w:pPr>
      <w:r>
        <w:rPr>
          <w:lang w:val="en-GB"/>
        </w:rPr>
        <w:t xml:space="preserve">Keywords are particular words or phrases utilised in systematic searching to precisely retrieve the relevant literature, specifically from academic databases (Corrin </w:t>
      </w:r>
      <w:r>
        <w:rPr>
          <w:i/>
          <w:lang w:val="en-GB"/>
        </w:rPr>
        <w:t xml:space="preserve">et al., </w:t>
      </w:r>
      <w:r>
        <w:rPr>
          <w:lang w:val="en-GB"/>
        </w:rPr>
        <w:t>2022). Their precise selection is crucial as a keyword straightforwardly impacts the accuracy, relevance, and completeness of search outcomes. In this research, keywords were selected to reflect the core ideologies of the research topic as well as the objectives. Primary keywords comprised mental health, social care workers, burnout, as well as COVID-19, whereas secondary keywords like organisational assistance, workplace interventions, welfare, and post-pandemic were also implemented. </w:t>
      </w:r>
    </w:p>
    <w:p w14:paraId="06EEDC8E">
      <w:pPr>
        <w:pStyle w:val="4"/>
        <w:spacing w:line="480" w:lineRule="auto"/>
        <w:ind w:left="0"/>
        <w:rPr>
          <w:lang w:val="en-GB"/>
        </w:rPr>
      </w:pPr>
      <w:bookmarkStart w:id="32" w:name="_Toc228745821"/>
      <w:r>
        <w:rPr>
          <w:lang w:val="en-GB"/>
        </w:rPr>
        <w:t>3.6 Databases</w:t>
      </w:r>
      <w:bookmarkEnd w:id="32"/>
    </w:p>
    <w:p w14:paraId="148FDBD3">
      <w:pPr>
        <w:pStyle w:val="3"/>
        <w:widowControl/>
        <w:spacing w:after="160"/>
        <w:rPr>
          <w:lang w:val="en-GB"/>
        </w:rPr>
      </w:pPr>
      <w:r>
        <w:rPr>
          <w:lang w:val="en-GB"/>
        </w:rPr>
        <w:t xml:space="preserve">Academic literature for this research was evaluated through a systematic search of well-developed peer-reviewed databases to guarantee the credibility as well as quality of the evidence base (Gusenbauer and Haddaway, 2020; </w:t>
      </w:r>
      <w:r>
        <w:t xml:space="preserve">Wanyama </w:t>
      </w:r>
      <w:r>
        <w:rPr>
          <w:i/>
          <w:iCs/>
        </w:rPr>
        <w:t>et al.,</w:t>
      </w:r>
      <w:r>
        <w:t xml:space="preserve"> 2022</w:t>
      </w:r>
      <w:r>
        <w:rPr>
          <w:lang w:val="en-GB"/>
        </w:rPr>
        <w:t>). Peer-reviewed databases are crucial for research dependability in addition to validity, as articles published within the term highlight strong scholarly analysis, decreasing potential risk of methodological flaws as well as unsupported claims. Searching only one database might result in incomplete coverage as well as increased publication bias, as different databases particularly index different journals in addition to different disciplines. </w:t>
      </w:r>
    </w:p>
    <w:p w14:paraId="6DF0F5E1">
      <w:pPr>
        <w:pStyle w:val="3"/>
        <w:widowControl/>
        <w:spacing w:after="160"/>
        <w:rPr>
          <w:lang w:val="en-GB"/>
        </w:rPr>
      </w:pPr>
      <w:r>
        <w:rPr>
          <w:lang w:val="en-GB"/>
        </w:rPr>
        <w:t>Multi-database methodological and literature characteristics are also markedly better than the entire inclusiveness of systematic reviews since they are effective in capturing research that would be missed by a single source (Heath et al., 2021). In order to reduce the bias and the disparity in disciplinary coverage within the field of psychology encompassing health and social care, a large number of databases were employed. These were CINAHL and PubMed regarding health, along with literature related to care, besides Scopus regarding interdisciplinary and citation index research. The colour Google Scholar was also used to identify other related peer-reviewed articles, which were not indexed elsewhere. </w:t>
      </w:r>
    </w:p>
    <w:p w14:paraId="5015BCD6">
      <w:pPr>
        <w:pStyle w:val="4"/>
        <w:spacing w:line="480" w:lineRule="auto"/>
        <w:ind w:left="0"/>
        <w:rPr>
          <w:lang w:val="en-GB"/>
        </w:rPr>
      </w:pPr>
      <w:bookmarkStart w:id="33" w:name="_Toc228745822"/>
      <w:r>
        <w:rPr>
          <w:lang w:val="en-GB"/>
        </w:rPr>
        <w:t>3.7 Inclusion and Exclusion Criteria</w:t>
      </w:r>
      <w:bookmarkEnd w:id="33"/>
      <w:r>
        <w:rPr>
          <w:lang w:val="en-GB"/>
        </w:rPr>
        <w:t> </w:t>
      </w:r>
    </w:p>
    <w:p w14:paraId="6CFA4092">
      <w:pPr>
        <w:pStyle w:val="3"/>
        <w:widowControl/>
        <w:spacing w:after="160"/>
        <w:rPr>
          <w:lang w:val="en-GB"/>
        </w:rPr>
      </w:pPr>
      <w:r>
        <w:rPr>
          <w:lang w:val="en-GB"/>
        </w:rPr>
        <w:t>Both inclusion and exclusion criteria are set conditions, which are used to identify the resources that can be reviewed in a specific study of Nikolopoulou (2022). Adoption of these requirements is imperative in ensuring transparency, relevancy, and methodological consistency of a systematic literature review. Direct criteria help to align the activities with the selected studies with the research purpose and goal when the influence of research service is minimised. Systematic review methodological guidelines concentrate on the argument that explicit inclusion as well as exclusion criteria enhance reproductive ability, in addition to allowing the readers to assess the plausibility of the procedure of review.</w:t>
      </w:r>
    </w:p>
    <w:p w14:paraId="578C1148">
      <w:pPr>
        <w:pStyle w:val="3"/>
        <w:widowControl/>
        <w:spacing w:after="160"/>
        <w:rPr>
          <w:lang w:val="en-GB"/>
        </w:rPr>
      </w:pPr>
      <w:r>
        <w:rPr>
          <w:lang w:val="en-GB"/>
        </w:rPr>
        <w:t xml:space="preserve">Regarding this study, it was set to include peer-reviewed journal articles published since 2019 and to prove that they had evidence of COVID-19. The studies were needed to highlight social care employees in the United Kingdom and measure mental health, welfare, burnout, and related organisational associations and interventions. A set of exclusion criteria was used to rule out such sources, such as opinion pieces, studies conducted outside of the United Kingdom, research bias before the year 2019, and articles that focused on healthcare professionals, but not necessarily social care workers. Studies where no clear reports were made on mental health assistance, or burnouts were effectively eliminated. </w:t>
      </w:r>
    </w:p>
    <w:p w14:paraId="337FD4E5">
      <w:pPr>
        <w:pStyle w:val="4"/>
        <w:spacing w:line="480" w:lineRule="auto"/>
        <w:ind w:left="0"/>
        <w:rPr>
          <w:lang w:val="en-GB"/>
        </w:rPr>
      </w:pPr>
      <w:bookmarkStart w:id="34" w:name="_Toc228745823"/>
      <w:r>
        <w:rPr>
          <w:lang w:val="en-GB"/>
        </w:rPr>
        <w:t>3.8 Search Results</w:t>
      </w:r>
      <w:bookmarkEnd w:id="34"/>
    </w:p>
    <w:p w14:paraId="4A171195">
      <w:pPr>
        <w:pStyle w:val="3"/>
        <w:rPr>
          <w:lang w:val="en-GB"/>
        </w:rPr>
      </w:pPr>
      <w:r>
        <w:rPr>
          <w:lang w:val="en-GB"/>
        </w:rPr>
        <w:t>Once databases, search terms, and inclusion and exclusion criteria are selected, the next step involves providing the results of the literature search. In this study, the PRISMA framework was used to report this process. Preferred Reporting Items in Systematic Reviews and Meta-Analyses or the PRISMA is widely used to report search and selection procedures in systematic reviews. According to Rethlefsen and Page (2022), it is essential in reporting search elements in a straightforward manner. The PRISMA framework is often depicted in a flow diagram, tracking records are identified, filtered, and excluded, and finally included in the review.</w:t>
      </w:r>
    </w:p>
    <w:p w14:paraId="720A6A67">
      <w:pPr>
        <w:pStyle w:val="3"/>
        <w:rPr>
          <w:lang w:val="en-GB"/>
        </w:rPr>
      </w:pPr>
      <w:r>
        <w:rPr>
          <w:lang w:val="en-GB"/>
        </w:rPr>
        <w:t>Therefore, the use of this PRISMA flow chart for presenting the total search process of the current dissertation is given below. </w:t>
      </w:r>
    </w:p>
    <w:p w14:paraId="14A0D321">
      <w:pPr>
        <w:pStyle w:val="3"/>
        <w:jc w:val="center"/>
        <w:rPr>
          <w:b/>
          <w:bCs/>
          <w:lang w:val="en-GB"/>
        </w:rPr>
      </w:pPr>
      <w:r>
        <w:rPr>
          <w:b/>
          <w:bCs/>
          <w:lang w:val="en-GB"/>
        </w:rPr>
        <w:drawing>
          <wp:inline distT="0" distB="0" distL="0" distR="0">
            <wp:extent cx="5250180" cy="58299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1"/>
                    <a:stretch>
                      <a:fillRect/>
                    </a:stretch>
                  </pic:blipFill>
                  <pic:spPr>
                    <a:xfrm>
                      <a:off x="0" y="0"/>
                      <a:ext cx="5250345" cy="5830118"/>
                    </a:xfrm>
                    <a:prstGeom prst="rect">
                      <a:avLst/>
                    </a:prstGeom>
                  </pic:spPr>
                </pic:pic>
              </a:graphicData>
            </a:graphic>
          </wp:inline>
        </w:drawing>
      </w:r>
    </w:p>
    <w:p w14:paraId="78D04711">
      <w:pPr>
        <w:pStyle w:val="12"/>
        <w:jc w:val="center"/>
        <w:rPr>
          <w:b/>
          <w:bCs/>
          <w:sz w:val="24"/>
          <w:szCs w:val="24"/>
          <w:lang w:val="en-GB"/>
        </w:rPr>
      </w:pPr>
      <w:r>
        <w:rPr>
          <w:b/>
          <w:bCs/>
          <w:sz w:val="24"/>
          <w:szCs w:val="24"/>
        </w:rPr>
        <w:t xml:space="preserve">Figure </w:t>
      </w:r>
      <w:r>
        <w:rPr>
          <w:b/>
          <w:bCs/>
          <w:sz w:val="24"/>
          <w:szCs w:val="24"/>
        </w:rPr>
        <w:fldChar w:fldCharType="begin"/>
      </w:r>
      <w:r>
        <w:rPr>
          <w:b/>
          <w:bCs/>
          <w:sz w:val="24"/>
          <w:szCs w:val="24"/>
        </w:rPr>
        <w:instrText xml:space="preserve"> SEQ Figure \* ARABIC </w:instrText>
      </w:r>
      <w:r>
        <w:rPr>
          <w:b/>
          <w:bCs/>
          <w:sz w:val="24"/>
          <w:szCs w:val="24"/>
        </w:rPr>
        <w:fldChar w:fldCharType="separate"/>
      </w:r>
      <w:r>
        <w:rPr>
          <w:b/>
          <w:bCs/>
          <w:sz w:val="24"/>
          <w:szCs w:val="24"/>
        </w:rPr>
        <w:t>1</w:t>
      </w:r>
      <w:r>
        <w:rPr>
          <w:b/>
          <w:bCs/>
          <w:sz w:val="24"/>
          <w:szCs w:val="24"/>
        </w:rPr>
        <w:fldChar w:fldCharType="end"/>
      </w:r>
      <w:bookmarkStart w:id="35" w:name="_Toc4957"/>
      <w:r>
        <w:rPr>
          <w:rFonts w:hint="default"/>
          <w:b/>
          <w:bCs/>
          <w:sz w:val="24"/>
          <w:szCs w:val="24"/>
          <w:lang w:val="en-US"/>
        </w:rPr>
        <w:t xml:space="preserve">: </w:t>
      </w:r>
      <w:r>
        <w:rPr>
          <w:b/>
          <w:bCs/>
          <w:sz w:val="24"/>
          <w:szCs w:val="24"/>
          <w:lang w:val="en-GB"/>
        </w:rPr>
        <w:t>PRISMA Chart</w:t>
      </w:r>
      <w:bookmarkEnd w:id="35"/>
    </w:p>
    <w:p w14:paraId="69434C36">
      <w:pPr>
        <w:pStyle w:val="3"/>
        <w:jc w:val="center"/>
        <w:rPr>
          <w:i/>
          <w:iCs/>
          <w:lang w:val="en-GB"/>
        </w:rPr>
      </w:pPr>
      <w:r>
        <w:rPr>
          <w:i/>
          <w:iCs/>
          <w:lang w:val="en-GB"/>
        </w:rPr>
        <w:t>(Source: Self-Made)</w:t>
      </w:r>
    </w:p>
    <w:p w14:paraId="55CFA954">
      <w:pPr>
        <w:pStyle w:val="3"/>
        <w:rPr>
          <w:lang w:val="en-GB"/>
        </w:rPr>
      </w:pPr>
      <w:r>
        <w:rPr>
          <w:lang w:val="en-GB"/>
        </w:rPr>
        <w:t>From the above PRISMA flow diagram, it can be noticed that initially, the selection of the research articles from the different identified databases was around 297. However, from this number, 83 articles needed to be removed as these were duplicates. In simpler terms, it could be mentioned that some of the articles have been selected from more than one of the databases. Therefore, after this removal, around 214 articles remained, and these articles went for the primary screening process. The primary screening included the abstract screening, and in this stage, 105 articles were removed as they were not significant for the current research. Thereafter, only 109 articles remained for the second stage of screening, and here, another 79 articles were removed as the full text of these articles could not be accessed even after using the university memberships. Therefore, in the third stage of the screening process, only 30 articles remained, and from this, another 18 articles were removed as these were not based on primary research methods. Therefore, finally, only 12 articles remained that passed all the checklists for being included in the current research, and these articles have been selected to complete this systematic literature review. </w:t>
      </w:r>
    </w:p>
    <w:p w14:paraId="1A9FE312">
      <w:pPr>
        <w:pStyle w:val="4"/>
        <w:spacing w:line="480" w:lineRule="auto"/>
        <w:ind w:left="0"/>
        <w:rPr>
          <w:lang w:val="en-GB"/>
        </w:rPr>
      </w:pPr>
      <w:bookmarkStart w:id="36" w:name="_Toc228745824"/>
      <w:r>
        <w:rPr>
          <w:lang w:val="en-GB"/>
        </w:rPr>
        <w:t>3.9 Data analysis</w:t>
      </w:r>
      <w:bookmarkEnd w:id="36"/>
    </w:p>
    <w:p w14:paraId="02D6DE11">
      <w:pPr>
        <w:pStyle w:val="3"/>
        <w:rPr>
          <w:lang w:val="en-GB"/>
        </w:rPr>
      </w:pPr>
      <w:r>
        <w:rPr>
          <w:lang w:val="en-GB"/>
        </w:rPr>
        <w:t>After collecting the relevant information from the selected 12 articles, a specific data analysis approach has been utilised in this research. Here, this study adopted a thematic analysis approach as outlined by Braun and Clarke (2021). This method helps in effectively identifying relevant patterns from a dataset while organising and offering significant insight into patterns that could help to generate research answers.</w:t>
      </w:r>
    </w:p>
    <w:p w14:paraId="0811F251">
      <w:pPr>
        <w:pStyle w:val="3"/>
        <w:rPr>
          <w:lang w:val="en-GB"/>
        </w:rPr>
      </w:pPr>
      <w:r>
        <w:rPr>
          <w:lang w:val="en-GB"/>
        </w:rPr>
        <w:t>As a major part of the qualitative data analysis process, the use of thematic analysis was justified for this research, where the six-phase approach was followed for exploring patterns across studies relating to burnout, mental health, and intervention strategies among UK social care staff following the COVID-19 pandemic. This included the process of familiarisation with the data, generation of initial codes, identifying themes, reviewing themes, naming the themes and finally producing the report (</w:t>
      </w:r>
      <w:r>
        <w:t>Cernasev and Axon, 2023)</w:t>
      </w:r>
      <w:r>
        <w:rPr>
          <w:lang w:val="en-GB"/>
        </w:rPr>
        <w:t xml:space="preserve">. </w:t>
      </w:r>
    </w:p>
    <w:p w14:paraId="3389D37D">
      <w:pPr>
        <w:pStyle w:val="4"/>
        <w:spacing w:line="480" w:lineRule="auto"/>
        <w:ind w:left="0"/>
        <w:rPr>
          <w:lang w:val="en-GB"/>
        </w:rPr>
      </w:pPr>
      <w:bookmarkStart w:id="37" w:name="_Toc228745825"/>
      <w:r>
        <w:rPr>
          <w:lang w:val="en-GB"/>
        </w:rPr>
        <w:t>3.10 Ethical Considerations</w:t>
      </w:r>
      <w:bookmarkEnd w:id="37"/>
    </w:p>
    <w:p w14:paraId="49832683">
      <w:pPr>
        <w:pStyle w:val="3"/>
        <w:rPr>
          <w:lang w:val="en-GB"/>
        </w:rPr>
      </w:pPr>
      <w:r>
        <w:rPr>
          <w:lang w:val="en-GB"/>
        </w:rPr>
        <w:t>Ethical considerations were upheld throughout this dissertation by ensuring that all research ideas borrowed in the selected articles are properly recognized through proper citation and referencing (Nneoma et al., 2023). Since this research was secondary research and it did not involve the direct human subjects, there was no need to fill out the informed consent forms or seek primary ethical approval. Nevertheless, even at this stage, there was a need to provide ethical care in the selection, interpretation, and presentation of evidence. Where applicable only those studies which established proper ethical approval or ethical research procedures were included. Moreover, attention was paid to the use of respectful and non-prejudice language. As an example, works or interpretations that characterised employees who took time off due to COVID-19 as lacking resilience or used similarly judgemental language were treated critically or excluded, as such wording may stigmatise individuals and misrepresent the complex impact of workplace stress, illness and burnout.</w:t>
      </w:r>
    </w:p>
    <w:p w14:paraId="47693E74">
      <w:pPr>
        <w:pStyle w:val="4"/>
        <w:spacing w:line="480" w:lineRule="auto"/>
        <w:ind w:left="0"/>
        <w:rPr>
          <w:lang w:val="en-GB"/>
        </w:rPr>
      </w:pPr>
      <w:bookmarkStart w:id="38" w:name="_Toc228745826"/>
      <w:r>
        <w:rPr>
          <w:lang w:val="en-GB"/>
        </w:rPr>
        <w:t>3.11 Chapter Summary</w:t>
      </w:r>
      <w:bookmarkEnd w:id="38"/>
    </w:p>
    <w:p w14:paraId="2B8DB59E">
      <w:pPr>
        <w:pStyle w:val="3"/>
        <w:rPr>
          <w:lang w:val="en-GB"/>
        </w:rPr>
      </w:pPr>
      <w:r>
        <w:rPr>
          <w:lang w:val="en-GB"/>
        </w:rPr>
        <w:t xml:space="preserve">This chapter provided a detailed description of the methodological approach that was taken to address the research objectives through a systematic review of relevant literature. It has provided detailed descriptions of the design of research, strategies used for searching, databases which were used, search terms involved and the application of the PEO framework, which helped to ensure a transparent research process. Inclusion and exclusion criteria were used to find out only the relevant studies, and the usage of the PRISMA framework helped in the documentation of the screening and selection process. Addressing ethical considerations was included along with ensuring academic integrity and reliability of the sources. The next chapter will deal with data extraction and evaluation. </w:t>
      </w:r>
    </w:p>
    <w:p w14:paraId="767D4131">
      <w:pPr>
        <w:pStyle w:val="3"/>
        <w:jc w:val="left"/>
        <w:rPr>
          <w:b/>
          <w:bCs/>
          <w:sz w:val="28"/>
          <w:szCs w:val="28"/>
          <w:lang w:val="en-GB"/>
        </w:rPr>
      </w:pPr>
      <w:r>
        <w:rPr>
          <w:lang w:val="en-GB"/>
        </w:rPr>
        <w:br w:type="page"/>
      </w:r>
    </w:p>
    <w:p w14:paraId="3E3AE9FD">
      <w:pPr>
        <w:pStyle w:val="2"/>
        <w:spacing w:line="480" w:lineRule="auto"/>
        <w:rPr>
          <w:sz w:val="28"/>
          <w:szCs w:val="28"/>
        </w:rPr>
      </w:pPr>
      <w:bookmarkStart w:id="39" w:name="_Toc228745827"/>
      <w:r>
        <w:rPr>
          <w:sz w:val="28"/>
          <w:szCs w:val="28"/>
        </w:rPr>
        <w:t>CHAPTER 4: DATA EXTRACTION AND EVALUATION</w:t>
      </w:r>
      <w:bookmarkEnd w:id="39"/>
    </w:p>
    <w:p w14:paraId="752F6C0B">
      <w:pPr>
        <w:pStyle w:val="4"/>
        <w:spacing w:line="480" w:lineRule="auto"/>
        <w:ind w:left="0"/>
        <w:rPr>
          <w:rFonts w:ascii="Times New Roman" w:hAnsi="Times New Roman" w:eastAsia="Times New Roman" w:cs="Times New Roman"/>
          <w:sz w:val="36"/>
          <w:szCs w:val="36"/>
        </w:rPr>
      </w:pPr>
      <w:bookmarkStart w:id="40" w:name="_Toc228745828"/>
      <w:r>
        <w:t>4.1 Introduction to Chapter</w:t>
      </w:r>
      <w:bookmarkEnd w:id="40"/>
    </w:p>
    <w:p w14:paraId="3750D9BB">
      <w:pPr>
        <w:pStyle w:val="3"/>
        <w:spacing w:before="240" w:after="240"/>
        <w:rPr>
          <w:rFonts w:ascii="Times New Roman" w:hAnsi="Times New Roman" w:eastAsia="Times New Roman" w:cs="Times New Roman"/>
          <w:sz w:val="24"/>
          <w:szCs w:val="24"/>
          <w:lang w:val="en-GB"/>
        </w:rPr>
      </w:pPr>
      <w:r>
        <w:rPr>
          <w:lang w:val="en-GB"/>
        </w:rPr>
        <w:t>This chapter explains data extraction and critical evaluation processes that were used in this systematic literature review. In Chapter 3, 12 articles that were found eligible based on the inclusion criteria were screened in the process of PRISMA. To obtain the data that is relevant, a pre-designed form was employed to systematically extract the data and summarise it in a table of characteristics of the study. The chapter also explains the significance of critical appraisal in assessing the quality of methodological studies and the appraisal tools that were selected to make sure that the thematic synthesis is based on valid evidence.</w:t>
      </w:r>
    </w:p>
    <w:p w14:paraId="33BDBEF7">
      <w:pPr>
        <w:pStyle w:val="4"/>
        <w:spacing w:line="480" w:lineRule="auto"/>
        <w:ind w:left="0"/>
        <w:rPr>
          <w:rFonts w:ascii="Times New Roman" w:hAnsi="Times New Roman" w:eastAsia="Times New Roman" w:cs="Times New Roman"/>
          <w:sz w:val="36"/>
          <w:szCs w:val="36"/>
        </w:rPr>
      </w:pPr>
      <w:bookmarkStart w:id="41" w:name="_Toc228745829"/>
      <w:r>
        <w:t>4.2 Data Extraction</w:t>
      </w:r>
      <w:bookmarkEnd w:id="41"/>
    </w:p>
    <w:p w14:paraId="1153D004">
      <w:pPr>
        <w:pStyle w:val="3"/>
        <w:spacing w:before="240" w:after="240"/>
        <w:rPr>
          <w:rFonts w:ascii="Times New Roman" w:hAnsi="Times New Roman" w:eastAsia="Times New Roman" w:cs="Times New Roman"/>
          <w:sz w:val="24"/>
          <w:szCs w:val="24"/>
          <w:lang w:val="en-GB"/>
        </w:rPr>
      </w:pPr>
      <w:r>
        <w:rPr>
          <w:lang w:val="en-GB"/>
        </w:rPr>
        <w:t xml:space="preserve">The data extraction process is the process of extracting, identifying, and capturing relevant information of the selected studies, thus allowing systematic comparison and synthesis (Schmidt </w:t>
      </w:r>
      <w:r>
        <w:rPr>
          <w:i/>
          <w:iCs/>
          <w:lang w:val="en-GB"/>
        </w:rPr>
        <w:t>et al.,</w:t>
      </w:r>
      <w:r>
        <w:rPr>
          <w:lang w:val="en-GB"/>
        </w:rPr>
        <w:t xml:space="preserve"> 2025). A standardised extraction form improves the transparency, consistency and reproducibility of systematic reviews. With the use of structured data extraction formation several crucial features of qualitative and quantitative studies have been identified. These included characteristics of the articles along with authors' names, publication date, study location (UK), research design, sample size and demographics. This review used a pre-piloted form to ensure comparable data collection and to offer thematic synthesis and descriptive quantitative comparison.</w:t>
      </w:r>
    </w:p>
    <w:p w14:paraId="575FEB77">
      <w:pPr>
        <w:pStyle w:val="4"/>
        <w:spacing w:line="480" w:lineRule="auto"/>
        <w:ind w:left="0"/>
        <w:rPr>
          <w:rFonts w:ascii="Times New Roman" w:hAnsi="Times New Roman" w:eastAsia="Times New Roman" w:cs="Times New Roman"/>
          <w:sz w:val="36"/>
          <w:szCs w:val="36"/>
        </w:rPr>
      </w:pPr>
      <w:bookmarkStart w:id="42" w:name="_Toc228745830"/>
      <w:r>
        <w:t>4.3 Brief introduction to critical appraisal and paper quality assessment</w:t>
      </w:r>
      <w:bookmarkEnd w:id="42"/>
      <w:r>
        <w:t> </w:t>
      </w:r>
    </w:p>
    <w:p w14:paraId="15D90F0C">
      <w:pPr>
        <w:pStyle w:val="3"/>
        <w:spacing w:before="240" w:after="240"/>
        <w:rPr>
          <w:rFonts w:ascii="Times New Roman" w:hAnsi="Times New Roman" w:eastAsia="Times New Roman" w:cs="Times New Roman"/>
          <w:sz w:val="24"/>
          <w:szCs w:val="24"/>
          <w:lang w:val="en-GB"/>
        </w:rPr>
      </w:pPr>
      <w:r>
        <w:rPr>
          <w:lang w:val="en-GB"/>
        </w:rPr>
        <w:t xml:space="preserve">A critical appraisal is a systematic process, which entails a series of evidence-based reviews undertaken to define the validity, methodological soundness and appropriateness of a research to a research question. It involves assessment of the study design, sampling, data collection procedures, analytical rigour, ethical questions, and reporting of findings (Todet </w:t>
      </w:r>
      <w:r>
        <w:rPr>
          <w:i/>
          <w:iCs/>
          <w:lang w:val="en-GB"/>
        </w:rPr>
        <w:t>et al.,</w:t>
      </w:r>
      <w:r>
        <w:rPr>
          <w:lang w:val="en-GB"/>
        </w:rPr>
        <w:t xml:space="preserve"> 2022). Systematic literature reviews require critical appraisal to be done to make sure that the conclusions made do not rely on weak methodology studies that produce bias and reduce reliability. Quality assessment played a significant role in this review due to the many studies that have been done on the subject of mental health of social care workers by employing a diverse array of research methods. The inclusion criteria enabled the researcher to identify the strengths and the shortcomings of the evidence base, facilitate a fair interpretation of the findings, and further improve evidence-based development of recommendations that would reduce burnout and improve the mental health of social care workers in the UK.</w:t>
      </w:r>
    </w:p>
    <w:p w14:paraId="4322F888">
      <w:pPr>
        <w:pStyle w:val="4"/>
        <w:spacing w:line="480" w:lineRule="auto"/>
        <w:ind w:left="0"/>
        <w:rPr>
          <w:rFonts w:ascii="Times New Roman" w:hAnsi="Times New Roman" w:eastAsia="Times New Roman" w:cs="Times New Roman"/>
          <w:sz w:val="36"/>
          <w:szCs w:val="36"/>
        </w:rPr>
      </w:pPr>
      <w:bookmarkStart w:id="43" w:name="_Toc228745831"/>
      <w:r>
        <w:t>4.4 Critical Appraisal Tools</w:t>
      </w:r>
      <w:bookmarkEnd w:id="43"/>
      <w:r>
        <w:t> </w:t>
      </w:r>
    </w:p>
    <w:p w14:paraId="2FA54396">
      <w:pPr>
        <w:pStyle w:val="3"/>
        <w:spacing w:before="240" w:after="240"/>
        <w:rPr>
          <w:lang w:val="en-GB"/>
        </w:rPr>
      </w:pPr>
      <w:r>
        <w:rPr>
          <w:lang w:val="en-GB"/>
        </w:rPr>
        <w:t xml:space="preserve">A critical appraisal tool is a systematic method or a checklist that is applied to help evaluate the quality of the research in a systematic manner (Hong and Pluye, 2019). The tools provide standardised needs to evaluate the significant methodological factors, including clarity of purpose, appropriateness of study design, recruitment processes, data collection processes, analytical compliance, ethics and transparency in reporting. An appraisal tool is important as different appraisal tools were intended to fit different research methods. In this review, qualitative studies were evaluated with the help of the Critical Appraisal Skills Programme (CASP) qualitative checklist, and the appropriate quantitative appraisal criteria were used to assess research, based on the survey (Long </w:t>
      </w:r>
      <w:r>
        <w:rPr>
          <w:i/>
          <w:iCs/>
          <w:lang w:val="en-GB"/>
        </w:rPr>
        <w:t>et al.,</w:t>
      </w:r>
      <w:r>
        <w:rPr>
          <w:lang w:val="en-GB"/>
        </w:rPr>
        <w:t xml:space="preserve"> 2020). The CASP tool considers ten domains in its assessment through the following, like the credibility of the research, the reflexivity, the data analysis and the relevance of the findings (</w:t>
      </w:r>
      <w:r>
        <w:t>Long</w:t>
      </w:r>
      <w:r>
        <w:rPr>
          <w:i/>
          <w:iCs/>
        </w:rPr>
        <w:t xml:space="preserve">et al., </w:t>
      </w:r>
      <w:r>
        <w:t>2020)</w:t>
      </w:r>
      <w:r>
        <w:rPr>
          <w:lang w:val="en-GB"/>
        </w:rPr>
        <w:t>. Critical appraisal tools will be utilised to assess the internal validity, the risk of biasing the results, the methodological coherence, and the practical relevance of the study. The presence of the known models of appraisal will improve the validity of the review and ensure that the recommendations of the various organisational mental health interventions are grounded in sound research methodologies.</w:t>
      </w:r>
    </w:p>
    <w:p w14:paraId="721EA496">
      <w:pPr>
        <w:pStyle w:val="3"/>
        <w:spacing w:before="240" w:after="240"/>
        <w:rPr>
          <w:lang w:val="en-GB"/>
        </w:rPr>
      </w:pPr>
    </w:p>
    <w:p w14:paraId="1C9CF931">
      <w:pPr>
        <w:pStyle w:val="4"/>
        <w:spacing w:line="480" w:lineRule="auto"/>
        <w:ind w:left="0"/>
        <w:rPr>
          <w:rFonts w:ascii="Times New Roman" w:hAnsi="Times New Roman" w:eastAsia="Times New Roman" w:cs="Times New Roman"/>
          <w:sz w:val="36"/>
          <w:szCs w:val="36"/>
        </w:rPr>
      </w:pPr>
      <w:bookmarkStart w:id="44" w:name="_Toc228745832"/>
      <w:r>
        <w:t>4.5 Evaluation of Qualitative Studies</w:t>
      </w:r>
      <w:bookmarkEnd w:id="44"/>
    </w:p>
    <w:p w14:paraId="4D109974">
      <w:pPr>
        <w:pStyle w:val="3"/>
        <w:spacing w:before="240" w:after="240"/>
        <w:rPr>
          <w:rFonts w:ascii="Times New Roman" w:hAnsi="Times New Roman" w:eastAsia="Times New Roman" w:cs="Times New Roman"/>
          <w:b/>
          <w:bCs/>
          <w:i/>
          <w:iCs/>
          <w:sz w:val="24"/>
          <w:szCs w:val="24"/>
          <w:lang w:val="en-GB"/>
        </w:rPr>
      </w:pPr>
      <w:r>
        <w:rPr>
          <w:lang w:val="en-GB"/>
        </w:rPr>
        <w:t xml:space="preserve">The qualitative designs have been used to conduct three articles to discuss the experience of health and social care workers during COVID-19: Aughterson </w:t>
      </w:r>
      <w:r>
        <w:rPr>
          <w:i/>
          <w:iCs/>
          <w:lang w:val="en-GB"/>
        </w:rPr>
        <w:t>et al.</w:t>
      </w:r>
      <w:r>
        <w:rPr>
          <w:lang w:val="en-GB"/>
        </w:rPr>
        <w:t xml:space="preserve"> (2021), Allsopp </w:t>
      </w:r>
      <w:r>
        <w:rPr>
          <w:i/>
          <w:iCs/>
          <w:lang w:val="en-GB"/>
        </w:rPr>
        <w:t>et al.</w:t>
      </w:r>
      <w:r>
        <w:rPr>
          <w:lang w:val="en-GB"/>
        </w:rPr>
        <w:t xml:space="preserve"> (2023), and Blake </w:t>
      </w:r>
      <w:r>
        <w:rPr>
          <w:i/>
          <w:iCs/>
          <w:lang w:val="en-GB"/>
        </w:rPr>
        <w:t>et al.</w:t>
      </w:r>
      <w:r>
        <w:rPr>
          <w:lang w:val="en-GB"/>
        </w:rPr>
        <w:t xml:space="preserve"> (2021). They were assessed according to the CASP Qualitative Studies Checklist because of its popularity and systematicity. The design consists of 10 questions that are used to evaluate the clarity of the aim, methodology, research design, recruitment, data collection, reflexivity, ethics, analytical rigour, the clarity of findings, and the research value. In comparison to </w:t>
      </w:r>
      <w:r>
        <w:rPr>
          <w:sz w:val="24"/>
          <w:szCs w:val="24"/>
          <w:lang w:val="en-GB"/>
        </w:rPr>
        <w:t>JBI (Joanna Briggs Institute) and COREQ</w:t>
      </w:r>
      <w:r>
        <w:rPr>
          <w:b/>
          <w:bCs/>
          <w:sz w:val="24"/>
          <w:szCs w:val="24"/>
          <w:lang w:val="en-GB"/>
        </w:rPr>
        <w:t xml:space="preserve"> (</w:t>
      </w:r>
      <w:r>
        <w:rPr>
          <w:sz w:val="24"/>
          <w:szCs w:val="24"/>
          <w:highlight w:val="white"/>
          <w:lang w:val="en-GB"/>
        </w:rPr>
        <w:t>Consolidated criteria for Reporting Qualitative research</w:t>
      </w:r>
      <w:r>
        <w:rPr>
          <w:sz w:val="24"/>
          <w:szCs w:val="24"/>
          <w:lang w:val="en-GB"/>
        </w:rPr>
        <w:t xml:space="preserve">), </w:t>
      </w:r>
      <w:r>
        <w:rPr>
          <w:lang w:val="en-GB"/>
        </w:rPr>
        <w:t xml:space="preserve">CASP is a practical, albeit not minimal, method. CASP tables are available in </w:t>
      </w:r>
      <w:r>
        <w:rPr>
          <w:b/>
          <w:bCs/>
          <w:i/>
          <w:iCs/>
          <w:lang w:val="en-GB"/>
        </w:rPr>
        <w:t>Appendix 1.</w:t>
      </w:r>
    </w:p>
    <w:p w14:paraId="10DBCA04">
      <w:pPr>
        <w:pStyle w:val="3"/>
        <w:spacing w:before="240" w:after="240"/>
        <w:rPr>
          <w:rFonts w:ascii="Times New Roman" w:hAnsi="Times New Roman" w:eastAsia="Times New Roman" w:cs="Times New Roman"/>
          <w:sz w:val="24"/>
          <w:szCs w:val="24"/>
          <w:lang w:val="en-GB"/>
        </w:rPr>
      </w:pPr>
      <w:r>
        <w:rPr>
          <w:lang w:val="en-GB"/>
        </w:rPr>
        <w:t>Aughterson et al. (2021) mainly evaluated the psychosocial well-being through in-depth interviews with 25 health and social care professionals in the UK. The research question was well illustrated, and it was appropriately answered by the application of the qualitative method which was used because of the capability of generating rich information. The purposive sampling technique was employed to introduce diversity based on age, ethnicity, gender and professional roles and enhance the transferability. The semi-structured telephone and video interviews were also premised on Berkman's social networks framework and the Sense of Coherence theory developed by Antonovsky. The interviews were carried out until the data was sufficient. Ethical approval and informed consent were received. Reflexive thematic analysis was performed through the use of Braun and Clarke's methods, in which two researchers individually coded four transcripts and made a framework by meeting weekly, reducing bias. Verbatim quotes and data are incompatible with one another and made the study less questionable, but relations between the researcher and the participants were not thoroughly investigated.</w:t>
      </w:r>
    </w:p>
    <w:p w14:paraId="5AE1AAE2">
      <w:pPr>
        <w:pStyle w:val="3"/>
        <w:spacing w:before="240" w:after="240"/>
        <w:rPr>
          <w:rFonts w:ascii="Times New Roman" w:hAnsi="Times New Roman" w:eastAsia="Times New Roman" w:cs="Times New Roman"/>
          <w:sz w:val="24"/>
          <w:szCs w:val="24"/>
          <w:lang w:val="en-GB"/>
        </w:rPr>
      </w:pPr>
      <w:r>
        <w:rPr>
          <w:lang w:val="en-GB"/>
        </w:rPr>
        <w:t xml:space="preserve">Allsopp et al. (2023) evaluated the introduction of the Resilience Hub using 63 interviews with the hub staff, clients, non-hub key-workers, and stakeholders in three locations in the North of England. The study was based on the theory of normalisation Process. The purposive sampling was geared towards the maximum variation, with the focus being on the ethnic minority staff and those who have stopped supporting. The interviews were semi-structured and done by trained researchers, and minimised bias was as a result of using different interviewers. A combination of two researchers and independent coding was offered together with discrepancy resolution based on one deductive coding method (framework analysis) to theoretical constructs. The patient and public involvement informed the topic guides. Ethical consent was taken. </w:t>
      </w:r>
    </w:p>
    <w:p w14:paraId="1E65791E">
      <w:pPr>
        <w:pStyle w:val="3"/>
        <w:spacing w:before="240" w:after="240"/>
        <w:rPr>
          <w:lang w:val="en-GB"/>
        </w:rPr>
      </w:pPr>
      <w:r>
        <w:rPr>
          <w:lang w:val="en-GB"/>
        </w:rPr>
        <w:t xml:space="preserve">Blake </w:t>
      </w:r>
      <w:r>
        <w:rPr>
          <w:i/>
          <w:iCs/>
          <w:lang w:val="en-GB"/>
        </w:rPr>
        <w:t>et al.</w:t>
      </w:r>
      <w:r>
        <w:rPr>
          <w:lang w:val="en-GB"/>
        </w:rPr>
        <w:t xml:space="preserve"> (2021) evaluated the supported wellbeing centres through 24 interviews of employees of the hospital and working personnel in an acute NHS trust. The objectives of the research that were touched concerned the psychological impact, access experience, barriers, facilitators and sustainability. Sampling of the clinical and non-clinical roles was also done, but only one respondent was of an ethnic minority origin. Semi-structured interviews were carried out using the systematically developed and pilot-tested topic guides. Coding used in framework analysis was deductive-inductive, consisting of three researchers and was incorporated with the service user review to add credibility. Ethical approval and consent for the process were obtained. The under-representation of ethnic minorities and potential self-selection bias were taken as limitations. Regardless of the drawbacks of representativeness and reflexivity reporting, the results are similar in determining the stress factors, such as communication barriers, work-life imbalance and moral distress, and the facilitating factors, such as team cohesion, leadership and peer support. </w:t>
      </w:r>
      <w:bookmarkStart w:id="45" w:name="_heading=h.x3fgikxf8rmm" w:colFirst="0" w:colLast="0"/>
      <w:bookmarkEnd w:id="45"/>
    </w:p>
    <w:p w14:paraId="35E445A5">
      <w:pPr>
        <w:pStyle w:val="4"/>
        <w:spacing w:line="480" w:lineRule="auto"/>
        <w:ind w:left="0"/>
        <w:rPr>
          <w:lang w:val="en-GB"/>
        </w:rPr>
      </w:pPr>
      <w:bookmarkStart w:id="46" w:name="_Toc228745833"/>
      <w:r>
        <w:rPr>
          <w:lang w:val="en-GB"/>
        </w:rPr>
        <w:t>4.6 Evaluation of Quantitative Studies Using an Appropriate Tool</w:t>
      </w:r>
      <w:bookmarkEnd w:id="46"/>
    </w:p>
    <w:p w14:paraId="1150AB4D">
      <w:pPr>
        <w:pStyle w:val="3"/>
        <w:widowControl/>
        <w:rPr>
          <w:b/>
          <w:bCs/>
          <w:i/>
          <w:iCs/>
          <w:lang w:val="en-GB"/>
        </w:rPr>
      </w:pPr>
      <w:r>
        <w:rPr>
          <w:lang w:val="en-GB"/>
        </w:rPr>
        <w:t xml:space="preserve">The evaluation of all the selected ‘quantitative studies’ within this systematic review has been based on the use of the ‘CASP’ checklist for ‘Cohort Study’ and ‘Cross-Sectional Study’. According to CASP (2025), the use of a ‘cross-sectional’ study checklist is considered to be a well-organised observational tool which is important to capture all the data from the participants at a particular point. On the other hand, the importance of the ‘Cohort Study’ checklist mainly involves the identification of a proper exposure over time (CASP, 2024). Both of the checklists evaluated the validity, clarity, and statistical evaluation of the articles, identifying the generalisability of all the findings. The completed appraisal tables have been showcased in </w:t>
      </w:r>
      <w:r>
        <w:rPr>
          <w:b/>
          <w:bCs/>
          <w:i/>
          <w:iCs/>
          <w:lang w:val="en-GB"/>
        </w:rPr>
        <w:t xml:space="preserve">Appendix 2. </w:t>
      </w:r>
    </w:p>
    <w:p w14:paraId="5EC87313">
      <w:pPr>
        <w:pStyle w:val="3"/>
        <w:widowControl/>
        <w:rPr>
          <w:b/>
          <w:bCs/>
          <w:i/>
          <w:iCs/>
          <w:lang w:val="en-GB"/>
        </w:rPr>
      </w:pPr>
    </w:p>
    <w:p w14:paraId="4AF39264">
      <w:pPr>
        <w:pStyle w:val="5"/>
        <w:spacing w:line="480" w:lineRule="auto"/>
        <w:rPr>
          <w:lang w:val="en-GB"/>
        </w:rPr>
      </w:pPr>
      <w:bookmarkStart w:id="47" w:name="_Toc228745834"/>
      <w:r>
        <w:rPr>
          <w:lang w:val="en-GB"/>
        </w:rPr>
        <w:t>4.6.1 Purpose of Quantitative Studies</w:t>
      </w:r>
      <w:bookmarkEnd w:id="47"/>
    </w:p>
    <w:p w14:paraId="7D43F525">
      <w:pPr>
        <w:pStyle w:val="3"/>
        <w:widowControl/>
        <w:rPr>
          <w:lang w:val="en-GB"/>
        </w:rPr>
      </w:pPr>
      <w:r>
        <w:rPr>
          <w:highlight w:val="white"/>
          <w:lang w:val="en-GB"/>
        </w:rPr>
        <w:t xml:space="preserve">This type of studies mainly helps in gathering a huge range of data to conduct extremely useful analysis while involving methodologies like observational groups, questionnaires for surveys, and many more (Ahmad </w:t>
      </w:r>
      <w:r>
        <w:rPr>
          <w:i/>
          <w:iCs/>
          <w:highlight w:val="white"/>
          <w:lang w:val="en-GB"/>
        </w:rPr>
        <w:t>et al.,</w:t>
      </w:r>
      <w:r>
        <w:rPr>
          <w:highlight w:val="white"/>
          <w:lang w:val="en-GB"/>
        </w:rPr>
        <w:t xml:space="preserve"> 2019). Among all the 12 articles, about 8 of them have been identified as part of the ‘quantitative’ studies. All the 8 articles also aimed to evaluate burnout and mental well-being conditions followed by workplace support for social care workers after and during the period of COVID-19. Collectively, the main aim of the articles was to measure all the levels of psychological distress and burnout while evaluating the predictors, such as workplace support and coping strategies. The methodologies of the articles were also appropriate to answer the research question as well. </w:t>
      </w:r>
    </w:p>
    <w:p w14:paraId="33207F15">
      <w:pPr>
        <w:pStyle w:val="5"/>
        <w:spacing w:line="480" w:lineRule="auto"/>
        <w:rPr>
          <w:lang w:val="en-GB"/>
        </w:rPr>
      </w:pPr>
      <w:bookmarkStart w:id="48" w:name="_Toc228745835"/>
      <w:r>
        <w:rPr>
          <w:lang w:val="en-GB"/>
        </w:rPr>
        <w:t>4.6.2 Evaluation of Quantitative Studies (Cross-Sectional Method)</w:t>
      </w:r>
      <w:bookmarkEnd w:id="48"/>
    </w:p>
    <w:p w14:paraId="00B81F2D">
      <w:pPr>
        <w:pStyle w:val="3"/>
        <w:widowControl/>
        <w:rPr>
          <w:lang w:val="en-GB"/>
        </w:rPr>
      </w:pPr>
      <w:r>
        <w:rPr>
          <w:lang w:val="en-GB"/>
        </w:rPr>
        <w:t xml:space="preserve">The research by McFadden </w:t>
      </w:r>
      <w:r>
        <w:rPr>
          <w:i/>
          <w:iCs/>
          <w:lang w:val="en-GB"/>
        </w:rPr>
        <w:t>et al.</w:t>
      </w:r>
      <w:r>
        <w:rPr>
          <w:lang w:val="en-GB"/>
        </w:rPr>
        <w:t xml:space="preserve"> (2021), mainly focused on the evaluation of mental health well-being and the quality of overall working life at two specific points of COVID-19. The survey in this research included midwives, nurses, healthcare professionals, and social workers from different parts of the UK. The first phase was from May to July 2020, and the second phase was from November 2020 to January 2021.  This study has incorporated validated types of scales along with the process of multiple ‘regression’, which has further enhanced the internal validity of the research. The first phase involves a total of 3290 responses, while the second phase includes 3499 total responses. The increased sample size of this research has helped in increasing the overall generalisability of the study. However, the presence of self-reflection bias involved the chances of influencing the findings. </w:t>
      </w:r>
    </w:p>
    <w:p w14:paraId="3290ACF5">
      <w:pPr>
        <w:pStyle w:val="3"/>
        <w:widowControl/>
        <w:rPr>
          <w:lang w:val="en-GB"/>
        </w:rPr>
      </w:pPr>
      <w:r>
        <w:rPr>
          <w:lang w:val="en-GB"/>
        </w:rPr>
        <w:t xml:space="preserve">The second research by Gillen </w:t>
      </w:r>
      <w:r>
        <w:rPr>
          <w:i/>
          <w:iCs/>
          <w:lang w:val="en-GB"/>
        </w:rPr>
        <w:t>et al.</w:t>
      </w:r>
      <w:r>
        <w:rPr>
          <w:lang w:val="en-GB"/>
        </w:rPr>
        <w:t xml:space="preserve"> (2022), has focused on the development of structured compassion in 3 different phases that have been assessed based on the declining well-being and all the coping strategies. The three phases started from May 2020 and ended in July 2021 with the use of a ‘cross-sectional’ survey method in different places of the UK, such as England, Scotland, and many more. With the use of the structured methodological approach, the research has validated the findings. All the tools of measurement were also appropriate and helped in developing better reliance on the self-reported data as well. </w:t>
      </w:r>
    </w:p>
    <w:p w14:paraId="734801E7">
      <w:pPr>
        <w:pStyle w:val="3"/>
        <w:widowControl/>
        <w:rPr>
          <w:lang w:val="en-GB"/>
        </w:rPr>
      </w:pPr>
      <w:r>
        <w:rPr>
          <w:lang w:val="en-GB"/>
        </w:rPr>
        <w:t xml:space="preserve">Thirdly, the research by Neill </w:t>
      </w:r>
      <w:r>
        <w:rPr>
          <w:i/>
          <w:iCs/>
          <w:lang w:val="en-GB"/>
        </w:rPr>
        <w:t>et al.</w:t>
      </w:r>
      <w:r>
        <w:rPr>
          <w:lang w:val="en-GB"/>
        </w:rPr>
        <w:t xml:space="preserve"> (2023), included more than 14,000 participants across all the 6 time periods. The huge sample size has been identified as the major strength of this research, which has also helped in making improvements within the statistical power, along with providing better reliability.  Moreover, with the use of the framework ‘Job Demand-Resources,’ this research has increased theoretical grounding as well. However, with the other designs based on surveys, the chances of developing response biases are still there. </w:t>
      </w:r>
    </w:p>
    <w:p w14:paraId="2C7DEA86">
      <w:pPr>
        <w:pStyle w:val="3"/>
        <w:widowControl/>
        <w:rPr>
          <w:lang w:val="en-GB"/>
        </w:rPr>
      </w:pPr>
      <w:r>
        <w:rPr>
          <w:lang w:val="en-GB"/>
        </w:rPr>
        <w:t xml:space="preserve">Lastly, the research by Ravalier </w:t>
      </w:r>
      <w:r>
        <w:rPr>
          <w:i/>
          <w:iCs/>
          <w:lang w:val="en-GB"/>
        </w:rPr>
        <w:t>et al.</w:t>
      </w:r>
      <w:r>
        <w:rPr>
          <w:lang w:val="en-GB"/>
        </w:rPr>
        <w:t xml:space="preserve"> (2023), has further evaluated all the conditions of working and the well-being of the individuals in 2 different phases of the pandemic. This research has measured the psychological well-being along with the working conditions of the participants.  The use of ‘Regression Modelling’ in this research has further helped in the identification of appropriate predictors as part of the deteriorating well-being. A clear exposure has been defined by this research, along with the identification of all the outcome variables while satisfying the validity criteria of CASP. </w:t>
      </w:r>
    </w:p>
    <w:p w14:paraId="759AF29D">
      <w:pPr>
        <w:pStyle w:val="3"/>
        <w:widowControl/>
        <w:rPr>
          <w:lang w:val="en-GB"/>
        </w:rPr>
      </w:pPr>
      <w:r>
        <w:rPr>
          <w:lang w:val="en-GB"/>
        </w:rPr>
        <w:t xml:space="preserve">Overall, all the articles with the use of ‘Cross-section’ survey design have validated the use of proper psychological instruments and also indicated the presence of proper statistical modelling. Moreover, all the identified variables were acknowledged and also controlled properly. However, several limitations of the articles are as follows, </w:t>
      </w:r>
    </w:p>
    <w:p w14:paraId="545A6C5E">
      <w:pPr>
        <w:pStyle w:val="3"/>
        <w:widowControl/>
        <w:numPr>
          <w:ilvl w:val="0"/>
          <w:numId w:val="3"/>
        </w:numPr>
        <w:rPr>
          <w:lang w:val="en-GB"/>
        </w:rPr>
      </w:pPr>
      <w:r>
        <w:rPr>
          <w:lang w:val="en-GB"/>
        </w:rPr>
        <w:t xml:space="preserve">Risks associated with selection bias. </w:t>
      </w:r>
    </w:p>
    <w:p w14:paraId="2BFC2B64">
      <w:pPr>
        <w:pStyle w:val="3"/>
        <w:widowControl/>
        <w:numPr>
          <w:ilvl w:val="0"/>
          <w:numId w:val="3"/>
        </w:numPr>
        <w:rPr>
          <w:lang w:val="en-GB"/>
        </w:rPr>
      </w:pPr>
      <w:r>
        <w:rPr>
          <w:lang w:val="en-GB"/>
        </w:rPr>
        <w:t xml:space="preserve">Inability to develop the chances of causality. </w:t>
      </w:r>
    </w:p>
    <w:p w14:paraId="04195B9F">
      <w:pPr>
        <w:pStyle w:val="3"/>
        <w:widowControl/>
        <w:numPr>
          <w:ilvl w:val="0"/>
          <w:numId w:val="3"/>
        </w:numPr>
        <w:rPr>
          <w:lang w:val="en-GB"/>
        </w:rPr>
      </w:pPr>
      <w:r>
        <w:rPr>
          <w:lang w:val="en-GB"/>
        </w:rPr>
        <w:t>Increased dependency on the measurements that are self-reported.</w:t>
      </w:r>
    </w:p>
    <w:p w14:paraId="5BDC9064">
      <w:pPr>
        <w:pStyle w:val="3"/>
        <w:widowControl/>
        <w:rPr>
          <w:lang w:val="en-GB"/>
        </w:rPr>
      </w:pPr>
      <w:r>
        <w:rPr>
          <w:lang w:val="en-GB"/>
        </w:rPr>
        <w:t xml:space="preserve">Even after having limitations, the quality of the methodology has been acknowledged to be within the level of moderate to high based on the criteria of the CASP tool. </w:t>
      </w:r>
    </w:p>
    <w:p w14:paraId="379C3DEC">
      <w:pPr>
        <w:pStyle w:val="5"/>
        <w:spacing w:line="480" w:lineRule="auto"/>
        <w:rPr>
          <w:lang w:val="en-GB"/>
        </w:rPr>
      </w:pPr>
      <w:bookmarkStart w:id="49" w:name="_Toc228745836"/>
      <w:r>
        <w:rPr>
          <w:lang w:val="en-GB"/>
        </w:rPr>
        <w:t>4.6.3 Evaluation of Quantitative Studies (Cohort Method)</w:t>
      </w:r>
      <w:bookmarkEnd w:id="49"/>
    </w:p>
    <w:p w14:paraId="0000484D">
      <w:pPr>
        <w:pStyle w:val="3"/>
        <w:widowControl/>
        <w:rPr>
          <w:lang w:val="en-GB"/>
        </w:rPr>
      </w:pPr>
      <w:r>
        <w:rPr>
          <w:lang w:val="en-GB"/>
        </w:rPr>
        <w:t xml:space="preserve">The first research by McFadden </w:t>
      </w:r>
      <w:r>
        <w:rPr>
          <w:i/>
          <w:iCs/>
          <w:lang w:val="en-GB"/>
        </w:rPr>
        <w:t>et al.</w:t>
      </w:r>
      <w:r>
        <w:rPr>
          <w:lang w:val="en-GB"/>
        </w:rPr>
        <w:t xml:space="preserve"> (2021), has focused on the identification of the role of all the coping strategies over a specific time. The use of regression analysis has helped in exploring the presence of ‘predictive’ type of relationships. The design of ‘longitudinal’ in this research has further strengthened the overall temporal inference while comparing with the method of ‘cross-sectional’. The use of all the validated instruments has further developed proper statistical adjustments. However, the development of biases has affected all the follow-up responses. </w:t>
      </w:r>
    </w:p>
    <w:p w14:paraId="25E262FA">
      <w:pPr>
        <w:pStyle w:val="3"/>
        <w:widowControl/>
        <w:rPr>
          <w:lang w:val="en-GB"/>
        </w:rPr>
      </w:pPr>
      <w:r>
        <w:rPr>
          <w:lang w:val="en-GB"/>
        </w:rPr>
        <w:t xml:space="preserve">Another research by Petrella </w:t>
      </w:r>
      <w:r>
        <w:rPr>
          <w:i/>
          <w:iCs/>
          <w:lang w:val="en-GB"/>
        </w:rPr>
        <w:t>et al.</w:t>
      </w:r>
      <w:r>
        <w:rPr>
          <w:lang w:val="en-GB"/>
        </w:rPr>
        <w:t xml:space="preserve"> (2021), has successfully assessed the proper use of all the support services and the well-being of the workers. Associations were further explored based on the use of ‘regression modelling’. Moreover, the appropriate use of validated scales of mental health has further increased the aspects of reliability. However, due to having voluntary participants, the chances of developing selection biases were possible in this research. Additionally, the duration of follow-up was limited to the phases of the acute pandemic. </w:t>
      </w:r>
    </w:p>
    <w:p w14:paraId="78FBE2B7">
      <w:pPr>
        <w:pStyle w:val="3"/>
        <w:widowControl/>
        <w:rPr>
          <w:lang w:val="en-GB"/>
        </w:rPr>
      </w:pPr>
      <w:r>
        <w:rPr>
          <w:lang w:val="en-GB"/>
        </w:rPr>
        <w:t xml:space="preserve">Thirdly, the research by Collett </w:t>
      </w:r>
      <w:r>
        <w:rPr>
          <w:i/>
          <w:iCs/>
          <w:lang w:val="en-GB"/>
        </w:rPr>
        <w:t>et al.</w:t>
      </w:r>
      <w:r>
        <w:rPr>
          <w:lang w:val="en-GB"/>
        </w:rPr>
        <w:t xml:space="preserve"> (2025), has successfully evaluated the components associated with workplace support and all the other outcomes of mental health. This research has also incorporated the use of validated scales like PHQ-9 and many are along with an adjusted analysis of ‘regression’. The overall cohort structure of this research has improved the evaluation of workplace support and all the other psychological outcomes as well. </w:t>
      </w:r>
    </w:p>
    <w:p w14:paraId="7235828F">
      <w:pPr>
        <w:pStyle w:val="3"/>
        <w:widowControl/>
        <w:rPr>
          <w:lang w:val="en-GB"/>
        </w:rPr>
      </w:pPr>
      <w:r>
        <w:rPr>
          <w:lang w:val="en-GB"/>
        </w:rPr>
        <w:t xml:space="preserve">Lastly, the research by Davies </w:t>
      </w:r>
      <w:r>
        <w:rPr>
          <w:i/>
          <w:iCs/>
          <w:lang w:val="en-GB"/>
        </w:rPr>
        <w:t>et al.</w:t>
      </w:r>
      <w:r>
        <w:rPr>
          <w:lang w:val="en-GB"/>
        </w:rPr>
        <w:t xml:space="preserve"> (2025), explored both the areas of moral injury and burnout among social worker within the COVID-19 pandemic. The specific use of ‘regression’ analysis has helped in the identification of predictors. This research has also defined all the outcomes with a clear approach. Moreover, the identification of all the applied scales that are validated showcased the areas of a better sampling approach while limiting generalisability.  </w:t>
      </w:r>
    </w:p>
    <w:p w14:paraId="09DEA05D">
      <w:pPr>
        <w:pStyle w:val="3"/>
        <w:widowControl/>
        <w:rPr>
          <w:lang w:val="en-GB"/>
        </w:rPr>
      </w:pPr>
      <w:r>
        <w:rPr>
          <w:lang w:val="en-GB"/>
        </w:rPr>
        <w:t xml:space="preserve">Overall, all these 4 articles have demonstrated the presence of stronger design of methodology while comparing with the other 4 ‘cross-sectional’ studies. However, some of the potential limitations of the articles are as follows, </w:t>
      </w:r>
    </w:p>
    <w:p w14:paraId="3CBABF5D">
      <w:pPr>
        <w:pStyle w:val="3"/>
        <w:widowControl/>
        <w:numPr>
          <w:ilvl w:val="0"/>
          <w:numId w:val="4"/>
        </w:numPr>
        <w:rPr>
          <w:lang w:val="en-GB"/>
        </w:rPr>
      </w:pPr>
      <w:r>
        <w:rPr>
          <w:lang w:val="en-GB"/>
        </w:rPr>
        <w:t xml:space="preserve">Self-selection Bias development. </w:t>
      </w:r>
    </w:p>
    <w:p w14:paraId="634C39BC">
      <w:pPr>
        <w:pStyle w:val="3"/>
        <w:widowControl/>
        <w:numPr>
          <w:ilvl w:val="0"/>
          <w:numId w:val="4"/>
        </w:numPr>
        <w:rPr>
          <w:lang w:val="en-GB"/>
        </w:rPr>
      </w:pPr>
      <w:r>
        <w:rPr>
          <w:lang w:val="en-GB"/>
        </w:rPr>
        <w:t xml:space="preserve">Development of attrition bias. </w:t>
      </w:r>
    </w:p>
    <w:p w14:paraId="7E4FD129">
      <w:pPr>
        <w:pStyle w:val="3"/>
        <w:widowControl/>
        <w:numPr>
          <w:ilvl w:val="0"/>
          <w:numId w:val="4"/>
        </w:numPr>
        <w:rPr>
          <w:lang w:val="en-GB"/>
        </w:rPr>
      </w:pPr>
      <w:r>
        <w:rPr>
          <w:lang w:val="en-GB"/>
        </w:rPr>
        <w:t xml:space="preserve">Measures of self-reported psychological areas. </w:t>
      </w:r>
    </w:p>
    <w:p w14:paraId="5718195D">
      <w:pPr>
        <w:pStyle w:val="3"/>
        <w:widowControl/>
        <w:rPr>
          <w:lang w:val="en-GB"/>
        </w:rPr>
      </w:pPr>
      <w:r>
        <w:rPr>
          <w:lang w:val="en-GB"/>
        </w:rPr>
        <w:t>Overall, all of these articles have been considered to have a high quality based on the criteria of the CASP tool.</w:t>
      </w:r>
    </w:p>
    <w:p w14:paraId="5291EE35">
      <w:pPr>
        <w:pStyle w:val="5"/>
        <w:spacing w:line="480" w:lineRule="auto"/>
        <w:ind w:firstLine="40"/>
        <w:rPr>
          <w:lang w:val="en-GB"/>
        </w:rPr>
      </w:pPr>
      <w:bookmarkStart w:id="50" w:name="_Toc228745837"/>
      <w:r>
        <w:rPr>
          <w:lang w:val="en-GB"/>
        </w:rPr>
        <w:t>4.6.4 Appropriateness of Methodology</w:t>
      </w:r>
      <w:bookmarkEnd w:id="50"/>
    </w:p>
    <w:p w14:paraId="436C56E6">
      <w:pPr>
        <w:pStyle w:val="3"/>
        <w:widowControl/>
        <w:rPr>
          <w:lang w:val="en-GB"/>
        </w:rPr>
      </w:pPr>
      <w:r>
        <w:rPr>
          <w:lang w:val="en-GB"/>
        </w:rPr>
        <w:t xml:space="preserve">Overall, the methodology within all the 8 articles has been identified to be appropriate as it helped in the evaluation of the burnout prevalence, mental health well-being, predictors associated with distress. The methodologies have further evaluated the overall impact of the required support from workplaces. All the articles have also used proper psychometric instruments and the techniques of ‘regression modelling’. This helped in identifying occupational and demographic cofounders. The methodologies of the articles were also properly aligned with the aims of the research and were suitable for the identification of structured statistical associations. </w:t>
      </w:r>
    </w:p>
    <w:p w14:paraId="2E4E81C2">
      <w:pPr>
        <w:pStyle w:val="5"/>
        <w:spacing w:line="480" w:lineRule="auto"/>
        <w:ind w:firstLine="40"/>
        <w:rPr>
          <w:lang w:val="en-GB"/>
        </w:rPr>
      </w:pPr>
      <w:bookmarkStart w:id="51" w:name="_Toc228745838"/>
      <w:r>
        <w:rPr>
          <w:lang w:val="en-GB"/>
        </w:rPr>
        <w:t>4.6.5 Overall Quality Assessment for Quantitative Studies</w:t>
      </w:r>
      <w:bookmarkEnd w:id="51"/>
    </w:p>
    <w:p w14:paraId="14D4BEE7">
      <w:pPr>
        <w:pStyle w:val="3"/>
        <w:widowControl/>
        <w:rPr>
          <w:lang w:val="en-GB"/>
        </w:rPr>
      </w:pPr>
      <w:r>
        <w:rPr>
          <w:lang w:val="en-GB"/>
        </w:rPr>
        <w:t xml:space="preserve">With the use of the CASP tool, all the ‘quantitative’ evidences have been appraised critically while further demonstrating the methodological quality to be from moderate to high level. Maximum numbers of articles defined the aims properly while using appropriate designs of observation as well. These articles also helped in validating the psychometric instruments for measuring burnout, well-being, and the coping strategies followed by the overall workplace support. Most of the articles also adjusted and identified the relevant variables through proper ‘regression analysis,’ while strengthening the areas of internal validity. However, several limitations have also been identified to develop better causal relationships, along with a structured examination of the outcomes. Overall, the articles provided stronger evidence that included the reinforcement of the importance of using appropriate coping mechanisms and better organisational support in this research. </w:t>
      </w:r>
    </w:p>
    <w:p w14:paraId="40AC6C13">
      <w:pPr>
        <w:pStyle w:val="4"/>
        <w:spacing w:line="480" w:lineRule="auto"/>
        <w:ind w:left="0"/>
        <w:rPr>
          <w:rFonts w:ascii="Times New Roman" w:hAnsi="Times New Roman" w:eastAsia="Times New Roman" w:cs="Times New Roman"/>
          <w:sz w:val="36"/>
          <w:szCs w:val="36"/>
        </w:rPr>
      </w:pPr>
      <w:bookmarkStart w:id="52" w:name="_Toc228745839"/>
      <w:r>
        <w:t>4.7 Evaluation of Mixed Methods Studies</w:t>
      </w:r>
      <w:bookmarkEnd w:id="52"/>
    </w:p>
    <w:p w14:paraId="31BAEBAC">
      <w:pPr>
        <w:pStyle w:val="3"/>
        <w:spacing w:before="240" w:after="240"/>
        <w:rPr>
          <w:rFonts w:ascii="Times New Roman" w:hAnsi="Times New Roman" w:eastAsia="Times New Roman" w:cs="Times New Roman"/>
          <w:b/>
          <w:bCs/>
          <w:i/>
          <w:iCs/>
          <w:sz w:val="24"/>
          <w:szCs w:val="24"/>
          <w:lang w:val="en-GB"/>
        </w:rPr>
      </w:pPr>
      <w:r>
        <w:rPr>
          <w:lang w:val="en-GB"/>
        </w:rPr>
        <w:t xml:space="preserve">One study applicable to the area of concern present in this review, which was underway to support the mental health of social care workers and prevent burnout, was Beattie et al. (2023), which explored the stress levels and coping among care home workers during the COVID-19 pandemic. The setting of the care home and sample size were more suitable for this review, although the nurses played a role, making most of the participants pertinent to this research study. The critique of the study involved the use of CASP Qualitative Studies Checklist and CASP Cohort Study Checklist because there is no dedicated CASP instrument related to mixed-method research. Final appraisal tables are provided in </w:t>
      </w:r>
      <w:r>
        <w:rPr>
          <w:b/>
          <w:bCs/>
          <w:i/>
          <w:iCs/>
          <w:lang w:val="en-GB"/>
        </w:rPr>
        <w:t>Appendix 3.</w:t>
      </w:r>
    </w:p>
    <w:p w14:paraId="6AEFE5FF">
      <w:pPr>
        <w:pStyle w:val="3"/>
        <w:spacing w:before="240" w:after="240"/>
        <w:rPr>
          <w:rFonts w:ascii="Times New Roman" w:hAnsi="Times New Roman" w:eastAsia="Times New Roman" w:cs="Times New Roman"/>
          <w:sz w:val="24"/>
          <w:szCs w:val="24"/>
          <w:lang w:val="en-GB"/>
        </w:rPr>
      </w:pPr>
      <w:r>
        <w:rPr>
          <w:lang w:val="en-GB"/>
        </w:rPr>
        <w:t>The qualitative section presupposed semi-structured interviews with 13 workers of care homes in Scotland about stress and coping during the pandemic. The research involved a succinctly formed issue, which is at the centre of knowing burnout. The qualitative approach to stress, moral distress, and coping investigation was appropriate. During the pandemic, Microsoft Teams interviews were suitable within the confines of the pandemic. Thematic analysis followed the steps of Braun and Clarke, according to which the analytical rigour is enhanced by the independent coding of the research sources by different researchers. Enriched with rich verbatim quotes, interpretative credibility was also supported, and process consent as well as researcher debriefing were also ethical processes. The limited sample (n=13), recruiting the sample in a single group of the private care homes, and the minimal measures undertaken to investigate the associations between the researcher and the participants were weaknesses.</w:t>
      </w:r>
    </w:p>
    <w:p w14:paraId="1057508A">
      <w:pPr>
        <w:pStyle w:val="3"/>
        <w:widowControl/>
        <w:rPr>
          <w:b/>
          <w:bCs/>
          <w:sz w:val="26"/>
          <w:szCs w:val="26"/>
        </w:rPr>
      </w:pPr>
      <w:r>
        <w:rPr>
          <w:lang w:val="en-GB"/>
        </w:rPr>
        <w:t xml:space="preserve">The quantitative section consisted of a cross-sectional survey (n=52) that contained validated scales: Perceived Stress Scale (PSS-14) and Coping Self-Efficacy Scale (CSE-26), whose internal reliabilities were high (Cronbach’s α &gt;0.89). However, the trustworthiness of the results was minimised by the methodological weaknesses. A response rate of 12% suggests that maxim participants did not respond which increases the risks of findings that are systematically biased and unrepresentative as well. Nurses made up about 50% of the respondents, although the average number of nurses in a care home was 1:10 per worker, which made generalisability quite difficult. The small sample size was a limitation to statistical power, and the cross-sectional design was not able to provide an opportunity to make a causal or temporal conclusion. </w:t>
      </w:r>
    </w:p>
    <w:p w14:paraId="00B97D00">
      <w:pPr>
        <w:pStyle w:val="4"/>
        <w:spacing w:line="480" w:lineRule="auto"/>
        <w:ind w:left="0"/>
        <w:rPr>
          <w:lang w:val="en-GB"/>
        </w:rPr>
      </w:pPr>
      <w:bookmarkStart w:id="53" w:name="_Toc228745840"/>
      <w:r>
        <w:rPr>
          <w:lang w:val="en-GB"/>
        </w:rPr>
        <w:t>4.8 Chapter Summary</w:t>
      </w:r>
      <w:bookmarkEnd w:id="53"/>
    </w:p>
    <w:p w14:paraId="66FD2BAF">
      <w:pPr>
        <w:pStyle w:val="3"/>
        <w:widowControl/>
        <w:rPr>
          <w:lang w:val="en-GB"/>
        </w:rPr>
      </w:pPr>
      <w:r>
        <w:rPr>
          <w:lang w:val="en-GB"/>
        </w:rPr>
        <w:t xml:space="preserve">The development of this chapter has successfully represented all the areas of critical appraisal and data extraction for all 12 articles. It also helped in ensuring the presence of a structured methodological transparency along with a well-organised assessment of the articles’ quality. Moreover, some of the important characteristics of the articles included the presence of proper design and setting in the studies within a predefined form. The use of proper appraisal tools was further applied for assessing the methodological aspects in the studies while reviewing the credibility of all the findings in the articles. All the findings have been analysed and also synthesised in the next chapter of this research, along with identifying the practical solutions as well. </w:t>
      </w:r>
    </w:p>
    <w:p w14:paraId="1981CBBE">
      <w:pPr>
        <w:pStyle w:val="3"/>
        <w:rPr>
          <w:lang w:val="en-GB"/>
        </w:rPr>
      </w:pPr>
    </w:p>
    <w:p w14:paraId="2371FDEF">
      <w:pPr>
        <w:pStyle w:val="3"/>
        <w:jc w:val="center"/>
        <w:rPr>
          <w:b/>
          <w:bCs/>
          <w:sz w:val="32"/>
          <w:szCs w:val="32"/>
          <w:lang w:val="en-GB"/>
        </w:rPr>
      </w:pPr>
    </w:p>
    <w:p w14:paraId="67277F5B"/>
    <w:p w14:paraId="714DB579">
      <w:pPr>
        <w:pStyle w:val="2"/>
        <w:spacing w:line="480" w:lineRule="auto"/>
        <w:rPr>
          <w:sz w:val="28"/>
          <w:szCs w:val="28"/>
        </w:rPr>
      </w:pPr>
      <w:bookmarkStart w:id="54" w:name="_Toc228745841"/>
      <w:r>
        <w:rPr>
          <w:sz w:val="28"/>
          <w:szCs w:val="28"/>
        </w:rPr>
        <w:t>CHAPTER 5: DATA ANALYSIS AND SYNTHESIS</w:t>
      </w:r>
      <w:bookmarkEnd w:id="54"/>
    </w:p>
    <w:p w14:paraId="4D37E6FB">
      <w:pPr>
        <w:pStyle w:val="4"/>
        <w:spacing w:line="480" w:lineRule="auto"/>
        <w:ind w:left="0"/>
        <w:rPr>
          <w:lang w:val="en-GB"/>
        </w:rPr>
      </w:pPr>
      <w:bookmarkStart w:id="55" w:name="_Toc228745842"/>
      <w:r>
        <w:rPr>
          <w:lang w:val="en-GB"/>
        </w:rPr>
        <w:t>5.1 Introduction to Chapter</w:t>
      </w:r>
      <w:bookmarkEnd w:id="55"/>
    </w:p>
    <w:p w14:paraId="74A5071E">
      <w:pPr>
        <w:pStyle w:val="3"/>
        <w:widowControl/>
        <w:rPr>
          <w:lang w:val="en-GB"/>
        </w:rPr>
      </w:pPr>
      <w:r>
        <w:rPr>
          <w:lang w:val="en-GB"/>
        </w:rPr>
        <w:t xml:space="preserve">The development of this chapter represents the synthesis and analysis of all the findings that have been derived from the articles which were selected for the development of this research. While focusing on the process of screening, which has been described in the chapter on methodology, about 12 studies were selected that aligned with the inclusion and exclusion criteria. The main purpose of this chapter is to successfully identify the relationships and patterns associated with already existing literature on mental health and burnout among social workers in the UK, both before and during the period of the COVID-19 pandemic. </w:t>
      </w:r>
    </w:p>
    <w:p w14:paraId="7A0F053A">
      <w:pPr>
        <w:pStyle w:val="4"/>
        <w:spacing w:line="480" w:lineRule="auto"/>
        <w:ind w:left="0"/>
        <w:rPr>
          <w:lang w:val="en-GB"/>
        </w:rPr>
      </w:pPr>
      <w:bookmarkStart w:id="56" w:name="_Toc228745843"/>
      <w:r>
        <w:rPr>
          <w:lang w:val="en-GB"/>
        </w:rPr>
        <w:t>5.2 Thematic Analysis</w:t>
      </w:r>
      <w:bookmarkEnd w:id="56"/>
    </w:p>
    <w:p w14:paraId="2D4881AD">
      <w:pPr>
        <w:pStyle w:val="3"/>
        <w:widowControl/>
        <w:rPr>
          <w:highlight w:val="white"/>
          <w:lang w:val="en-GB"/>
        </w:rPr>
      </w:pPr>
      <w:r>
        <w:rPr>
          <w:lang w:val="en-GB"/>
        </w:rPr>
        <w:t xml:space="preserve">‘Thematic analysis’ is known as a method of data analysis which helps in identifying and analysing along with interpreting, specific themes or patterns in the data as per </w:t>
      </w:r>
      <w:r>
        <w:rPr>
          <w:highlight w:val="white"/>
          <w:lang w:val="en-GB"/>
        </w:rPr>
        <w:t xml:space="preserve">Clarke and Braun (2017). The application of this data analysis technique is also referred to as ‘thematic synthesis’, where all the findings from different resources are used to create well-organised insights. This approach is useful for both ‘qualitative’ and ‘quantitative’ research. </w:t>
      </w:r>
    </w:p>
    <w:p w14:paraId="51A38A36">
      <w:pPr>
        <w:pStyle w:val="4"/>
        <w:spacing w:line="480" w:lineRule="auto"/>
        <w:ind w:left="0"/>
        <w:rPr>
          <w:lang w:val="en-GB"/>
        </w:rPr>
      </w:pPr>
      <w:bookmarkStart w:id="57" w:name="_Toc228745844"/>
      <w:r>
        <w:rPr>
          <w:lang w:val="en-GB"/>
        </w:rPr>
        <w:t>5.3 Data Analysis Tool</w:t>
      </w:r>
      <w:bookmarkEnd w:id="57"/>
    </w:p>
    <w:p w14:paraId="09FA1495">
      <w:pPr>
        <w:pStyle w:val="3"/>
        <w:widowControl/>
        <w:rPr>
          <w:lang w:val="en-GB"/>
        </w:rPr>
      </w:pPr>
      <w:r>
        <w:rPr>
          <w:lang w:val="en-GB"/>
        </w:rPr>
        <w:t xml:space="preserve">The selected tool of data analysis includes 6 different phases, which are, as per </w:t>
      </w:r>
      <w:r>
        <w:rPr>
          <w:highlight w:val="white"/>
          <w:lang w:val="en-GB"/>
        </w:rPr>
        <w:t>Clarke and Braun (2017)</w:t>
      </w:r>
      <w:r>
        <w:rPr>
          <w:lang w:val="en-GB"/>
        </w:rPr>
        <w:t xml:space="preserve">, the steps of familiarisation with the collected data, then generation of the main codes, followed by the identification of actual themes and then review, while naming and defining them to produce the final analysis. The overall use of this framework also helps in the management of methodological transparency while helping in the synthesis of all the findings collected from different resources as well. </w:t>
      </w:r>
    </w:p>
    <w:p w14:paraId="59F45F3C">
      <w:pPr>
        <w:pStyle w:val="4"/>
        <w:spacing w:line="480" w:lineRule="auto"/>
        <w:ind w:left="0"/>
        <w:rPr>
          <w:lang w:val="en-GB"/>
        </w:rPr>
      </w:pPr>
      <w:bookmarkStart w:id="58" w:name="_Toc228745845"/>
      <w:r>
        <w:rPr>
          <w:lang w:val="en-GB"/>
        </w:rPr>
        <w:t>5.4 Characteristics of the Identified Studies</w:t>
      </w:r>
      <w:bookmarkEnd w:id="58"/>
    </w:p>
    <w:p w14:paraId="0EF6691A">
      <w:pPr>
        <w:pStyle w:val="3"/>
        <w:widowControl/>
        <w:rPr>
          <w:b/>
          <w:bCs/>
          <w:i/>
          <w:iCs/>
          <w:highlight w:val="white"/>
          <w:lang w:val="en-GB"/>
        </w:rPr>
      </w:pPr>
      <w:r>
        <w:rPr>
          <w:highlight w:val="white"/>
          <w:lang w:val="en-GB"/>
        </w:rPr>
        <w:t xml:space="preserve">This research mainly selected a total of 12 articles for the final evaluation of mental health and burnout of the social care and health workers after or at the time of COVID-19. Most of the article was based on the UK. For example, the research by Davies </w:t>
      </w:r>
      <w:r>
        <w:rPr>
          <w:i/>
          <w:iCs/>
          <w:highlight w:val="white"/>
          <w:lang w:val="en-GB"/>
        </w:rPr>
        <w:t>et al.</w:t>
      </w:r>
      <w:r>
        <w:rPr>
          <w:highlight w:val="white"/>
          <w:lang w:val="en-GB"/>
        </w:rPr>
        <w:t xml:space="preserve"> (2025), Blake </w:t>
      </w:r>
      <w:r>
        <w:rPr>
          <w:i/>
          <w:iCs/>
          <w:highlight w:val="white"/>
          <w:lang w:val="en-GB"/>
        </w:rPr>
        <w:t>et al.</w:t>
      </w:r>
      <w:r>
        <w:rPr>
          <w:highlight w:val="white"/>
          <w:lang w:val="en-GB"/>
        </w:rPr>
        <w:t xml:space="preserve"> (2021), and Aughterson </w:t>
      </w:r>
      <w:r>
        <w:rPr>
          <w:i/>
          <w:iCs/>
          <w:highlight w:val="white"/>
          <w:lang w:val="en-GB"/>
        </w:rPr>
        <w:t>et al.</w:t>
      </w:r>
      <w:r>
        <w:rPr>
          <w:highlight w:val="white"/>
          <w:lang w:val="en-GB"/>
        </w:rPr>
        <w:t xml:space="preserve"> (2021) mainly focused on the social care and healthcare workers of England. While other articles by Gillen </w:t>
      </w:r>
      <w:r>
        <w:rPr>
          <w:i/>
          <w:iCs/>
          <w:highlight w:val="white"/>
          <w:lang w:val="en-GB"/>
        </w:rPr>
        <w:t>et al.</w:t>
      </w:r>
      <w:r>
        <w:rPr>
          <w:highlight w:val="white"/>
          <w:lang w:val="en-GB"/>
        </w:rPr>
        <w:t xml:space="preserve"> (2022), Neill </w:t>
      </w:r>
      <w:r>
        <w:rPr>
          <w:i/>
          <w:iCs/>
          <w:highlight w:val="white"/>
          <w:lang w:val="en-GB"/>
        </w:rPr>
        <w:t>et al.</w:t>
      </w:r>
      <w:r>
        <w:rPr>
          <w:highlight w:val="white"/>
          <w:lang w:val="en-GB"/>
        </w:rPr>
        <w:t xml:space="preserve"> (2023), and McFadden </w:t>
      </w:r>
      <w:r>
        <w:rPr>
          <w:i/>
          <w:highlight w:val="white"/>
          <w:lang w:val="en-GB"/>
        </w:rPr>
        <w:t>et al</w:t>
      </w:r>
      <w:r>
        <w:rPr>
          <w:highlight w:val="white"/>
          <w:lang w:val="en-GB"/>
        </w:rPr>
        <w:t xml:space="preserve">. (2021) analysed overall mental well-being within the social and healthcare sectors in the UK. Whereas Beattie </w:t>
      </w:r>
      <w:r>
        <w:rPr>
          <w:i/>
          <w:iCs/>
          <w:highlight w:val="white"/>
          <w:lang w:val="en-GB"/>
        </w:rPr>
        <w:t>et al.</w:t>
      </w:r>
      <w:r>
        <w:rPr>
          <w:highlight w:val="white"/>
          <w:lang w:val="en-GB"/>
        </w:rPr>
        <w:t xml:space="preserve"> (2023) and Allsopp </w:t>
      </w:r>
      <w:r>
        <w:rPr>
          <w:i/>
          <w:iCs/>
          <w:highlight w:val="white"/>
          <w:lang w:val="en-GB"/>
        </w:rPr>
        <w:t>et al.</w:t>
      </w:r>
      <w:r>
        <w:rPr>
          <w:highlight w:val="white"/>
          <w:lang w:val="en-GB"/>
        </w:rPr>
        <w:t xml:space="preserve"> (2023) also further explored the hubs of psychological support in the areas of Northern England. While focusing on the use of appropriate research design, all the articles involved useful approaches that helped in collecting practical data, which further aligned with the objectives and aims of this research as well </w:t>
      </w:r>
      <w:r>
        <w:rPr>
          <w:b/>
          <w:bCs/>
          <w:i/>
          <w:iCs/>
          <w:highlight w:val="white"/>
          <w:lang w:val="en-GB"/>
        </w:rPr>
        <w:t>[Referred to Appendix 4].</w:t>
      </w:r>
    </w:p>
    <w:p w14:paraId="1E2AB7EE">
      <w:pPr>
        <w:pStyle w:val="4"/>
        <w:spacing w:line="480" w:lineRule="auto"/>
        <w:ind w:left="0"/>
        <w:rPr>
          <w:rFonts w:ascii="Times New Roman" w:hAnsi="Times New Roman" w:eastAsia="Times New Roman" w:cs="Times New Roman"/>
          <w:sz w:val="36"/>
          <w:szCs w:val="36"/>
          <w:lang w:val="en-GB"/>
        </w:rPr>
      </w:pPr>
      <w:bookmarkStart w:id="59" w:name="_Toc228745846"/>
      <w:r>
        <w:rPr>
          <w:lang w:val="en-GB"/>
        </w:rPr>
        <w:t>5.5 Emerging Themes from included studies (Analysis/Synthesis of included studies)</w:t>
      </w:r>
      <w:bookmarkEnd w:id="59"/>
      <w:r>
        <w:rPr>
          <w:lang w:val="en-GB"/>
        </w:rPr>
        <w:t> </w:t>
      </w:r>
    </w:p>
    <w:p w14:paraId="67DEE2C0">
      <w:pPr>
        <w:pStyle w:val="3"/>
        <w:rPr>
          <w:rFonts w:ascii="Times New Roman" w:hAnsi="Times New Roman" w:eastAsia="Times New Roman" w:cs="Times New Roman"/>
          <w:sz w:val="24"/>
          <w:szCs w:val="24"/>
          <w:lang w:val="en-GB"/>
        </w:rPr>
      </w:pPr>
      <w:r>
        <w:rPr>
          <w:lang w:val="en-GB"/>
        </w:rPr>
        <w:t xml:space="preserve">The analysis of the included studies identified the following general themes and sub-themes in </w:t>
      </w:r>
      <w:r>
        <w:rPr>
          <w:b/>
          <w:bCs/>
          <w:i/>
          <w:iCs/>
          <w:lang w:val="en-GB"/>
        </w:rPr>
        <w:t>Appendix 5.</w:t>
      </w:r>
    </w:p>
    <w:p w14:paraId="6CADCFEA">
      <w:pPr>
        <w:pStyle w:val="5"/>
        <w:spacing w:line="480" w:lineRule="auto"/>
        <w:rPr>
          <w:rFonts w:ascii="Times New Roman" w:hAnsi="Times New Roman" w:eastAsia="Times New Roman" w:cs="Times New Roman"/>
          <w:sz w:val="27"/>
          <w:szCs w:val="27"/>
          <w:lang w:val="en-GB"/>
        </w:rPr>
      </w:pPr>
      <w:bookmarkStart w:id="60" w:name="_Toc228745847"/>
      <w:r>
        <w:rPr>
          <w:lang w:val="en-GB"/>
        </w:rPr>
        <w:t>5.5.1 Theme 1: Escalation of Burnout and Psychological Distress</w:t>
      </w:r>
      <w:bookmarkEnd w:id="60"/>
    </w:p>
    <w:p w14:paraId="630E40FD">
      <w:pPr>
        <w:pStyle w:val="3"/>
        <w:rPr>
          <w:rFonts w:ascii="Times New Roman" w:hAnsi="Times New Roman" w:eastAsia="Times New Roman" w:cs="Times New Roman"/>
          <w:sz w:val="24"/>
          <w:szCs w:val="24"/>
          <w:lang w:val="en-GB"/>
        </w:rPr>
      </w:pPr>
      <w:r>
        <w:rPr>
          <w:lang w:val="en-GB"/>
        </w:rPr>
        <w:t>All the incorporated studies reported high values of burnout and psychological distress in the UK social care workers throughout and following the COVID-19 pandemic. This invalidates the presumptions of natural recovery and rather shows that there is a progressive degradation with grave consequences on workforce sustainability.</w:t>
      </w:r>
    </w:p>
    <w:p w14:paraId="34E002DA">
      <w:pPr>
        <w:pStyle w:val="3"/>
        <w:rPr>
          <w:rFonts w:ascii="Times New Roman" w:hAnsi="Times New Roman" w:eastAsia="Times New Roman" w:cs="Times New Roman"/>
          <w:sz w:val="24"/>
          <w:szCs w:val="24"/>
          <w:lang w:val="en-GB"/>
        </w:rPr>
      </w:pPr>
      <w:r>
        <w:rPr>
          <w:lang w:val="en-GB"/>
        </w:rPr>
        <w:t xml:space="preserve">According to Petrella </w:t>
      </w:r>
      <w:r>
        <w:rPr>
          <w:i/>
          <w:lang w:val="en-GB"/>
        </w:rPr>
        <w:t>et al.</w:t>
      </w:r>
      <w:r>
        <w:rPr>
          <w:lang w:val="en-GB"/>
        </w:rPr>
        <w:t xml:space="preserve"> (2021), 84% of the healthcare employees rated above the population average on psychological distress, and almost half of them experienced emotional exhaustion. One of the methodological advantages is that the use of validated scales, including the Maslach Burnout Inventory and the General Health Questionnaire, makes it possible to compare it with the norms of the population reliably. Nonetheless, the cross-sectional nature has restricted the ability to make causal inferences, and the single-site setting in London would give rise to generalisation to the community-based social care. Likewise, McFadden </w:t>
      </w:r>
      <w:r>
        <w:rPr>
          <w:i/>
          <w:lang w:val="en-GB"/>
        </w:rPr>
        <w:t>et al.</w:t>
      </w:r>
      <w:r>
        <w:rPr>
          <w:lang w:val="en-GB"/>
        </w:rPr>
        <w:t xml:space="preserve"> (2021a) found that there were significant reductions in mental well-being and work-related quality of life at two time points during the pandemic, and social workers exhibited especially vulnerable profiles.</w:t>
      </w:r>
    </w:p>
    <w:p w14:paraId="10DA2FFA">
      <w:pPr>
        <w:pStyle w:val="3"/>
        <w:rPr>
          <w:rFonts w:ascii="Times New Roman" w:hAnsi="Times New Roman" w:eastAsia="Times New Roman" w:cs="Times New Roman"/>
          <w:sz w:val="24"/>
          <w:szCs w:val="24"/>
          <w:lang w:val="en-GB"/>
        </w:rPr>
      </w:pPr>
      <w:r>
        <w:rPr>
          <w:lang w:val="en-GB"/>
        </w:rPr>
        <w:t xml:space="preserve">Neill </w:t>
      </w:r>
      <w:r>
        <w:rPr>
          <w:i/>
          <w:lang w:val="en-GB"/>
        </w:rPr>
        <w:t>et al.</w:t>
      </w:r>
      <w:r>
        <w:rPr>
          <w:lang w:val="en-GB"/>
        </w:rPr>
        <w:t xml:space="preserve"> (2023) further expanded the comprehension by using a longitudinal design, which monitored 14,000 participants in six-time frames and employed validated measures, such as SWEMWBS and WRQoL. Their results are solid proof that the level of psychological well-being became worse over time between 2020 and 2022, which implies the presence of cumulative stress and loss of coping resources. This time trend goes against the post-crisis recovery expectations. Ravalier </w:t>
      </w:r>
      <w:r>
        <w:rPr>
          <w:i/>
          <w:lang w:val="en-GB"/>
        </w:rPr>
        <w:t>et al.</w:t>
      </w:r>
      <w:r>
        <w:rPr>
          <w:lang w:val="en-GB"/>
        </w:rPr>
        <w:t xml:space="preserve"> (2023) also confirmed these results with data on population comparators and proved that the wellbeing scores of social care workers (19.96- 21.1 on average) were significantly lower than national (UK) average values (23.6) and decreased over the period of time (p&lt;0.001). The external validity is enhanced by the national comparison information, and this proves occupationally specific declines. Nonetheless, there is a risk of bias in response when using self-reported measures.</w:t>
      </w:r>
    </w:p>
    <w:p w14:paraId="1D6F47F0">
      <w:pPr>
        <w:pStyle w:val="3"/>
        <w:rPr>
          <w:rFonts w:ascii="Times New Roman" w:hAnsi="Times New Roman" w:eastAsia="Times New Roman" w:cs="Times New Roman"/>
          <w:sz w:val="24"/>
          <w:szCs w:val="24"/>
          <w:lang w:val="en-GB"/>
        </w:rPr>
      </w:pPr>
      <w:r>
        <w:rPr>
          <w:lang w:val="en-GB"/>
        </w:rPr>
        <w:t xml:space="preserve">One such important theoretical extension was made by Davies </w:t>
      </w:r>
      <w:r>
        <w:rPr>
          <w:i/>
          <w:lang w:val="en-GB"/>
        </w:rPr>
        <w:t>et al</w:t>
      </w:r>
      <w:r>
        <w:rPr>
          <w:lang w:val="en-GB"/>
        </w:rPr>
        <w:t>. (2025), who defined moral injury in addition to burnout. They studied and found that 40% of the individuals were exposed to potentially morally injurious events, of which 30% qualified as having burnout, and 36% were at risk. The implementation of the Job Demands-Resources framework is a conceptual improvement, implying that the existing models of burnout are not effective in describing the ethical strains of the work of care providers. The moral injury was a predictor of poor well-being in comparison with the traditional burnout parameters, which implies that the interventions aimed at alleviating stress are not enough.</w:t>
      </w:r>
    </w:p>
    <w:p w14:paraId="51278BEB">
      <w:pPr>
        <w:pStyle w:val="3"/>
        <w:rPr>
          <w:rFonts w:ascii="Times New Roman" w:hAnsi="Times New Roman" w:eastAsia="Times New Roman" w:cs="Times New Roman"/>
          <w:sz w:val="24"/>
          <w:szCs w:val="24"/>
          <w:lang w:val="en-GB"/>
        </w:rPr>
      </w:pPr>
      <w:r>
        <w:rPr>
          <w:lang w:val="en-GB"/>
        </w:rPr>
        <w:t xml:space="preserve">Qualitative research gives information about lived experiences. Applying the social networks framework by Berkman and the Sense of Coherence theory, Aughterson </w:t>
      </w:r>
      <w:r>
        <w:rPr>
          <w:i/>
          <w:lang w:val="en-GB"/>
        </w:rPr>
        <w:t>et al.</w:t>
      </w:r>
      <w:r>
        <w:rPr>
          <w:lang w:val="en-GB"/>
        </w:rPr>
        <w:t xml:space="preserve"> (2021) identified that workers felt deeply disrupted with meaning whenever they failed to deliver the quality of care that was central to their professional identity. The heterogeneous purposive sample improves the transferability of social care roles. Beattie </w:t>
      </w:r>
      <w:r>
        <w:rPr>
          <w:i/>
          <w:lang w:val="en-GB"/>
        </w:rPr>
        <w:t>et al.</w:t>
      </w:r>
      <w:r>
        <w:rPr>
          <w:lang w:val="en-GB"/>
        </w:rPr>
        <w:t xml:space="preserve"> (2023) focused on the experience of care home employees and reported higher scores on the Perceived Stress Scale scales that greatly exceeded the population rates. The results of the mixed methods found mechanisms such as professional isolation and moral distress. Nonetheless, the low response rate (12%) and overrepresentation of nurses reduce the possibility of generalisation. Gillen et al. (2022) found that well-being was steadily declining at three periods throughout the pandemic and did not depend on demographic traits, which suggested that it was not the individual but the systemic factor that was causing it to worsen. </w:t>
      </w:r>
    </w:p>
    <w:p w14:paraId="752F8604">
      <w:pPr>
        <w:pStyle w:val="5"/>
        <w:spacing w:line="480" w:lineRule="auto"/>
        <w:rPr>
          <w:rFonts w:ascii="Times New Roman" w:hAnsi="Times New Roman" w:eastAsia="Times New Roman" w:cs="Times New Roman"/>
          <w:sz w:val="27"/>
          <w:szCs w:val="27"/>
          <w:lang w:val="en-GB"/>
        </w:rPr>
      </w:pPr>
      <w:bookmarkStart w:id="61" w:name="_Toc228745848"/>
      <w:r>
        <w:rPr>
          <w:lang w:val="en-GB"/>
        </w:rPr>
        <w:t>5.5.2 Theme 2: Organisational Factors as Determinants of Well-being</w:t>
      </w:r>
      <w:bookmarkEnd w:id="61"/>
    </w:p>
    <w:p w14:paraId="3B354AE1">
      <w:pPr>
        <w:pStyle w:val="3"/>
        <w:rPr>
          <w:rFonts w:ascii="Times New Roman" w:hAnsi="Times New Roman" w:eastAsia="Times New Roman" w:cs="Times New Roman"/>
          <w:sz w:val="24"/>
          <w:szCs w:val="24"/>
          <w:lang w:val="en-GB"/>
        </w:rPr>
      </w:pPr>
      <w:r>
        <w:rPr>
          <w:lang w:val="en-GB"/>
        </w:rPr>
        <w:t xml:space="preserve">The common aspect that all the research shared was that organisational aspects are core determinants of defining mental health outcomes of social care workers. McFadden </w:t>
      </w:r>
      <w:r>
        <w:rPr>
          <w:i/>
          <w:lang w:val="en-GB"/>
        </w:rPr>
        <w:t>et al.</w:t>
      </w:r>
      <w:r>
        <w:rPr>
          <w:lang w:val="en-GB"/>
        </w:rPr>
        <w:t xml:space="preserve"> (2021a) found that the predictors of well-being included working conditions (workload, staffing, and support provided by managers) more than individual characteristics. Similarly, Ravalier </w:t>
      </w:r>
      <w:r>
        <w:rPr>
          <w:i/>
          <w:lang w:val="en-GB"/>
        </w:rPr>
        <w:t>et al.</w:t>
      </w:r>
      <w:r>
        <w:rPr>
          <w:lang w:val="en-GB"/>
        </w:rPr>
        <w:t xml:space="preserve"> (2023) used regression modelling to prove that job demands and work resources significantly impacted well-being scores, which were predicted by the Job Demands-Resources (JD-R) model.</w:t>
      </w:r>
    </w:p>
    <w:p w14:paraId="0686644C">
      <w:pPr>
        <w:pStyle w:val="5"/>
        <w:spacing w:line="480" w:lineRule="auto"/>
        <w:rPr>
          <w:rFonts w:ascii="Times New Roman" w:hAnsi="Times New Roman" w:eastAsia="Times New Roman" w:cs="Times New Roman"/>
          <w:lang w:val="en-GB"/>
        </w:rPr>
      </w:pPr>
      <w:bookmarkStart w:id="62" w:name="_Toc228745849"/>
      <w:r>
        <w:rPr>
          <w:lang w:val="en-GB"/>
        </w:rPr>
        <w:t>Sub-theme 2.1: Workload and Staffing Pressures</w:t>
      </w:r>
      <w:bookmarkEnd w:id="62"/>
    </w:p>
    <w:p w14:paraId="6CC260D1">
      <w:pPr>
        <w:pStyle w:val="3"/>
        <w:rPr>
          <w:rFonts w:ascii="Times New Roman" w:hAnsi="Times New Roman" w:eastAsia="Times New Roman" w:cs="Times New Roman"/>
          <w:sz w:val="24"/>
          <w:szCs w:val="24"/>
          <w:lang w:val="en-GB"/>
        </w:rPr>
      </w:pPr>
      <w:r>
        <w:rPr>
          <w:lang w:val="en-GB"/>
        </w:rPr>
        <w:t xml:space="preserve">Some of the studies have identified unsustainable workloads and inexhaustible staffing shortages as the leading factors that cause burnout. Aughterson </w:t>
      </w:r>
      <w:r>
        <w:rPr>
          <w:i/>
          <w:lang w:val="en-GB"/>
        </w:rPr>
        <w:t>et al.</w:t>
      </w:r>
      <w:r>
        <w:rPr>
          <w:lang w:val="en-GB"/>
        </w:rPr>
        <w:t xml:space="preserve"> (2021) established that impossible caseloads were reported many times by the participants, and one of the care managers said, they have to do more with less, and it is not humanly possible. The authors concluded that the lack of staff, infection control policies, and extra needs of the resident’s added workload to the workers of the care home (Beattie </w:t>
      </w:r>
      <w:r>
        <w:rPr>
          <w:i/>
          <w:lang w:val="en-GB"/>
        </w:rPr>
        <w:t>et al.,</w:t>
      </w:r>
      <w:r>
        <w:rPr>
          <w:lang w:val="en-GB"/>
        </w:rPr>
        <w:t xml:space="preserve"> 2023). The outcome of quantitative analysis showed that the workload pressure had a significant correlation with the perceived stress scores (r = 0.52, p &lt; 0.01). However, this finding is based on cross-sectional data, which limits the ability to establish causal relationships between workload and burnout. Ravalier </w:t>
      </w:r>
      <w:r>
        <w:rPr>
          <w:i/>
          <w:iCs/>
          <w:lang w:val="en-GB"/>
        </w:rPr>
        <w:t>et al.</w:t>
      </w:r>
      <w:r>
        <w:rPr>
          <w:lang w:val="en-GB"/>
        </w:rPr>
        <w:t xml:space="preserve"> (2023) provided longitudinal software that the staffing had worsened during the timeframe of 2020 to 2022. The participants indicated that they could not deliver quality care because of understaffing, which was one of the causes of moral distress and exhaustion. The use of longitudinal design strengthens the reliability of these findings by capturing changes over time rather than relying on a single time-point.  McFadden </w:t>
      </w:r>
      <w:r>
        <w:rPr>
          <w:i/>
          <w:iCs/>
          <w:lang w:val="en-GB"/>
        </w:rPr>
        <w:t>et al.</w:t>
      </w:r>
      <w:r>
        <w:rPr>
          <w:lang w:val="en-GB"/>
        </w:rPr>
        <w:t xml:space="preserve"> (2021a) also found the same and found the workload intensity to be higher during the two survey phases, with the social workers reporting the highest work pressure of the health and social care professions. The resemblance of the findings of the qualitative and quantitative study demonstrates that workload and staff are structural determinant of burnout that requires organisational-level intervention. Nevertheless, the reliance on self-reported measures across studies introduces potential response bias, which may affect the accuracy of the reported stress levels.</w:t>
      </w:r>
    </w:p>
    <w:p w14:paraId="78092E61">
      <w:pPr>
        <w:pStyle w:val="5"/>
        <w:spacing w:line="480" w:lineRule="auto"/>
        <w:rPr>
          <w:rFonts w:ascii="Times New Roman" w:hAnsi="Times New Roman" w:eastAsia="Times New Roman" w:cs="Times New Roman"/>
          <w:lang w:val="en-GB"/>
        </w:rPr>
      </w:pPr>
      <w:bookmarkStart w:id="63" w:name="_Toc228745850"/>
      <w:r>
        <w:rPr>
          <w:lang w:val="en-GB"/>
        </w:rPr>
        <w:t>Sub-theme 2.2: Leadership and Managerial Support</w:t>
      </w:r>
      <w:bookmarkEnd w:id="63"/>
    </w:p>
    <w:p w14:paraId="13453434">
      <w:pPr>
        <w:pStyle w:val="3"/>
        <w:rPr>
          <w:lang w:val="en-GB"/>
        </w:rPr>
      </w:pPr>
      <w:r>
        <w:rPr>
          <w:lang w:val="en-GB"/>
        </w:rPr>
        <w:t xml:space="preserve">Managerial and leadership turned out to be the key protective variables that influenced the well-being of staff. In a cohort study, Collett </w:t>
      </w:r>
      <w:r>
        <w:rPr>
          <w:i/>
          <w:iCs/>
          <w:lang w:val="en-GB"/>
        </w:rPr>
        <w:t xml:space="preserve">et al. </w:t>
      </w:r>
      <w:r>
        <w:rPr>
          <w:lang w:val="en-GB"/>
        </w:rPr>
        <w:t xml:space="preserve">(2025) proved that the support, rather than employment, and particularly management awareness and sensitivity, were associated with lower burnout and better mental health outcomes. Adjusted odds ratios indicated that the likelihood of personnel experiencing depression in the future was reduced by 30 to 40% when they reported experiencing high levels of support. The use of a cohort design strengthens the internal validity of this finding by allowing temporal relationships between leadership support and mental health outcomes to be examined. Allsopp </w:t>
      </w:r>
      <w:r>
        <w:rPr>
          <w:i/>
          <w:iCs/>
          <w:lang w:val="en-GB"/>
        </w:rPr>
        <w:t>et al.</w:t>
      </w:r>
      <w:r>
        <w:rPr>
          <w:lang w:val="en-GB"/>
        </w:rPr>
        <w:t xml:space="preserve"> (2023) concluded that leadership played a key role during the implementation of staff wellbeing hubs, and the participants identified supportive managers as normalised help-seeking and those who said they had positive encouragement towards the use of support services. Similarly, Blake </w:t>
      </w:r>
      <w:r>
        <w:rPr>
          <w:i/>
          <w:iCs/>
          <w:lang w:val="en-GB"/>
        </w:rPr>
        <w:t>et al.</w:t>
      </w:r>
      <w:r>
        <w:rPr>
          <w:lang w:val="en-GB"/>
        </w:rPr>
        <w:t xml:space="preserve"> (2021) discovered that positive leadership behaviours, such as visible presence, frequent communications, and actual concern about the well-being of staff, improved contact with wellbeing centres and reduced psychological distress. These findings are further strengthened by the use of qualitative methods, which provide in-depth insights into staff experiences and perceptions. In contrast, Aughterson </w:t>
      </w:r>
      <w:r>
        <w:rPr>
          <w:i/>
          <w:iCs/>
          <w:lang w:val="en-GB"/>
        </w:rPr>
        <w:t>et al.</w:t>
      </w:r>
      <w:r>
        <w:rPr>
          <w:lang w:val="en-GB"/>
        </w:rPr>
        <w:t xml:space="preserve"> (2021) identified the lack of empathy, inadequate communication, and inability to identify issues in the staff as factors of poor management that enhanced stress and the absence of motivation to seek help. Beeattie</w:t>
      </w:r>
      <w:r>
        <w:rPr>
          <w:i/>
          <w:iCs/>
          <w:lang w:val="en-GB"/>
        </w:rPr>
        <w:t>et al.</w:t>
      </w:r>
      <w:r>
        <w:rPr>
          <w:lang w:val="en-GB"/>
        </w:rPr>
        <w:t xml:space="preserve"> (2023) also stressed that genuine leadership in a care home mattered and those vulnerable managers, who care about the well-being of their staff, could provide psychologically safer environments. However, many of these studies are based on relatively small or context-specific samples, which may limit the generalisability of leadership-related findings across the wider UK social care sector.</w:t>
      </w:r>
    </w:p>
    <w:p w14:paraId="60F07732">
      <w:pPr>
        <w:pStyle w:val="5"/>
        <w:spacing w:line="480" w:lineRule="auto"/>
        <w:rPr>
          <w:lang w:val="en-GB"/>
        </w:rPr>
      </w:pPr>
      <w:bookmarkStart w:id="64" w:name="_Toc228745851"/>
      <w:r>
        <w:rPr>
          <w:lang w:val="en-GB"/>
        </w:rPr>
        <w:t>5.5.3 Theme 3: Coping Strategies and Individual-Level Responses</w:t>
      </w:r>
      <w:bookmarkEnd w:id="64"/>
      <w:r>
        <w:rPr>
          <w:lang w:val="en-GB"/>
        </w:rPr>
        <w:t> </w:t>
      </w:r>
    </w:p>
    <w:p w14:paraId="04199DDF">
      <w:pPr>
        <w:pStyle w:val="3"/>
        <w:rPr>
          <w:lang w:val="en-GB"/>
        </w:rPr>
      </w:pPr>
      <w:r>
        <w:rPr>
          <w:lang w:val="en-GB"/>
        </w:rPr>
        <w:t>The data about the individual-level coping strategies suggests a complex and nuanced image meaning that some of the coping strategies would enhance the mental health outcomes yet the individual coping alone is not enough to be effective without the supportive organisational conditions. In the studies included (see Appendix 4), the coping strategies have been observed to work within organisational environments that facilitated or inhibited their effectiveness.</w:t>
      </w:r>
    </w:p>
    <w:p w14:paraId="65CA2C48">
      <w:pPr>
        <w:pStyle w:val="3"/>
        <w:rPr>
          <w:lang w:val="en-GB"/>
        </w:rPr>
      </w:pPr>
      <w:r>
        <w:rPr>
          <w:lang w:val="en-GB"/>
        </w:rPr>
        <w:t xml:space="preserve">According to quantitative results by McFadden </w:t>
      </w:r>
      <w:r>
        <w:rPr>
          <w:i/>
          <w:iCs/>
          <w:lang w:val="en-GB"/>
        </w:rPr>
        <w:t>et al.</w:t>
      </w:r>
      <w:r>
        <w:rPr>
          <w:lang w:val="en-GB"/>
        </w:rPr>
        <w:t xml:space="preserve"> (2021b) involving a sample of more than 3,000 health and social care workers, problem-oriented coping skills, including active planning, finding practical support, and positive reframing, were found to be significantly connected to higher mental health and better work-related quality of life. These results indicate that adaptive coping may serve as a burnout protective factor. Nonetheless, the cross-sectional design does not allow causal inference because it is unclear whether the effective coping minimizes distress or whether people with lesser distress tend to use more adaptive coping.</w:t>
      </w:r>
    </w:p>
    <w:p w14:paraId="1811AFCF">
      <w:pPr>
        <w:pStyle w:val="3"/>
        <w:rPr>
          <w:lang w:val="en-GB"/>
        </w:rPr>
      </w:pPr>
      <w:r>
        <w:rPr>
          <w:lang w:val="en-GB"/>
        </w:rPr>
        <w:t xml:space="preserve">On the other hand, maladaptive coping, such as denial, behavioural disengagement, and self-blame, were also always linked with increased levels of psychological distress and diminished well-being. The survey by Gillen </w:t>
      </w:r>
      <w:r>
        <w:rPr>
          <w:i/>
          <w:iCs/>
          <w:lang w:val="en-GB"/>
        </w:rPr>
        <w:t>et al.</w:t>
      </w:r>
      <w:r>
        <w:rPr>
          <w:lang w:val="en-GB"/>
        </w:rPr>
        <w:t xml:space="preserve"> (2022) was conducted in phases, which made it an important longitudinal contribution as it demonstrated that the use of negative coping strategies grew with time during the pandemic. This implies that the long-term effects of stress burden the people with coping resources that limit their ability to cope, rebutting the argument that coping capacity does not change.</w:t>
      </w:r>
    </w:p>
    <w:p w14:paraId="79925005">
      <w:pPr>
        <w:pStyle w:val="3"/>
        <w:rPr>
          <w:lang w:val="en-GB"/>
        </w:rPr>
      </w:pPr>
      <w:r>
        <w:rPr>
          <w:lang w:val="en-GB"/>
        </w:rPr>
        <w:t xml:space="preserve">Likewise, Petrella </w:t>
      </w:r>
      <w:r>
        <w:rPr>
          <w:i/>
          <w:iCs/>
          <w:lang w:val="en-GB"/>
        </w:rPr>
        <w:t>et al.</w:t>
      </w:r>
      <w:r>
        <w:rPr>
          <w:lang w:val="en-GB"/>
        </w:rPr>
        <w:t xml:space="preserve"> (2021) have determined that though a part of the workers had positive coping strategies such as peer support and physical activity, about a third of them had maladaptive behaviours, such as more alcohol use. This implies that poor coping mechanisms can lead to other health-related dangers other than burnout.</w:t>
      </w:r>
    </w:p>
    <w:p w14:paraId="7D14B604">
      <w:pPr>
        <w:pStyle w:val="3"/>
        <w:rPr>
          <w:lang w:val="en-GB"/>
        </w:rPr>
      </w:pPr>
      <w:r>
        <w:rPr>
          <w:lang w:val="en-GB"/>
        </w:rPr>
        <w:t xml:space="preserve">The qualitative results also indicate the shortcomings of personal coping. Beattie </w:t>
      </w:r>
      <w:r>
        <w:rPr>
          <w:i/>
          <w:iCs/>
          <w:lang w:val="en-GB"/>
        </w:rPr>
        <w:t>et al.</w:t>
      </w:r>
      <w:r>
        <w:rPr>
          <w:lang w:val="en-GB"/>
        </w:rPr>
        <w:t xml:space="preserve"> (2023) have shown that care home workers frequently applied many coping methods at the same time, as they combined personal coping techniques, including mindfulness and physical activity with group coping, peer support. This observation disputes the classical focus on individual resilience and proposes that coping is social. Similarly, Aughterson </w:t>
      </w:r>
      <w:r>
        <w:rPr>
          <w:i/>
          <w:iCs/>
          <w:lang w:val="en-GB"/>
        </w:rPr>
        <w:t>et al.</w:t>
      </w:r>
      <w:r>
        <w:rPr>
          <w:lang w:val="en-GB"/>
        </w:rPr>
        <w:t xml:space="preserve"> (2021) discovered that, although resilience strategies helped relieve short-term stress, they were not effective at dealing with other, more profound organisational stressors like workload and moral distress.</w:t>
      </w:r>
    </w:p>
    <w:p w14:paraId="1E97AE5E">
      <w:pPr>
        <w:pStyle w:val="3"/>
        <w:rPr>
          <w:lang w:val="en-GB"/>
        </w:rPr>
      </w:pPr>
      <w:r>
        <w:rPr>
          <w:lang w:val="en-GB"/>
        </w:rPr>
        <w:t>Notably, theoretical models like the social networks model proposed by Berkman and the Sense of Coherence theory proposed by Antonovsky suggest that social and organisational support is linked to coping effectiveness. In cases where employees cannot deliver care that meets their professional values, personal coping mechanisms might collapse.</w:t>
      </w:r>
    </w:p>
    <w:p w14:paraId="3C0909D1">
      <w:pPr>
        <w:pStyle w:val="5"/>
        <w:spacing w:line="480" w:lineRule="auto"/>
        <w:ind w:firstLine="40"/>
        <w:rPr>
          <w:lang w:val="en-GB"/>
        </w:rPr>
      </w:pPr>
      <w:bookmarkStart w:id="65" w:name="_Toc228745852"/>
      <w:r>
        <w:rPr>
          <w:lang w:val="en-GB"/>
        </w:rPr>
        <w:t>5.5.4 Theme 4: Organisational Interventions and Support Mechanisms</w:t>
      </w:r>
      <w:bookmarkEnd w:id="65"/>
    </w:p>
    <w:p w14:paraId="41CA5D35">
      <w:pPr>
        <w:pStyle w:val="3"/>
        <w:rPr>
          <w:lang w:val="en-GB"/>
        </w:rPr>
      </w:pPr>
      <w:r>
        <w:rPr>
          <w:lang w:val="en-GB"/>
        </w:rPr>
        <w:t>The synthesis of the encompassed studies indicates that the organisational interventions are important in reducing burnout and enhancing the psychological well-being of social care professionals. In both qualitative and quantitative sources of evidence, formalised mechanisms of workplace encouragement proved to be a key in combating the psychological effects of COVID-19. Such interventions were not merely response actions in the pandemic, but also long-term plans of workforce survival.</w:t>
      </w:r>
    </w:p>
    <w:p w14:paraId="0B66A2A2">
      <w:pPr>
        <w:pStyle w:val="3"/>
        <w:rPr>
          <w:lang w:val="en-GB"/>
        </w:rPr>
      </w:pPr>
      <w:r>
        <w:rPr>
          <w:lang w:val="en-GB"/>
        </w:rPr>
        <w:t xml:space="preserve">Quantitative results of the Petrella </w:t>
      </w:r>
      <w:r>
        <w:rPr>
          <w:i/>
          <w:iCs/>
          <w:lang w:val="en-GB"/>
        </w:rPr>
        <w:t>et al.</w:t>
      </w:r>
      <w:r>
        <w:rPr>
          <w:lang w:val="en-GB"/>
        </w:rPr>
        <w:t xml:space="preserve"> (2021) study showed that the presence of support services was linked to better psychological results, most of the staff members who received these services are satisfied with them. Nonetheless, the difference in uptake suggests that availability of interventions is not enough unless there are strong implementation measures. Equally, Davies </w:t>
      </w:r>
      <w:r>
        <w:rPr>
          <w:i/>
          <w:iCs/>
          <w:lang w:val="en-GB"/>
        </w:rPr>
        <w:t>et al.</w:t>
      </w:r>
      <w:r>
        <w:rPr>
          <w:lang w:val="en-GB"/>
        </w:rPr>
        <w:t xml:space="preserve"> (2025) found that access to resources and organisational support had significant impact on burnout and exposure to morally injurious experiences, and structural interventions in care systems are important.</w:t>
      </w:r>
    </w:p>
    <w:p w14:paraId="7B79D54C">
      <w:pPr>
        <w:pStyle w:val="3"/>
        <w:rPr>
          <w:b/>
          <w:bCs/>
          <w:i/>
          <w:iCs/>
        </w:rPr>
      </w:pPr>
      <w:r>
        <w:rPr>
          <w:lang w:val="en-GB"/>
        </w:rPr>
        <w:t xml:space="preserve">Collett </w:t>
      </w:r>
      <w:r>
        <w:rPr>
          <w:i/>
          <w:iCs/>
          <w:lang w:val="en-GB"/>
        </w:rPr>
        <w:t>et al.</w:t>
      </w:r>
      <w:r>
        <w:rPr>
          <w:lang w:val="en-GB"/>
        </w:rPr>
        <w:t xml:space="preserve"> (2025) also found some solid longitudinal evidence indicating that the elements of workplace support, such as the understanding of managers and the support of colleagues, were strongly related with the reduced levels of depression, anxiety, and burnout. Internal validity of these findings is enhanced because validated psychometric instruments including PHQ-9 and GAD-7 were used. These findings are in line with the Job Demands Resources (JD-R) model which proposes that increased organisational resources can cushion the adverse impacts of elevated job demands. Qualitative studies also go further to discuss how the organisational interventions work with a strong emphasis on accessibility, trust and contextual adaptation.</w:t>
      </w:r>
    </w:p>
    <w:p w14:paraId="0BF8CA82">
      <w:pPr>
        <w:pStyle w:val="3"/>
        <w:spacing w:line="480" w:lineRule="auto"/>
        <w:rPr>
          <w:b/>
          <w:bCs/>
          <w:i/>
          <w:iCs/>
          <w:lang w:val="en-GB"/>
        </w:rPr>
      </w:pPr>
      <w:r>
        <w:rPr>
          <w:b/>
          <w:bCs/>
          <w:i/>
          <w:iCs/>
          <w:lang w:val="en-GB"/>
        </w:rPr>
        <w:t>Sub-theme 4.1: Staff Wellbeing Hubs and Psychological Support Services</w:t>
      </w:r>
    </w:p>
    <w:p w14:paraId="627DA77B">
      <w:pPr>
        <w:pStyle w:val="3"/>
        <w:rPr>
          <w:lang w:val="en-GB"/>
        </w:rPr>
      </w:pPr>
      <w:r>
        <w:rPr>
          <w:lang w:val="en-GB"/>
        </w:rPr>
        <w:t xml:space="preserve">The introduction of staff wellbeing hubs and structured psychological support services was one of the most evident organisational interventions that were found throughout the studies. Allsopp </w:t>
      </w:r>
      <w:r>
        <w:rPr>
          <w:i/>
          <w:iCs/>
          <w:lang w:val="en-GB"/>
        </w:rPr>
        <w:t>et al.</w:t>
      </w:r>
      <w:r>
        <w:rPr>
          <w:lang w:val="en-GB"/>
        </w:rPr>
        <w:t xml:space="preserve"> (2023) investigated the potential of resilience hubs and discovered that these were generally viewed as efficient support systems and responsive. The participants stated that they had good experiences, especially they liked privacy and autonomy of such services by their organisation of work. This difference boosted trust and facilitated interaction.</w:t>
      </w:r>
    </w:p>
    <w:p w14:paraId="098EF3C0">
      <w:pPr>
        <w:pStyle w:val="3"/>
        <w:rPr>
          <w:lang w:val="en-GB"/>
        </w:rPr>
      </w:pPr>
      <w:r>
        <w:rPr>
          <w:lang w:val="en-GB"/>
        </w:rPr>
        <w:t>Moreover, the adaptability of the hubs to meet local demands was mentioned as one of the main strengths, which implies that standardised interventions should be sensitive to the context to be effective. Nevertheless, another finding of the study was that some workers were not engaged due to a lack of understanding of the intent and accessibility of these hubs. This implies that communication plans play a very important role in guaranteeing effective implementation.</w:t>
      </w:r>
    </w:p>
    <w:p w14:paraId="4C29CCF7">
      <w:pPr>
        <w:pStyle w:val="3"/>
        <w:rPr>
          <w:lang w:val="en-GB"/>
        </w:rPr>
      </w:pPr>
      <w:r>
        <w:rPr>
          <w:lang w:val="en-GB"/>
        </w:rPr>
        <w:t xml:space="preserve">On the same note, Blake </w:t>
      </w:r>
      <w:r>
        <w:rPr>
          <w:i/>
          <w:iCs/>
          <w:lang w:val="en-GB"/>
        </w:rPr>
        <w:t>et al.</w:t>
      </w:r>
      <w:r>
        <w:rPr>
          <w:lang w:val="en-GB"/>
        </w:rPr>
        <w:t xml:space="preserve"> (2021) assessed supported wellbeing centres in NHS trusts and discovered that these centres were significant in offering necessary emotional and psychological care. Rest spaces were also found to be helpful, especially in alleviating stress and boosting morale as psychological first aid was provided by peers. Notably, such centres were not only rehabilitative, but they represented organisational awareness of the needs of the staff.</w:t>
      </w:r>
    </w:p>
    <w:p w14:paraId="7AA8ECC1">
      <w:pPr>
        <w:pStyle w:val="3"/>
        <w:rPr>
          <w:lang w:val="en-GB"/>
        </w:rPr>
      </w:pPr>
      <w:r>
        <w:rPr>
          <w:lang w:val="en-GB"/>
        </w:rPr>
        <w:t xml:space="preserve">Yet, Blake </w:t>
      </w:r>
      <w:r>
        <w:rPr>
          <w:i/>
          <w:iCs/>
          <w:lang w:val="en-GB"/>
        </w:rPr>
        <w:t>et al.</w:t>
      </w:r>
      <w:r>
        <w:rPr>
          <w:lang w:val="en-GB"/>
        </w:rPr>
        <w:t xml:space="preserve"> (2021) have also found that structural barriers in utilisation included restricted access time and workload constraints, restricting utilisation. This points to one of the most crucial weaknesses, namely that interventions should be part of the working conditions and not supplementary requirements of the already overworked staff. The significance of formal psychological services was also supported by Petrella </w:t>
      </w:r>
      <w:r>
        <w:rPr>
          <w:i/>
          <w:iCs/>
          <w:lang w:val="en-GB"/>
        </w:rPr>
        <w:t>et al.</w:t>
      </w:r>
      <w:r>
        <w:rPr>
          <w:lang w:val="en-GB"/>
        </w:rPr>
        <w:t xml:space="preserve"> (2021), who indicated that, although the knowledge of the support services was high, their actual usage was uneven. This implies that accessibility and effectiveness of availability are not certain.</w:t>
      </w:r>
    </w:p>
    <w:p w14:paraId="3D8F9DD3">
      <w:pPr>
        <w:pStyle w:val="3"/>
        <w:spacing w:line="480" w:lineRule="auto"/>
        <w:rPr>
          <w:b/>
          <w:bCs/>
          <w:i/>
          <w:iCs/>
          <w:lang w:val="en-GB"/>
        </w:rPr>
      </w:pPr>
      <w:r>
        <w:rPr>
          <w:b/>
          <w:bCs/>
          <w:i/>
          <w:iCs/>
          <w:lang w:val="en-GB"/>
        </w:rPr>
        <w:t>Sub-theme 4.2: Peer Support and Collegial Relationships</w:t>
      </w:r>
    </w:p>
    <w:p w14:paraId="49A68F47">
      <w:pPr>
        <w:pStyle w:val="3"/>
        <w:rPr>
          <w:lang w:val="en-GB"/>
        </w:rPr>
      </w:pPr>
      <w:r>
        <w:rPr>
          <w:lang w:val="en-GB"/>
        </w:rPr>
        <w:t>The other important organisational intervention that has been found through the studies is the impact of peer support and collegial relationships. In contrast to formal interventions, peer support is also an informal, but very effective tool in reduction of stress and resilience.</w:t>
      </w:r>
    </w:p>
    <w:p w14:paraId="15D378A7">
      <w:pPr>
        <w:pStyle w:val="3"/>
        <w:rPr>
          <w:lang w:val="en-GB"/>
        </w:rPr>
      </w:pPr>
      <w:r>
        <w:rPr>
          <w:lang w:val="en-GB"/>
        </w:rPr>
        <w:t xml:space="preserve">Collett </w:t>
      </w:r>
      <w:r>
        <w:rPr>
          <w:i/>
          <w:iCs/>
          <w:lang w:val="en-GB"/>
        </w:rPr>
        <w:t>et al.</w:t>
      </w:r>
      <w:r>
        <w:rPr>
          <w:lang w:val="en-GB"/>
        </w:rPr>
        <w:t xml:space="preserve"> (2025) also presented great quantitative evidence that higher levels of collegial support had a significant correlation with lower depression, anxiety, insomnia, and burnout. These results indicate that peer relationship serves as a buffer resource in high-demand workplace. Equally, Aughterson</w:t>
      </w:r>
      <w:r>
        <w:rPr>
          <w:i/>
          <w:iCs/>
          <w:lang w:val="en-GB"/>
        </w:rPr>
        <w:t>et al.</w:t>
      </w:r>
      <w:r>
        <w:rPr>
          <w:lang w:val="en-GB"/>
        </w:rPr>
        <w:t xml:space="preserve"> (2021) found that team support and unity were central in coping with stress at work. Respondents stated that collective experience and understanding among colleagues contributed to them dealing with the emotional strain and retaining the sense of purpose.</w:t>
      </w:r>
    </w:p>
    <w:p w14:paraId="6CC85AAF">
      <w:pPr>
        <w:pStyle w:val="3"/>
        <w:rPr>
          <w:lang w:val="en-GB"/>
        </w:rPr>
      </w:pPr>
      <w:r>
        <w:rPr>
          <w:lang w:val="en-GB"/>
        </w:rPr>
        <w:t xml:space="preserve">Beattie </w:t>
      </w:r>
      <w:r>
        <w:rPr>
          <w:i/>
          <w:iCs/>
          <w:lang w:val="en-GB"/>
        </w:rPr>
        <w:t>et al.</w:t>
      </w:r>
      <w:r>
        <w:rPr>
          <w:lang w:val="en-GB"/>
        </w:rPr>
        <w:t xml:space="preserve"> (2023) also indicated the role of collective strategies in coping, citing that workers tended to depend on peer interactions with individual coping strategies. This is a challenge to the conventional emphasis on personal resilience, showing that coping is social and entrenched within organisational contexts. According to Blake </w:t>
      </w:r>
      <w:r>
        <w:rPr>
          <w:i/>
          <w:iCs/>
          <w:lang w:val="en-GB"/>
        </w:rPr>
        <w:t>et al.</w:t>
      </w:r>
      <w:r>
        <w:rPr>
          <w:lang w:val="en-GB"/>
        </w:rPr>
        <w:t xml:space="preserve"> (2021), psychological support provided by peers, in the form of trained wellbeing buddies, was also highly appreciated. This model is an integrative approach of combining formal training with the informal support structures, thus making it a scalable and sustainable intervention.</w:t>
      </w:r>
    </w:p>
    <w:p w14:paraId="5D4BD85E">
      <w:pPr>
        <w:pStyle w:val="3"/>
        <w:rPr>
          <w:lang w:val="en-GB"/>
        </w:rPr>
      </w:pPr>
      <w:r>
        <w:rPr>
          <w:lang w:val="en-GB"/>
        </w:rPr>
        <w:t xml:space="preserve">The effectiveness of peer support is however, closely associated with organisational culture. Allsopp </w:t>
      </w:r>
      <w:r>
        <w:rPr>
          <w:i/>
          <w:iCs/>
          <w:lang w:val="en-GB"/>
        </w:rPr>
        <w:t>et al.</w:t>
      </w:r>
      <w:r>
        <w:rPr>
          <w:lang w:val="en-GB"/>
        </w:rPr>
        <w:t xml:space="preserve"> (2023) discovered that the positive impact of peer-based interventions was constrained by an unfavourable work setting and the absence of encouragement by the managers. Thus, peer support is a strong resource that cannot operate independently of the larger organisational support systems.</w:t>
      </w:r>
    </w:p>
    <w:p w14:paraId="41B88476">
      <w:pPr>
        <w:pStyle w:val="5"/>
        <w:spacing w:line="480" w:lineRule="auto"/>
        <w:ind w:firstLine="40"/>
        <w:rPr>
          <w:lang w:val="en-GB"/>
        </w:rPr>
      </w:pPr>
      <w:bookmarkStart w:id="66" w:name="_Toc228745853"/>
      <w:r>
        <w:rPr>
          <w:lang w:val="en-GB"/>
        </w:rPr>
        <w:t>5.5.5 Theme 5: Barriers to Accessing Support</w:t>
      </w:r>
      <w:bookmarkEnd w:id="66"/>
    </w:p>
    <w:p w14:paraId="5EBE7570">
      <w:pPr>
        <w:pStyle w:val="3"/>
        <w:rPr>
          <w:lang w:val="en-GB"/>
        </w:rPr>
      </w:pPr>
      <w:r>
        <w:rPr>
          <w:lang w:val="en-GB"/>
        </w:rPr>
        <w:t xml:space="preserve">Workload and time constraints is one of the frequently determined barriers. Blake </w:t>
      </w:r>
      <w:r>
        <w:rPr>
          <w:i/>
          <w:iCs/>
          <w:lang w:val="en-GB"/>
        </w:rPr>
        <w:t>et al.</w:t>
      </w:r>
      <w:r>
        <w:rPr>
          <w:lang w:val="en-GB"/>
        </w:rPr>
        <w:t xml:space="preserve"> (2021) discovered that employees could not regularly reach wellbeing centres because of their excessive work and unprotected time. This sets up a situation in which the people that are in need of support the most are the ones that cannot access it. Likewise, Aughterson </w:t>
      </w:r>
      <w:r>
        <w:rPr>
          <w:i/>
          <w:iCs/>
          <w:lang w:val="en-GB"/>
        </w:rPr>
        <w:t>et al.</w:t>
      </w:r>
      <w:r>
        <w:rPr>
          <w:lang w:val="en-GB"/>
        </w:rPr>
        <w:t xml:space="preserve"> (2021) have also found that demanding work schedules and suboptimal staffing decreased the chances of connecting with the support services.</w:t>
      </w:r>
    </w:p>
    <w:p w14:paraId="4BAC29F8">
      <w:pPr>
        <w:pStyle w:val="3"/>
        <w:rPr>
          <w:lang w:val="en-GB"/>
        </w:rPr>
      </w:pPr>
      <w:r>
        <w:rPr>
          <w:lang w:val="en-GB"/>
        </w:rPr>
        <w:t xml:space="preserve">The other issue, which was also noted by Petrella </w:t>
      </w:r>
      <w:r>
        <w:rPr>
          <w:i/>
          <w:iCs/>
          <w:lang w:val="en-GB"/>
        </w:rPr>
        <w:t>et al.</w:t>
      </w:r>
      <w:r>
        <w:rPr>
          <w:lang w:val="en-GB"/>
        </w:rPr>
        <w:t xml:space="preserve"> (2021), is the variability in the use of support services even with high awareness levels. This implies that factors that restrict access are not only in terms of availability, but also in terms of access, convenience and perceived relevance.</w:t>
      </w:r>
    </w:p>
    <w:p w14:paraId="26D2F898">
      <w:pPr>
        <w:pStyle w:val="3"/>
        <w:rPr>
          <w:lang w:val="en-GB"/>
        </w:rPr>
      </w:pPr>
      <w:r>
        <w:rPr>
          <w:lang w:val="en-GB"/>
        </w:rPr>
        <w:t xml:space="preserve">The dominance of cultural and organisational barriers was also present. Allsopp </w:t>
      </w:r>
      <w:r>
        <w:rPr>
          <w:i/>
          <w:iCs/>
          <w:lang w:val="en-GB"/>
        </w:rPr>
        <w:t>et al.</w:t>
      </w:r>
      <w:r>
        <w:rPr>
          <w:lang w:val="en-GB"/>
        </w:rPr>
        <w:t xml:space="preserve"> (2023) found that help-seeking behaviour was discouraged by mental health stigma and unfavourable workplace cultures. The less likely workers would seek assistance in cases where they did not see it as a weakness, or even they feared being reprimanded professionally. Also, the absence of the managerial support further diminished the use of the available services.</w:t>
      </w:r>
    </w:p>
    <w:p w14:paraId="0697AF79">
      <w:pPr>
        <w:pStyle w:val="3"/>
        <w:rPr>
          <w:lang w:val="en-GB"/>
        </w:rPr>
      </w:pPr>
      <w:r>
        <w:rPr>
          <w:lang w:val="en-GB"/>
        </w:rPr>
        <w:t xml:space="preserve">Problems with communication and awareness were also major. The inability to communicate effectively with certain workers was possible because of confusion surrounding the nature and extent of interventions, including resilience hubs. This means that poorly planned interventions can be ruined by ineffective communication strategies. Besides, Beattie </w:t>
      </w:r>
      <w:r>
        <w:rPr>
          <w:i/>
          <w:iCs/>
          <w:lang w:val="en-GB"/>
        </w:rPr>
        <w:t>et al.</w:t>
      </w:r>
      <w:r>
        <w:rPr>
          <w:lang w:val="en-GB"/>
        </w:rPr>
        <w:t xml:space="preserve"> (2023) emphasised that organisational culture is highly important in defining access to support. Psychologically safe and supportive leadership environments promoted engagement, and opposing environments were barriers.</w:t>
      </w:r>
    </w:p>
    <w:p w14:paraId="043356AE">
      <w:pPr>
        <w:pStyle w:val="3"/>
        <w:rPr>
          <w:lang w:val="en-GB"/>
        </w:rPr>
      </w:pPr>
      <w:r>
        <w:rPr>
          <w:lang w:val="en-GB"/>
        </w:rPr>
        <w:t xml:space="preserve">The other critical barrier was found to be the absence of inclusivity and cultural competence. According to Allsopp </w:t>
      </w:r>
      <w:r>
        <w:rPr>
          <w:i/>
          <w:iCs/>
          <w:lang w:val="en-GB"/>
        </w:rPr>
        <w:t>et al.</w:t>
      </w:r>
      <w:r>
        <w:rPr>
          <w:lang w:val="en-GB"/>
        </w:rPr>
        <w:t xml:space="preserve"> (2023), there were certain minority groups who felt that support services failed to consider their needs, especially when it came to the experience of racism and discrimination. This implies that interventions should be accommodative and responsive to the needs of the various workforces. Theoretically, these obstacles may be conceptualised in terms of the Job Demands Resources model, according to which excessive job demands and the lack of organisational resources result in burnout. Availability of resources is effectively curtailed by the presence of barriers, thus increasing stress and psychological distress. </w:t>
      </w:r>
    </w:p>
    <w:p w14:paraId="4090FAA6">
      <w:pPr>
        <w:pStyle w:val="3"/>
        <w:spacing w:line="480" w:lineRule="auto"/>
        <w:rPr>
          <w:b/>
          <w:bCs/>
          <w:i/>
          <w:iCs/>
          <w:lang w:val="en-GB"/>
        </w:rPr>
      </w:pPr>
      <w:r>
        <w:rPr>
          <w:b/>
          <w:bCs/>
          <w:i/>
          <w:iCs/>
          <w:lang w:val="en-GB"/>
        </w:rPr>
        <w:t>Link with Objectives</w:t>
      </w:r>
    </w:p>
    <w:p w14:paraId="14EC76F1">
      <w:pPr>
        <w:pStyle w:val="3"/>
        <w:rPr>
          <w:lang w:val="en-GB"/>
        </w:rPr>
      </w:pPr>
      <w:r>
        <w:rPr>
          <w:lang w:val="en-GB"/>
        </w:rPr>
        <w:t>The five themes allow the research objectives to be met as the most important drivers of burnout, effective interventions, and practical strategies to improve mental health among social care workers in the UK are identified.</w:t>
      </w:r>
    </w:p>
    <w:p w14:paraId="4E9BBDB6">
      <w:pPr>
        <w:pStyle w:val="3"/>
        <w:rPr>
          <w:lang w:val="en-GB"/>
        </w:rPr>
      </w:pPr>
      <w:r>
        <w:rPr>
          <w:lang w:val="en-GB"/>
        </w:rPr>
        <w:t>Theme 1 shows that there is a massive increase in psychological distress and burnout that occurred after the COVID-19, which proves the seriousness of the problem.</w:t>
      </w:r>
    </w:p>
    <w:p w14:paraId="47C9D7DE">
      <w:pPr>
        <w:pStyle w:val="3"/>
        <w:rPr>
          <w:lang w:val="en-GB"/>
        </w:rPr>
      </w:pPr>
      <w:r>
        <w:rPr>
          <w:lang w:val="en-GB"/>
        </w:rPr>
        <w:t>Theme 2 proves that organisational variables are the key determinants of worker well-being especially the workload pressures and the quality of leadership.</w:t>
      </w:r>
    </w:p>
    <w:p w14:paraId="256B36F1">
      <w:pPr>
        <w:pStyle w:val="3"/>
        <w:rPr>
          <w:lang w:val="en-GB"/>
        </w:rPr>
      </w:pPr>
      <w:r>
        <w:rPr>
          <w:lang w:val="en-GB"/>
        </w:rPr>
        <w:t>Theme 3 discloses that personal coping mechanisms might be effective in short-term relieving, but they cannot be effective without encouraging organisational conditions.</w:t>
      </w:r>
    </w:p>
    <w:p w14:paraId="1D27867B">
      <w:pPr>
        <w:pStyle w:val="3"/>
        <w:rPr>
          <w:lang w:val="en-GB"/>
        </w:rPr>
      </w:pPr>
      <w:r>
        <w:rPr>
          <w:lang w:val="en-GB"/>
        </w:rPr>
        <w:t>Theme 4 highlights that systematic interventions (wellbeing hubs and peer support systems) are effective in reduction of burnout.</w:t>
      </w:r>
    </w:p>
    <w:p w14:paraId="105EE8BD">
      <w:pPr>
        <w:pStyle w:val="3"/>
        <w:rPr>
          <w:lang w:val="en-GB"/>
        </w:rPr>
      </w:pPr>
      <w:r>
        <w:rPr>
          <w:lang w:val="en-GB"/>
        </w:rPr>
        <w:t>But as it is known in Theme 5, there are great barriers in the way to using these interventions as they are workload constrained, stigmatised, and not accessible.</w:t>
      </w:r>
    </w:p>
    <w:p w14:paraId="24135C26">
      <w:pPr>
        <w:pStyle w:val="3"/>
        <w:rPr>
          <w:lang w:val="en-GB"/>
        </w:rPr>
      </w:pPr>
      <w:r>
        <w:rPr>
          <w:lang w:val="en-GB"/>
        </w:rPr>
        <w:t>On the whole, the results demonstrate that sustainable changes in mental health necessitate both organisational and individual-level strategies.</w:t>
      </w:r>
    </w:p>
    <w:p w14:paraId="15C2EE35">
      <w:pPr>
        <w:pStyle w:val="4"/>
        <w:spacing w:line="480" w:lineRule="auto"/>
        <w:ind w:left="0"/>
        <w:rPr>
          <w:lang w:val="en-GB"/>
        </w:rPr>
      </w:pPr>
      <w:bookmarkStart w:id="67" w:name="_Toc228745854"/>
      <w:r>
        <w:rPr>
          <w:lang w:val="en-GB"/>
        </w:rPr>
        <w:t>5.6 Chapter Summary</w:t>
      </w:r>
      <w:bookmarkEnd w:id="67"/>
    </w:p>
    <w:p w14:paraId="723916E8">
      <w:pPr>
        <w:pStyle w:val="3"/>
        <w:widowControl/>
        <w:rPr>
          <w:lang w:val="en-GB"/>
        </w:rPr>
      </w:pPr>
      <w:r>
        <w:rPr>
          <w:lang w:val="en-GB"/>
        </w:rPr>
        <w:t xml:space="preserve">This chapter has successfully analysed all the findings gathered from the selected 12 articles while evaluating mental health and burnout among all the social and health care workers in the UK after and during COVID-19. Through focusing on the overall thematic analysis, specific themes have been developed, which have also helped in structuring the research findings to understand the importance of support services. The findings have further highlighted that burnout is often influenced by the entire individual and organisational factors, while interventions like appropriate psychological support make improvements in the working conditions and well-being of the workers. </w:t>
      </w:r>
    </w:p>
    <w:p w14:paraId="1330B034">
      <w:pPr>
        <w:pStyle w:val="3"/>
        <w:rPr>
          <w:lang w:val="en-GB"/>
        </w:rPr>
      </w:pPr>
    </w:p>
    <w:p w14:paraId="4DE48059">
      <w:pPr>
        <w:pStyle w:val="3"/>
        <w:rPr>
          <w:lang w:val="en-GB"/>
        </w:rPr>
      </w:pPr>
    </w:p>
    <w:p w14:paraId="521CBEC8">
      <w:pPr>
        <w:pStyle w:val="3"/>
        <w:rPr>
          <w:lang w:val="en-GB"/>
        </w:rPr>
      </w:pPr>
    </w:p>
    <w:p w14:paraId="33CFE070">
      <w:pPr>
        <w:pStyle w:val="3"/>
        <w:spacing w:line="240" w:lineRule="auto"/>
        <w:jc w:val="left"/>
        <w:rPr>
          <w:b/>
          <w:bCs/>
          <w:sz w:val="28"/>
          <w:szCs w:val="28"/>
          <w:lang w:val="en-GB"/>
        </w:rPr>
      </w:pPr>
      <w:bookmarkStart w:id="68" w:name="_heading=h.xvtjkyf1xg3t" w:colFirst="0" w:colLast="0"/>
      <w:bookmarkEnd w:id="68"/>
      <w:r>
        <w:rPr>
          <w:lang w:val="en-GB"/>
        </w:rPr>
        <w:br w:type="page"/>
      </w:r>
    </w:p>
    <w:p w14:paraId="48E2041A">
      <w:pPr>
        <w:pStyle w:val="2"/>
        <w:spacing w:line="480" w:lineRule="auto"/>
        <w:rPr>
          <w:sz w:val="28"/>
          <w:szCs w:val="28"/>
          <w:lang w:val="en-GB"/>
        </w:rPr>
      </w:pPr>
      <w:bookmarkStart w:id="69" w:name="_Toc228745855"/>
      <w:r>
        <w:rPr>
          <w:sz w:val="28"/>
          <w:szCs w:val="28"/>
          <w:lang w:val="en-GB"/>
        </w:rPr>
        <w:t>CHAPTER 6: DISCUSSION</w:t>
      </w:r>
      <w:bookmarkEnd w:id="69"/>
    </w:p>
    <w:p w14:paraId="21C42400">
      <w:pPr>
        <w:pStyle w:val="4"/>
        <w:spacing w:line="480" w:lineRule="auto"/>
        <w:ind w:left="0"/>
        <w:rPr>
          <w:lang w:val="en-GB"/>
        </w:rPr>
      </w:pPr>
      <w:bookmarkStart w:id="70" w:name="_Toc228745856"/>
      <w:r>
        <w:rPr>
          <w:lang w:val="en-GB"/>
        </w:rPr>
        <w:t>6.1 Introduction to Chapter</w:t>
      </w:r>
      <w:bookmarkEnd w:id="70"/>
    </w:p>
    <w:p w14:paraId="7CA5E392">
      <w:pPr>
        <w:pStyle w:val="3"/>
        <w:rPr>
          <w:lang w:val="en-GB"/>
        </w:rPr>
      </w:pPr>
      <w:r>
        <w:rPr>
          <w:lang w:val="en-GB"/>
        </w:rPr>
        <w:t xml:space="preserve">The chapter critically discusses the major findings of the systematic literature review based on their association with the existing research and theoretical frameworks. It considers the degree of correspondence between the findings and the previous research on burnout and mental health in the UK social care workers, especially during post-COVID-19. The identified themes discuss </w:t>
      </w:r>
      <w:r>
        <w:rPr>
          <w:shd w:val="clear" w:color="auto" w:fill="FFFFFF"/>
        </w:rPr>
        <w:t xml:space="preserve">all the findings are mainly interpreted based on the organisational context, which specifically refers to the main structured environment in which operations are done by the social care workers involving leadership practices and workplace culture. </w:t>
      </w:r>
      <w:r>
        <w:rPr>
          <w:lang w:val="en-GB"/>
        </w:rPr>
        <w:t>Finally, the chapter critically examines the research methodology, including its strengths and limitations, and summarises the overall learning experience.</w:t>
      </w:r>
    </w:p>
    <w:p w14:paraId="03185480">
      <w:pPr>
        <w:pStyle w:val="4"/>
        <w:spacing w:line="480" w:lineRule="auto"/>
        <w:ind w:left="0"/>
        <w:rPr>
          <w:lang w:val="en-GB"/>
        </w:rPr>
      </w:pPr>
      <w:bookmarkStart w:id="71" w:name="_Toc228745857"/>
      <w:r>
        <w:rPr>
          <w:lang w:val="en-GB"/>
        </w:rPr>
        <w:t>6.2 Discussion of Key Findings</w:t>
      </w:r>
      <w:bookmarkEnd w:id="71"/>
    </w:p>
    <w:p w14:paraId="576E5ABC">
      <w:pPr>
        <w:pStyle w:val="3"/>
        <w:rPr>
          <w:lang w:val="en-GB"/>
        </w:rPr>
      </w:pPr>
      <w:r>
        <w:rPr>
          <w:lang w:val="en-GB"/>
        </w:rPr>
        <w:t>This part is a critical discussion of the results in Chapter 5 concerning the existing literature survey. The themes identified with the help of the thematic analysis serve as the structure of the discussion, which allows for a comprehensive comparison of the findings of the empirical research with those of the previous ones. Relying on the pertinent theoretical frameworks, specifically, the Job Demands Resources (JD-R) model, the results are also interpreted in the analysis.</w:t>
      </w:r>
    </w:p>
    <w:p w14:paraId="3F9BCCE5">
      <w:pPr>
        <w:pStyle w:val="5"/>
        <w:spacing w:line="480" w:lineRule="auto"/>
        <w:ind w:firstLine="40"/>
        <w:rPr>
          <w:lang w:val="en-GB"/>
        </w:rPr>
      </w:pPr>
      <w:bookmarkStart w:id="72" w:name="_Toc228745858"/>
      <w:r>
        <w:rPr>
          <w:lang w:val="en-GB"/>
        </w:rPr>
        <w:t>6.2.1 Escalation of Burnout and Psychological Distress</w:t>
      </w:r>
      <w:bookmarkEnd w:id="72"/>
    </w:p>
    <w:p w14:paraId="57103B91">
      <w:pPr>
        <w:pStyle w:val="3"/>
        <w:rPr>
          <w:lang w:val="en-GB"/>
        </w:rPr>
      </w:pPr>
      <w:r>
        <w:rPr>
          <w:lang w:val="en-GB"/>
        </w:rPr>
        <w:t xml:space="preserve">The results prove that burnout and psychological distress increased significantly among social care workers in the UK during and after the COVID-19 pandemic. It is in line with previous studies, which have found a significant drop in well-being among health and social care workers (Neill </w:t>
      </w:r>
      <w:r>
        <w:rPr>
          <w:i/>
          <w:iCs/>
          <w:lang w:val="en-GB"/>
        </w:rPr>
        <w:t>et al.,</w:t>
      </w:r>
      <w:r>
        <w:rPr>
          <w:lang w:val="en-GB"/>
        </w:rPr>
        <w:t xml:space="preserve"> 2023; Ravalier </w:t>
      </w:r>
      <w:r>
        <w:rPr>
          <w:i/>
          <w:iCs/>
          <w:lang w:val="en-GB"/>
        </w:rPr>
        <w:t>et al.,</w:t>
      </w:r>
      <w:r>
        <w:rPr>
          <w:lang w:val="en-GB"/>
        </w:rPr>
        <w:t xml:space="preserve"> 2023). The longitudinal data provided by Neill </w:t>
      </w:r>
      <w:r>
        <w:rPr>
          <w:i/>
          <w:iCs/>
          <w:lang w:val="en-GB"/>
        </w:rPr>
        <w:t>et al.</w:t>
      </w:r>
      <w:r>
        <w:rPr>
          <w:lang w:val="en-GB"/>
        </w:rPr>
        <w:t xml:space="preserve"> (2023) with more than 14,000 participants showed that mental health worsens over time, which confirms that the results of this paper are not a transient effect but a gradual and continuous process of burnout.</w:t>
      </w:r>
    </w:p>
    <w:p w14:paraId="24CA035E">
      <w:pPr>
        <w:pStyle w:val="3"/>
        <w:rPr>
          <w:lang w:val="en-GB"/>
        </w:rPr>
      </w:pPr>
      <w:r>
        <w:rPr>
          <w:lang w:val="en-GB"/>
        </w:rPr>
        <w:t xml:space="preserve">Likewise, the study by Petrella </w:t>
      </w:r>
      <w:r>
        <w:rPr>
          <w:i/>
          <w:iCs/>
          <w:lang w:val="en-GB"/>
        </w:rPr>
        <w:t>et al.</w:t>
      </w:r>
      <w:r>
        <w:rPr>
          <w:lang w:val="en-GB"/>
        </w:rPr>
        <w:t xml:space="preserve"> (2021) demonstrated that 84% of medical personnel were psychologically distressed more than the rest of the population, which is also consistent with the high levels of emotional strain detected in this study. The trend was also enhanced by McFadden </w:t>
      </w:r>
      <w:r>
        <w:rPr>
          <w:i/>
          <w:iCs/>
          <w:lang w:val="en-GB"/>
        </w:rPr>
        <w:t>et al.</w:t>
      </w:r>
      <w:r>
        <w:rPr>
          <w:lang w:val="en-GB"/>
        </w:rPr>
        <w:t xml:space="preserve"> (2021a), who also reported a decrease in work-related quality of life at several stages of the pandemic. All these findings add up to the argument that burnout has increased with long exposure to high job demands.</w:t>
      </w:r>
    </w:p>
    <w:p w14:paraId="74EFF0E1">
      <w:pPr>
        <w:pStyle w:val="3"/>
        <w:rPr>
          <w:lang w:val="en-GB"/>
        </w:rPr>
      </w:pPr>
      <w:r>
        <w:rPr>
          <w:lang w:val="en-GB"/>
        </w:rPr>
        <w:t xml:space="preserve">Nevertheless, the study is a continuation of the existing literature that includes the moral injury concept, as emphasised by Davies </w:t>
      </w:r>
      <w:r>
        <w:rPr>
          <w:i/>
          <w:iCs/>
          <w:lang w:val="en-GB"/>
        </w:rPr>
        <w:t xml:space="preserve">et al. </w:t>
      </w:r>
      <w:r>
        <w:rPr>
          <w:lang w:val="en-GB"/>
        </w:rPr>
        <w:t>(2025). Although the orthodox burnout theories concentrate on the emotional exhaustion and workload, moral injury brings in an ethical aspect and moral injury is a condition that workers suffer because they are not able to care appropriately. This implies that workload is not the only factor that can be used to explain burnout among social care workers, as it is multidimensional.</w:t>
      </w:r>
    </w:p>
    <w:p w14:paraId="33F8EFBC">
      <w:pPr>
        <w:pStyle w:val="3"/>
        <w:rPr>
          <w:lang w:val="en-GB"/>
        </w:rPr>
      </w:pPr>
      <w:r>
        <w:rPr>
          <w:lang w:val="en-GB"/>
        </w:rPr>
        <w:t xml:space="preserve">Although the studies are consistent, the majority of evidence has been compiled on cross-sectional designs, which results in a lack of causal interpretation (McFadden et al., 2024; Davies </w:t>
      </w:r>
      <w:r>
        <w:rPr>
          <w:i/>
          <w:iCs/>
          <w:lang w:val="en-GB"/>
        </w:rPr>
        <w:t>et al.,</w:t>
      </w:r>
      <w:r>
        <w:rPr>
          <w:lang w:val="en-GB"/>
        </w:rPr>
        <w:t xml:space="preserve"> 2025). Thus, although the results are highly suggestive of the deterioration of mental health, longitudinal and experimental studies are still necessary to gain a clearer insight into long-term effects.</w:t>
      </w:r>
    </w:p>
    <w:p w14:paraId="7011CCD8">
      <w:pPr>
        <w:pStyle w:val="5"/>
        <w:spacing w:line="480" w:lineRule="auto"/>
        <w:rPr>
          <w:lang w:val="en-GB"/>
        </w:rPr>
      </w:pPr>
      <w:bookmarkStart w:id="73" w:name="_Toc228745859"/>
      <w:r>
        <w:rPr>
          <w:lang w:val="en-GB"/>
        </w:rPr>
        <w:t>6.2.2 Organisational Factors as Determinants of Well-being</w:t>
      </w:r>
      <w:bookmarkEnd w:id="73"/>
    </w:p>
    <w:p w14:paraId="75EC7A98">
      <w:pPr>
        <w:pStyle w:val="3"/>
        <w:rPr>
          <w:lang w:val="en-GB"/>
        </w:rPr>
      </w:pPr>
      <w:r>
        <w:rPr>
          <w:lang w:val="en-GB"/>
        </w:rPr>
        <w:t xml:space="preserve">The results indicate that organisational, specifically workload, staffing shortages, and leadership, are the main determinants of mental health outcomes. This is very much consistent with the JD-R model that proposes that high job demands and lack of resources result in burnout (Grover </w:t>
      </w:r>
      <w:r>
        <w:rPr>
          <w:i/>
          <w:iCs/>
          <w:lang w:val="en-GB"/>
        </w:rPr>
        <w:t>et al.,</w:t>
      </w:r>
      <w:r>
        <w:rPr>
          <w:lang w:val="en-GB"/>
        </w:rPr>
        <w:t xml:space="preserve"> 2018).</w:t>
      </w:r>
    </w:p>
    <w:p w14:paraId="0C280A70">
      <w:pPr>
        <w:pStyle w:val="3"/>
        <w:rPr>
          <w:lang w:val="en-GB"/>
        </w:rPr>
      </w:pPr>
      <w:r>
        <w:rPr>
          <w:lang w:val="en-GB"/>
        </w:rPr>
        <w:t xml:space="preserve">In agreement with prior literature, this study established that high workload and lack of personnel were major causes of burnout. Similar tendencies were observed by McFadden </w:t>
      </w:r>
      <w:r>
        <w:rPr>
          <w:i/>
          <w:iCs/>
          <w:lang w:val="en-GB"/>
        </w:rPr>
        <w:t>et al.</w:t>
      </w:r>
      <w:r>
        <w:rPr>
          <w:lang w:val="en-GB"/>
        </w:rPr>
        <w:t xml:space="preserve"> (2024), where more people were referred, staffing was critical, and working conditions were not satisfactory. Ravalier </w:t>
      </w:r>
      <w:r>
        <w:rPr>
          <w:i/>
          <w:iCs/>
          <w:lang w:val="en-GB"/>
        </w:rPr>
        <w:t>et al.</w:t>
      </w:r>
      <w:r>
        <w:rPr>
          <w:lang w:val="en-GB"/>
        </w:rPr>
        <w:t xml:space="preserve"> (2023) also affirmed that poor working conditions had a close relationship with low well-being.</w:t>
      </w:r>
    </w:p>
    <w:p w14:paraId="77252FD8">
      <w:pPr>
        <w:pStyle w:val="3"/>
        <w:rPr>
          <w:lang w:val="en-GB"/>
        </w:rPr>
      </w:pPr>
      <w:r>
        <w:rPr>
          <w:lang w:val="en-GB"/>
        </w:rPr>
        <w:t xml:space="preserve">Protective factors that were important were leadership and organisational support. Collett et al. (2025) showed that managerial support was a major factor that minimised the risk of burnout, whereas Dima </w:t>
      </w:r>
      <w:r>
        <w:rPr>
          <w:i/>
          <w:iCs/>
          <w:lang w:val="en-GB"/>
        </w:rPr>
        <w:t>et al.</w:t>
      </w:r>
      <w:r>
        <w:rPr>
          <w:lang w:val="en-GB"/>
        </w:rPr>
        <w:t xml:space="preserve"> (2021) showed that employees who experienced high organisational support scored lower on burnout. The qualitative research by Aughterson </w:t>
      </w:r>
      <w:r>
        <w:rPr>
          <w:i/>
          <w:iCs/>
          <w:lang w:val="en-GB"/>
        </w:rPr>
        <w:t>et al.</w:t>
      </w:r>
      <w:r>
        <w:rPr>
          <w:lang w:val="en-GB"/>
        </w:rPr>
        <w:t xml:space="preserve"> (2021) and Blake </w:t>
      </w:r>
      <w:r>
        <w:rPr>
          <w:i/>
          <w:iCs/>
          <w:lang w:val="en-GB"/>
        </w:rPr>
        <w:t xml:space="preserve">et al. </w:t>
      </w:r>
      <w:r>
        <w:rPr>
          <w:lang w:val="en-GB"/>
        </w:rPr>
        <w:t>(2021) supported these findings by emphasising supportive leadership and effective communication.</w:t>
      </w:r>
    </w:p>
    <w:p w14:paraId="68A96468">
      <w:pPr>
        <w:pStyle w:val="3"/>
        <w:rPr>
          <w:lang w:val="en-GB"/>
        </w:rPr>
      </w:pPr>
      <w:r>
        <w:rPr>
          <w:lang w:val="en-GB"/>
        </w:rPr>
        <w:t>One of the findings made during this research is that burnout is more of a systemic than an individual problem. Although personal traits might have a role to play in coping, organisational circumstances have even more important roles. The difficulty in quantifying causal relationships, however, is a limitation to the literature due to the dependency on observational studies.</w:t>
      </w:r>
    </w:p>
    <w:p w14:paraId="457DDC32">
      <w:pPr>
        <w:pStyle w:val="5"/>
        <w:spacing w:line="480" w:lineRule="auto"/>
        <w:rPr>
          <w:lang w:val="en-GB"/>
        </w:rPr>
      </w:pPr>
      <w:bookmarkStart w:id="74" w:name="_Toc228745860"/>
      <w:r>
        <w:rPr>
          <w:lang w:val="en-GB"/>
        </w:rPr>
        <w:t>6.2.3 Coping Strategies and Individual-Level Responses</w:t>
      </w:r>
      <w:bookmarkEnd w:id="74"/>
    </w:p>
    <w:p w14:paraId="08755205">
      <w:pPr>
        <w:pStyle w:val="3"/>
        <w:rPr>
          <w:lang w:val="en-GB"/>
        </w:rPr>
      </w:pPr>
      <w:r>
        <w:rPr>
          <w:lang w:val="en-GB"/>
        </w:rPr>
        <w:t xml:space="preserve">The results on coping strategies indicate that there is a complicated correlation between personal behaviours and mental health outcomes. Although the adaptive coping mechanisms of problem-solving and seeking social support are linked to the enhancement of well-being (McFadden </w:t>
      </w:r>
      <w:r>
        <w:rPr>
          <w:i/>
          <w:iCs/>
          <w:lang w:val="en-GB"/>
        </w:rPr>
        <w:t>et al.,</w:t>
      </w:r>
      <w:r>
        <w:rPr>
          <w:lang w:val="en-GB"/>
        </w:rPr>
        <w:t xml:space="preserve"> 2021b), they are less effective in high-stress settings.</w:t>
      </w:r>
    </w:p>
    <w:p w14:paraId="17D833DB">
      <w:pPr>
        <w:pStyle w:val="3"/>
        <w:rPr>
          <w:lang w:val="en-GB"/>
        </w:rPr>
      </w:pPr>
      <w:r>
        <w:rPr>
          <w:lang w:val="en-GB"/>
        </w:rPr>
        <w:t xml:space="preserve">This is consistent with the past studies that propose that intervention at the individual level can alleviate burnout symptoms in the short run (Hsu </w:t>
      </w:r>
      <w:r>
        <w:rPr>
          <w:i/>
          <w:iCs/>
          <w:lang w:val="en-GB"/>
        </w:rPr>
        <w:t>et al.,</w:t>
      </w:r>
      <w:r>
        <w:rPr>
          <w:lang w:val="en-GB"/>
        </w:rPr>
        <w:t xml:space="preserve"> 2024; Dou </w:t>
      </w:r>
      <w:r>
        <w:rPr>
          <w:i/>
          <w:iCs/>
          <w:lang w:val="en-GB"/>
        </w:rPr>
        <w:t xml:space="preserve">et al., </w:t>
      </w:r>
      <w:r>
        <w:rPr>
          <w:lang w:val="en-GB"/>
        </w:rPr>
        <w:t xml:space="preserve">2025). Nevertheless, as per the findings of this study, coping strategies cannot be sustained during long-term stress. Gillen </w:t>
      </w:r>
      <w:r>
        <w:rPr>
          <w:i/>
          <w:iCs/>
          <w:lang w:val="en-GB"/>
        </w:rPr>
        <w:t>et al.</w:t>
      </w:r>
      <w:r>
        <w:rPr>
          <w:lang w:val="en-GB"/>
        </w:rPr>
        <w:t xml:space="preserve"> (2022) have shown that dependency on maladaptive coping strategies intensified with time, which implies that coping resources were depleted.</w:t>
      </w:r>
    </w:p>
    <w:p w14:paraId="5C4A0836">
      <w:pPr>
        <w:pStyle w:val="3"/>
        <w:rPr>
          <w:lang w:val="en-GB"/>
        </w:rPr>
      </w:pPr>
      <w:r>
        <w:rPr>
          <w:lang w:val="en-GB"/>
        </w:rPr>
        <w:t xml:space="preserve">On the same note, Petrella </w:t>
      </w:r>
      <w:r>
        <w:rPr>
          <w:i/>
          <w:iCs/>
          <w:lang w:val="en-GB"/>
        </w:rPr>
        <w:t>et al.</w:t>
      </w:r>
      <w:r>
        <w:rPr>
          <w:lang w:val="en-GB"/>
        </w:rPr>
        <w:t xml:space="preserve"> (2021) found that a large percentage of employees were involved in maladaptive behaviours, including drinking more, which can worsen mental health. Similar qualitative results of Beattie </w:t>
      </w:r>
      <w:r>
        <w:rPr>
          <w:i/>
          <w:iCs/>
          <w:lang w:val="en-GB"/>
        </w:rPr>
        <w:t>et al.</w:t>
      </w:r>
      <w:r>
        <w:rPr>
          <w:lang w:val="en-GB"/>
        </w:rPr>
        <w:t xml:space="preserve"> (2023) and Aughterson </w:t>
      </w:r>
      <w:r>
        <w:rPr>
          <w:i/>
          <w:iCs/>
          <w:lang w:val="en-GB"/>
        </w:rPr>
        <w:t>et al.</w:t>
      </w:r>
      <w:r>
        <w:rPr>
          <w:lang w:val="en-GB"/>
        </w:rPr>
        <w:t xml:space="preserve"> (2021) also highlighted that coping is not an individual process, but a social and organisational phenomenon.</w:t>
      </w:r>
    </w:p>
    <w:p w14:paraId="1F29ED8A">
      <w:pPr>
        <w:pStyle w:val="3"/>
        <w:rPr>
          <w:lang w:val="en-GB"/>
        </w:rPr>
      </w:pPr>
      <w:r>
        <w:rPr>
          <w:lang w:val="en-GB"/>
        </w:rPr>
        <w:t xml:space="preserve">These results alter the prevalent focus on resilience training and self-care, as noted by Lee </w:t>
      </w:r>
      <w:r>
        <w:rPr>
          <w:i/>
          <w:iCs/>
          <w:lang w:val="en-GB"/>
        </w:rPr>
        <w:t>et al.</w:t>
      </w:r>
      <w:r>
        <w:rPr>
          <w:lang w:val="en-GB"/>
        </w:rPr>
        <w:t xml:space="preserve"> (2025), who believe that these methods can redirect the focus to workers rather than structural problems. Berkman's theory of social networks and Antonovsky's theory of Sense of Coherence also lend credence to the fact that social support and meaningful working conditions are the determinants of coping effectiveness. On the whole, the results indicate that the coping strategies are positive, but they cannot be effective in the absence of organisational change, which supports the use of a combined approach.</w:t>
      </w:r>
    </w:p>
    <w:p w14:paraId="268A8C85">
      <w:pPr>
        <w:pStyle w:val="5"/>
        <w:spacing w:line="480" w:lineRule="auto"/>
        <w:ind w:firstLine="40"/>
        <w:rPr>
          <w:lang w:val="en-GB"/>
        </w:rPr>
      </w:pPr>
      <w:bookmarkStart w:id="75" w:name="_Toc228745861"/>
      <w:r>
        <w:rPr>
          <w:lang w:val="en-GB"/>
        </w:rPr>
        <w:t>6.2.4 Organisational Interventions and Support Mechanisms</w:t>
      </w:r>
      <w:bookmarkEnd w:id="75"/>
    </w:p>
    <w:p w14:paraId="2C3D8570">
      <w:pPr>
        <w:pStyle w:val="3"/>
        <w:rPr>
          <w:lang w:val="en-GB"/>
        </w:rPr>
      </w:pPr>
      <w:r>
        <w:rPr>
          <w:lang w:val="en-GB"/>
        </w:rPr>
        <w:t xml:space="preserve">The results show that organisational interventions, including wellbeing hubs, psychological support services, and peer support systems, have the potential to enhance better mental health results, although their impact is not uniform. This agrees with the available literature that indicates interventions tend to be reactive and not proactive (Belita </w:t>
      </w:r>
      <w:r>
        <w:rPr>
          <w:i/>
          <w:iCs/>
          <w:lang w:val="en-GB"/>
        </w:rPr>
        <w:t>et al.,</w:t>
      </w:r>
      <w:r>
        <w:rPr>
          <w:lang w:val="en-GB"/>
        </w:rPr>
        <w:t xml:space="preserve"> 2025).</w:t>
      </w:r>
    </w:p>
    <w:p w14:paraId="4F34D93A">
      <w:pPr>
        <w:pStyle w:val="3"/>
        <w:rPr>
          <w:lang w:val="en-GB"/>
        </w:rPr>
      </w:pPr>
      <w:r>
        <w:rPr>
          <w:lang w:val="en-GB"/>
        </w:rPr>
        <w:t xml:space="preserve">The research by Allsopp </w:t>
      </w:r>
      <w:r>
        <w:rPr>
          <w:i/>
          <w:iCs/>
          <w:lang w:val="en-GB"/>
        </w:rPr>
        <w:t>et al.</w:t>
      </w:r>
      <w:r>
        <w:rPr>
          <w:lang w:val="en-GB"/>
        </w:rPr>
        <w:t xml:space="preserve"> (2023) and Blake </w:t>
      </w:r>
      <w:r>
        <w:rPr>
          <w:i/>
          <w:iCs/>
          <w:lang w:val="en-GB"/>
        </w:rPr>
        <w:t xml:space="preserve">et al. </w:t>
      </w:r>
      <w:r>
        <w:rPr>
          <w:lang w:val="en-GB"/>
        </w:rPr>
        <w:t xml:space="preserve">(2021) showed that support centres and wellbeing hubs enhanced the morale of staff and offered convenient support. In a similar vein, Petrella </w:t>
      </w:r>
      <w:r>
        <w:rPr>
          <w:i/>
          <w:iCs/>
          <w:lang w:val="en-GB"/>
        </w:rPr>
        <w:t>et al.</w:t>
      </w:r>
      <w:r>
        <w:rPr>
          <w:lang w:val="en-GB"/>
        </w:rPr>
        <w:t xml:space="preserve"> (2021) have discovered that psychological results were linked to access to support services. Nevertheless, these interventions had a tendency to be diverse due to the low engagement and accessibility levels.</w:t>
      </w:r>
    </w:p>
    <w:p w14:paraId="397E611C">
      <w:pPr>
        <w:pStyle w:val="3"/>
        <w:rPr>
          <w:lang w:val="en-GB"/>
        </w:rPr>
      </w:pPr>
      <w:r>
        <w:rPr>
          <w:lang w:val="en-GB"/>
        </w:rPr>
        <w:t xml:space="preserve">The peer support turned out to be a rather useful intervention, which is consistent with the research by Simms </w:t>
      </w:r>
      <w:r>
        <w:rPr>
          <w:i/>
          <w:iCs/>
          <w:lang w:val="en-GB"/>
        </w:rPr>
        <w:t>et al.</w:t>
      </w:r>
      <w:r>
        <w:rPr>
          <w:lang w:val="en-GB"/>
        </w:rPr>
        <w:t xml:space="preserve"> (2023), where peer relationships were emphasised as important in workplace culture enhancement. Collett </w:t>
      </w:r>
      <w:r>
        <w:rPr>
          <w:i/>
          <w:iCs/>
          <w:lang w:val="en-GB"/>
        </w:rPr>
        <w:t>et al.</w:t>
      </w:r>
      <w:r>
        <w:rPr>
          <w:lang w:val="en-GB"/>
        </w:rPr>
        <w:t xml:space="preserve"> (2025) also established that collegial support did not only minimised burnout but also mental health risks.</w:t>
      </w:r>
    </w:p>
    <w:p w14:paraId="40603D3F">
      <w:pPr>
        <w:pStyle w:val="3"/>
        <w:rPr>
          <w:lang w:val="en-GB"/>
        </w:rPr>
      </w:pPr>
      <w:r>
        <w:rPr>
          <w:lang w:val="en-GB"/>
        </w:rPr>
        <w:t>Although these are good results, the literature indicates that there is no strong assessment of the effectiveness of the interventions. Most of the studies depend on the qualitative data or do not have control groups, hence it is hard to find out the long-term effects. This confirms the conclusion that though organisational interventions have potential, there is a need to conduct more rigorous research on the same.</w:t>
      </w:r>
    </w:p>
    <w:p w14:paraId="471A7E11">
      <w:pPr>
        <w:pStyle w:val="5"/>
        <w:spacing w:line="480" w:lineRule="auto"/>
        <w:rPr>
          <w:lang w:val="en-GB"/>
        </w:rPr>
      </w:pPr>
      <w:bookmarkStart w:id="76" w:name="_Toc228745862"/>
      <w:r>
        <w:rPr>
          <w:lang w:val="en-GB"/>
        </w:rPr>
        <w:t>6.2.5 Barriers to Accessing Support</w:t>
      </w:r>
      <w:bookmarkEnd w:id="76"/>
    </w:p>
    <w:p w14:paraId="5E632665">
      <w:pPr>
        <w:pStyle w:val="3"/>
        <w:rPr>
          <w:lang w:val="en-GB"/>
        </w:rPr>
      </w:pPr>
      <w:r>
        <w:rPr>
          <w:lang w:val="en-GB"/>
        </w:rPr>
        <w:t xml:space="preserve">The results indicate that various obstacles are highly detrimental to the efficiency of mental health services. These are workload strain, time, stigma and organisational culture. This aligns with the prior studies that have determined stigma and time as the key impediments to help-seeking behaviour (Zamorano et al., 2024; Liu </w:t>
      </w:r>
      <w:r>
        <w:rPr>
          <w:i/>
          <w:iCs/>
          <w:lang w:val="en-GB"/>
        </w:rPr>
        <w:t>et al.,</w:t>
      </w:r>
      <w:r>
        <w:rPr>
          <w:lang w:val="en-GB"/>
        </w:rPr>
        <w:t xml:space="preserve"> 2025).</w:t>
      </w:r>
    </w:p>
    <w:p w14:paraId="1CC4D0D4">
      <w:pPr>
        <w:pStyle w:val="3"/>
        <w:rPr>
          <w:lang w:val="en-GB"/>
        </w:rPr>
      </w:pPr>
      <w:r>
        <w:rPr>
          <w:lang w:val="en-GB"/>
        </w:rPr>
        <w:t>Organisational culture is very important in determining accessibility to support. Kiptulon</w:t>
      </w:r>
      <w:r>
        <w:rPr>
          <w:i/>
          <w:iCs/>
          <w:lang w:val="en-GB"/>
        </w:rPr>
        <w:t>et al.</w:t>
      </w:r>
      <w:r>
        <w:rPr>
          <w:lang w:val="en-GB"/>
        </w:rPr>
        <w:t xml:space="preserve"> (2024) discovered that workers are not encouraged to seek help when they encounter poor communication and unsupportive leadership, which is also supported by Allsopp </w:t>
      </w:r>
      <w:r>
        <w:rPr>
          <w:i/>
          <w:iCs/>
          <w:lang w:val="en-GB"/>
        </w:rPr>
        <w:t>et al.</w:t>
      </w:r>
      <w:r>
        <w:rPr>
          <w:lang w:val="en-GB"/>
        </w:rPr>
        <w:t xml:space="preserve"> (2023). Equally, Haugen </w:t>
      </w:r>
      <w:r>
        <w:rPr>
          <w:i/>
          <w:iCs/>
          <w:lang w:val="en-GB"/>
        </w:rPr>
        <w:t>et al.</w:t>
      </w:r>
      <w:r>
        <w:rPr>
          <w:lang w:val="en-GB"/>
        </w:rPr>
        <w:t xml:space="preserve"> (2017) defined the effect of stigma, where most professionals were afraid of being judged or facing professional punishment.</w:t>
      </w:r>
    </w:p>
    <w:p w14:paraId="458C0A37">
      <w:pPr>
        <w:pStyle w:val="3"/>
        <w:rPr>
          <w:lang w:val="en-GB"/>
        </w:rPr>
      </w:pPr>
      <w:r>
        <w:rPr>
          <w:lang w:val="en-GB"/>
        </w:rPr>
        <w:t>One of the primary lessons of the given study is that the existence of interventions is not enough. The key to successful implementation is accessibility, awareness and organisational support. This is in line with the JD-R model, where barriers decrease the availability of resources, hence increasing stress and burnout.</w:t>
      </w:r>
    </w:p>
    <w:p w14:paraId="2870B879">
      <w:pPr>
        <w:pStyle w:val="5"/>
        <w:spacing w:line="480" w:lineRule="auto"/>
        <w:ind w:firstLine="40"/>
        <w:rPr>
          <w:lang w:val="en-GB"/>
        </w:rPr>
      </w:pPr>
      <w:bookmarkStart w:id="77" w:name="_Toc228745863"/>
      <w:r>
        <w:rPr>
          <w:lang w:val="en-GB"/>
        </w:rPr>
        <w:t>Reflective Criticism of the Research Method</w:t>
      </w:r>
      <w:bookmarkEnd w:id="77"/>
    </w:p>
    <w:p w14:paraId="0761C14B">
      <w:pPr>
        <w:pStyle w:val="3"/>
        <w:rPr>
          <w:lang w:val="en-GB"/>
        </w:rPr>
      </w:pPr>
      <w:r>
        <w:rPr>
          <w:lang w:val="en-GB"/>
        </w:rPr>
        <w:t>The systematic literature review allowed incorporating the available evidence in a systematic manner, which increased the reliability of the results. Nonetheless, the use of secondary data presents a number of limitations, such as publication bias and reliance on the quality of included studies. Also, the causal interpretation is restricted by the prevalence of cross-sectional designs.</w:t>
      </w:r>
    </w:p>
    <w:p w14:paraId="4C410AB9">
      <w:pPr>
        <w:pStyle w:val="3"/>
        <w:rPr>
          <w:lang w:val="en-GB"/>
        </w:rPr>
      </w:pPr>
      <w:r>
        <w:rPr>
          <w:lang w:val="en-GB"/>
        </w:rPr>
        <w:t>In addition, there is a gap in the literature since much of the research on the subject is UK-specific. It might be explained by the fact that the research on COVID-19 is rather new, and the longitudinal studies are rather complicated to carry out in this case.</w:t>
      </w:r>
    </w:p>
    <w:p w14:paraId="7645490D">
      <w:pPr>
        <w:pStyle w:val="3"/>
        <w:rPr>
          <w:lang w:val="en-GB"/>
        </w:rPr>
      </w:pPr>
      <w:r>
        <w:rPr>
          <w:lang w:val="en-GB"/>
        </w:rPr>
        <w:t>On the whole, the discussion illustrates that the burnout of social care workers is provoked by an interaction of organisational and personal factors. Although the interventions and coping strategies provide relief, to achieve long-term changes, it is necessary to implement systemic changes in organisations.</w:t>
      </w:r>
    </w:p>
    <w:p w14:paraId="5B105C80">
      <w:pPr>
        <w:pStyle w:val="4"/>
        <w:spacing w:line="480" w:lineRule="auto"/>
        <w:ind w:left="0"/>
        <w:rPr>
          <w:lang w:val="en-GB"/>
        </w:rPr>
      </w:pPr>
      <w:bookmarkStart w:id="78" w:name="_Toc228745864"/>
      <w:r>
        <w:rPr>
          <w:lang w:val="en-GB"/>
        </w:rPr>
        <w:t>6.3 Strengths and Limitations</w:t>
      </w:r>
      <w:bookmarkEnd w:id="78"/>
    </w:p>
    <w:p w14:paraId="1DB9802E">
      <w:pPr>
        <w:pStyle w:val="3"/>
        <w:rPr>
          <w:lang w:val="en-GB"/>
        </w:rPr>
      </w:pPr>
      <w:r>
        <w:rPr>
          <w:lang w:val="en-GB"/>
        </w:rPr>
        <w:t>The main advantage of this research is the fact that the systematic literature review (SLR) methodology was used, which guaranteed the systematic, transparent, and reproducible process of identifying and synthesising the available evidence (Turney, 2022). The use of the PRISMA model also increased the methodological rigour through the clear description of the study selection process, minimising selection bias and enhancing transparency (Rethlefsen and Page, 2022). Also, the presence of numerous databases enhanced the breadth of the search and reduced the bias in publications (Gusenbauer and Haddaway, 2020). The reliability of the findings was also enhanced by the utilisation of CASP appraisal instruments that helped to critically review the quality of the methodology of qualitative, quantitative, and mixed-method studies (Hong and Pluye, 2019). The majority of studies, as indicated in Chapter 4, were found to be moderate to high quality, which enhances the credibility of the evidence base.</w:t>
      </w:r>
    </w:p>
    <w:p w14:paraId="70772AD7">
      <w:pPr>
        <w:pStyle w:val="3"/>
        <w:rPr>
          <w:lang w:val="en-GB"/>
        </w:rPr>
      </w:pPr>
      <w:r>
        <w:rPr>
          <w:lang w:val="en-GB"/>
        </w:rPr>
        <w:t>Nevertheless, there are a few restrictions that have to be admitted. The use of secondary data limits the control of study design and the quality of data. Most of them involved cross-sectional studies, which did not allow them to determine the causality between variables. Moreover, the overreliance on self-reported measurements predisposes the possibility of response bias that can potentially interfere with the accuracy of the findings. The generalisability and depth of analysis is also limited by the limited availability of longitudinal research and UK-specific research.</w:t>
      </w:r>
    </w:p>
    <w:p w14:paraId="26B37AE9">
      <w:pPr>
        <w:pStyle w:val="3"/>
        <w:rPr>
          <w:lang w:val="en-GB"/>
        </w:rPr>
      </w:pPr>
    </w:p>
    <w:p w14:paraId="4E7EF969">
      <w:pPr>
        <w:pStyle w:val="4"/>
        <w:spacing w:line="480" w:lineRule="auto"/>
        <w:ind w:left="0"/>
        <w:rPr>
          <w:lang w:val="en-GB"/>
        </w:rPr>
      </w:pPr>
      <w:bookmarkStart w:id="79" w:name="_Toc228745865"/>
      <w:r>
        <w:rPr>
          <w:lang w:val="en-GB"/>
        </w:rPr>
        <w:t>6.4 Chapter Summary</w:t>
      </w:r>
      <w:bookmarkEnd w:id="79"/>
    </w:p>
    <w:p w14:paraId="783316E5">
      <w:pPr>
        <w:pStyle w:val="3"/>
        <w:rPr>
          <w:lang w:val="en-GB"/>
        </w:rPr>
      </w:pPr>
      <w:r>
        <w:rPr>
          <w:lang w:val="en-GB"/>
        </w:rPr>
        <w:t>The chapter critically presented the major findings of the study in terms of comparing them with the existing literature and theoretical framework. As it was discussed, burnout among social care workers is a long-standing and systemic problem, and organisational factors (workload, staffing shortage, and leadership) are the main causes of burnout. Although individual coping strategies and organisational interventions relieve to some extent, structural and cultural barriers tend to limit their efficacy. The gaps in the existing research were also identified during the discussion, and the strengths and limitations of the study were reflected. Comprehensively, the chapter highlights that effective ways of curbing burnout and enhancing the mental health outcomes should be integrated into long-term organisational strategies.</w:t>
      </w:r>
    </w:p>
    <w:p w14:paraId="5B0242A8">
      <w:pPr>
        <w:pStyle w:val="3"/>
        <w:spacing w:line="278" w:lineRule="auto"/>
        <w:jc w:val="left"/>
        <w:rPr>
          <w:lang w:val="en-GB"/>
        </w:rPr>
      </w:pPr>
      <w:r>
        <w:rPr>
          <w:lang w:val="en-GB"/>
        </w:rPr>
        <w:br w:type="page"/>
      </w:r>
    </w:p>
    <w:p w14:paraId="00C3FD6E">
      <w:pPr>
        <w:pStyle w:val="2"/>
        <w:spacing w:line="480" w:lineRule="auto"/>
        <w:rPr>
          <w:sz w:val="28"/>
          <w:szCs w:val="28"/>
        </w:rPr>
      </w:pPr>
      <w:bookmarkStart w:id="80" w:name="_Toc228745866"/>
      <w:r>
        <w:rPr>
          <w:sz w:val="28"/>
          <w:szCs w:val="28"/>
        </w:rPr>
        <w:t>CHAPTER 7: RECOMMENDATIONS AND CONCLUSION</w:t>
      </w:r>
      <w:bookmarkEnd w:id="80"/>
    </w:p>
    <w:p w14:paraId="79DE02A1">
      <w:pPr>
        <w:pStyle w:val="4"/>
        <w:spacing w:line="480" w:lineRule="auto"/>
        <w:ind w:left="0"/>
        <w:rPr>
          <w:lang w:val="en-GB"/>
        </w:rPr>
      </w:pPr>
      <w:bookmarkStart w:id="81" w:name="_Toc228745867"/>
      <w:r>
        <w:rPr>
          <w:lang w:val="en-GB"/>
        </w:rPr>
        <w:t>7.1 Introduction to Chapter</w:t>
      </w:r>
      <w:bookmarkEnd w:id="81"/>
    </w:p>
    <w:p w14:paraId="5517D7FE">
      <w:pPr>
        <w:pStyle w:val="3"/>
        <w:rPr>
          <w:lang w:val="en-GB"/>
        </w:rPr>
      </w:pPr>
      <w:r>
        <w:rPr>
          <w:lang w:val="en-GB"/>
        </w:rPr>
        <w:t>This chapter presents the implications, recommendations, and overall conclusions derived from the systematic literature review on burnout and mental health among social care workers in the United Kingdom. This section, based on the findings and discussion of the previous chapters, summarises how the findings can be used in practice and policy in the social care industry. It also suggests practical recommendations to organisations and points to areas that need research. Lastly, the chapter also ends with a conclusion, summarising the main findings of the study and estimating the importance of dealing with burnout in the post-COVID-19 reality.</w:t>
      </w:r>
    </w:p>
    <w:p w14:paraId="0EC61A3F">
      <w:pPr>
        <w:pStyle w:val="4"/>
        <w:spacing w:line="480" w:lineRule="auto"/>
        <w:ind w:left="0"/>
        <w:rPr>
          <w:lang w:val="en-GB"/>
        </w:rPr>
      </w:pPr>
      <w:bookmarkStart w:id="82" w:name="_Toc228745868"/>
      <w:r>
        <w:rPr>
          <w:lang w:val="en-GB"/>
        </w:rPr>
        <w:t>7.2 Implications of Findings</w:t>
      </w:r>
      <w:bookmarkEnd w:id="82"/>
    </w:p>
    <w:p w14:paraId="60E996BC">
      <w:pPr>
        <w:pStyle w:val="3"/>
        <w:rPr>
          <w:lang w:val="en-GB"/>
        </w:rPr>
      </w:pPr>
      <w:r>
        <w:rPr>
          <w:lang w:val="en-GB"/>
        </w:rPr>
        <w:t xml:space="preserve">The results of the research can be important in the social care industry, specifically, the interpretation of burnout as a systemic and organisational problem, and not an individual one. The high correlation of workload, staffing shortages, and mental health outcomes reveals the necessity to introduce structural change in workforce management (Beattie </w:t>
      </w:r>
      <w:r>
        <w:rPr>
          <w:i/>
          <w:iCs/>
          <w:lang w:val="en-GB"/>
        </w:rPr>
        <w:t>et al.,</w:t>
      </w:r>
      <w:r>
        <w:rPr>
          <w:lang w:val="en-GB"/>
        </w:rPr>
        <w:t xml:space="preserve"> 2023). Also, the definition of moral injury implies that organisational policies should take into account emotional and ethical aspects of care delivery.</w:t>
      </w:r>
    </w:p>
    <w:p w14:paraId="7C489ECF">
      <w:pPr>
        <w:pStyle w:val="3"/>
        <w:rPr>
          <w:lang w:val="en-GB"/>
        </w:rPr>
      </w:pPr>
      <w:r>
        <w:rPr>
          <w:lang w:val="en-GB"/>
        </w:rPr>
        <w:t>The results also suggest that existing interventions like wellbeing hubs and counselling services do not work well independently. The effectiveness of the organisational culture, leadership support, and accessibility is critical in defining their performance. Moreover, the fact that individual coping strategies have only a minor effect implies that organisational responsibility should not be substituted with a resilience-based approach (Allsopp et al., 2023). In general, the research highlights the significance of considering both organisational and individual-level approaches in order to make long-term progress in mental health outcomes.</w:t>
      </w:r>
    </w:p>
    <w:p w14:paraId="0901565A">
      <w:pPr>
        <w:pStyle w:val="4"/>
        <w:spacing w:line="480" w:lineRule="auto"/>
        <w:ind w:left="0"/>
        <w:rPr>
          <w:lang w:val="en-GB"/>
        </w:rPr>
      </w:pPr>
      <w:bookmarkStart w:id="83" w:name="_Toc228745869"/>
      <w:r>
        <w:rPr>
          <w:lang w:val="en-GB"/>
        </w:rPr>
        <w:t>7.3 Recommendations for Practice</w:t>
      </w:r>
      <w:bookmarkEnd w:id="83"/>
    </w:p>
    <w:p w14:paraId="135A6495">
      <w:pPr>
        <w:pStyle w:val="3"/>
        <w:rPr>
          <w:lang w:val="en-GB"/>
        </w:rPr>
      </w:pPr>
      <w:r>
        <w:rPr>
          <w:lang w:val="en-GB"/>
        </w:rPr>
        <w:t>According to the results, it is possible to suggest some practical recommendations to enhance the mental health of social care workers and diminish burnout.</w:t>
      </w:r>
    </w:p>
    <w:p w14:paraId="0DD17037">
      <w:pPr>
        <w:pStyle w:val="3"/>
        <w:rPr>
          <w:lang w:val="en-GB"/>
        </w:rPr>
      </w:pPr>
      <w:r>
        <w:rPr>
          <w:lang w:val="en-GB"/>
        </w:rPr>
        <w:t xml:space="preserve">Firstly, organisations ought to put more emphasis on workforce planning and workload management through proper staffing and sharing of duties evenly </w:t>
      </w:r>
      <w:r>
        <w:rPr>
          <w:highlight w:val="white"/>
          <w:lang w:val="en-GB"/>
        </w:rPr>
        <w:t>(Sharma, 2023)</w:t>
      </w:r>
      <w:r>
        <w:rPr>
          <w:lang w:val="en-GB"/>
        </w:rPr>
        <w:t>. This is capable of alleviating overworking and avoiding chronic stress.</w:t>
      </w:r>
    </w:p>
    <w:p w14:paraId="36CA976B">
      <w:pPr>
        <w:pStyle w:val="3"/>
        <w:rPr>
          <w:lang w:val="en-GB"/>
        </w:rPr>
      </w:pPr>
      <w:r>
        <w:rPr>
          <w:lang w:val="en-GB"/>
        </w:rPr>
        <w:t xml:space="preserve">Secondly, it is required to enhance leadership and managerial support. The training programmes are to be implemented to provide the managers with the skills of emotional intelligence, communication, and staff wellbeing support </w:t>
      </w:r>
      <w:r>
        <w:rPr>
          <w:highlight w:val="white"/>
          <w:lang w:val="en-GB"/>
        </w:rPr>
        <w:t>(Iyanda, 2024)</w:t>
      </w:r>
      <w:r>
        <w:rPr>
          <w:lang w:val="en-GB"/>
        </w:rPr>
        <w:t>. One of the protective factors to burnout has been found to be supportive leadership.</w:t>
      </w:r>
    </w:p>
    <w:p w14:paraId="151FA882">
      <w:pPr>
        <w:pStyle w:val="3"/>
        <w:rPr>
          <w:lang w:val="en-GB"/>
        </w:rPr>
      </w:pPr>
      <w:r>
        <w:rPr>
          <w:lang w:val="en-GB"/>
        </w:rPr>
        <w:t xml:space="preserve">Thirdly, organisations should improve the accessibility and integration of mental health interventions. As per </w:t>
      </w:r>
      <w:r>
        <w:rPr>
          <w:highlight w:val="white"/>
          <w:lang w:val="en-GB"/>
        </w:rPr>
        <w:t>Allsopp et al. (2024). w</w:t>
      </w:r>
      <w:r>
        <w:rPr>
          <w:lang w:val="en-GB"/>
        </w:rPr>
        <w:t>ellbeing services, including counselling and support hubs, ought to be part of the working hours instead of optional or optional.</w:t>
      </w:r>
    </w:p>
    <w:p w14:paraId="7A904563">
      <w:pPr>
        <w:pStyle w:val="3"/>
        <w:rPr>
          <w:lang w:val="en-GB"/>
        </w:rPr>
      </w:pPr>
      <w:r>
        <w:rPr>
          <w:lang w:val="en-GB"/>
        </w:rPr>
        <w:t>Also, it is necessary to foster a positive organisational culture that would minimize mental health stigma. Help-seeking behaviour should be promoted by promoting open communication and psychological safety.</w:t>
      </w:r>
    </w:p>
    <w:p w14:paraId="0BC2CFB8">
      <w:pPr>
        <w:pStyle w:val="3"/>
        <w:rPr>
          <w:lang w:val="en-GB"/>
        </w:rPr>
      </w:pPr>
      <w:r>
        <w:rPr>
          <w:lang w:val="en-GB"/>
        </w:rPr>
        <w:t>Lastly, organisations must embrace an integrated strategy that integrates organisational redesigns and individual support plans, and this makes organisations sustainable in the long run.</w:t>
      </w:r>
    </w:p>
    <w:p w14:paraId="4BA776EC">
      <w:pPr>
        <w:pStyle w:val="4"/>
        <w:spacing w:line="480" w:lineRule="auto"/>
        <w:ind w:left="0"/>
        <w:rPr>
          <w:lang w:val="en-GB"/>
        </w:rPr>
      </w:pPr>
      <w:bookmarkStart w:id="84" w:name="_Toc228745870"/>
      <w:r>
        <w:rPr>
          <w:lang w:val="en-GB"/>
        </w:rPr>
        <w:t>7.4 Recommendations for Future Research</w:t>
      </w:r>
      <w:bookmarkEnd w:id="84"/>
    </w:p>
    <w:p w14:paraId="728A1499">
      <w:pPr>
        <w:pStyle w:val="3"/>
        <w:rPr>
          <w:lang w:val="en-GB"/>
        </w:rPr>
      </w:pPr>
      <w:r>
        <w:rPr>
          <w:lang w:val="en-GB"/>
        </w:rPr>
        <w:t>The paper provides some gaps on which future research can be conducted to improve the knowledge on burnout and mental health in social care.</w:t>
      </w:r>
    </w:p>
    <w:p w14:paraId="36451BC2">
      <w:pPr>
        <w:pStyle w:val="3"/>
        <w:rPr>
          <w:lang w:val="en-GB"/>
        </w:rPr>
      </w:pPr>
      <w:r>
        <w:rPr>
          <w:lang w:val="en-GB"/>
        </w:rPr>
        <w:t>Firstly, longitudinal studies are required to investigate the long-term effects of burnout and how interventions work in the long-term. The majority of the available studies are based on cross-sectional data, which makes interpretation of causality difficult.</w:t>
      </w:r>
    </w:p>
    <w:p w14:paraId="1446A3CB">
      <w:pPr>
        <w:pStyle w:val="3"/>
        <w:rPr>
          <w:lang w:val="en-GB"/>
        </w:rPr>
      </w:pPr>
      <w:r>
        <w:rPr>
          <w:lang w:val="en-GB"/>
        </w:rPr>
        <w:t xml:space="preserve">Secondly, the experimental and intervention-based research should be implemented in the future to determine the effectiveness of organisational strategies, which include workload reduction and leadership training </w:t>
      </w:r>
      <w:r>
        <w:rPr>
          <w:highlight w:val="white"/>
          <w:lang w:val="en-GB"/>
        </w:rPr>
        <w:t>(Das Gecim and Durgu, 2025)</w:t>
      </w:r>
      <w:r>
        <w:rPr>
          <w:lang w:val="en-GB"/>
        </w:rPr>
        <w:t>. This would offer better grounds for policy implementation.</w:t>
      </w:r>
    </w:p>
    <w:p w14:paraId="75064CB4">
      <w:pPr>
        <w:pStyle w:val="3"/>
        <w:rPr>
          <w:lang w:val="en-GB"/>
        </w:rPr>
      </w:pPr>
      <w:r>
        <w:rPr>
          <w:lang w:val="en-GB"/>
        </w:rPr>
        <w:t>Third, there is a need to have more UK-specific studies, especially in the social care sector, since most of the literature has pooled the healthcare and social care populations, making them less contextually relevant.</w:t>
      </w:r>
    </w:p>
    <w:p w14:paraId="0DB98ACF">
      <w:pPr>
        <w:pStyle w:val="3"/>
        <w:rPr>
          <w:lang w:val="en-GB"/>
        </w:rPr>
      </w:pPr>
      <w:r>
        <w:rPr>
          <w:lang w:val="en-GB"/>
        </w:rPr>
        <w:t>The concept of moral injury mainly warrants a deeper investigation as it focuses on representing the underexplored and emerging factors which influence burnout.</w:t>
      </w:r>
    </w:p>
    <w:p w14:paraId="220ECC97">
      <w:pPr>
        <w:pStyle w:val="3"/>
        <w:rPr>
          <w:lang w:val="en-GB"/>
        </w:rPr>
      </w:pPr>
      <w:r>
        <w:rPr>
          <w:lang w:val="en-GB"/>
        </w:rPr>
        <w:t>Lastly, in future research, varied populations and inclusive views must be used, and the interventions must be culturally sensitive and relevant to various workforce groups.</w:t>
      </w:r>
    </w:p>
    <w:p w14:paraId="2CCB88D6">
      <w:pPr>
        <w:pStyle w:val="3"/>
        <w:rPr>
          <w:lang w:val="en-GB"/>
        </w:rPr>
      </w:pPr>
    </w:p>
    <w:p w14:paraId="174D3444">
      <w:pPr>
        <w:pStyle w:val="4"/>
        <w:spacing w:line="480" w:lineRule="auto"/>
        <w:ind w:left="0"/>
        <w:rPr>
          <w:lang w:val="en-GB"/>
        </w:rPr>
      </w:pPr>
      <w:bookmarkStart w:id="85" w:name="_Toc228745871"/>
      <w:r>
        <w:rPr>
          <w:lang w:val="en-GB"/>
        </w:rPr>
        <w:t>7.5 Conclusion</w:t>
      </w:r>
      <w:bookmarkEnd w:id="85"/>
    </w:p>
    <w:p w14:paraId="07DAC2DD">
      <w:pPr>
        <w:pStyle w:val="3"/>
        <w:rPr>
          <w:lang w:val="en-GB"/>
        </w:rPr>
      </w:pPr>
      <w:r>
        <w:rPr>
          <w:lang w:val="en-GB"/>
        </w:rPr>
        <w:t>The purpose of the study was to investigate effective methods and organisational solutions that may be used to assist the mental well-being of the social care workers in the United Kingdom and minimise burnout in the post-COVID-19 environment. The research question was aimed at revealing the effective strategies to enhance the well-being and to resolve the increasing problem of burnout in the sector. The results of this systematic literature review show that burnout among the social care workers is prevalent, chronic, and highly organisational. Burnout was found to be caused mainly by high workload, shortage of staff and absence of managerial support (McFadden et al., 2021; Ravalier et al., 2023). The obtained results are consistent with the literature and theoretical background, especially the Job Demands Resources (JD-R) model (Schaufeli, 2017; Ravalier et al., 2023) emphasizing the lack of balance in the requirements of the job and the resources accessible.</w:t>
      </w:r>
    </w:p>
    <w:p w14:paraId="6E724790">
      <w:pPr>
        <w:pStyle w:val="3"/>
        <w:rPr>
          <w:lang w:val="en-GB"/>
        </w:rPr>
      </w:pPr>
      <w:r>
        <w:rPr>
          <w:lang w:val="en-GB"/>
        </w:rPr>
        <w:t>The research also established that the personal strategies like resilience and mindfulness only offer temporary relief and do not tackle the underlying issues of burnout (Gillen et al., 2022; Hsu et al., 2024). On the same note, Organisational strategies such as health and wellbeing hubs and peer networks have promise, but are often limited by organisational factors such as workload, stigma and access (Allsopp et al., 2023; Blake et al, 2021). One of the crucial contributions of the study is the fact that it has identified burnout as a system problem, as opposed to a failure of an individual. The fact that the social care worker has such a complex issue of mental health is further illustrated by the inclusion of the concept of moral injury. Such findings highlight the relevance of sustainable and combined solutions that would deal with organisational as well as individual issues. The value of this study is that it has practical implications for the well-being of the workforce and the sustainability of the social care sector. Improving the existing methods and defining the gaps in the literature, this study forms the basis of further research and policy formulation. In summary, the findings presented in this study are supported by consistent results across several empirical studies reviewed in the systematic review, which adds to the validity of the findings.</w:t>
      </w:r>
    </w:p>
    <w:p w14:paraId="313050C1">
      <w:pPr>
        <w:pStyle w:val="3"/>
        <w:rPr>
          <w:lang w:val="en-GB"/>
        </w:rPr>
      </w:pPr>
      <w:r>
        <w:rPr>
          <w:lang w:val="en-GB"/>
        </w:rPr>
        <w:t>Overall, the problem of burnout among social care workers should be considered on a multi-level basis. The organisations should become more responsible in providing favourable work environments, and the policymakers and researchers need to keep formulating evidence-based strategies. In the absence of such efforts, burnout is going to be a serious issue, not only in terms of the welfare of the workers but also the quality of care offered.</w:t>
      </w:r>
    </w:p>
    <w:p w14:paraId="2596D641">
      <w:pPr>
        <w:pStyle w:val="3"/>
        <w:spacing w:line="240" w:lineRule="auto"/>
        <w:jc w:val="left"/>
        <w:rPr>
          <w:b/>
          <w:bCs/>
          <w:sz w:val="28"/>
          <w:szCs w:val="28"/>
          <w:lang w:val="en-GB"/>
        </w:rPr>
      </w:pPr>
    </w:p>
    <w:p w14:paraId="26A642CC">
      <w:pPr>
        <w:pStyle w:val="3"/>
        <w:spacing w:line="240" w:lineRule="auto"/>
        <w:jc w:val="left"/>
        <w:rPr>
          <w:b/>
          <w:bCs/>
          <w:sz w:val="28"/>
          <w:szCs w:val="28"/>
          <w:lang w:val="en-GB"/>
        </w:rPr>
      </w:pPr>
      <w:r>
        <w:rPr>
          <w:lang w:val="en-GB"/>
        </w:rPr>
        <w:br w:type="page"/>
      </w:r>
    </w:p>
    <w:p w14:paraId="535D5504">
      <w:pPr>
        <w:pStyle w:val="2"/>
        <w:spacing w:line="480" w:lineRule="auto"/>
        <w:rPr>
          <w:sz w:val="28"/>
          <w:szCs w:val="28"/>
          <w:lang w:val="en-GB"/>
        </w:rPr>
      </w:pPr>
      <w:bookmarkStart w:id="86" w:name="_Toc228745872"/>
      <w:r>
        <w:rPr>
          <w:sz w:val="28"/>
          <w:szCs w:val="28"/>
          <w:lang w:val="en-GB"/>
        </w:rPr>
        <w:t>REFERENCES</w:t>
      </w:r>
      <w:bookmarkEnd w:id="86"/>
    </w:p>
    <w:p w14:paraId="3E934A2D">
      <w:pPr>
        <w:spacing w:after="240"/>
      </w:pPr>
      <w:r>
        <w:rPr>
          <w:highlight w:val="white"/>
        </w:rPr>
        <w:t xml:space="preserve">Ahmad, S., Wasim, S., Irfan, S., Gogoi, S., Srivastava, A., and Farheen, Z. (2019) ‘Qualitative v/s. quantitative research-a summarized review’, </w:t>
      </w:r>
      <w:r>
        <w:rPr>
          <w:i/>
          <w:iCs/>
        </w:rPr>
        <w:t>population</w:t>
      </w:r>
      <w:r>
        <w:t xml:space="preserve">, </w:t>
      </w:r>
      <w:r>
        <w:rPr>
          <w:i/>
          <w:iCs/>
        </w:rPr>
        <w:t>1</w:t>
      </w:r>
      <w:r>
        <w:t>(2), pp.2828-2832.</w:t>
      </w:r>
    </w:p>
    <w:p w14:paraId="33918461">
      <w:pPr>
        <w:spacing w:after="240"/>
      </w:pPr>
      <w:r>
        <w:rPr>
          <w:highlight w:val="white"/>
        </w:rPr>
        <w:t>Allsopp, K., Varese, F., French, P., Young, E., White, H., Chung, P., ... and Hind, D. (2024) ‘A service mapping exercise of four health and social care staff mental health and wellbeing services, Resilience Hubs, to describe health service provision and interventions’, </w:t>
      </w:r>
      <w:r>
        <w:rPr>
          <w:i/>
          <w:iCs/>
          <w:highlight w:val="white"/>
        </w:rPr>
        <w:t>BMC Health Services Research</w:t>
      </w:r>
      <w:r>
        <w:rPr>
          <w:highlight w:val="white"/>
        </w:rPr>
        <w:t>, </w:t>
      </w:r>
      <w:r>
        <w:rPr>
          <w:i/>
          <w:iCs/>
          <w:highlight w:val="white"/>
        </w:rPr>
        <w:t>24</w:t>
      </w:r>
      <w:r>
        <w:rPr>
          <w:highlight w:val="white"/>
        </w:rPr>
        <w:t>(1), pp. 1-11.</w:t>
      </w:r>
    </w:p>
    <w:p w14:paraId="70904385">
      <w:pPr>
        <w:pStyle w:val="17"/>
        <w:spacing w:before="0" w:beforeAutospacing="0" w:after="240" w:afterAutospacing="0" w:line="360" w:lineRule="auto"/>
        <w:jc w:val="both"/>
      </w:pPr>
      <w:bookmarkStart w:id="87" w:name="_heading=h.gkckzmotsngi" w:colFirst="0" w:colLast="0"/>
      <w:bookmarkEnd w:id="87"/>
      <w:r>
        <w:rPr>
          <w:rFonts w:ascii="Arial" w:hAnsi="Arial" w:cs="Arial"/>
          <w:sz w:val="22"/>
          <w:szCs w:val="22"/>
          <w:shd w:val="clear" w:color="auto" w:fill="FFFFFF"/>
        </w:rPr>
        <w:t xml:space="preserve">Asadzadeh, A., Khavarian-Garmsir, A.R., Sharifi, A., Salehi, P. and Kötter, T., (2022). ‘Transformative resilience: An overview of its structure, evolution, and trends’. </w:t>
      </w:r>
      <w:r>
        <w:rPr>
          <w:rFonts w:ascii="Arial" w:hAnsi="Arial" w:cs="Arial"/>
          <w:i/>
          <w:iCs/>
          <w:sz w:val="22"/>
          <w:szCs w:val="22"/>
          <w:shd w:val="clear" w:color="auto" w:fill="FFFFFF"/>
        </w:rPr>
        <w:t>Sustainability</w:t>
      </w:r>
      <w:r>
        <w:rPr>
          <w:rFonts w:ascii="Arial" w:hAnsi="Arial" w:cs="Arial"/>
          <w:sz w:val="22"/>
          <w:szCs w:val="22"/>
          <w:shd w:val="clear" w:color="auto" w:fill="FFFFFF"/>
        </w:rPr>
        <w:t xml:space="preserve">, </w:t>
      </w:r>
      <w:r>
        <w:rPr>
          <w:rFonts w:ascii="Arial" w:hAnsi="Arial" w:cs="Arial"/>
          <w:i/>
          <w:iCs/>
          <w:sz w:val="22"/>
          <w:szCs w:val="22"/>
          <w:shd w:val="clear" w:color="auto" w:fill="FFFFFF"/>
        </w:rPr>
        <w:t>14</w:t>
      </w:r>
      <w:r>
        <w:rPr>
          <w:rFonts w:ascii="Arial" w:hAnsi="Arial" w:cs="Arial"/>
          <w:sz w:val="22"/>
          <w:szCs w:val="22"/>
          <w:shd w:val="clear" w:color="auto" w:fill="FFFFFF"/>
        </w:rPr>
        <w:t>(22), p.15267.</w:t>
      </w:r>
    </w:p>
    <w:p w14:paraId="697B2DB0">
      <w:pPr>
        <w:spacing w:after="240"/>
      </w:pPr>
      <w:bookmarkStart w:id="88" w:name="_heading=h.wh35mk1l252g" w:colFirst="0" w:colLast="0"/>
      <w:bookmarkEnd w:id="88"/>
      <w:r>
        <w:rPr>
          <w:highlight w:val="white"/>
        </w:rPr>
        <w:t xml:space="preserve">Aughterson, H., McKinlay, A. R., Fancourt, D., and Burton, A. (2021) ‘Psychosocial impact on frontline health and social care professionals in the UK during the COVID-19 pandemic: a qualitative interview study’, </w:t>
      </w:r>
      <w:r>
        <w:rPr>
          <w:i/>
          <w:iCs/>
          <w:highlight w:val="white"/>
        </w:rPr>
        <w:t>BMJ open</w:t>
      </w:r>
      <w:r>
        <w:rPr>
          <w:highlight w:val="white"/>
        </w:rPr>
        <w:t xml:space="preserve">, </w:t>
      </w:r>
      <w:r>
        <w:rPr>
          <w:i/>
          <w:iCs/>
          <w:highlight w:val="white"/>
        </w:rPr>
        <w:t>11</w:t>
      </w:r>
      <w:r>
        <w:rPr>
          <w:highlight w:val="white"/>
        </w:rPr>
        <w:t>(2), pp.1-10.</w:t>
      </w:r>
    </w:p>
    <w:p w14:paraId="3594BA31">
      <w:pPr>
        <w:spacing w:after="240"/>
      </w:pPr>
      <w:r>
        <w:t xml:space="preserve">Awashreh, R. andAlGhunaimi, H. (2024) ‘Navigating burnout in the public sector: Strategies for enhancing employee well-being and organizational performance’, </w:t>
      </w:r>
      <w:r>
        <w:rPr>
          <w:i/>
          <w:iCs/>
        </w:rPr>
        <w:t>Evolutionary Studies in Imaginative Culture</w:t>
      </w:r>
      <w:r>
        <w:t>, </w:t>
      </w:r>
      <w:r>
        <w:rPr>
          <w:i/>
          <w:iCs/>
        </w:rPr>
        <w:t>8</w:t>
      </w:r>
      <w:r>
        <w:t>(3), 211-225.</w:t>
      </w:r>
    </w:p>
    <w:p w14:paraId="25B7A9F1">
      <w:pPr>
        <w:pStyle w:val="17"/>
        <w:spacing w:before="0" w:beforeAutospacing="0" w:after="240" w:afterAutospacing="0" w:line="360" w:lineRule="auto"/>
        <w:jc w:val="both"/>
      </w:pPr>
      <w:bookmarkStart w:id="89" w:name="_heading=h.x1dk9bsml22p" w:colFirst="0" w:colLast="0"/>
      <w:bookmarkEnd w:id="89"/>
      <w:r>
        <w:rPr>
          <w:rFonts w:ascii="Arial" w:hAnsi="Arial" w:cs="Arial"/>
          <w:sz w:val="22"/>
          <w:szCs w:val="22"/>
          <w:shd w:val="clear" w:color="auto" w:fill="FFFFFF"/>
        </w:rPr>
        <w:t xml:space="preserve">Azarian, M., Yu, H., Shiferaw, A.T. and Stevik, T.K., (2023). ‘Do we perform systematic literature review right? A scientific mapping and methodological assessment’. </w:t>
      </w:r>
      <w:r>
        <w:rPr>
          <w:rFonts w:ascii="Arial" w:hAnsi="Arial" w:cs="Arial"/>
          <w:i/>
          <w:iCs/>
          <w:sz w:val="22"/>
          <w:szCs w:val="22"/>
          <w:shd w:val="clear" w:color="auto" w:fill="FFFFFF"/>
        </w:rPr>
        <w:t>Logistics</w:t>
      </w:r>
      <w:r>
        <w:rPr>
          <w:rFonts w:ascii="Arial" w:hAnsi="Arial" w:cs="Arial"/>
          <w:sz w:val="22"/>
          <w:szCs w:val="22"/>
          <w:shd w:val="clear" w:color="auto" w:fill="FFFFFF"/>
        </w:rPr>
        <w:t xml:space="preserve">, </w:t>
      </w:r>
      <w:r>
        <w:rPr>
          <w:rFonts w:ascii="Arial" w:hAnsi="Arial" w:cs="Arial"/>
          <w:i/>
          <w:iCs/>
          <w:sz w:val="22"/>
          <w:szCs w:val="22"/>
          <w:shd w:val="clear" w:color="auto" w:fill="FFFFFF"/>
        </w:rPr>
        <w:t>7</w:t>
      </w:r>
      <w:r>
        <w:rPr>
          <w:rFonts w:ascii="Arial" w:hAnsi="Arial" w:cs="Arial"/>
          <w:sz w:val="22"/>
          <w:szCs w:val="22"/>
          <w:shd w:val="clear" w:color="auto" w:fill="FFFFFF"/>
        </w:rPr>
        <w:t>(4), p.89.</w:t>
      </w:r>
    </w:p>
    <w:p w14:paraId="11FF489D">
      <w:pPr>
        <w:pStyle w:val="17"/>
        <w:spacing w:before="0" w:beforeAutospacing="0" w:after="240" w:afterAutospacing="0" w:line="360" w:lineRule="auto"/>
        <w:jc w:val="both"/>
      </w:pPr>
      <w:r>
        <w:rPr>
          <w:rFonts w:ascii="Arial" w:hAnsi="Arial" w:cs="Arial"/>
          <w:sz w:val="22"/>
          <w:szCs w:val="22"/>
          <w:shd w:val="clear" w:color="auto" w:fill="FFFFFF"/>
        </w:rPr>
        <w:t xml:space="preserve">Ballout, S., (2025). ‘Trauma, mental health workforce shortages, and health equity: A crisis in public health’. </w:t>
      </w:r>
      <w:r>
        <w:rPr>
          <w:rFonts w:ascii="Arial" w:hAnsi="Arial" w:cs="Arial"/>
          <w:i/>
          <w:iCs/>
          <w:sz w:val="22"/>
          <w:szCs w:val="22"/>
          <w:shd w:val="clear" w:color="auto" w:fill="FFFFFF"/>
        </w:rPr>
        <w:t>International Journal of Environmental Research and Public Health</w:t>
      </w:r>
      <w:r>
        <w:rPr>
          <w:rFonts w:ascii="Arial" w:hAnsi="Arial" w:cs="Arial"/>
          <w:sz w:val="22"/>
          <w:szCs w:val="22"/>
          <w:shd w:val="clear" w:color="auto" w:fill="FFFFFF"/>
        </w:rPr>
        <w:t xml:space="preserve">, </w:t>
      </w:r>
      <w:r>
        <w:rPr>
          <w:rFonts w:ascii="Arial" w:hAnsi="Arial" w:cs="Arial"/>
          <w:i/>
          <w:iCs/>
          <w:sz w:val="22"/>
          <w:szCs w:val="22"/>
          <w:shd w:val="clear" w:color="auto" w:fill="FFFFFF"/>
        </w:rPr>
        <w:t>22</w:t>
      </w:r>
      <w:r>
        <w:rPr>
          <w:rFonts w:ascii="Arial" w:hAnsi="Arial" w:cs="Arial"/>
          <w:sz w:val="22"/>
          <w:szCs w:val="22"/>
          <w:shd w:val="clear" w:color="auto" w:fill="FFFFFF"/>
        </w:rPr>
        <w:t>(4), p.620.</w:t>
      </w:r>
    </w:p>
    <w:p w14:paraId="09915C25">
      <w:pPr>
        <w:spacing w:after="240"/>
      </w:pPr>
      <w:r>
        <w:rPr>
          <w:highlight w:val="white"/>
        </w:rPr>
        <w:t>Beattie, M., Carolan, C., Macaden, L., Maciver, A., Dingwall, L., Macgilleeathain, R., and Schoultz, M. (2023) ‘Care home workers experiences of stress and coping during COVID</w:t>
      </w:r>
      <w:r>
        <w:rPr>
          <w:rFonts w:ascii="Cambria Math" w:hAnsi="Cambria Math" w:eastAsia="Cambria Math"/>
          <w:highlight w:val="white"/>
        </w:rPr>
        <w:t>‐</w:t>
      </w:r>
      <w:r>
        <w:rPr>
          <w:highlight w:val="white"/>
        </w:rPr>
        <w:t xml:space="preserve">19 pandemic: A mixed methods study’, </w:t>
      </w:r>
      <w:r>
        <w:rPr>
          <w:i/>
          <w:iCs/>
          <w:highlight w:val="white"/>
        </w:rPr>
        <w:t>Nursing Open</w:t>
      </w:r>
      <w:r>
        <w:rPr>
          <w:highlight w:val="white"/>
        </w:rPr>
        <w:t xml:space="preserve">, </w:t>
      </w:r>
      <w:r>
        <w:rPr>
          <w:i/>
          <w:iCs/>
          <w:highlight w:val="white"/>
        </w:rPr>
        <w:t>10</w:t>
      </w:r>
      <w:r>
        <w:rPr>
          <w:highlight w:val="white"/>
        </w:rPr>
        <w:t>(2), pp.687-703.</w:t>
      </w:r>
    </w:p>
    <w:p w14:paraId="2888B842">
      <w:pPr>
        <w:spacing w:after="240"/>
      </w:pPr>
      <w:r>
        <w:t>Belita, E., Neil-Sztramko, S. E., Seale, C., Zhou, F., Zogo, C. O., Boamah, S., ... and Dobbins, M. (2025) ‘Organizational interventions to support and promote the mental health of healthcare workers during pandemics and epidemics: a systematic review’, </w:t>
      </w:r>
      <w:r>
        <w:rPr>
          <w:i/>
          <w:iCs/>
        </w:rPr>
        <w:t>BMC health services research</w:t>
      </w:r>
      <w:r>
        <w:t>, </w:t>
      </w:r>
      <w:r>
        <w:rPr>
          <w:i/>
          <w:iCs/>
        </w:rPr>
        <w:t>25</w:t>
      </w:r>
      <w:r>
        <w:t>(1), pp.731.</w:t>
      </w:r>
    </w:p>
    <w:p w14:paraId="20117406">
      <w:pPr>
        <w:spacing w:after="240"/>
      </w:pPr>
      <w:r>
        <w:rPr>
          <w:highlight w:val="white"/>
        </w:rPr>
        <w:t xml:space="preserve">Blake, H., Gupta, A., Javed, M., Wood, B., Knowles, S., Coyne, E., and Cooper, J. (2021) ‘COVID-well study: Qualitative evaluation of supported wellbeing centres and psychological first aid for healthcare workers during the COVID-19 pandemic’, </w:t>
      </w:r>
      <w:r>
        <w:rPr>
          <w:i/>
          <w:iCs/>
          <w:highlight w:val="white"/>
        </w:rPr>
        <w:t>International journal of environmental research and public health</w:t>
      </w:r>
      <w:r>
        <w:rPr>
          <w:highlight w:val="white"/>
        </w:rPr>
        <w:t xml:space="preserve">, </w:t>
      </w:r>
      <w:r>
        <w:rPr>
          <w:i/>
          <w:iCs/>
          <w:highlight w:val="white"/>
        </w:rPr>
        <w:t>18</w:t>
      </w:r>
      <w:r>
        <w:rPr>
          <w:highlight w:val="white"/>
        </w:rPr>
        <w:t>(7), pp.1-27.</w:t>
      </w:r>
    </w:p>
    <w:p w14:paraId="589CDEEC">
      <w:pPr>
        <w:spacing w:after="240"/>
      </w:pPr>
      <w:r>
        <w:rPr>
          <w:lang w:val="en-IN"/>
        </w:rPr>
        <w:t>Bramer, W.M., De Jonge, G.B., Rethlefsen, M.L., Mast, F. and Kleijnen, J. (2018) ‘</w:t>
      </w:r>
      <w:r>
        <w:t xml:space="preserve">A Systematic Approach to Searching: an Efficient and Complete Method to Develop Literature Searches’, </w:t>
      </w:r>
      <w:r>
        <w:rPr>
          <w:i/>
          <w:iCs/>
        </w:rPr>
        <w:t>Journal of the Medical Library Association</w:t>
      </w:r>
      <w:r>
        <w:t>, 106(4), pp.531–541.</w:t>
      </w:r>
    </w:p>
    <w:p w14:paraId="1520EE49">
      <w:pPr>
        <w:pStyle w:val="3"/>
      </w:pPr>
      <w:r>
        <w:t>Braun, V., and Clarke, V. (2021) ‘Thematic analysis: A practical guide’.</w:t>
      </w:r>
    </w:p>
    <w:p w14:paraId="2B62253C">
      <w:pPr>
        <w:pStyle w:val="3"/>
      </w:pPr>
    </w:p>
    <w:p w14:paraId="6F3B49E8">
      <w:pPr>
        <w:pStyle w:val="3"/>
        <w:rPr>
          <w:shd w:val="clear" w:color="auto" w:fill="FFFFFF"/>
        </w:rPr>
      </w:pPr>
      <w:r>
        <w:rPr>
          <w:shd w:val="clear" w:color="auto" w:fill="FFFFFF"/>
        </w:rPr>
        <w:t>Britt, T. W., Shuffler, M. L., Pegram, R. L., Xoxakos, P., Rosopa, P. J., Hirsh, E., and Jackson, W. (2021) ‘Job demands and resources among healthcare professionals during virus pandemics: A review and examination of fluctuations in mental health strain during COVID</w:t>
      </w:r>
      <w:r>
        <w:rPr>
          <w:rFonts w:ascii="Cambria Math" w:hAnsi="Cambria Math" w:cs="Cambria Math"/>
          <w:shd w:val="clear" w:color="auto" w:fill="FFFFFF"/>
        </w:rPr>
        <w:t>‐</w:t>
      </w:r>
      <w:r>
        <w:rPr>
          <w:shd w:val="clear" w:color="auto" w:fill="FFFFFF"/>
        </w:rPr>
        <w:t xml:space="preserve">19’, </w:t>
      </w:r>
      <w:r>
        <w:rPr>
          <w:i/>
          <w:iCs/>
          <w:shd w:val="clear" w:color="auto" w:fill="FFFFFF"/>
        </w:rPr>
        <w:t>Applied Psychology</w:t>
      </w:r>
      <w:r>
        <w:rPr>
          <w:shd w:val="clear" w:color="auto" w:fill="FFFFFF"/>
        </w:rPr>
        <w:t>, </w:t>
      </w:r>
      <w:r>
        <w:rPr>
          <w:i/>
          <w:iCs/>
          <w:shd w:val="clear" w:color="auto" w:fill="FFFFFF"/>
        </w:rPr>
        <w:t>70</w:t>
      </w:r>
      <w:r>
        <w:rPr>
          <w:shd w:val="clear" w:color="auto" w:fill="FFFFFF"/>
        </w:rPr>
        <w:t>(1), pp.120-149.</w:t>
      </w:r>
    </w:p>
    <w:p w14:paraId="508F44B0">
      <w:pPr>
        <w:pStyle w:val="3"/>
        <w:rPr>
          <w:shd w:val="clear" w:color="auto" w:fill="FFFFFF"/>
        </w:rPr>
      </w:pPr>
    </w:p>
    <w:p w14:paraId="234AF413">
      <w:pPr>
        <w:pStyle w:val="3"/>
        <w:rPr>
          <w:shd w:val="clear" w:color="auto" w:fill="FFFFFF"/>
        </w:rPr>
      </w:pPr>
      <w:bookmarkStart w:id="90" w:name="_heading=h.12sxfya66tow" w:colFirst="0" w:colLast="0"/>
      <w:bookmarkEnd w:id="90"/>
      <w:r>
        <w:rPr>
          <w:shd w:val="clear" w:color="auto" w:fill="FFFFFF"/>
        </w:rPr>
        <w:t>Buchbinder, M., Browne, A., Berlinger, N., Jenkins, T., and Buchbinder, L. (2024) ‘Moral stress and moral distress: confronting challenges in healthcare systems under pressure’, </w:t>
      </w:r>
      <w:r>
        <w:rPr>
          <w:i/>
          <w:iCs/>
          <w:shd w:val="clear" w:color="auto" w:fill="FFFFFF"/>
        </w:rPr>
        <w:t>The American Journal of Bioethics</w:t>
      </w:r>
      <w:r>
        <w:rPr>
          <w:shd w:val="clear" w:color="auto" w:fill="FFFFFF"/>
        </w:rPr>
        <w:t>, </w:t>
      </w:r>
      <w:r>
        <w:rPr>
          <w:i/>
          <w:iCs/>
          <w:shd w:val="clear" w:color="auto" w:fill="FFFFFF"/>
        </w:rPr>
        <w:t>24</w:t>
      </w:r>
      <w:r>
        <w:rPr>
          <w:shd w:val="clear" w:color="auto" w:fill="FFFFFF"/>
        </w:rPr>
        <w:t>(12), pp.8-22.</w:t>
      </w:r>
    </w:p>
    <w:p w14:paraId="0D82321B">
      <w:pPr>
        <w:pStyle w:val="3"/>
        <w:rPr>
          <w:shd w:val="clear" w:color="auto" w:fill="FFFFFF"/>
        </w:rPr>
      </w:pPr>
    </w:p>
    <w:p w14:paraId="56C8E7EF">
      <w:pPr>
        <w:pStyle w:val="3"/>
      </w:pPr>
      <w:r>
        <w:t xml:space="preserve">Care Quality Commission (2022) </w:t>
      </w:r>
      <w:r>
        <w:rPr>
          <w:i/>
          <w:iCs/>
        </w:rPr>
        <w:t>Workforce stress and burnout | Care Quality Commission</w:t>
      </w:r>
      <w:r>
        <w:t>. [online] www.cqc.org.uk. Available at: https://www.cqc.org.uk/publications/major-reports/soc202021_01g_stress-burnout (Accessed 31 January 2026).</w:t>
      </w:r>
    </w:p>
    <w:p w14:paraId="7476A984">
      <w:pPr>
        <w:pStyle w:val="3"/>
      </w:pPr>
    </w:p>
    <w:p w14:paraId="07522A29">
      <w:pPr>
        <w:pStyle w:val="3"/>
      </w:pPr>
      <w:r>
        <w:t xml:space="preserve">CASP (2024). </w:t>
      </w:r>
      <w:r>
        <w:rPr>
          <w:i/>
          <w:iCs/>
        </w:rPr>
        <w:t>What Is a Cohort Study &amp; Why Are They Important? CASP</w:t>
      </w:r>
      <w:r>
        <w:t>. [online] CASP - Critical Appraisal Skills Programme. Available at: https://casp-uk.net/what-is-a-cohort-study/ (Accessed 25 February 2026).</w:t>
      </w:r>
    </w:p>
    <w:p w14:paraId="76282E73">
      <w:pPr>
        <w:pStyle w:val="3"/>
      </w:pPr>
    </w:p>
    <w:p w14:paraId="7E8ADD85">
      <w:pPr>
        <w:pStyle w:val="3"/>
      </w:pPr>
      <w:r>
        <w:t xml:space="preserve">CASP (2025). </w:t>
      </w:r>
      <w:r>
        <w:rPr>
          <w:i/>
          <w:iCs/>
        </w:rPr>
        <w:t>What Is a Cross-Sectional Study? CASP Resources</w:t>
      </w:r>
      <w:r>
        <w:t>. [online] CASP - Critical Appraisal Skills Programme. Available at: https://casp-uk.net/news/what-is-a-cross-sectional-study (Accessed 25 February 2026).</w:t>
      </w:r>
    </w:p>
    <w:p w14:paraId="30613F50">
      <w:pPr>
        <w:pStyle w:val="3"/>
      </w:pPr>
    </w:p>
    <w:p w14:paraId="1DC6AD9E">
      <w:pPr>
        <w:pStyle w:val="3"/>
        <w:rPr>
          <w:lang w:val="en-IN"/>
        </w:rPr>
      </w:pPr>
      <w:r>
        <w:rPr>
          <w:lang w:val="en-IN"/>
        </w:rPr>
        <w:t xml:space="preserve">Cernasev, A. and Axon, D.R. (2023) ‘Research and scholarly methods: thematic analysis’, </w:t>
      </w:r>
      <w:r>
        <w:rPr>
          <w:i/>
          <w:iCs/>
          <w:lang w:val="en-IN"/>
        </w:rPr>
        <w:t>Journal of the American College of Clinical Pharmacy</w:t>
      </w:r>
      <w:r>
        <w:rPr>
          <w:lang w:val="en-IN"/>
        </w:rPr>
        <w:t>, 6(7), pp. 751–755.</w:t>
      </w:r>
    </w:p>
    <w:p w14:paraId="69FF39CC">
      <w:pPr>
        <w:pStyle w:val="3"/>
        <w:rPr>
          <w:lang w:val="en-IN"/>
        </w:rPr>
      </w:pPr>
    </w:p>
    <w:p w14:paraId="7F59382C">
      <w:pPr>
        <w:pStyle w:val="3"/>
      </w:pPr>
      <w:r>
        <w:t xml:space="preserve">Chen, C.-C., Lan, Y.-L., Chiou, S.-L. and Lin, Y.-C. (2022) ‘The Effect of Emotional Labor on the Physical and Mental Health of Health Professionals: Emotional Exhaustion Has a Mediating Effect’, </w:t>
      </w:r>
      <w:r>
        <w:rPr>
          <w:i/>
          <w:iCs/>
        </w:rPr>
        <w:t>Healthcare</w:t>
      </w:r>
      <w:r>
        <w:t>, 11(1), p. 104.</w:t>
      </w:r>
    </w:p>
    <w:p w14:paraId="1CCCF3DC">
      <w:pPr>
        <w:pStyle w:val="3"/>
      </w:pPr>
    </w:p>
    <w:p w14:paraId="7DB40CC5">
      <w:pPr>
        <w:pStyle w:val="3"/>
      </w:pPr>
      <w:r>
        <w:t>Chib, S., Mehta, A. K., Selvakumar, P., Saravanan, A., Mishra, B. R. and Manjunath, T. C. (2025) ‘Mental health challenges and solutions in high-pressure work environments’, In </w:t>
      </w:r>
      <w:r>
        <w:rPr>
          <w:i/>
          <w:iCs/>
        </w:rPr>
        <w:t>Innovative approaches to managing conflict and change in diverse work environments</w:t>
      </w:r>
      <w:r>
        <w:t> (pp. 247-272). IGI Global Scientific Publishing.</w:t>
      </w:r>
    </w:p>
    <w:p w14:paraId="7F5AD733">
      <w:pPr>
        <w:pStyle w:val="3"/>
      </w:pPr>
    </w:p>
    <w:p w14:paraId="5AFEC69F">
      <w:pPr>
        <w:pStyle w:val="3"/>
        <w:rPr>
          <w:shd w:val="clear" w:color="auto" w:fill="FFFFFF"/>
        </w:rPr>
      </w:pPr>
      <w:r>
        <w:rPr>
          <w:shd w:val="clear" w:color="auto" w:fill="FFFFFF"/>
        </w:rPr>
        <w:t xml:space="preserve">Chib, S., Mehta, A.K., Selvakumar, P., Saravanan, A., Mishra, B.R. and Manjunath, T.C., (2025). ‘Mental health challenges and solutions in high-pressure work environments’. In </w:t>
      </w:r>
      <w:r>
        <w:rPr>
          <w:i/>
          <w:iCs/>
          <w:shd w:val="clear" w:color="auto" w:fill="FFFFFF"/>
        </w:rPr>
        <w:t>Innovative approaches to managing conflict and change in diverse work environments</w:t>
      </w:r>
      <w:r>
        <w:rPr>
          <w:shd w:val="clear" w:color="auto" w:fill="FFFFFF"/>
        </w:rPr>
        <w:t xml:space="preserve"> (pp. 247-272). IGI Global Scientific Publishing.</w:t>
      </w:r>
    </w:p>
    <w:p w14:paraId="7B16AEC7">
      <w:pPr>
        <w:pStyle w:val="3"/>
        <w:rPr>
          <w:shd w:val="clear" w:color="auto" w:fill="FFFFFF"/>
        </w:rPr>
      </w:pPr>
    </w:p>
    <w:p w14:paraId="303C1383">
      <w:pPr>
        <w:pStyle w:val="3"/>
        <w:rPr>
          <w:lang w:val="en-IN"/>
        </w:rPr>
      </w:pPr>
      <w:r>
        <w:rPr>
          <w:lang w:val="en-IN"/>
        </w:rPr>
        <w:t xml:space="preserve">Chigbu, U.E., Atiku, S.O. and Du Plessis, C.C. (2023) ‘The science of literature reviews: searching, identifying, selecting, and synthesising’, </w:t>
      </w:r>
      <w:r>
        <w:rPr>
          <w:i/>
          <w:iCs/>
          <w:lang w:val="en-IN"/>
        </w:rPr>
        <w:t>Publications</w:t>
      </w:r>
      <w:r>
        <w:rPr>
          <w:lang w:val="en-IN"/>
        </w:rPr>
        <w:t>, 11(1), p. 2.</w:t>
      </w:r>
    </w:p>
    <w:p w14:paraId="0BC54EF3">
      <w:pPr>
        <w:pStyle w:val="3"/>
        <w:rPr>
          <w:lang w:val="en-IN"/>
        </w:rPr>
      </w:pPr>
    </w:p>
    <w:p w14:paraId="2B728942">
      <w:pPr>
        <w:pStyle w:val="3"/>
      </w:pPr>
      <w:r>
        <w:t>Chireh, B., Essien, S. K., Swerhun, K., D'Arcy, C. andAcharibasam, J. W. (2025) ‘Workplace stressors and mental health outcomes among personal support workers: A systematic review’, </w:t>
      </w:r>
      <w:r>
        <w:rPr>
          <w:i/>
          <w:iCs/>
        </w:rPr>
        <w:t>International journal of nursing studies</w:t>
      </w:r>
      <w:r>
        <w:t>, </w:t>
      </w:r>
      <w:r>
        <w:rPr>
          <w:i/>
          <w:iCs/>
        </w:rPr>
        <w:t>168</w:t>
      </w:r>
      <w:r>
        <w:t>, pp.105093.</w:t>
      </w:r>
    </w:p>
    <w:p w14:paraId="64087FAB">
      <w:pPr>
        <w:pStyle w:val="3"/>
      </w:pPr>
    </w:p>
    <w:p w14:paraId="3516A308">
      <w:pPr>
        <w:pStyle w:val="3"/>
      </w:pPr>
      <w:r>
        <w:rPr>
          <w:highlight w:val="white"/>
        </w:rPr>
        <w:t xml:space="preserve">Clarke, V., and Braun, V. (2017) ‘Thematic analysis’, </w:t>
      </w:r>
      <w:r>
        <w:rPr>
          <w:i/>
          <w:iCs/>
        </w:rPr>
        <w:t>The journal of positive psychology</w:t>
      </w:r>
      <w:r>
        <w:t xml:space="preserve">, </w:t>
      </w:r>
      <w:r>
        <w:rPr>
          <w:i/>
          <w:iCs/>
        </w:rPr>
        <w:t>12</w:t>
      </w:r>
      <w:r>
        <w:t>(3), 297-298.</w:t>
      </w:r>
    </w:p>
    <w:p w14:paraId="40793090">
      <w:pPr>
        <w:pStyle w:val="3"/>
      </w:pPr>
    </w:p>
    <w:p w14:paraId="0448E92C">
      <w:pPr>
        <w:pStyle w:val="3"/>
        <w:rPr>
          <w:lang w:val="en-IN"/>
        </w:rPr>
      </w:pPr>
      <w:r>
        <w:rPr>
          <w:lang w:val="en-IN"/>
        </w:rPr>
        <w:t xml:space="preserve">Cohen, C., Pignata, S., Bezak, E., Tie, M. and Childs, J. (2023) ‘Workplace interventions to improve well-being and reduce burnout for nurses, physicians and allied healthcare professionals: a systematic review’, </w:t>
      </w:r>
      <w:r>
        <w:rPr>
          <w:i/>
          <w:iCs/>
          <w:lang w:val="en-IN"/>
        </w:rPr>
        <w:t>BMJ Open</w:t>
      </w:r>
      <w:r>
        <w:rPr>
          <w:lang w:val="en-IN"/>
        </w:rPr>
        <w:t>, 13(6), e071203.</w:t>
      </w:r>
    </w:p>
    <w:p w14:paraId="7C25DCD3">
      <w:pPr>
        <w:pStyle w:val="3"/>
      </w:pPr>
      <w:r>
        <w:rPr>
          <w:highlight w:val="white"/>
        </w:rPr>
        <w:t xml:space="preserve">Collett, G., Emad, A., and Gupta, A. K. (2025) ‘The impact of workplace support components on the mental health and burnout of UK-based healthcare professionals: Insights from the CoPE-HCP cohort study’, </w:t>
      </w:r>
      <w:r>
        <w:rPr>
          <w:i/>
          <w:iCs/>
        </w:rPr>
        <w:t>Clinical Medicine</w:t>
      </w:r>
      <w:r>
        <w:t xml:space="preserve">, </w:t>
      </w:r>
      <w:r>
        <w:rPr>
          <w:i/>
          <w:iCs/>
        </w:rPr>
        <w:t>25</w:t>
      </w:r>
      <w:r>
        <w:t>(4), pp.1-6.</w:t>
      </w:r>
    </w:p>
    <w:p w14:paraId="5395926C">
      <w:pPr>
        <w:pStyle w:val="3"/>
      </w:pPr>
    </w:p>
    <w:p w14:paraId="2C1F182C">
      <w:pPr>
        <w:pStyle w:val="3"/>
        <w:rPr>
          <w:lang w:val="en-IN"/>
        </w:rPr>
      </w:pPr>
      <w:r>
        <w:rPr>
          <w:lang w:val="en-IN"/>
        </w:rPr>
        <w:t xml:space="preserve">Cooper, C., Booth, A., Varley-Campbell, J., Britten, N. and Garside, R. (2018) ‘Defining the process to literature searching in systematic reviews: a literature review of guidance and supporting studies’, </w:t>
      </w:r>
      <w:r>
        <w:rPr>
          <w:i/>
          <w:iCs/>
          <w:lang w:val="en-IN"/>
        </w:rPr>
        <w:t>BMC Medical Research Methodology</w:t>
      </w:r>
      <w:r>
        <w:rPr>
          <w:lang w:val="en-IN"/>
        </w:rPr>
        <w:t>, 18(1), p. 85.</w:t>
      </w:r>
    </w:p>
    <w:p w14:paraId="3FEF08C8">
      <w:pPr>
        <w:pStyle w:val="3"/>
        <w:rPr>
          <w:lang w:val="en-IN"/>
        </w:rPr>
      </w:pPr>
    </w:p>
    <w:p w14:paraId="5030AE5B">
      <w:pPr>
        <w:pStyle w:val="3"/>
        <w:rPr>
          <w:shd w:val="clear" w:color="auto" w:fill="FFFFFF"/>
        </w:rPr>
      </w:pPr>
      <w:r>
        <w:rPr>
          <w:shd w:val="clear" w:color="auto" w:fill="FFFFFF"/>
        </w:rPr>
        <w:t xml:space="preserve">Corrin, L., Thompson, K., Hwang, G.J. and Lodge, J.M., (2022). ‘The importance of choosing the right keywords for educational technology publications’. </w:t>
      </w:r>
      <w:r>
        <w:rPr>
          <w:i/>
          <w:iCs/>
          <w:shd w:val="clear" w:color="auto" w:fill="FFFFFF"/>
        </w:rPr>
        <w:t>Australasian Journal of Educational Technology</w:t>
      </w:r>
      <w:r>
        <w:rPr>
          <w:shd w:val="clear" w:color="auto" w:fill="FFFFFF"/>
        </w:rPr>
        <w:t xml:space="preserve">, </w:t>
      </w:r>
      <w:r>
        <w:rPr>
          <w:i/>
          <w:iCs/>
          <w:shd w:val="clear" w:color="auto" w:fill="FFFFFF"/>
        </w:rPr>
        <w:t>38</w:t>
      </w:r>
      <w:r>
        <w:rPr>
          <w:shd w:val="clear" w:color="auto" w:fill="FFFFFF"/>
        </w:rPr>
        <w:t>(2), pp.1-8.</w:t>
      </w:r>
    </w:p>
    <w:p w14:paraId="769DC0C2">
      <w:pPr>
        <w:pStyle w:val="3"/>
        <w:rPr>
          <w:shd w:val="clear" w:color="auto" w:fill="FFFFFF"/>
        </w:rPr>
      </w:pPr>
    </w:p>
    <w:p w14:paraId="1CF8BB4E">
      <w:pPr>
        <w:pStyle w:val="3"/>
        <w:rPr>
          <w:shd w:val="clear" w:color="auto" w:fill="FFFFFF"/>
        </w:rPr>
      </w:pPr>
      <w:r>
        <w:rPr>
          <w:shd w:val="clear" w:color="auto" w:fill="FFFFFF"/>
        </w:rPr>
        <w:t>Costa, D. K., and Moss, M. (2018) ‘The cost of caring: emotion, burnout, and psychological distress in critical care clinicians’, </w:t>
      </w:r>
      <w:r>
        <w:rPr>
          <w:i/>
          <w:iCs/>
          <w:shd w:val="clear" w:color="auto" w:fill="FFFFFF"/>
        </w:rPr>
        <w:t>Annals of the American Thoracic Society</w:t>
      </w:r>
      <w:r>
        <w:rPr>
          <w:shd w:val="clear" w:color="auto" w:fill="FFFFFF"/>
        </w:rPr>
        <w:t>, </w:t>
      </w:r>
      <w:r>
        <w:rPr>
          <w:i/>
          <w:iCs/>
          <w:shd w:val="clear" w:color="auto" w:fill="FFFFFF"/>
        </w:rPr>
        <w:t>15</w:t>
      </w:r>
      <w:r>
        <w:rPr>
          <w:shd w:val="clear" w:color="auto" w:fill="FFFFFF"/>
        </w:rPr>
        <w:t>(7), pp.787-790.</w:t>
      </w:r>
    </w:p>
    <w:p w14:paraId="0D365750">
      <w:pPr>
        <w:pStyle w:val="3"/>
        <w:rPr>
          <w:shd w:val="clear" w:color="auto" w:fill="FFFFFF"/>
        </w:rPr>
      </w:pPr>
    </w:p>
    <w:p w14:paraId="78C03F79">
      <w:pPr>
        <w:pStyle w:val="3"/>
        <w:rPr>
          <w:shd w:val="clear" w:color="auto" w:fill="FFFFFF"/>
        </w:rPr>
      </w:pPr>
      <w:r>
        <w:rPr>
          <w:shd w:val="clear" w:color="auto" w:fill="FFFFFF"/>
        </w:rPr>
        <w:t>Costin, A., Roman, A. F., and Balica, R. S. (2023) ‘Remote work burnout, professional job stress, and employee emotional exhaustion during the COVID-19 pandemic’, </w:t>
      </w:r>
      <w:r>
        <w:rPr>
          <w:i/>
          <w:iCs/>
          <w:shd w:val="clear" w:color="auto" w:fill="FFFFFF"/>
        </w:rPr>
        <w:t>Frontiers in psychology</w:t>
      </w:r>
      <w:r>
        <w:rPr>
          <w:shd w:val="clear" w:color="auto" w:fill="FFFFFF"/>
        </w:rPr>
        <w:t>, </w:t>
      </w:r>
      <w:r>
        <w:rPr>
          <w:i/>
          <w:iCs/>
          <w:shd w:val="clear" w:color="auto" w:fill="FFFFFF"/>
        </w:rPr>
        <w:t>14</w:t>
      </w:r>
      <w:r>
        <w:rPr>
          <w:shd w:val="clear" w:color="auto" w:fill="FFFFFF"/>
        </w:rPr>
        <w:t>, pp.1193854.</w:t>
      </w:r>
    </w:p>
    <w:p w14:paraId="024FF3A1">
      <w:pPr>
        <w:pStyle w:val="3"/>
        <w:rPr>
          <w:shd w:val="clear" w:color="auto" w:fill="FFFFFF"/>
        </w:rPr>
      </w:pPr>
    </w:p>
    <w:p w14:paraId="504225E7">
      <w:pPr>
        <w:pStyle w:val="3"/>
        <w:rPr>
          <w:highlight w:val="white"/>
        </w:rPr>
      </w:pPr>
      <w:r>
        <w:rPr>
          <w:highlight w:val="white"/>
        </w:rPr>
        <w:t>Das Gecim, G. Y., and Durgu, N. (2025) ‘The effect of the online stress management program on individual workload perception and stress in nurses: a non-randomized quasi-experimental design study’, </w:t>
      </w:r>
      <w:r>
        <w:rPr>
          <w:i/>
          <w:iCs/>
          <w:highlight w:val="white"/>
        </w:rPr>
        <w:t>BMC nursing</w:t>
      </w:r>
      <w:r>
        <w:rPr>
          <w:highlight w:val="white"/>
        </w:rPr>
        <w:t>, </w:t>
      </w:r>
      <w:r>
        <w:rPr>
          <w:i/>
          <w:iCs/>
          <w:highlight w:val="white"/>
        </w:rPr>
        <w:t>24</w:t>
      </w:r>
      <w:r>
        <w:rPr>
          <w:highlight w:val="white"/>
        </w:rPr>
        <w:t>(1), pp. 1-11.</w:t>
      </w:r>
    </w:p>
    <w:p w14:paraId="14B4F487">
      <w:pPr>
        <w:pStyle w:val="3"/>
        <w:rPr>
          <w:highlight w:val="white"/>
        </w:rPr>
      </w:pPr>
    </w:p>
    <w:p w14:paraId="7D158ED8">
      <w:pPr>
        <w:pStyle w:val="3"/>
      </w:pPr>
      <w:r>
        <w:rPr>
          <w:highlight w:val="white"/>
        </w:rPr>
        <w:t xml:space="preserve">Davies, S., Pearson, A., Allen, R., Whittaker, W., Cartney, P., Clarkson, P., ... and Robinson, C. (2025) ‘'Living with Covid': Well-being, Burnout, and Moral Injury in England's Adult Social Care Workforce-A Survey Study’, </w:t>
      </w:r>
      <w:r>
        <w:rPr>
          <w:i/>
          <w:iCs/>
        </w:rPr>
        <w:t>Journal of long-term care</w:t>
      </w:r>
      <w:r>
        <w:t>, (2025), pp.168-181.</w:t>
      </w:r>
    </w:p>
    <w:p w14:paraId="3F15F053">
      <w:pPr>
        <w:pStyle w:val="3"/>
      </w:pPr>
    </w:p>
    <w:p w14:paraId="47B183BB">
      <w:pPr>
        <w:pStyle w:val="3"/>
      </w:pPr>
      <w:r>
        <w:t xml:space="preserve">Derakhshani, N., Aghdam, E.T., Nafar, H., Tavakoli, M.E., Gladkova, L., Pouyan, S.N. and Joudyian, N. (2025) ‘Identifying the effective strategies in reducing the effects of mental health issues caused by COVID-19 pandemic in healthcare providers: a systematic review’, </w:t>
      </w:r>
      <w:r>
        <w:rPr>
          <w:i/>
          <w:iCs/>
        </w:rPr>
        <w:t>BMC Health Services Research</w:t>
      </w:r>
      <w:r>
        <w:t>, 25(1), pp.1–11.</w:t>
      </w:r>
    </w:p>
    <w:p w14:paraId="00178623">
      <w:pPr>
        <w:pStyle w:val="3"/>
      </w:pPr>
      <w:r>
        <w:t xml:space="preserve">Dima, G., Meseșan Schmitz, L. and Șimon, M. C. (2021) ‘Job stress and burnout among social workers in the VUCA world of COVID-19 pandemic’, </w:t>
      </w:r>
      <w:r>
        <w:rPr>
          <w:i/>
          <w:iCs/>
        </w:rPr>
        <w:t>Sustainability</w:t>
      </w:r>
      <w:r>
        <w:t>, </w:t>
      </w:r>
      <w:r>
        <w:rPr>
          <w:i/>
          <w:iCs/>
        </w:rPr>
        <w:t>13</w:t>
      </w:r>
      <w:r>
        <w:t>(13), 7109.</w:t>
      </w:r>
    </w:p>
    <w:p w14:paraId="2181A118">
      <w:pPr>
        <w:pStyle w:val="3"/>
      </w:pPr>
    </w:p>
    <w:p w14:paraId="050DC7ED">
      <w:pPr>
        <w:pStyle w:val="3"/>
      </w:pPr>
      <w:r>
        <w:t>Dou, J., Lian, Y., Lin, L., Asmuri, S. N. B., Wang, P. and Rajen Durai, R. A. P. (2025) ‘Effectiveness of mindfulness-based interventions on burnout, resilience and sleep quality among nurses: a systematic review and meta-analysis of randomized controlled trials’, </w:t>
      </w:r>
      <w:r>
        <w:rPr>
          <w:i/>
          <w:iCs/>
        </w:rPr>
        <w:t>BMC nursing</w:t>
      </w:r>
      <w:r>
        <w:t>, </w:t>
      </w:r>
      <w:r>
        <w:rPr>
          <w:i/>
          <w:iCs/>
        </w:rPr>
        <w:t>24</w:t>
      </w:r>
      <w:r>
        <w:t>(1), 739.</w:t>
      </w:r>
    </w:p>
    <w:p w14:paraId="7CBB84AB">
      <w:pPr>
        <w:pStyle w:val="3"/>
      </w:pPr>
    </w:p>
    <w:p w14:paraId="40DD8F74">
      <w:pPr>
        <w:pStyle w:val="3"/>
        <w:rPr>
          <w:shd w:val="clear" w:color="auto" w:fill="FFFFFF"/>
        </w:rPr>
      </w:pPr>
      <w:r>
        <w:rPr>
          <w:shd w:val="clear" w:color="auto" w:fill="FFFFFF"/>
        </w:rPr>
        <w:t xml:space="preserve">Fan, S.X., Chan, X.W., Murray, L., Houlihan, T. and Gai, S., (2024). ‘Supporting the support services providers: exploring the invisible aspects of work extremity of social workers’. </w:t>
      </w:r>
      <w:r>
        <w:rPr>
          <w:i/>
          <w:iCs/>
          <w:shd w:val="clear" w:color="auto" w:fill="FFFFFF"/>
        </w:rPr>
        <w:t>The InTernaTIonal Journal of human resource managemenT</w:t>
      </w:r>
      <w:r>
        <w:rPr>
          <w:shd w:val="clear" w:color="auto" w:fill="FFFFFF"/>
        </w:rPr>
        <w:t xml:space="preserve">, </w:t>
      </w:r>
      <w:r>
        <w:rPr>
          <w:i/>
          <w:iCs/>
          <w:shd w:val="clear" w:color="auto" w:fill="FFFFFF"/>
        </w:rPr>
        <w:t>35</w:t>
      </w:r>
      <w:r>
        <w:rPr>
          <w:shd w:val="clear" w:color="auto" w:fill="FFFFFF"/>
        </w:rPr>
        <w:t>(10), pp.1786-1823.</w:t>
      </w:r>
    </w:p>
    <w:p w14:paraId="0ED52E62">
      <w:pPr>
        <w:pStyle w:val="3"/>
        <w:rPr>
          <w:shd w:val="clear" w:color="auto" w:fill="FFFFFF"/>
        </w:rPr>
      </w:pPr>
    </w:p>
    <w:p w14:paraId="236125E4">
      <w:pPr>
        <w:pStyle w:val="3"/>
        <w:rPr>
          <w:shd w:val="clear" w:color="auto" w:fill="FFFFFF"/>
        </w:rPr>
      </w:pPr>
      <w:r>
        <w:rPr>
          <w:shd w:val="clear" w:color="auto" w:fill="FFFFFF"/>
        </w:rPr>
        <w:t xml:space="preserve">Franzosa, E., Tsui, E. K., and Baron, S. (2019) ‘“Who’s caring for us?”: Understanding and addressing the effects of emotional labor on home health aides’ well-being’, </w:t>
      </w:r>
      <w:r>
        <w:rPr>
          <w:i/>
          <w:iCs/>
          <w:shd w:val="clear" w:color="auto" w:fill="FFFFFF"/>
        </w:rPr>
        <w:t>The Gerontologist</w:t>
      </w:r>
      <w:r>
        <w:rPr>
          <w:shd w:val="clear" w:color="auto" w:fill="FFFFFF"/>
        </w:rPr>
        <w:t>, </w:t>
      </w:r>
      <w:r>
        <w:rPr>
          <w:i/>
          <w:iCs/>
          <w:shd w:val="clear" w:color="auto" w:fill="FFFFFF"/>
        </w:rPr>
        <w:t>59</w:t>
      </w:r>
      <w:r>
        <w:rPr>
          <w:shd w:val="clear" w:color="auto" w:fill="FFFFFF"/>
        </w:rPr>
        <w:t>(6), 1055-1064.</w:t>
      </w:r>
    </w:p>
    <w:p w14:paraId="60F76FD2">
      <w:pPr>
        <w:pStyle w:val="3"/>
        <w:rPr>
          <w:shd w:val="clear" w:color="auto" w:fill="FFFFFF"/>
        </w:rPr>
      </w:pPr>
    </w:p>
    <w:p w14:paraId="0F89BCE2">
      <w:pPr>
        <w:pStyle w:val="3"/>
        <w:rPr>
          <w:lang w:val="en-IN"/>
        </w:rPr>
      </w:pPr>
      <w:r>
        <w:rPr>
          <w:lang w:val="en-IN"/>
        </w:rPr>
        <w:t xml:space="preserve">Galanakis, M.D. and Tsitouri, E. (2022) ‘Positive psychology in the working environment: Job demands-resources theory, work engagement and burnout: A systematic literature review’, </w:t>
      </w:r>
      <w:r>
        <w:rPr>
          <w:i/>
          <w:iCs/>
          <w:lang w:val="en-IN"/>
        </w:rPr>
        <w:t>Frontiers in Psychology</w:t>
      </w:r>
      <w:r>
        <w:rPr>
          <w:lang w:val="en-IN"/>
        </w:rPr>
        <w:t>, 13, 1022102.</w:t>
      </w:r>
    </w:p>
    <w:p w14:paraId="321FEBAA">
      <w:pPr>
        <w:pStyle w:val="3"/>
        <w:rPr>
          <w:lang w:val="en-IN"/>
        </w:rPr>
      </w:pPr>
    </w:p>
    <w:p w14:paraId="0DA0B021">
      <w:pPr>
        <w:pStyle w:val="3"/>
        <w:rPr>
          <w:shd w:val="clear" w:color="auto" w:fill="FFFFFF"/>
        </w:rPr>
      </w:pPr>
      <w:r>
        <w:rPr>
          <w:shd w:val="clear" w:color="auto" w:fill="FFFFFF"/>
        </w:rPr>
        <w:t xml:space="preserve">Gaspar, T., Botelho-Guedes, F., Cerqueira, A., Baban, A., Rus, C., and Gaspar-Matos, M. (2025) ‘Burnout as a multidimensional phenomenon: how can workplaces be healthy environments?’, </w:t>
      </w:r>
      <w:r>
        <w:rPr>
          <w:i/>
          <w:iCs/>
          <w:shd w:val="clear" w:color="auto" w:fill="FFFFFF"/>
        </w:rPr>
        <w:t>Journal of Public Health</w:t>
      </w:r>
      <w:r>
        <w:rPr>
          <w:shd w:val="clear" w:color="auto" w:fill="FFFFFF"/>
        </w:rPr>
        <w:t>, </w:t>
      </w:r>
      <w:r>
        <w:rPr>
          <w:i/>
          <w:iCs/>
          <w:shd w:val="clear" w:color="auto" w:fill="FFFFFF"/>
        </w:rPr>
        <w:t>33</w:t>
      </w:r>
      <w:r>
        <w:rPr>
          <w:shd w:val="clear" w:color="auto" w:fill="FFFFFF"/>
        </w:rPr>
        <w:t>(12), pp.2591-2604.</w:t>
      </w:r>
    </w:p>
    <w:p w14:paraId="68918D85">
      <w:pPr>
        <w:pStyle w:val="3"/>
        <w:rPr>
          <w:shd w:val="clear" w:color="auto" w:fill="FFFFFF"/>
        </w:rPr>
      </w:pPr>
    </w:p>
    <w:p w14:paraId="32EF159D">
      <w:pPr>
        <w:pStyle w:val="3"/>
        <w:rPr>
          <w:lang w:val="en-IN"/>
        </w:rPr>
      </w:pPr>
      <w:r>
        <w:rPr>
          <w:lang w:val="en-IN"/>
        </w:rPr>
        <w:t xml:space="preserve">Ghamrawi, N., Shal, T., Ghamrawi, N.A., Abu-Tineh, A., Alshaboul, Y. and Alazaizeh, M.A. (2025) ‘A step-by-step approach to systematic reviews in educational research’, </w:t>
      </w:r>
      <w:r>
        <w:rPr>
          <w:i/>
          <w:iCs/>
          <w:lang w:val="en-IN"/>
        </w:rPr>
        <w:t>European Journal of Educational Research</w:t>
      </w:r>
      <w:r>
        <w:rPr>
          <w:lang w:val="en-IN"/>
        </w:rPr>
        <w:t>, 14(2), pp. 549–566.</w:t>
      </w:r>
    </w:p>
    <w:p w14:paraId="191CE9E6">
      <w:pPr>
        <w:pStyle w:val="3"/>
        <w:rPr>
          <w:lang w:val="en-IN"/>
        </w:rPr>
      </w:pPr>
    </w:p>
    <w:p w14:paraId="0545E96F">
      <w:pPr>
        <w:pStyle w:val="3"/>
      </w:pPr>
      <w:r>
        <w:rPr>
          <w:highlight w:val="white"/>
        </w:rPr>
        <w:t xml:space="preserve">Gillen, P., Neill, R. D., Manthorpe, J., Mallett, J., Schroder, H., Nicholl, P., ...and McFadden, P. (2022) ‘Decreasing wellbeing and increasing use of negative coping strategies: the effect of the COVID-19 pandemic on the UK health and social care workforce’, </w:t>
      </w:r>
      <w:r>
        <w:rPr>
          <w:i/>
          <w:iCs/>
        </w:rPr>
        <w:t>Epidemiologia</w:t>
      </w:r>
      <w:r>
        <w:t xml:space="preserve">, </w:t>
      </w:r>
      <w:r>
        <w:rPr>
          <w:i/>
          <w:iCs/>
        </w:rPr>
        <w:t>3</w:t>
      </w:r>
      <w:r>
        <w:t>(1), pp.26-39.</w:t>
      </w:r>
    </w:p>
    <w:p w14:paraId="661908BC">
      <w:pPr>
        <w:pStyle w:val="3"/>
        <w:rPr>
          <w:lang w:val="en-IN"/>
        </w:rPr>
      </w:pPr>
      <w:r>
        <w:rPr>
          <w:lang w:val="en-IN"/>
        </w:rPr>
        <w:t xml:space="preserve">Golu, F., Cotel, A., Sava, N.I., Oprea, B. and Condrea, S. (2022) ‘The link between job demands, burnout, and the self-undermining of healthcare employees during the COVID-19 pandemic: an underestimated threat?’, </w:t>
      </w:r>
      <w:r>
        <w:rPr>
          <w:i/>
          <w:iCs/>
          <w:lang w:val="en-IN"/>
        </w:rPr>
        <w:t>Healthcare</w:t>
      </w:r>
      <w:r>
        <w:rPr>
          <w:lang w:val="en-IN"/>
        </w:rPr>
        <w:t>, 10(8), p. 1408.</w:t>
      </w:r>
    </w:p>
    <w:p w14:paraId="69710416">
      <w:pPr>
        <w:pStyle w:val="3"/>
        <w:rPr>
          <w:lang w:val="en-IN"/>
        </w:rPr>
      </w:pPr>
    </w:p>
    <w:p w14:paraId="2FB6C07F">
      <w:pPr>
        <w:pStyle w:val="3"/>
        <w:rPr>
          <w:highlight w:val="white"/>
        </w:rPr>
      </w:pPr>
      <w:r>
        <w:rPr>
          <w:highlight w:val="white"/>
        </w:rPr>
        <w:t>Grover, S. L., Teo, S. T., Pick, D., Roche, M., and Newton, C. J. (2018) ‘Psychological capital as a personal resource in the JD-R model’, </w:t>
      </w:r>
      <w:r>
        <w:rPr>
          <w:i/>
          <w:iCs/>
          <w:highlight w:val="white"/>
        </w:rPr>
        <w:t>Personnel Review</w:t>
      </w:r>
      <w:r>
        <w:rPr>
          <w:highlight w:val="white"/>
        </w:rPr>
        <w:t>, </w:t>
      </w:r>
      <w:r>
        <w:rPr>
          <w:i/>
          <w:iCs/>
          <w:highlight w:val="white"/>
        </w:rPr>
        <w:t>47</w:t>
      </w:r>
      <w:r>
        <w:rPr>
          <w:highlight w:val="white"/>
        </w:rPr>
        <w:t>(4), pp.968-984.</w:t>
      </w:r>
    </w:p>
    <w:p w14:paraId="11038F52">
      <w:pPr>
        <w:pStyle w:val="3"/>
        <w:rPr>
          <w:highlight w:val="white"/>
        </w:rPr>
      </w:pPr>
    </w:p>
    <w:p w14:paraId="509E05B2">
      <w:pPr>
        <w:pStyle w:val="3"/>
      </w:pPr>
      <w:r>
        <w:t>Gusenbauer, M. and Haddaway, N.R. (2020) ‘Which Academic Search Systems Are Suitable for Systematic Reviews or meta</w:t>
      </w:r>
      <w:r>
        <w:rPr>
          <w:rFonts w:ascii="Cambria Math" w:hAnsi="Cambria Math"/>
        </w:rPr>
        <w:t>‐</w:t>
      </w:r>
      <w:r>
        <w:t xml:space="preserve">analyses? Evaluating Retrieval Qualities of Google Scholar, PubMed, and 26 Other Resources’, </w:t>
      </w:r>
      <w:r>
        <w:rPr>
          <w:i/>
          <w:iCs/>
        </w:rPr>
        <w:t>Research Synthesis Methods</w:t>
      </w:r>
      <w:r>
        <w:t>, [online] 11(2), pp.181–217. Available at: https://onlinelibrary.wiley.com/doi/10.1002/jrsm.1378 (Accessed 9 February 2026).</w:t>
      </w:r>
    </w:p>
    <w:p w14:paraId="594D4D63">
      <w:pPr>
        <w:pStyle w:val="3"/>
      </w:pPr>
    </w:p>
    <w:p w14:paraId="059EB2FF">
      <w:pPr>
        <w:pStyle w:val="3"/>
      </w:pPr>
      <w:r>
        <w:rPr>
          <w:lang w:val="en-IN"/>
        </w:rPr>
        <w:t>Haugen, P. T., McCrillis, A. M., Smid, G. E. and Nijdam, M. J. (2017) ‘</w:t>
      </w:r>
      <w:r>
        <w:t>Mental health stigma and barriers to mental health care for first responders: A systematic review and meta-analysis’, </w:t>
      </w:r>
      <w:r>
        <w:rPr>
          <w:i/>
          <w:iCs/>
        </w:rPr>
        <w:t>Journal of psychiatric research</w:t>
      </w:r>
      <w:r>
        <w:t>, </w:t>
      </w:r>
      <w:r>
        <w:rPr>
          <w:i/>
          <w:iCs/>
        </w:rPr>
        <w:t>94</w:t>
      </w:r>
      <w:r>
        <w:t>, pp.218-229.</w:t>
      </w:r>
    </w:p>
    <w:p w14:paraId="3445A6EC">
      <w:pPr>
        <w:pStyle w:val="3"/>
      </w:pPr>
    </w:p>
    <w:p w14:paraId="6F216DBE">
      <w:pPr>
        <w:pStyle w:val="3"/>
      </w:pPr>
      <w:r>
        <w:t xml:space="preserve">Heath, A., Levay, P. and Tuvey, D. (2021) ‘Literature Searching Methods or Guidance and Their Application to Public Health topics: a Narrative Review’, </w:t>
      </w:r>
      <w:r>
        <w:rPr>
          <w:i/>
          <w:iCs/>
        </w:rPr>
        <w:t>Health Information &amp; Libraries Journal</w:t>
      </w:r>
      <w:r>
        <w:t>, [online] 39(1), pp.6–21. Available at: https://pmc.ncbi.nlm.nih.gov/articles/PMC9300102/ (Accessed 9 February 2026).</w:t>
      </w:r>
    </w:p>
    <w:p w14:paraId="707C1332">
      <w:pPr>
        <w:pStyle w:val="3"/>
      </w:pPr>
    </w:p>
    <w:p w14:paraId="62F96B0F">
      <w:pPr>
        <w:pStyle w:val="3"/>
        <w:rPr>
          <w:highlight w:val="white"/>
        </w:rPr>
      </w:pPr>
      <w:r>
        <w:rPr>
          <w:highlight w:val="white"/>
        </w:rPr>
        <w:t>Holman, D., Johnson, S., and O’Connor, E. (2018) ‘Stress management interventions: Improving subjective psychological well-being in the workplace’, </w:t>
      </w:r>
      <w:r>
        <w:rPr>
          <w:i/>
          <w:iCs/>
          <w:highlight w:val="white"/>
        </w:rPr>
        <w:t>Handbook of well-being</w:t>
      </w:r>
      <w:r>
        <w:rPr>
          <w:highlight w:val="white"/>
        </w:rPr>
        <w:t>, 1-13.</w:t>
      </w:r>
    </w:p>
    <w:p w14:paraId="158D0F12">
      <w:pPr>
        <w:pStyle w:val="3"/>
        <w:rPr>
          <w:highlight w:val="white"/>
        </w:rPr>
      </w:pPr>
    </w:p>
    <w:p w14:paraId="5F87D93D">
      <w:pPr>
        <w:pStyle w:val="3"/>
      </w:pPr>
      <w:r>
        <w:t xml:space="preserve">Hong, Q. N., and Pluye, P. (2019) ‘A conceptual framework for critical appraisal in systematic mixed studies reviews’, </w:t>
      </w:r>
      <w:r>
        <w:rPr>
          <w:i/>
          <w:iCs/>
        </w:rPr>
        <w:t>Journal of mixed methods research</w:t>
      </w:r>
      <w:r>
        <w:t>, 13(4), pp.446-460.</w:t>
      </w:r>
    </w:p>
    <w:p w14:paraId="79A5DFBC">
      <w:pPr>
        <w:pStyle w:val="3"/>
      </w:pPr>
    </w:p>
    <w:p w14:paraId="6B8522AF">
      <w:pPr>
        <w:pStyle w:val="3"/>
      </w:pPr>
      <w:r>
        <w:t>Hsu, H. C., Lee, H. F., Hung, H. M., Chen, Y. L., Yen, M., Chiang, H. Y., ... and Mu, P. F. (2024) ‘Effectiveness of individual</w:t>
      </w:r>
      <w:r>
        <w:rPr>
          <w:rFonts w:ascii="Cambria Math" w:hAnsi="Cambria Math" w:eastAsia="Cambria Math"/>
        </w:rPr>
        <w:t>‐</w:t>
      </w:r>
      <w:r>
        <w:t>based strategies to reduce nurse burnout: an umbrella review’, </w:t>
      </w:r>
      <w:r>
        <w:rPr>
          <w:i/>
          <w:iCs/>
        </w:rPr>
        <w:t>Journal of nursing management</w:t>
      </w:r>
      <w:r>
        <w:t>, </w:t>
      </w:r>
      <w:r>
        <w:rPr>
          <w:i/>
          <w:iCs/>
        </w:rPr>
        <w:t>2024</w:t>
      </w:r>
      <w:r>
        <w:t>(1), pp.8544725.</w:t>
      </w:r>
    </w:p>
    <w:p w14:paraId="6D908949">
      <w:pPr>
        <w:pStyle w:val="3"/>
        <w:rPr>
          <w:highlight w:val="white"/>
        </w:rPr>
      </w:pPr>
      <w:r>
        <w:rPr>
          <w:highlight w:val="white"/>
        </w:rPr>
        <w:t xml:space="preserve">Iyanda, M. O., Taiwo, B. O., Fissha, Y., Akinlabi, A. A., Phili, K., Ikeda, H., and Kawamura, Y. (2024) ‘Enhancing the occupational safety and well-being of mining and construction workers: an application of emotional intelligence training (EIT)’, </w:t>
      </w:r>
      <w:r>
        <w:rPr>
          <w:i/>
          <w:iCs/>
          <w:highlight w:val="white"/>
        </w:rPr>
        <w:t>Safety in Extreme Environments</w:t>
      </w:r>
      <w:r>
        <w:rPr>
          <w:highlight w:val="white"/>
        </w:rPr>
        <w:t>, </w:t>
      </w:r>
      <w:r>
        <w:rPr>
          <w:i/>
          <w:iCs/>
          <w:highlight w:val="white"/>
        </w:rPr>
        <w:t>6</w:t>
      </w:r>
      <w:r>
        <w:rPr>
          <w:highlight w:val="white"/>
        </w:rPr>
        <w:t>(2),pp. 79-93.</w:t>
      </w:r>
    </w:p>
    <w:p w14:paraId="5CEF9D25">
      <w:pPr>
        <w:pStyle w:val="3"/>
        <w:rPr>
          <w:highlight w:val="white"/>
        </w:rPr>
      </w:pPr>
    </w:p>
    <w:p w14:paraId="6F6C765F">
      <w:pPr>
        <w:pStyle w:val="3"/>
      </w:pPr>
      <w:r>
        <w:t>JSTOR (2022).</w:t>
      </w:r>
      <w:r>
        <w:rPr>
          <w:i/>
          <w:iCs/>
        </w:rPr>
        <w:t>Searching: Boolean Operators</w:t>
      </w:r>
      <w:r>
        <w:t>. [online] JSTOR Support. Available at: https://support.jstor.org/hc/en-us/articles/115004733187-Searching-Boolean-Operators (Accessed 9 February 2026).</w:t>
      </w:r>
    </w:p>
    <w:p w14:paraId="2F0603DD">
      <w:pPr>
        <w:pStyle w:val="3"/>
      </w:pPr>
    </w:p>
    <w:p w14:paraId="14CEF7C0">
      <w:pPr>
        <w:pStyle w:val="3"/>
      </w:pPr>
      <w:r>
        <w:t xml:space="preserve">Khammissa, R.A.G., Nemutandani, S., Feller, G., Lemmer, J. and Feller, L. (2022) ‘Burnout phenomenon: neurophysiological factors, clinical features, and aspects of management’, </w:t>
      </w:r>
      <w:r>
        <w:rPr>
          <w:i/>
          <w:iCs/>
        </w:rPr>
        <w:t>Journal of International Medical Research</w:t>
      </w:r>
      <w:r>
        <w:t>, 50(9), pp. 1–13.</w:t>
      </w:r>
    </w:p>
    <w:p w14:paraId="630338A5">
      <w:pPr>
        <w:pStyle w:val="3"/>
      </w:pPr>
    </w:p>
    <w:p w14:paraId="0DA0FF1E">
      <w:pPr>
        <w:pStyle w:val="3"/>
        <w:rPr>
          <w:shd w:val="clear" w:color="auto" w:fill="FFFFFF"/>
        </w:rPr>
      </w:pPr>
      <w:r>
        <w:rPr>
          <w:shd w:val="clear" w:color="auto" w:fill="FFFFFF"/>
        </w:rPr>
        <w:t>Khan, I., Nawaz, A., Qureshi, Q. A., and Khan, Z. A. (2016) ‘The Impacts of Burnout, Absenteeism and Commitment on Intention to Leave’, </w:t>
      </w:r>
      <w:r>
        <w:rPr>
          <w:i/>
          <w:iCs/>
          <w:shd w:val="clear" w:color="auto" w:fill="FFFFFF"/>
        </w:rPr>
        <w:t>Journal of Education and Practice</w:t>
      </w:r>
      <w:r>
        <w:rPr>
          <w:shd w:val="clear" w:color="auto" w:fill="FFFFFF"/>
        </w:rPr>
        <w:t>, </w:t>
      </w:r>
      <w:r>
        <w:rPr>
          <w:i/>
          <w:iCs/>
          <w:shd w:val="clear" w:color="auto" w:fill="FFFFFF"/>
        </w:rPr>
        <w:t>7</w:t>
      </w:r>
      <w:r>
        <w:rPr>
          <w:shd w:val="clear" w:color="auto" w:fill="FFFFFF"/>
        </w:rPr>
        <w:t>(1), pp.5-9.</w:t>
      </w:r>
    </w:p>
    <w:p w14:paraId="7467C7F6">
      <w:pPr>
        <w:pStyle w:val="3"/>
        <w:rPr>
          <w:shd w:val="clear" w:color="auto" w:fill="FFFFFF"/>
        </w:rPr>
      </w:pPr>
    </w:p>
    <w:p w14:paraId="4C6F0CB2">
      <w:pPr>
        <w:pStyle w:val="3"/>
      </w:pPr>
      <w:r>
        <w:t>Kiptulon, E. K., Elmadani, M., Limungi, G. M., Simon, K., Tóth, L., Horvath, E., ... and Siket, A. U. (2024) ‘Transforming nursing work environments: the impact of organizational culture on work-related stress among nurses: a systematic review’, </w:t>
      </w:r>
      <w:r>
        <w:rPr>
          <w:i/>
          <w:iCs/>
        </w:rPr>
        <w:t>BMC health services research</w:t>
      </w:r>
      <w:r>
        <w:t>, </w:t>
      </w:r>
      <w:r>
        <w:rPr>
          <w:i/>
          <w:iCs/>
        </w:rPr>
        <w:t>24</w:t>
      </w:r>
      <w:r>
        <w:t>(1), pp.1526.</w:t>
      </w:r>
    </w:p>
    <w:p w14:paraId="5B46EAE5">
      <w:pPr>
        <w:pStyle w:val="3"/>
      </w:pPr>
    </w:p>
    <w:p w14:paraId="4AAE320D">
      <w:pPr>
        <w:pStyle w:val="3"/>
      </w:pPr>
      <w:r>
        <w:t xml:space="preserve">Lee, Y. L., Dai, J. W., Li, X. W., Lin, Y. C. and Wang, C. H. (2025) ‘Exploring burnout, resilience and the coping strategies among critical healthcare professionals in post-COVID Taiwan’, </w:t>
      </w:r>
      <w:r>
        <w:rPr>
          <w:i/>
          <w:iCs/>
        </w:rPr>
        <w:t>Scientific Reports</w:t>
      </w:r>
      <w:r>
        <w:t>, </w:t>
      </w:r>
      <w:r>
        <w:rPr>
          <w:i/>
          <w:iCs/>
        </w:rPr>
        <w:t>15</w:t>
      </w:r>
      <w:r>
        <w:t>(1), pp.33144.</w:t>
      </w:r>
    </w:p>
    <w:p w14:paraId="17C2F4EB">
      <w:pPr>
        <w:pStyle w:val="3"/>
      </w:pPr>
    </w:p>
    <w:p w14:paraId="2D3A86D5">
      <w:pPr>
        <w:pStyle w:val="3"/>
      </w:pPr>
      <w:r>
        <w:t xml:space="preserve">Liu, S., Hu, Y., Pfaff, H., Lei, X., Qi, Z. and Feng, X. (2025) ‘Barriers and facilitators to seeking psychological support among healthcare professionals: a qualitative study using the Theoretical Domains Framework’, </w:t>
      </w:r>
      <w:r>
        <w:rPr>
          <w:i/>
          <w:iCs/>
        </w:rPr>
        <w:t>BMC public health</w:t>
      </w:r>
      <w:r>
        <w:t>, </w:t>
      </w:r>
      <w:r>
        <w:rPr>
          <w:i/>
          <w:iCs/>
        </w:rPr>
        <w:t>25</w:t>
      </w:r>
      <w:r>
        <w:t>(1), pp.848.</w:t>
      </w:r>
    </w:p>
    <w:p w14:paraId="39535A58">
      <w:pPr>
        <w:pStyle w:val="3"/>
      </w:pPr>
    </w:p>
    <w:p w14:paraId="4DBDA7F4">
      <w:pPr>
        <w:pStyle w:val="3"/>
      </w:pPr>
      <w:r>
        <w:t>Long, H. A., French, D. P., and Brooks, J. M. (2020) ‘Optimising the value of the critical appraisal skills programme (CASP) tool for quality appraisal in qualitative evidence synthesis’,</w:t>
      </w:r>
      <w:r>
        <w:rPr>
          <w:i/>
          <w:iCs/>
        </w:rPr>
        <w:t xml:space="preserve"> Research Methods in Medicine &amp; Health Sciences</w:t>
      </w:r>
      <w:r>
        <w:t>, 1(1), pp.31-42.</w:t>
      </w:r>
    </w:p>
    <w:p w14:paraId="7FE10824">
      <w:pPr>
        <w:pStyle w:val="3"/>
        <w:rPr>
          <w:shd w:val="clear" w:color="auto" w:fill="FFFFFF"/>
        </w:rPr>
      </w:pPr>
      <w:r>
        <w:rPr>
          <w:shd w:val="clear" w:color="auto" w:fill="FFFFFF"/>
        </w:rPr>
        <w:t>Luo, M., and Lei, J. (2021) ‘Using the JD-R model to predict the organizational outcomes of social workers in Guangzhou, China’, </w:t>
      </w:r>
      <w:r>
        <w:rPr>
          <w:i/>
          <w:iCs/>
          <w:shd w:val="clear" w:color="auto" w:fill="FFFFFF"/>
        </w:rPr>
        <w:t>Journal of the Society for Social Work and Research</w:t>
      </w:r>
      <w:r>
        <w:rPr>
          <w:shd w:val="clear" w:color="auto" w:fill="FFFFFF"/>
        </w:rPr>
        <w:t>, </w:t>
      </w:r>
      <w:r>
        <w:rPr>
          <w:i/>
          <w:iCs/>
          <w:shd w:val="clear" w:color="auto" w:fill="FFFFFF"/>
        </w:rPr>
        <w:t>12</w:t>
      </w:r>
      <w:r>
        <w:rPr>
          <w:shd w:val="clear" w:color="auto" w:fill="FFFFFF"/>
        </w:rPr>
        <w:t>(2), pp.349-369.</w:t>
      </w:r>
    </w:p>
    <w:p w14:paraId="7702385F">
      <w:pPr>
        <w:pStyle w:val="3"/>
        <w:rPr>
          <w:shd w:val="clear" w:color="auto" w:fill="FFFFFF"/>
        </w:rPr>
      </w:pPr>
    </w:p>
    <w:p w14:paraId="2B3998E9">
      <w:pPr>
        <w:pStyle w:val="3"/>
      </w:pPr>
      <w:r>
        <w:t xml:space="preserve">MacFarlane, A., Russell-Rose, T. and Shokraneh, F. (2022) ‘Search Strategy Formulation for Systematic Reviews: Issues, Challenges and Opportunities’, </w:t>
      </w:r>
      <w:r>
        <w:rPr>
          <w:i/>
          <w:iCs/>
        </w:rPr>
        <w:t>Intelligent Systems with Applications</w:t>
      </w:r>
      <w:r>
        <w:t>, 15(1), pp.1–10.</w:t>
      </w:r>
    </w:p>
    <w:p w14:paraId="5BABFAFC">
      <w:pPr>
        <w:pStyle w:val="3"/>
      </w:pPr>
    </w:p>
    <w:p w14:paraId="6FC8754D">
      <w:pPr>
        <w:pStyle w:val="3"/>
        <w:rPr>
          <w:shd w:val="clear" w:color="auto" w:fill="FFFFFF"/>
        </w:rPr>
      </w:pPr>
      <w:r>
        <w:rPr>
          <w:shd w:val="clear" w:color="auto" w:fill="FFFFFF"/>
        </w:rPr>
        <w:t xml:space="preserve">Maryani, M. and Gazali, A.U., (2024). ‘The effect of work conflict on job stress and employee performance’. </w:t>
      </w:r>
      <w:r>
        <w:rPr>
          <w:i/>
          <w:iCs/>
          <w:shd w:val="clear" w:color="auto" w:fill="FFFFFF"/>
        </w:rPr>
        <w:t>Golden Ratio of Human Resource Management</w:t>
      </w:r>
      <w:r>
        <w:rPr>
          <w:shd w:val="clear" w:color="auto" w:fill="FFFFFF"/>
        </w:rPr>
        <w:t xml:space="preserve">, </w:t>
      </w:r>
      <w:r>
        <w:rPr>
          <w:i/>
          <w:iCs/>
          <w:shd w:val="clear" w:color="auto" w:fill="FFFFFF"/>
        </w:rPr>
        <w:t>4</w:t>
      </w:r>
      <w:r>
        <w:rPr>
          <w:shd w:val="clear" w:color="auto" w:fill="FFFFFF"/>
        </w:rPr>
        <w:t>(2), pp.158-171.</w:t>
      </w:r>
    </w:p>
    <w:p w14:paraId="7849106B">
      <w:pPr>
        <w:pStyle w:val="3"/>
        <w:rPr>
          <w:shd w:val="clear" w:color="auto" w:fill="FFFFFF"/>
        </w:rPr>
      </w:pPr>
    </w:p>
    <w:p w14:paraId="2607C60B">
      <w:pPr>
        <w:pStyle w:val="3"/>
        <w:rPr>
          <w:shd w:val="clear" w:color="auto" w:fill="FFFFFF"/>
        </w:rPr>
      </w:pPr>
      <w:r>
        <w:rPr>
          <w:shd w:val="clear" w:color="auto" w:fill="FFFFFF"/>
        </w:rPr>
        <w:t xml:space="preserve">Mascayano, F., Van der Ven, E., Moro, M.F., Schilling, S., Alarcón, S., Al Barathie, J., Alnasser, L., Asaoka, H., Ayinde, O., Balalian, A.A. and Basagoitia, A., (2022). ‘The impact of the COVID-19 pandemic on the mental health of healthcare workers: study protocol for the COVID-19 HEalth caRe wOrkErS (HEROES) study’. </w:t>
      </w:r>
      <w:r>
        <w:rPr>
          <w:i/>
          <w:iCs/>
          <w:shd w:val="clear" w:color="auto" w:fill="FFFFFF"/>
        </w:rPr>
        <w:t>Social psychiatry and psychiatric epidemiology</w:t>
      </w:r>
      <w:r>
        <w:rPr>
          <w:shd w:val="clear" w:color="auto" w:fill="FFFFFF"/>
        </w:rPr>
        <w:t xml:space="preserve">, </w:t>
      </w:r>
      <w:r>
        <w:rPr>
          <w:i/>
          <w:iCs/>
          <w:shd w:val="clear" w:color="auto" w:fill="FFFFFF"/>
        </w:rPr>
        <w:t>57</w:t>
      </w:r>
      <w:r>
        <w:rPr>
          <w:shd w:val="clear" w:color="auto" w:fill="FFFFFF"/>
        </w:rPr>
        <w:t>(3), pp.633-645.</w:t>
      </w:r>
    </w:p>
    <w:p w14:paraId="13456080">
      <w:pPr>
        <w:pStyle w:val="3"/>
        <w:rPr>
          <w:shd w:val="clear" w:color="auto" w:fill="FFFFFF"/>
        </w:rPr>
      </w:pPr>
    </w:p>
    <w:p w14:paraId="6793D36F">
      <w:pPr>
        <w:pStyle w:val="3"/>
        <w:rPr>
          <w:shd w:val="clear" w:color="auto" w:fill="FFFFFF"/>
        </w:rPr>
      </w:pPr>
      <w:r>
        <w:rPr>
          <w:shd w:val="clear" w:color="auto" w:fill="FFFFFF"/>
        </w:rPr>
        <w:t>Maslach, C., and Leiter, M. P. (2022). </w:t>
      </w:r>
      <w:r>
        <w:rPr>
          <w:i/>
          <w:iCs/>
          <w:shd w:val="clear" w:color="auto" w:fill="FFFFFF"/>
        </w:rPr>
        <w:t>The burnout challenge: Managing people’s relationships with their jobs</w:t>
      </w:r>
      <w:r>
        <w:rPr>
          <w:shd w:val="clear" w:color="auto" w:fill="FFFFFF"/>
        </w:rPr>
        <w:t>. Harvard University Press.</w:t>
      </w:r>
    </w:p>
    <w:p w14:paraId="2D23275C">
      <w:pPr>
        <w:pStyle w:val="3"/>
        <w:rPr>
          <w:shd w:val="clear" w:color="auto" w:fill="FFFFFF"/>
        </w:rPr>
      </w:pPr>
    </w:p>
    <w:p w14:paraId="38A9CCB0">
      <w:pPr>
        <w:pStyle w:val="3"/>
        <w:rPr>
          <w:shd w:val="clear" w:color="auto" w:fill="FFFFFF"/>
        </w:rPr>
      </w:pPr>
      <w:r>
        <w:rPr>
          <w:shd w:val="clear" w:color="auto" w:fill="FFFFFF"/>
        </w:rPr>
        <w:t>McDermid, F., Mannix, J., and Peters, K. (2020) ‘Factors contributing to high turnover rates of emergency nurses: A review of the literature’, </w:t>
      </w:r>
      <w:r>
        <w:rPr>
          <w:i/>
          <w:iCs/>
          <w:shd w:val="clear" w:color="auto" w:fill="FFFFFF"/>
        </w:rPr>
        <w:t>Australian critical care</w:t>
      </w:r>
      <w:r>
        <w:rPr>
          <w:shd w:val="clear" w:color="auto" w:fill="FFFFFF"/>
        </w:rPr>
        <w:t>, </w:t>
      </w:r>
      <w:r>
        <w:rPr>
          <w:i/>
          <w:iCs/>
          <w:shd w:val="clear" w:color="auto" w:fill="FFFFFF"/>
        </w:rPr>
        <w:t>33</w:t>
      </w:r>
      <w:r>
        <w:rPr>
          <w:shd w:val="clear" w:color="auto" w:fill="FFFFFF"/>
        </w:rPr>
        <w:t>(4), pp.390-396.</w:t>
      </w:r>
    </w:p>
    <w:p w14:paraId="651E54BA">
      <w:pPr>
        <w:pStyle w:val="3"/>
        <w:rPr>
          <w:shd w:val="clear" w:color="auto" w:fill="FFFFFF"/>
        </w:rPr>
      </w:pPr>
    </w:p>
    <w:p w14:paraId="57A546C6">
      <w:pPr>
        <w:pStyle w:val="3"/>
      </w:pPr>
      <w:r>
        <w:rPr>
          <w:highlight w:val="white"/>
        </w:rPr>
        <w:t xml:space="preserve">McFadden, P., Neill, R. D., Moriarty, J., Gillen, P., Mallett, J., Manthorpe, J., ... and Ross, J. (2021) ‘A cross-sectional examination of the mental wellbeing, coping and quality of working life in health and social care workers in the UK at two time points of the COVID-19 pandemic’, </w:t>
      </w:r>
      <w:r>
        <w:rPr>
          <w:i/>
          <w:iCs/>
        </w:rPr>
        <w:t>Epidemiologia</w:t>
      </w:r>
      <w:r>
        <w:t xml:space="preserve">, </w:t>
      </w:r>
      <w:r>
        <w:rPr>
          <w:i/>
          <w:iCs/>
        </w:rPr>
        <w:t>2</w:t>
      </w:r>
      <w:r>
        <w:t>(3), pp.227-242.</w:t>
      </w:r>
    </w:p>
    <w:p w14:paraId="7A9906A6">
      <w:pPr>
        <w:pStyle w:val="3"/>
      </w:pPr>
    </w:p>
    <w:p w14:paraId="5BA0FDA6">
      <w:pPr>
        <w:pStyle w:val="3"/>
      </w:pPr>
      <w:r>
        <w:t>McFadden, P., Ross, J., MacLochlainn, J., Mallett, J., McGrory, S., Currie, D., ... and Manthorpe, J. (2024) ‘COVID-19 impact on Children’s social work practice and social worker well-being: A mixed methods study from northern Ireland and great Britain during 2020–2022’, </w:t>
      </w:r>
      <w:r>
        <w:rPr>
          <w:i/>
          <w:iCs/>
        </w:rPr>
        <w:t>The British Journal of Social Work</w:t>
      </w:r>
      <w:r>
        <w:t>, </w:t>
      </w:r>
      <w:r>
        <w:rPr>
          <w:i/>
          <w:iCs/>
        </w:rPr>
        <w:t>54</w:t>
      </w:r>
      <w:r>
        <w:t>(3), 1170-1190.</w:t>
      </w:r>
    </w:p>
    <w:p w14:paraId="4A2FA025">
      <w:pPr>
        <w:pStyle w:val="3"/>
      </w:pPr>
    </w:p>
    <w:p w14:paraId="201F994A">
      <w:pPr>
        <w:pStyle w:val="3"/>
      </w:pPr>
      <w:r>
        <w:rPr>
          <w:highlight w:val="white"/>
        </w:rPr>
        <w:t xml:space="preserve">McFadden, P., Ross, J., Moriarty, J., Mallett, J., Schroder, H., Ravalier, J., ... and Gillen, P. (2021) ‘The role of coping in the wellbeing and work-related quality of life of UK health and social care workers during COVID-19’, </w:t>
      </w:r>
      <w:r>
        <w:rPr>
          <w:i/>
          <w:iCs/>
        </w:rPr>
        <w:t>International journal of environmental research and public health</w:t>
      </w:r>
      <w:r>
        <w:t xml:space="preserve">, </w:t>
      </w:r>
      <w:r>
        <w:rPr>
          <w:i/>
          <w:iCs/>
        </w:rPr>
        <w:t>18</w:t>
      </w:r>
      <w:r>
        <w:t>(2), pp.1-15.</w:t>
      </w:r>
    </w:p>
    <w:p w14:paraId="77486A4C">
      <w:pPr>
        <w:pStyle w:val="3"/>
      </w:pPr>
    </w:p>
    <w:p w14:paraId="3022CB37">
      <w:pPr>
        <w:pStyle w:val="3"/>
      </w:pPr>
      <w:r>
        <w:t>Meyer, B., Zill, A., Dilba, D., Gerlach, R. and Schumann, S. (2021) ‘Employee psychological well</w:t>
      </w:r>
      <w:r>
        <w:rPr>
          <w:rFonts w:ascii="Cambria Math" w:hAnsi="Cambria Math"/>
        </w:rPr>
        <w:t>‐</w:t>
      </w:r>
      <w:r>
        <w:t>being during the COVID</w:t>
      </w:r>
      <w:r>
        <w:rPr>
          <w:rFonts w:ascii="Cambria Math" w:hAnsi="Cambria Math"/>
        </w:rPr>
        <w:t>‐</w:t>
      </w:r>
      <w:r>
        <w:t>19 pandemic in Germany: A longitudinal study of demands, resources, and exhaustion’, </w:t>
      </w:r>
      <w:r>
        <w:rPr>
          <w:i/>
          <w:iCs/>
        </w:rPr>
        <w:t>International Journal of Psychology</w:t>
      </w:r>
      <w:r>
        <w:t>, </w:t>
      </w:r>
      <w:r>
        <w:rPr>
          <w:i/>
          <w:iCs/>
        </w:rPr>
        <w:t>56</w:t>
      </w:r>
      <w:r>
        <w:t>(4), pp.532-550.</w:t>
      </w:r>
    </w:p>
    <w:p w14:paraId="41DABC25">
      <w:pPr>
        <w:pStyle w:val="3"/>
      </w:pPr>
    </w:p>
    <w:p w14:paraId="7F70B5FF">
      <w:pPr>
        <w:pStyle w:val="3"/>
      </w:pPr>
      <w:r>
        <w:rPr>
          <w:highlight w:val="white"/>
        </w:rPr>
        <w:t xml:space="preserve">Neill, R. D., McFadden, P., Manthorpe, J., Mallett, J., Currie, D., Schroder, H., ... and MacLochlainn, J. (2023) ‘Changing responses during the COVID-19 pandemic: A comparison of psychological wellbeing and work-related quality of life of UK health and social care workers’, </w:t>
      </w:r>
      <w:r>
        <w:rPr>
          <w:i/>
          <w:iCs/>
        </w:rPr>
        <w:t>BioMed</w:t>
      </w:r>
      <w:r>
        <w:t xml:space="preserve">, </w:t>
      </w:r>
      <w:r>
        <w:rPr>
          <w:i/>
          <w:iCs/>
        </w:rPr>
        <w:t>3</w:t>
      </w:r>
      <w:r>
        <w:t>(3), pp.369-386.</w:t>
      </w:r>
    </w:p>
    <w:p w14:paraId="220300AF">
      <w:pPr>
        <w:pStyle w:val="3"/>
      </w:pPr>
    </w:p>
    <w:p w14:paraId="683DF597">
      <w:pPr>
        <w:pStyle w:val="3"/>
        <w:rPr>
          <w:lang w:val="en-IN"/>
        </w:rPr>
      </w:pPr>
      <w:r>
        <w:rPr>
          <w:lang w:val="en-IN"/>
        </w:rPr>
        <w:t xml:space="preserve">Nezameslami, R., Nezameslami, A., Mehdikhani, B., Mosavi-Jarrahi, A., Shahbazi, A., Rahmani, A. and Neamatzadeh, H. (2025) ‘Adapting PRISMA guidelines to enhance reporting quality in genetic association studies: a framework proposal’, </w:t>
      </w:r>
      <w:r>
        <w:rPr>
          <w:i/>
          <w:iCs/>
          <w:lang w:val="en-IN"/>
        </w:rPr>
        <w:t>Asian Pacific Journal of Cancer Prevention</w:t>
      </w:r>
      <w:r>
        <w:rPr>
          <w:lang w:val="en-IN"/>
        </w:rPr>
        <w:t>, 26(5), pp. 1641–1647.</w:t>
      </w:r>
    </w:p>
    <w:p w14:paraId="2C038EA7">
      <w:pPr>
        <w:pStyle w:val="3"/>
        <w:rPr>
          <w:lang w:val="en-IN"/>
        </w:rPr>
      </w:pPr>
    </w:p>
    <w:p w14:paraId="1F846C9E">
      <w:pPr>
        <w:pStyle w:val="3"/>
      </w:pPr>
      <w:r>
        <w:t xml:space="preserve">Nikolopoulou, K. (2022). </w:t>
      </w:r>
      <w:r>
        <w:rPr>
          <w:i/>
          <w:iCs/>
        </w:rPr>
        <w:t>Inclusion and Exclusion Criteria | Examples &amp; Definition</w:t>
      </w:r>
      <w:r>
        <w:t>. [online] Scribbr. Available at: https://www.scribbr.com/methodology/inclusion-exclusion-criteria/ (Accessed 9 February  2026).</w:t>
      </w:r>
    </w:p>
    <w:p w14:paraId="3647BBF8">
      <w:pPr>
        <w:pStyle w:val="3"/>
      </w:pPr>
    </w:p>
    <w:p w14:paraId="7902F960">
      <w:pPr>
        <w:pStyle w:val="3"/>
        <w:rPr>
          <w:lang w:val="en-IN"/>
        </w:rPr>
      </w:pPr>
      <w:r>
        <w:rPr>
          <w:lang w:val="en-IN"/>
        </w:rPr>
        <w:t xml:space="preserve">Nneoma, U.C., Udoka, E.V.H., Nnenna, U.J., Chukwudi, O.F. and Paul-Chima, U.O. (2023) ‘Ethical publication issues in the collection and analysis of research data’, </w:t>
      </w:r>
      <w:r>
        <w:rPr>
          <w:i/>
          <w:iCs/>
          <w:lang w:val="en-IN"/>
        </w:rPr>
        <w:t>Newport International Journal of Scientific and Experimental Sciences</w:t>
      </w:r>
      <w:r>
        <w:rPr>
          <w:lang w:val="en-IN"/>
        </w:rPr>
        <w:t>, 3(2), pp. 132–140.</w:t>
      </w:r>
    </w:p>
    <w:p w14:paraId="0225C161">
      <w:pPr>
        <w:pStyle w:val="3"/>
      </w:pPr>
    </w:p>
    <w:p w14:paraId="7D78501F">
      <w:pPr>
        <w:pStyle w:val="3"/>
      </w:pPr>
      <w:r>
        <w:t xml:space="preserve">Norful, A. A., Brewer, K. C., Cahir, K. M. and Dierkes, A. M. (2024) ‘Individual and organizational factors influencing well-being and burnout amongst healthcare assistants: A systematic review’, </w:t>
      </w:r>
      <w:r>
        <w:rPr>
          <w:i/>
          <w:iCs/>
        </w:rPr>
        <w:t>International journal of nursing studies advances</w:t>
      </w:r>
      <w:r>
        <w:t>, </w:t>
      </w:r>
      <w:r>
        <w:rPr>
          <w:i/>
          <w:iCs/>
        </w:rPr>
        <w:t>6</w:t>
      </w:r>
      <w:r>
        <w:t>, pp.100187.</w:t>
      </w:r>
    </w:p>
    <w:p w14:paraId="0BA6A3B6">
      <w:pPr>
        <w:pStyle w:val="3"/>
      </w:pPr>
    </w:p>
    <w:p w14:paraId="12E33DA2">
      <w:pPr>
        <w:pStyle w:val="3"/>
        <w:rPr>
          <w:shd w:val="clear" w:color="auto" w:fill="FFFFFF"/>
        </w:rPr>
      </w:pPr>
      <w:r>
        <w:rPr>
          <w:shd w:val="clear" w:color="auto" w:fill="FFFFFF"/>
        </w:rPr>
        <w:t>Nyawira, L., Tsofa, B., Musiega, A., Munywoki, J., Njuguna, R. G., Hanson, K., ... and Barasa, E. (2022) ‘Management of human resources for health: implications for health systems efficiency in Kenya’, </w:t>
      </w:r>
      <w:r>
        <w:rPr>
          <w:i/>
          <w:iCs/>
          <w:shd w:val="clear" w:color="auto" w:fill="FFFFFF"/>
        </w:rPr>
        <w:t>BMC health services research</w:t>
      </w:r>
      <w:r>
        <w:rPr>
          <w:shd w:val="clear" w:color="auto" w:fill="FFFFFF"/>
        </w:rPr>
        <w:t>, </w:t>
      </w:r>
      <w:r>
        <w:rPr>
          <w:i/>
          <w:iCs/>
          <w:shd w:val="clear" w:color="auto" w:fill="FFFFFF"/>
        </w:rPr>
        <w:t>22</w:t>
      </w:r>
      <w:r>
        <w:rPr>
          <w:shd w:val="clear" w:color="auto" w:fill="FFFFFF"/>
        </w:rPr>
        <w:t>(1), pp.1046.</w:t>
      </w:r>
    </w:p>
    <w:p w14:paraId="32C03264">
      <w:pPr>
        <w:pStyle w:val="3"/>
        <w:rPr>
          <w:shd w:val="clear" w:color="auto" w:fill="FFFFFF"/>
        </w:rPr>
      </w:pPr>
    </w:p>
    <w:p w14:paraId="1259E532">
      <w:pPr>
        <w:pStyle w:val="3"/>
      </w:pPr>
      <w:r>
        <w:t xml:space="preserve">Owens, J., Young, A., Allen, R., Pearson, A., Cartney, P., Robinson, C., McPhillips, R., Davies, S. and Regan, M. (2023) ‘The Impact of COVID-19 on Social Care and Social Work in the UK: A Scoping Review’, </w:t>
      </w:r>
      <w:r>
        <w:rPr>
          <w:i/>
          <w:iCs/>
        </w:rPr>
        <w:t>The British Journal of Social Work</w:t>
      </w:r>
      <w:r>
        <w:t>, 54(3).</w:t>
      </w:r>
    </w:p>
    <w:p w14:paraId="1DBA71DA">
      <w:pPr>
        <w:pStyle w:val="3"/>
      </w:pPr>
    </w:p>
    <w:p w14:paraId="14AE8500">
      <w:pPr>
        <w:pStyle w:val="3"/>
      </w:pPr>
      <w:r>
        <w:rPr>
          <w:highlight w:val="white"/>
        </w:rPr>
        <w:t>Petrella, A. R., Hughes, L., Fern, L. A., Monaghan, L., Hannon, B., Waters, A., amd Taylor, R. M. (2021) ‘Healthcare staff well</w:t>
      </w:r>
      <w:r>
        <w:rPr>
          <w:rFonts w:ascii="Cambria Math" w:hAnsi="Cambria Math" w:eastAsia="Cambria Math"/>
          <w:highlight w:val="white"/>
        </w:rPr>
        <w:t>‐</w:t>
      </w:r>
      <w:r>
        <w:rPr>
          <w:highlight w:val="white"/>
        </w:rPr>
        <w:t>being and use of support services during COVID</w:t>
      </w:r>
      <w:r>
        <w:rPr>
          <w:rFonts w:ascii="Cambria Math" w:hAnsi="Cambria Math" w:eastAsia="Cambria Math"/>
          <w:highlight w:val="white"/>
        </w:rPr>
        <w:t>‐</w:t>
      </w:r>
      <w:r>
        <w:rPr>
          <w:highlight w:val="white"/>
        </w:rPr>
        <w:t xml:space="preserve">19: A UK perspective’, </w:t>
      </w:r>
      <w:r>
        <w:rPr>
          <w:i/>
          <w:iCs/>
        </w:rPr>
        <w:t>General Psychiatry</w:t>
      </w:r>
      <w:r>
        <w:t xml:space="preserve">, </w:t>
      </w:r>
      <w:r>
        <w:rPr>
          <w:i/>
          <w:iCs/>
        </w:rPr>
        <w:t>34</w:t>
      </w:r>
      <w:r>
        <w:t>(3), pp.1-11.</w:t>
      </w:r>
    </w:p>
    <w:p w14:paraId="06310B73">
      <w:pPr>
        <w:pStyle w:val="3"/>
      </w:pPr>
    </w:p>
    <w:p w14:paraId="2290E1F8">
      <w:pPr>
        <w:pStyle w:val="3"/>
      </w:pPr>
      <w:r>
        <w:t xml:space="preserve">Phillips, V. and Barker, E. (2021) ‘Systematic reviews: Structure, Form and Content’, </w:t>
      </w:r>
      <w:r>
        <w:rPr>
          <w:i/>
          <w:iCs/>
        </w:rPr>
        <w:t>Journal of Perioperative Practice</w:t>
      </w:r>
      <w:r>
        <w:t xml:space="preserve">, [online] 31(9), pp.349–353. Available at: https://journals.sagepub.com/doi/10.1177/1750458921994693 </w:t>
      </w:r>
    </w:p>
    <w:p w14:paraId="2B399A7F">
      <w:pPr>
        <w:pStyle w:val="3"/>
      </w:pPr>
    </w:p>
    <w:p w14:paraId="5BE8C4D7">
      <w:pPr>
        <w:pStyle w:val="3"/>
      </w:pPr>
      <w:r>
        <w:rPr>
          <w:highlight w:val="white"/>
        </w:rPr>
        <w:t xml:space="preserve">Ravalier, J., McFadden, P., Gillen, P., Mallett, J., Nicholl, P., Neill, R., ... and Curry, D. (2023) ‘Working conditions and well-being in UK social care and social work during COVID-19’, </w:t>
      </w:r>
      <w:r>
        <w:rPr>
          <w:i/>
          <w:iCs/>
        </w:rPr>
        <w:t>Journal of Social Work</w:t>
      </w:r>
      <w:r>
        <w:t xml:space="preserve">, </w:t>
      </w:r>
      <w:r>
        <w:rPr>
          <w:i/>
          <w:iCs/>
        </w:rPr>
        <w:t>23</w:t>
      </w:r>
      <w:r>
        <w:t>(2), pp.165-188.</w:t>
      </w:r>
    </w:p>
    <w:p w14:paraId="0BD4499F">
      <w:pPr>
        <w:pStyle w:val="3"/>
      </w:pPr>
    </w:p>
    <w:p w14:paraId="6A19003F">
      <w:pPr>
        <w:pStyle w:val="3"/>
      </w:pPr>
      <w:r>
        <w:t>Rethlefsen, M. L., and Page, M. J. (2022) ‘PRISMA 2020 and PRISMA-S: common questions on tracking records and the flow diagram’, </w:t>
      </w:r>
      <w:r>
        <w:rPr>
          <w:i/>
          <w:iCs/>
        </w:rPr>
        <w:t>Journal of the Medical Library Association: JMLA</w:t>
      </w:r>
      <w:r>
        <w:t>, </w:t>
      </w:r>
      <w:r>
        <w:rPr>
          <w:i/>
          <w:iCs/>
        </w:rPr>
        <w:t>110</w:t>
      </w:r>
      <w:r>
        <w:t>(2), pp.253-257.</w:t>
      </w:r>
    </w:p>
    <w:p w14:paraId="5C2B6686">
      <w:pPr>
        <w:pStyle w:val="3"/>
      </w:pPr>
    </w:p>
    <w:p w14:paraId="08090344">
      <w:pPr>
        <w:pStyle w:val="3"/>
        <w:rPr>
          <w:shd w:val="clear" w:color="auto" w:fill="FFFFFF"/>
        </w:rPr>
      </w:pPr>
      <w:r>
        <w:rPr>
          <w:shd w:val="clear" w:color="auto" w:fill="FFFFFF"/>
        </w:rPr>
        <w:t xml:space="preserve">Ricciardelli, R., Carleton, R. N., Mooney, T., and Cramm, H. (2020) ‘ “Playing the system”: Structural factors potentiating mental health stigma, challenging awareness, and creating barriers to care for Canadian public safety personnel’, </w:t>
      </w:r>
      <w:r>
        <w:rPr>
          <w:i/>
          <w:iCs/>
          <w:shd w:val="clear" w:color="auto" w:fill="FFFFFF"/>
        </w:rPr>
        <w:t>Health</w:t>
      </w:r>
      <w:r>
        <w:rPr>
          <w:shd w:val="clear" w:color="auto" w:fill="FFFFFF"/>
        </w:rPr>
        <w:t>, </w:t>
      </w:r>
      <w:r>
        <w:rPr>
          <w:i/>
          <w:iCs/>
          <w:shd w:val="clear" w:color="auto" w:fill="FFFFFF"/>
        </w:rPr>
        <w:t>24</w:t>
      </w:r>
      <w:r>
        <w:rPr>
          <w:shd w:val="clear" w:color="auto" w:fill="FFFFFF"/>
        </w:rPr>
        <w:t>(3), pp.259-278.</w:t>
      </w:r>
    </w:p>
    <w:p w14:paraId="5CCF0059">
      <w:pPr>
        <w:pStyle w:val="3"/>
        <w:rPr>
          <w:shd w:val="clear" w:color="auto" w:fill="FFFFFF"/>
        </w:rPr>
      </w:pPr>
    </w:p>
    <w:p w14:paraId="0C4D3C76">
      <w:pPr>
        <w:pStyle w:val="3"/>
      </w:pPr>
      <w:r>
        <w:t>Saloniki, E. C. and Hussein, S. (2025) ‘UK Social Care Workers’ Intention to Leave During COVID-19: A Longitudinal Analysis’, </w:t>
      </w:r>
      <w:r>
        <w:rPr>
          <w:i/>
          <w:iCs/>
        </w:rPr>
        <w:t>Journal of long-term care</w:t>
      </w:r>
      <w:r>
        <w:t>, pp.327-343.</w:t>
      </w:r>
    </w:p>
    <w:p w14:paraId="0A154473">
      <w:pPr>
        <w:pStyle w:val="3"/>
      </w:pPr>
      <w:r>
        <w:t>Schaufeli, W. B. (2017) ‘Applying the Job Demands-Resources model: A ‘how to’guide to measuring and tackling work engagement and burnout’, </w:t>
      </w:r>
      <w:r>
        <w:rPr>
          <w:i/>
          <w:iCs/>
        </w:rPr>
        <w:t>Organizational dynamics</w:t>
      </w:r>
      <w:r>
        <w:t>, </w:t>
      </w:r>
      <w:r>
        <w:rPr>
          <w:i/>
          <w:iCs/>
        </w:rPr>
        <w:t>46</w:t>
      </w:r>
      <w:r>
        <w:t>(2), pp.120-132.</w:t>
      </w:r>
    </w:p>
    <w:p w14:paraId="6CEFB17D">
      <w:pPr>
        <w:pStyle w:val="3"/>
      </w:pPr>
    </w:p>
    <w:p w14:paraId="4278EDB7">
      <w:pPr>
        <w:pStyle w:val="3"/>
      </w:pPr>
      <w:r>
        <w:t>Schmidt, L., Mutlu, A. N. F., Elmore, R., Olorisade, B. K., Thomas, J., and Higgins, J. P. (2025) ‘Data extraction methods for systematic review (semi) automation: Update of a living systematic review’,</w:t>
      </w:r>
      <w:r>
        <w:rPr>
          <w:i/>
          <w:iCs/>
        </w:rPr>
        <w:t xml:space="preserve"> F1000Research</w:t>
      </w:r>
      <w:r>
        <w:t>, 10, pp.1-55.</w:t>
      </w:r>
    </w:p>
    <w:p w14:paraId="34444F23">
      <w:pPr>
        <w:pStyle w:val="3"/>
      </w:pPr>
    </w:p>
    <w:p w14:paraId="3B9CBA65">
      <w:pPr>
        <w:pStyle w:val="3"/>
        <w:rPr>
          <w:shd w:val="clear" w:color="auto" w:fill="FFFFFF"/>
        </w:rPr>
      </w:pPr>
      <w:r>
        <w:rPr>
          <w:shd w:val="clear" w:color="auto" w:fill="FFFFFF"/>
        </w:rPr>
        <w:t xml:space="preserve">Shakespeare, T., Stöckl, A., and Porter, T. (2018) ‘Metaphors to work by: the meaning of personal assistance in England’, </w:t>
      </w:r>
      <w:r>
        <w:rPr>
          <w:i/>
          <w:iCs/>
          <w:shd w:val="clear" w:color="auto" w:fill="FFFFFF"/>
        </w:rPr>
        <w:t>International Journal of Care and Caring</w:t>
      </w:r>
      <w:r>
        <w:rPr>
          <w:shd w:val="clear" w:color="auto" w:fill="FFFFFF"/>
        </w:rPr>
        <w:t>, </w:t>
      </w:r>
      <w:r>
        <w:rPr>
          <w:i/>
          <w:iCs/>
          <w:shd w:val="clear" w:color="auto" w:fill="FFFFFF"/>
        </w:rPr>
        <w:t>2</w:t>
      </w:r>
      <w:r>
        <w:rPr>
          <w:shd w:val="clear" w:color="auto" w:fill="FFFFFF"/>
        </w:rPr>
        <w:t>(2), pp.165-179.</w:t>
      </w:r>
    </w:p>
    <w:p w14:paraId="06A795E1">
      <w:pPr>
        <w:pStyle w:val="3"/>
        <w:rPr>
          <w:shd w:val="clear" w:color="auto" w:fill="FFFFFF"/>
        </w:rPr>
      </w:pPr>
    </w:p>
    <w:p w14:paraId="662D7C67">
      <w:pPr>
        <w:pStyle w:val="3"/>
        <w:rPr>
          <w:highlight w:val="white"/>
        </w:rPr>
      </w:pPr>
      <w:r>
        <w:rPr>
          <w:highlight w:val="white"/>
        </w:rPr>
        <w:t>Sharma, F. C. (2023). </w:t>
      </w:r>
      <w:r>
        <w:rPr>
          <w:i/>
          <w:iCs/>
          <w:highlight w:val="white"/>
        </w:rPr>
        <w:t>Human resource management</w:t>
      </w:r>
      <w:r>
        <w:rPr>
          <w:highlight w:val="white"/>
        </w:rPr>
        <w:t>. SBPD Publications.</w:t>
      </w:r>
    </w:p>
    <w:p w14:paraId="7A0A66F0">
      <w:pPr>
        <w:pStyle w:val="3"/>
        <w:rPr>
          <w:highlight w:val="white"/>
        </w:rPr>
      </w:pPr>
    </w:p>
    <w:p w14:paraId="7C1BF820">
      <w:pPr>
        <w:pStyle w:val="3"/>
      </w:pPr>
      <w:r>
        <w:t>Shinde, S. (2025) ‘The role of emotional exhaustion in employee turnover and its implications for retention’, </w:t>
      </w:r>
      <w:r>
        <w:rPr>
          <w:i/>
          <w:iCs/>
        </w:rPr>
        <w:t>International Journal of Management and Development Studies</w:t>
      </w:r>
      <w:r>
        <w:t>, </w:t>
      </w:r>
      <w:r>
        <w:rPr>
          <w:i/>
          <w:iCs/>
        </w:rPr>
        <w:t>14</w:t>
      </w:r>
      <w:r>
        <w:t>(3), pp.33-44.</w:t>
      </w:r>
    </w:p>
    <w:p w14:paraId="580AD60A">
      <w:pPr>
        <w:pStyle w:val="3"/>
      </w:pPr>
    </w:p>
    <w:p w14:paraId="32C2258F">
      <w:pPr>
        <w:pStyle w:val="3"/>
      </w:pPr>
      <w:r>
        <w:t>Simms, L., Ottman, K. E., Griffith, J. L., Knight, M. G., Norris, L., Karakcheyeva, V. and Kohrt, B. A. (2023) ‘Psychosocial peer support to address mental health and burnout of health care workers affected by COVID-19: a qualitative evaluation’, </w:t>
      </w:r>
      <w:r>
        <w:rPr>
          <w:i/>
          <w:iCs/>
        </w:rPr>
        <w:t>International Journal of Environmental Research and Public Health</w:t>
      </w:r>
      <w:r>
        <w:t>, </w:t>
      </w:r>
      <w:r>
        <w:rPr>
          <w:i/>
          <w:iCs/>
        </w:rPr>
        <w:t>20</w:t>
      </w:r>
      <w:r>
        <w:t>(5), pp.4536.</w:t>
      </w:r>
    </w:p>
    <w:p w14:paraId="5D27B650">
      <w:pPr>
        <w:pStyle w:val="3"/>
      </w:pPr>
    </w:p>
    <w:p w14:paraId="578A1352">
      <w:pPr>
        <w:pStyle w:val="3"/>
        <w:rPr>
          <w:shd w:val="clear" w:color="auto" w:fill="FFFFFF"/>
        </w:rPr>
      </w:pPr>
      <w:r>
        <w:rPr>
          <w:shd w:val="clear" w:color="auto" w:fill="FFFFFF"/>
        </w:rPr>
        <w:t>Teixeira, C. F. D. S., Soares, C. M., Souza, E. A., Lisboa, E. S., Pinto, I. C. D. M., Andrade, L. R. D., and Espiridião, M. A. (2020) ‘The health of healthcare professionals coping with the Covid-19 pandemic’, </w:t>
      </w:r>
      <w:r>
        <w:rPr>
          <w:i/>
          <w:iCs/>
          <w:shd w:val="clear" w:color="auto" w:fill="FFFFFF"/>
        </w:rPr>
        <w:t>Ciencia &amp; saude coletiva</w:t>
      </w:r>
      <w:r>
        <w:rPr>
          <w:shd w:val="clear" w:color="auto" w:fill="FFFFFF"/>
        </w:rPr>
        <w:t>, </w:t>
      </w:r>
      <w:r>
        <w:rPr>
          <w:i/>
          <w:iCs/>
          <w:shd w:val="clear" w:color="auto" w:fill="FFFFFF"/>
        </w:rPr>
        <w:t>25</w:t>
      </w:r>
      <w:r>
        <w:rPr>
          <w:shd w:val="clear" w:color="auto" w:fill="FFFFFF"/>
        </w:rPr>
        <w:t>, pp.3465-3474.</w:t>
      </w:r>
    </w:p>
    <w:p w14:paraId="67141F15">
      <w:pPr>
        <w:pStyle w:val="3"/>
        <w:rPr>
          <w:shd w:val="clear" w:color="auto" w:fill="FFFFFF"/>
        </w:rPr>
      </w:pPr>
    </w:p>
    <w:p w14:paraId="09F950DC">
      <w:pPr>
        <w:pStyle w:val="3"/>
      </w:pPr>
      <w:r>
        <w:t>Tod, D., Booth, A., and Smith, B. (2022) ‘Critical appraisal’,</w:t>
      </w:r>
      <w:r>
        <w:rPr>
          <w:i/>
          <w:iCs/>
        </w:rPr>
        <w:t xml:space="preserve"> International Review of Sport and Exercise Psychology</w:t>
      </w:r>
      <w:r>
        <w:t>, 15(1), pp.52-72.</w:t>
      </w:r>
    </w:p>
    <w:p w14:paraId="3C9FAE70">
      <w:pPr>
        <w:pStyle w:val="3"/>
      </w:pPr>
    </w:p>
    <w:p w14:paraId="54F3C019">
      <w:pPr>
        <w:pStyle w:val="3"/>
      </w:pPr>
      <w:r>
        <w:rPr>
          <w:shd w:val="clear" w:color="auto" w:fill="FFFFFF"/>
        </w:rPr>
        <w:t xml:space="preserve">Topp, S.M., Nguyen, T. and Elliott, L.M., (2025). ‘Federal health workforce policy in Australia and its implications: a descriptive policy document review’. </w:t>
      </w:r>
      <w:r>
        <w:rPr>
          <w:i/>
          <w:iCs/>
          <w:shd w:val="clear" w:color="auto" w:fill="FFFFFF"/>
        </w:rPr>
        <w:t>Medical Journal of Australia</w:t>
      </w:r>
      <w:r>
        <w:rPr>
          <w:shd w:val="clear" w:color="auto" w:fill="FFFFFF"/>
        </w:rPr>
        <w:t xml:space="preserve">, </w:t>
      </w:r>
      <w:r>
        <w:rPr>
          <w:i/>
          <w:iCs/>
          <w:shd w:val="clear" w:color="auto" w:fill="FFFFFF"/>
        </w:rPr>
        <w:t>223</w:t>
      </w:r>
      <w:r>
        <w:rPr>
          <w:shd w:val="clear" w:color="auto" w:fill="FFFFFF"/>
        </w:rPr>
        <w:t>(9), pp.459-466.</w:t>
      </w:r>
    </w:p>
    <w:p w14:paraId="261D6EE0">
      <w:pPr>
        <w:pStyle w:val="3"/>
        <w:rPr>
          <w:shd w:val="clear" w:color="auto" w:fill="FFFFFF"/>
        </w:rPr>
      </w:pPr>
      <w:r>
        <w:rPr>
          <w:shd w:val="clear" w:color="auto" w:fill="FFFFFF"/>
        </w:rPr>
        <w:t>Tu, B., Luo, X., Sitar, S., and Huang, C. (2022) ‘Job demands, resources, and task performance in Chinese social workers: Roles of burnout and work engagement’, </w:t>
      </w:r>
      <w:r>
        <w:rPr>
          <w:i/>
          <w:iCs/>
          <w:shd w:val="clear" w:color="auto" w:fill="FFFFFF"/>
        </w:rPr>
        <w:t>Frontiers in Public Health</w:t>
      </w:r>
      <w:r>
        <w:rPr>
          <w:shd w:val="clear" w:color="auto" w:fill="FFFFFF"/>
        </w:rPr>
        <w:t>, </w:t>
      </w:r>
      <w:r>
        <w:rPr>
          <w:i/>
          <w:iCs/>
          <w:shd w:val="clear" w:color="auto" w:fill="FFFFFF"/>
        </w:rPr>
        <w:t>10</w:t>
      </w:r>
      <w:r>
        <w:rPr>
          <w:shd w:val="clear" w:color="auto" w:fill="FFFFFF"/>
        </w:rPr>
        <w:t>, 908921.</w:t>
      </w:r>
    </w:p>
    <w:p w14:paraId="52336183">
      <w:pPr>
        <w:pStyle w:val="3"/>
        <w:rPr>
          <w:shd w:val="clear" w:color="auto" w:fill="FFFFFF"/>
        </w:rPr>
      </w:pPr>
    </w:p>
    <w:p w14:paraId="1830CC23">
      <w:pPr>
        <w:pStyle w:val="3"/>
      </w:pPr>
      <w:r>
        <w:t>Turney, S. (2022).</w:t>
      </w:r>
      <w:r>
        <w:rPr>
          <w:i/>
          <w:iCs/>
        </w:rPr>
        <w:t>Systematic Review | Definition, Example &amp; Guide</w:t>
      </w:r>
      <w:r>
        <w:t>. [online] Scribbr. Available at: https://www.scribbr.com/methodology/systematic-review/ (Accessed 9 February 2026).</w:t>
      </w:r>
    </w:p>
    <w:p w14:paraId="2314239F">
      <w:pPr>
        <w:pStyle w:val="3"/>
      </w:pPr>
    </w:p>
    <w:p w14:paraId="56A75A7C">
      <w:pPr>
        <w:pStyle w:val="3"/>
      </w:pPr>
      <w:r>
        <w:t xml:space="preserve">UK Parliament (2021) </w:t>
      </w:r>
      <w:r>
        <w:rPr>
          <w:i/>
          <w:iCs/>
        </w:rPr>
        <w:t>Workforce burnout and resilience in the NHS and social care - Health and Social Care Committee - House of Commons</w:t>
      </w:r>
      <w:r>
        <w:t xml:space="preserve">, </w:t>
      </w:r>
      <w:r>
        <w:rPr>
          <w:i/>
          <w:iCs/>
        </w:rPr>
        <w:t>publications.parliament.uk</w:t>
      </w:r>
      <w:r>
        <w:t>. Available at: https://publications.parliament.uk/pa/cm5802/cmselect/cmhealth/22/2207.htm (Accessed: 31 January 2026).</w:t>
      </w:r>
    </w:p>
    <w:p w14:paraId="6D472B13">
      <w:pPr>
        <w:pStyle w:val="3"/>
      </w:pPr>
    </w:p>
    <w:p w14:paraId="5E4C648C">
      <w:pPr>
        <w:pStyle w:val="3"/>
        <w:rPr>
          <w:shd w:val="clear" w:color="auto" w:fill="FFFFFF"/>
        </w:rPr>
      </w:pPr>
      <w:r>
        <w:rPr>
          <w:shd w:val="clear" w:color="auto" w:fill="FFFFFF"/>
        </w:rPr>
        <w:t xml:space="preserve">Ungar, M. (2018) ‘Systemic resilience’, </w:t>
      </w:r>
      <w:r>
        <w:rPr>
          <w:i/>
          <w:iCs/>
          <w:shd w:val="clear" w:color="auto" w:fill="FFFFFF"/>
        </w:rPr>
        <w:t>Ecology and society</w:t>
      </w:r>
      <w:r>
        <w:rPr>
          <w:shd w:val="clear" w:color="auto" w:fill="FFFFFF"/>
        </w:rPr>
        <w:t>, </w:t>
      </w:r>
      <w:r>
        <w:rPr>
          <w:i/>
          <w:iCs/>
          <w:shd w:val="clear" w:color="auto" w:fill="FFFFFF"/>
        </w:rPr>
        <w:t>23</w:t>
      </w:r>
      <w:r>
        <w:rPr>
          <w:shd w:val="clear" w:color="auto" w:fill="FFFFFF"/>
        </w:rPr>
        <w:t>(4).</w:t>
      </w:r>
    </w:p>
    <w:p w14:paraId="33BA3763">
      <w:pPr>
        <w:pStyle w:val="3"/>
        <w:rPr>
          <w:shd w:val="clear" w:color="auto" w:fill="FFFFFF"/>
        </w:rPr>
      </w:pPr>
    </w:p>
    <w:p w14:paraId="09EB935B">
      <w:pPr>
        <w:pStyle w:val="3"/>
      </w:pPr>
      <w:r>
        <w:t>Unjai, S., Forster, E. M., Mitchell, A. E. and Creedy, D. K. (2024) ‘Interventions to promote resilience and passion for work in health settings: A mixed-methods systematic review’, </w:t>
      </w:r>
      <w:r>
        <w:rPr>
          <w:i/>
          <w:iCs/>
        </w:rPr>
        <w:t>International Journal of Nursing Studies Advances</w:t>
      </w:r>
      <w:r>
        <w:t>, </w:t>
      </w:r>
      <w:r>
        <w:rPr>
          <w:i/>
          <w:iCs/>
        </w:rPr>
        <w:t>7</w:t>
      </w:r>
      <w:r>
        <w:t>, pp.100242.</w:t>
      </w:r>
    </w:p>
    <w:p w14:paraId="2D80BAFD">
      <w:pPr>
        <w:pStyle w:val="3"/>
      </w:pPr>
    </w:p>
    <w:p w14:paraId="3E9246D7">
      <w:pPr>
        <w:pStyle w:val="3"/>
        <w:rPr>
          <w:shd w:val="clear" w:color="auto" w:fill="FFFFFF"/>
        </w:rPr>
      </w:pPr>
      <w:r>
        <w:rPr>
          <w:shd w:val="clear" w:color="auto" w:fill="FFFFFF"/>
        </w:rPr>
        <w:t xml:space="preserve">Wadkar, A., (2025). </w:t>
      </w:r>
      <w:r>
        <w:rPr>
          <w:i/>
          <w:iCs/>
          <w:shd w:val="clear" w:color="auto" w:fill="FFFFFF"/>
        </w:rPr>
        <w:t>Psycho-Social Health of Youths: Challenges and Coping Strategies</w:t>
      </w:r>
      <w:r>
        <w:rPr>
          <w:shd w:val="clear" w:color="auto" w:fill="FFFFFF"/>
        </w:rPr>
        <w:t>. Taylor &amp; Francis.</w:t>
      </w:r>
    </w:p>
    <w:p w14:paraId="0CB47229">
      <w:pPr>
        <w:pStyle w:val="3"/>
        <w:rPr>
          <w:shd w:val="clear" w:color="auto" w:fill="FFFFFF"/>
        </w:rPr>
      </w:pPr>
    </w:p>
    <w:p w14:paraId="018C5063">
      <w:pPr>
        <w:pStyle w:val="3"/>
        <w:rPr>
          <w:lang w:val="en-IN"/>
        </w:rPr>
      </w:pPr>
      <w:r>
        <w:rPr>
          <w:lang w:val="en-IN"/>
        </w:rPr>
        <w:t xml:space="preserve">Wanyama, S.B., McQuaid, R.W. and Kittler, M. (2022) ‘Where you search determines what you find: the effects of bibliographic databases on systematic reviews’, </w:t>
      </w:r>
      <w:r>
        <w:rPr>
          <w:i/>
          <w:iCs/>
          <w:lang w:val="en-IN"/>
        </w:rPr>
        <w:t>International Journal of Social Research Methodology</w:t>
      </w:r>
      <w:r>
        <w:rPr>
          <w:lang w:val="en-IN"/>
        </w:rPr>
        <w:t>, 25(3), pp. 409–422.</w:t>
      </w:r>
    </w:p>
    <w:p w14:paraId="7EF48FFF">
      <w:pPr>
        <w:pStyle w:val="3"/>
        <w:rPr>
          <w:lang w:val="en-IN"/>
        </w:rPr>
      </w:pPr>
    </w:p>
    <w:p w14:paraId="07452606">
      <w:pPr>
        <w:pStyle w:val="3"/>
        <w:rPr>
          <w:shd w:val="clear" w:color="auto" w:fill="FFFFFF"/>
        </w:rPr>
      </w:pPr>
      <w:r>
        <w:rPr>
          <w:shd w:val="clear" w:color="auto" w:fill="FFFFFF"/>
        </w:rPr>
        <w:t>Wollmann, H., Koprić, I., and Marcou, G. (Eds.). (2016). </w:t>
      </w:r>
      <w:r>
        <w:rPr>
          <w:i/>
          <w:iCs/>
          <w:shd w:val="clear" w:color="auto" w:fill="FFFFFF"/>
        </w:rPr>
        <w:t>Public and social services in Europe: From public and municipal to private sector provision</w:t>
      </w:r>
      <w:r>
        <w:rPr>
          <w:shd w:val="clear" w:color="auto" w:fill="FFFFFF"/>
        </w:rPr>
        <w:t>. Springer.</w:t>
      </w:r>
    </w:p>
    <w:p w14:paraId="02D060EA">
      <w:pPr>
        <w:pStyle w:val="3"/>
        <w:rPr>
          <w:shd w:val="clear" w:color="auto" w:fill="FFFFFF"/>
        </w:rPr>
      </w:pPr>
    </w:p>
    <w:p w14:paraId="0F22B559">
      <w:pPr>
        <w:pStyle w:val="3"/>
        <w:rPr>
          <w:shd w:val="clear" w:color="auto" w:fill="FFFFFF"/>
        </w:rPr>
      </w:pPr>
      <w:r>
        <w:rPr>
          <w:shd w:val="clear" w:color="auto" w:fill="FFFFFF"/>
        </w:rPr>
        <w:t>World Health Organization. (2018). </w:t>
      </w:r>
      <w:r>
        <w:rPr>
          <w:i/>
          <w:iCs/>
          <w:shd w:val="clear" w:color="auto" w:fill="FFFFFF"/>
        </w:rPr>
        <w:t>Integrated care for older people (ICOPE) implementation framework: guidance for systems and services</w:t>
      </w:r>
      <w:r>
        <w:rPr>
          <w:shd w:val="clear" w:color="auto" w:fill="FFFFFF"/>
        </w:rPr>
        <w:t>. World Health Organization.</w:t>
      </w:r>
    </w:p>
    <w:p w14:paraId="4193BD9F">
      <w:pPr>
        <w:pStyle w:val="3"/>
      </w:pPr>
      <w:r>
        <w:t>Yusefi, A. R., Sharifi, M., Nasabi, N. S., Rezabeigi Davarani, E. and Bastani, P. (2022) ‘Health human resources challenges during COVID-19 pandemic; evidence of a qualitative study in a developing country’, </w:t>
      </w:r>
      <w:r>
        <w:rPr>
          <w:i/>
          <w:iCs/>
        </w:rPr>
        <w:t>PloS one</w:t>
      </w:r>
      <w:r>
        <w:t>, </w:t>
      </w:r>
      <w:r>
        <w:rPr>
          <w:i/>
          <w:iCs/>
        </w:rPr>
        <w:t>17</w:t>
      </w:r>
      <w:r>
        <w:t>(1), pp.e0262887.</w:t>
      </w:r>
    </w:p>
    <w:p w14:paraId="5BDE66A2">
      <w:pPr>
        <w:pStyle w:val="3"/>
      </w:pPr>
    </w:p>
    <w:p w14:paraId="7E1447F0">
      <w:pPr>
        <w:pStyle w:val="3"/>
      </w:pPr>
      <w:r>
        <w:t>Zamorano, S., González-Sanguino, C., Fernández-Jiménez, E. and Muñoz, M. (2024) ‘A burnt-out health: Stigma towards mental health problems as a predictor of burnout in a sample of community social healthcare professionals’, </w:t>
      </w:r>
      <w:r>
        <w:rPr>
          <w:i/>
          <w:iCs/>
        </w:rPr>
        <w:t>Behavioral Sciences</w:t>
      </w:r>
      <w:r>
        <w:t>, </w:t>
      </w:r>
      <w:r>
        <w:rPr>
          <w:i/>
          <w:iCs/>
        </w:rPr>
        <w:t>14</w:t>
      </w:r>
      <w:r>
        <w:t>(9), pp.812.</w:t>
      </w:r>
    </w:p>
    <w:p w14:paraId="6B18C263">
      <w:pPr>
        <w:pStyle w:val="3"/>
        <w:rPr>
          <w:lang w:val="en-GB"/>
        </w:rPr>
      </w:pPr>
      <w:r>
        <w:rPr>
          <w:lang w:val="en-GB"/>
        </w:rPr>
        <w:br w:type="page"/>
      </w:r>
    </w:p>
    <w:p w14:paraId="2FE64814">
      <w:pPr>
        <w:pStyle w:val="2"/>
        <w:spacing w:line="480" w:lineRule="auto"/>
        <w:rPr>
          <w:sz w:val="28"/>
          <w:szCs w:val="28"/>
          <w:lang w:val="en-GB"/>
        </w:rPr>
      </w:pPr>
      <w:bookmarkStart w:id="91" w:name="_Toc228745873"/>
      <w:r>
        <w:rPr>
          <w:sz w:val="28"/>
          <w:szCs w:val="28"/>
          <w:lang w:val="en-GB"/>
        </w:rPr>
        <w:t>APPENDICES</w:t>
      </w:r>
      <w:bookmarkEnd w:id="91"/>
    </w:p>
    <w:p w14:paraId="3067E156">
      <w:pPr>
        <w:pStyle w:val="4"/>
        <w:spacing w:line="480" w:lineRule="auto"/>
        <w:rPr>
          <w:sz w:val="36"/>
          <w:szCs w:val="36"/>
        </w:rPr>
      </w:pPr>
      <w:bookmarkStart w:id="92" w:name="_Toc228745874"/>
      <w:r>
        <w:t>Appendix 1: Qualitative Studies Appraisal</w:t>
      </w:r>
      <w:bookmarkEnd w:id="92"/>
      <w:r>
        <w:t> </w:t>
      </w:r>
    </w:p>
    <w:tbl>
      <w:tblPr>
        <w:tblStyle w:val="27"/>
        <w:tblW w:w="9049" w:type="dxa"/>
        <w:tblInd w:w="-7" w:type="dxa"/>
        <w:tblLayout w:type="fixed"/>
        <w:tblCellMar>
          <w:top w:w="15" w:type="dxa"/>
          <w:left w:w="15" w:type="dxa"/>
          <w:bottom w:w="15" w:type="dxa"/>
          <w:right w:w="15" w:type="dxa"/>
        </w:tblCellMar>
      </w:tblPr>
      <w:tblGrid>
        <w:gridCol w:w="4330"/>
        <w:gridCol w:w="2262"/>
        <w:gridCol w:w="1330"/>
        <w:gridCol w:w="1127"/>
      </w:tblGrid>
      <w:tr w14:paraId="406FFEAC">
        <w:tblPrEx>
          <w:tblCellMar>
            <w:top w:w="15" w:type="dxa"/>
            <w:left w:w="15" w:type="dxa"/>
            <w:bottom w:w="15" w:type="dxa"/>
            <w:right w:w="15" w:type="dxa"/>
          </w:tblCellMar>
        </w:tblPrEx>
        <w:trPr>
          <w:cantSplit/>
          <w:trHeight w:val="690" w:hRule="atLeast"/>
          <w:tblHeader/>
        </w:trPr>
        <w:tc>
          <w:tcPr>
            <w:tcW w:w="4330" w:type="dxa"/>
            <w:tcBorders>
              <w:top w:val="single" w:color="0F1115" w:sz="6" w:space="0"/>
              <w:left w:val="single" w:color="0F1115" w:sz="6" w:space="0"/>
              <w:bottom w:val="single" w:color="000000" w:sz="6" w:space="0"/>
              <w:right w:val="single" w:color="0F1115" w:sz="6" w:space="0"/>
            </w:tcBorders>
            <w:shd w:val="clear" w:color="auto" w:fill="FFFFFF"/>
            <w:tcMar>
              <w:top w:w="160" w:type="dxa"/>
              <w:left w:w="0" w:type="dxa"/>
              <w:bottom w:w="160" w:type="dxa"/>
              <w:right w:w="240" w:type="dxa"/>
            </w:tcMar>
          </w:tcPr>
          <w:p w14:paraId="1C3C7151">
            <w:pPr>
              <w:pStyle w:val="3"/>
              <w:spacing w:before="240" w:after="240" w:line="240" w:lineRule="auto"/>
              <w:jc w:val="center"/>
              <w:rPr>
                <w:sz w:val="24"/>
                <w:szCs w:val="24"/>
                <w:lang w:val="en-GB"/>
              </w:rPr>
            </w:pPr>
            <w:r>
              <w:rPr>
                <w:b/>
                <w:bCs/>
                <w:sz w:val="24"/>
                <w:szCs w:val="24"/>
                <w:lang w:val="en-GB"/>
              </w:rPr>
              <w:t>CASP Question</w:t>
            </w:r>
          </w:p>
        </w:tc>
        <w:tc>
          <w:tcPr>
            <w:tcW w:w="2262" w:type="dxa"/>
            <w:tcBorders>
              <w:top w:val="single" w:color="0F1115" w:sz="6" w:space="0"/>
              <w:left w:val="single" w:color="0F1115" w:sz="6" w:space="0"/>
              <w:bottom w:val="single" w:color="000000" w:sz="6" w:space="0"/>
              <w:right w:val="single" w:color="0F1115" w:sz="6" w:space="0"/>
            </w:tcBorders>
            <w:shd w:val="clear" w:color="auto" w:fill="FFFFFF"/>
            <w:tcMar>
              <w:top w:w="160" w:type="dxa"/>
              <w:left w:w="240" w:type="dxa"/>
              <w:bottom w:w="160" w:type="dxa"/>
              <w:right w:w="240" w:type="dxa"/>
            </w:tcMar>
          </w:tcPr>
          <w:p w14:paraId="55D3F86E">
            <w:pPr>
              <w:pStyle w:val="3"/>
              <w:spacing w:before="240" w:after="240" w:line="240" w:lineRule="auto"/>
              <w:jc w:val="center"/>
              <w:rPr>
                <w:sz w:val="24"/>
                <w:szCs w:val="24"/>
                <w:lang w:val="en-GB"/>
              </w:rPr>
            </w:pPr>
            <w:r>
              <w:rPr>
                <w:b/>
                <w:bCs/>
                <w:sz w:val="24"/>
                <w:szCs w:val="24"/>
                <w:lang w:val="en-GB"/>
              </w:rPr>
              <w:t>Aughterson et al. (2021)</w:t>
            </w:r>
          </w:p>
        </w:tc>
        <w:tc>
          <w:tcPr>
            <w:tcW w:w="1330" w:type="dxa"/>
            <w:tcBorders>
              <w:top w:val="single" w:color="0F1115" w:sz="6" w:space="0"/>
              <w:left w:val="single" w:color="0F1115" w:sz="6" w:space="0"/>
              <w:bottom w:val="single" w:color="000000" w:sz="6" w:space="0"/>
              <w:right w:val="single" w:color="0F1115" w:sz="6" w:space="0"/>
            </w:tcBorders>
            <w:shd w:val="clear" w:color="auto" w:fill="FFFFFF"/>
            <w:tcMar>
              <w:top w:w="160" w:type="dxa"/>
              <w:left w:w="0" w:type="dxa"/>
              <w:bottom w:w="160" w:type="dxa"/>
            </w:tcMar>
          </w:tcPr>
          <w:p w14:paraId="3FEE8328">
            <w:pPr>
              <w:pStyle w:val="3"/>
              <w:spacing w:before="240" w:after="240" w:line="240" w:lineRule="auto"/>
              <w:jc w:val="center"/>
              <w:rPr>
                <w:sz w:val="24"/>
                <w:szCs w:val="24"/>
                <w:lang w:val="en-GB"/>
              </w:rPr>
            </w:pPr>
            <w:r>
              <w:rPr>
                <w:b/>
                <w:bCs/>
                <w:sz w:val="24"/>
                <w:szCs w:val="24"/>
                <w:lang w:val="en-GB"/>
              </w:rPr>
              <w:t>Allsopp et al. (2023)</w:t>
            </w:r>
          </w:p>
        </w:tc>
        <w:tc>
          <w:tcPr>
            <w:tcW w:w="1127" w:type="dxa"/>
            <w:tcBorders>
              <w:top w:val="single" w:color="0F1115" w:sz="6" w:space="0"/>
              <w:left w:val="single" w:color="0F1115" w:sz="6" w:space="0"/>
              <w:bottom w:val="single" w:color="000000" w:sz="6" w:space="0"/>
              <w:right w:val="single" w:color="0F1115" w:sz="6" w:space="0"/>
            </w:tcBorders>
            <w:shd w:val="clear" w:color="auto" w:fill="FFFFFF"/>
            <w:tcMar>
              <w:top w:w="160" w:type="dxa"/>
              <w:left w:w="0" w:type="dxa"/>
              <w:bottom w:w="160" w:type="dxa"/>
            </w:tcMar>
          </w:tcPr>
          <w:p w14:paraId="3C2A5E4A">
            <w:pPr>
              <w:pStyle w:val="3"/>
              <w:spacing w:before="240" w:after="240" w:line="240" w:lineRule="auto"/>
              <w:jc w:val="center"/>
              <w:rPr>
                <w:sz w:val="24"/>
                <w:szCs w:val="24"/>
                <w:lang w:val="en-GB"/>
              </w:rPr>
            </w:pPr>
            <w:r>
              <w:rPr>
                <w:b/>
                <w:bCs/>
                <w:sz w:val="24"/>
                <w:szCs w:val="24"/>
                <w:lang w:val="en-GB"/>
              </w:rPr>
              <w:t>Blake et al. (2021)</w:t>
            </w:r>
          </w:p>
        </w:tc>
      </w:tr>
      <w:tr w14:paraId="7857D540">
        <w:tblPrEx>
          <w:tblCellMar>
            <w:top w:w="15" w:type="dxa"/>
            <w:left w:w="15" w:type="dxa"/>
            <w:bottom w:w="15" w:type="dxa"/>
            <w:right w:w="15" w:type="dxa"/>
          </w:tblCellMar>
        </w:tblPrEx>
        <w:trPr>
          <w:cantSplit/>
          <w:trHeight w:val="1440" w:hRule="atLeast"/>
          <w:tblHeader/>
        </w:trPr>
        <w:tc>
          <w:tcPr>
            <w:tcW w:w="4330" w:type="dxa"/>
            <w:tcBorders>
              <w:top w:val="single" w:color="000000" w:sz="6" w:space="0"/>
              <w:left w:val="single" w:color="0F1115" w:sz="6" w:space="0"/>
              <w:bottom w:val="single" w:color="000000" w:sz="6" w:space="0"/>
              <w:right w:val="single" w:color="0F1115" w:sz="6" w:space="0"/>
            </w:tcBorders>
            <w:shd w:val="clear" w:color="auto" w:fill="FFFFFF"/>
            <w:tcMar>
              <w:top w:w="160" w:type="dxa"/>
              <w:left w:w="0" w:type="dxa"/>
              <w:bottom w:w="160" w:type="dxa"/>
              <w:right w:w="240" w:type="dxa"/>
            </w:tcMar>
          </w:tcPr>
          <w:p w14:paraId="2389D265">
            <w:pPr>
              <w:pStyle w:val="3"/>
              <w:spacing w:before="240" w:after="240" w:line="240" w:lineRule="auto"/>
              <w:jc w:val="center"/>
              <w:rPr>
                <w:sz w:val="24"/>
                <w:szCs w:val="24"/>
                <w:lang w:val="en-GB"/>
              </w:rPr>
            </w:pPr>
            <w:r>
              <w:rPr>
                <w:sz w:val="24"/>
                <w:szCs w:val="24"/>
                <w:lang w:val="en-GB"/>
              </w:rPr>
              <w:t>1. Was there a clear statement of the aims of the research?</w:t>
            </w:r>
          </w:p>
        </w:tc>
        <w:tc>
          <w:tcPr>
            <w:tcW w:w="2262" w:type="dxa"/>
            <w:tcBorders>
              <w:top w:val="single" w:color="000000" w:sz="6" w:space="0"/>
              <w:left w:val="single" w:color="0F1115" w:sz="6" w:space="0"/>
              <w:bottom w:val="single" w:color="000000" w:sz="6" w:space="0"/>
              <w:right w:val="single" w:color="0F1115" w:sz="6" w:space="0"/>
            </w:tcBorders>
            <w:shd w:val="clear" w:color="auto" w:fill="FFFFFF"/>
            <w:tcMar>
              <w:top w:w="160" w:type="dxa"/>
              <w:left w:w="240" w:type="dxa"/>
              <w:bottom w:w="160" w:type="dxa"/>
              <w:right w:w="240" w:type="dxa"/>
            </w:tcMar>
          </w:tcPr>
          <w:p w14:paraId="79593239">
            <w:pPr>
              <w:pStyle w:val="3"/>
              <w:spacing w:before="240" w:after="240" w:line="240" w:lineRule="auto"/>
              <w:jc w:val="center"/>
              <w:rPr>
                <w:sz w:val="24"/>
                <w:szCs w:val="24"/>
                <w:lang w:val="en-GB"/>
              </w:rPr>
            </w:pPr>
            <w:r>
              <w:rPr>
                <w:sz w:val="24"/>
                <w:szCs w:val="24"/>
                <w:lang w:val="en-GB"/>
              </w:rPr>
              <w:t>Yes</w:t>
            </w:r>
          </w:p>
        </w:tc>
        <w:tc>
          <w:tcPr>
            <w:tcW w:w="1330" w:type="dxa"/>
            <w:tcBorders>
              <w:top w:val="single" w:color="000000" w:sz="6" w:space="0"/>
              <w:left w:val="single" w:color="0F1115" w:sz="6" w:space="0"/>
              <w:bottom w:val="single" w:color="000000" w:sz="6" w:space="0"/>
              <w:right w:val="single" w:color="0F1115" w:sz="6" w:space="0"/>
            </w:tcBorders>
            <w:shd w:val="clear" w:color="auto" w:fill="FFFFFF"/>
            <w:tcMar>
              <w:top w:w="160" w:type="dxa"/>
              <w:left w:w="0" w:type="dxa"/>
              <w:bottom w:w="160" w:type="dxa"/>
            </w:tcMar>
          </w:tcPr>
          <w:p w14:paraId="6DE8A41F">
            <w:pPr>
              <w:pStyle w:val="3"/>
              <w:spacing w:before="240" w:after="240" w:line="240" w:lineRule="auto"/>
              <w:jc w:val="center"/>
              <w:rPr>
                <w:sz w:val="24"/>
                <w:szCs w:val="24"/>
                <w:lang w:val="en-GB"/>
              </w:rPr>
            </w:pPr>
            <w:r>
              <w:rPr>
                <w:sz w:val="24"/>
                <w:szCs w:val="24"/>
                <w:lang w:val="en-GB"/>
              </w:rPr>
              <w:t>Yes</w:t>
            </w:r>
          </w:p>
        </w:tc>
        <w:tc>
          <w:tcPr>
            <w:tcW w:w="1127" w:type="dxa"/>
            <w:tcBorders>
              <w:top w:val="single" w:color="000000" w:sz="6" w:space="0"/>
              <w:left w:val="single" w:color="0F1115" w:sz="6" w:space="0"/>
              <w:bottom w:val="single" w:color="000000" w:sz="6" w:space="0"/>
              <w:right w:val="single" w:color="0F1115" w:sz="6" w:space="0"/>
            </w:tcBorders>
            <w:shd w:val="clear" w:color="auto" w:fill="FFFFFF"/>
            <w:tcMar>
              <w:top w:w="160" w:type="dxa"/>
              <w:left w:w="240" w:type="dxa"/>
              <w:bottom w:w="160" w:type="dxa"/>
              <w:right w:w="0" w:type="dxa"/>
            </w:tcMar>
          </w:tcPr>
          <w:p w14:paraId="10ED3D5D">
            <w:pPr>
              <w:pStyle w:val="3"/>
              <w:spacing w:before="240" w:after="240" w:line="240" w:lineRule="auto"/>
              <w:jc w:val="center"/>
              <w:rPr>
                <w:sz w:val="24"/>
                <w:szCs w:val="24"/>
                <w:lang w:val="en-GB"/>
              </w:rPr>
            </w:pPr>
            <w:r>
              <w:rPr>
                <w:sz w:val="24"/>
                <w:szCs w:val="24"/>
                <w:lang w:val="en-GB"/>
              </w:rPr>
              <w:t>Yes</w:t>
            </w:r>
          </w:p>
        </w:tc>
      </w:tr>
      <w:tr w14:paraId="0FB74037">
        <w:tblPrEx>
          <w:tblCellMar>
            <w:top w:w="15" w:type="dxa"/>
            <w:left w:w="15" w:type="dxa"/>
            <w:bottom w:w="15" w:type="dxa"/>
            <w:right w:w="15" w:type="dxa"/>
          </w:tblCellMar>
        </w:tblPrEx>
        <w:trPr>
          <w:cantSplit/>
          <w:trHeight w:val="1065" w:hRule="atLeast"/>
          <w:tblHeader/>
        </w:trPr>
        <w:tc>
          <w:tcPr>
            <w:tcW w:w="4330" w:type="dxa"/>
            <w:tcBorders>
              <w:top w:val="single" w:color="000000" w:sz="6" w:space="0"/>
              <w:left w:val="single" w:color="0F1115" w:sz="6" w:space="0"/>
              <w:bottom w:val="single" w:color="000000" w:sz="6" w:space="0"/>
              <w:right w:val="single" w:color="0F1115" w:sz="6" w:space="0"/>
            </w:tcBorders>
            <w:shd w:val="clear" w:color="auto" w:fill="FFFFFF"/>
            <w:tcMar>
              <w:top w:w="160" w:type="dxa"/>
              <w:left w:w="0" w:type="dxa"/>
              <w:bottom w:w="160" w:type="dxa"/>
              <w:right w:w="240" w:type="dxa"/>
            </w:tcMar>
          </w:tcPr>
          <w:p w14:paraId="5C9CE87E">
            <w:pPr>
              <w:pStyle w:val="3"/>
              <w:spacing w:before="240" w:after="240" w:line="240" w:lineRule="auto"/>
              <w:jc w:val="center"/>
              <w:rPr>
                <w:sz w:val="24"/>
                <w:szCs w:val="24"/>
                <w:lang w:val="en-GB"/>
              </w:rPr>
            </w:pPr>
            <w:r>
              <w:rPr>
                <w:sz w:val="24"/>
                <w:szCs w:val="24"/>
                <w:lang w:val="en-GB"/>
              </w:rPr>
              <w:t>2. Is a qualitative methodology appropriate?</w:t>
            </w:r>
          </w:p>
        </w:tc>
        <w:tc>
          <w:tcPr>
            <w:tcW w:w="2262" w:type="dxa"/>
            <w:tcBorders>
              <w:top w:val="single" w:color="000000" w:sz="6" w:space="0"/>
              <w:left w:val="single" w:color="0F1115" w:sz="6" w:space="0"/>
              <w:bottom w:val="single" w:color="000000" w:sz="6" w:space="0"/>
              <w:right w:val="single" w:color="0F1115" w:sz="6" w:space="0"/>
            </w:tcBorders>
            <w:shd w:val="clear" w:color="auto" w:fill="FFFFFF"/>
            <w:tcMar>
              <w:top w:w="160" w:type="dxa"/>
              <w:left w:w="240" w:type="dxa"/>
              <w:bottom w:w="160" w:type="dxa"/>
              <w:right w:w="240" w:type="dxa"/>
            </w:tcMar>
          </w:tcPr>
          <w:p w14:paraId="0A900783">
            <w:pPr>
              <w:pStyle w:val="3"/>
              <w:spacing w:before="240" w:after="240" w:line="240" w:lineRule="auto"/>
              <w:jc w:val="center"/>
              <w:rPr>
                <w:sz w:val="24"/>
                <w:szCs w:val="24"/>
                <w:lang w:val="en-GB"/>
              </w:rPr>
            </w:pPr>
            <w:r>
              <w:rPr>
                <w:sz w:val="24"/>
                <w:szCs w:val="24"/>
                <w:lang w:val="en-GB"/>
              </w:rPr>
              <w:t>Yes</w:t>
            </w:r>
          </w:p>
        </w:tc>
        <w:tc>
          <w:tcPr>
            <w:tcW w:w="1330" w:type="dxa"/>
            <w:tcBorders>
              <w:top w:val="single" w:color="000000" w:sz="6" w:space="0"/>
              <w:left w:val="single" w:color="0F1115" w:sz="6" w:space="0"/>
              <w:bottom w:val="single" w:color="000000" w:sz="6" w:space="0"/>
              <w:right w:val="single" w:color="0F1115" w:sz="6" w:space="0"/>
            </w:tcBorders>
            <w:shd w:val="clear" w:color="auto" w:fill="FFFFFF"/>
            <w:tcMar>
              <w:top w:w="160" w:type="dxa"/>
              <w:left w:w="0" w:type="dxa"/>
              <w:bottom w:w="160" w:type="dxa"/>
            </w:tcMar>
          </w:tcPr>
          <w:p w14:paraId="527CE8FB">
            <w:pPr>
              <w:pStyle w:val="3"/>
              <w:spacing w:before="240" w:after="240" w:line="240" w:lineRule="auto"/>
              <w:jc w:val="center"/>
              <w:rPr>
                <w:sz w:val="24"/>
                <w:szCs w:val="24"/>
                <w:lang w:val="en-GB"/>
              </w:rPr>
            </w:pPr>
            <w:r>
              <w:rPr>
                <w:sz w:val="24"/>
                <w:szCs w:val="24"/>
                <w:lang w:val="en-GB"/>
              </w:rPr>
              <w:t>Yes</w:t>
            </w:r>
          </w:p>
        </w:tc>
        <w:tc>
          <w:tcPr>
            <w:tcW w:w="1127" w:type="dxa"/>
            <w:tcBorders>
              <w:top w:val="single" w:color="000000" w:sz="6" w:space="0"/>
              <w:left w:val="single" w:color="0F1115" w:sz="6" w:space="0"/>
              <w:bottom w:val="single" w:color="000000" w:sz="6" w:space="0"/>
              <w:right w:val="single" w:color="0F1115" w:sz="6" w:space="0"/>
            </w:tcBorders>
            <w:shd w:val="clear" w:color="auto" w:fill="FFFFFF"/>
            <w:tcMar>
              <w:top w:w="160" w:type="dxa"/>
              <w:left w:w="240" w:type="dxa"/>
              <w:bottom w:w="160" w:type="dxa"/>
              <w:right w:w="0" w:type="dxa"/>
            </w:tcMar>
          </w:tcPr>
          <w:p w14:paraId="1D02CE76">
            <w:pPr>
              <w:pStyle w:val="3"/>
              <w:spacing w:before="240" w:after="240" w:line="240" w:lineRule="auto"/>
              <w:jc w:val="center"/>
              <w:rPr>
                <w:sz w:val="24"/>
                <w:szCs w:val="24"/>
                <w:lang w:val="en-GB"/>
              </w:rPr>
            </w:pPr>
            <w:r>
              <w:rPr>
                <w:sz w:val="24"/>
                <w:szCs w:val="24"/>
                <w:lang w:val="en-GB"/>
              </w:rPr>
              <w:t>Yes</w:t>
            </w:r>
          </w:p>
        </w:tc>
      </w:tr>
      <w:tr w14:paraId="4D200F85">
        <w:tblPrEx>
          <w:tblCellMar>
            <w:top w:w="15" w:type="dxa"/>
            <w:left w:w="15" w:type="dxa"/>
            <w:bottom w:w="15" w:type="dxa"/>
            <w:right w:w="15" w:type="dxa"/>
          </w:tblCellMar>
        </w:tblPrEx>
        <w:trPr>
          <w:cantSplit/>
          <w:trHeight w:val="1440" w:hRule="atLeast"/>
          <w:tblHeader/>
        </w:trPr>
        <w:tc>
          <w:tcPr>
            <w:tcW w:w="4330" w:type="dxa"/>
            <w:tcBorders>
              <w:top w:val="single" w:color="000000" w:sz="6" w:space="0"/>
              <w:left w:val="single" w:color="0F1115" w:sz="6" w:space="0"/>
              <w:bottom w:val="single" w:color="000000" w:sz="6" w:space="0"/>
              <w:right w:val="single" w:color="0F1115" w:sz="6" w:space="0"/>
            </w:tcBorders>
            <w:shd w:val="clear" w:color="auto" w:fill="FFFFFF"/>
            <w:tcMar>
              <w:top w:w="160" w:type="dxa"/>
              <w:left w:w="0" w:type="dxa"/>
              <w:bottom w:w="160" w:type="dxa"/>
              <w:right w:w="240" w:type="dxa"/>
            </w:tcMar>
          </w:tcPr>
          <w:p w14:paraId="04272C11">
            <w:pPr>
              <w:pStyle w:val="3"/>
              <w:spacing w:before="240" w:after="240" w:line="240" w:lineRule="auto"/>
              <w:jc w:val="center"/>
              <w:rPr>
                <w:sz w:val="24"/>
                <w:szCs w:val="24"/>
                <w:lang w:val="en-GB"/>
              </w:rPr>
            </w:pPr>
            <w:r>
              <w:rPr>
                <w:sz w:val="24"/>
                <w:szCs w:val="24"/>
                <w:lang w:val="en-GB"/>
              </w:rPr>
              <w:t>3. Was the research design appropriate to address the aims of the research?</w:t>
            </w:r>
          </w:p>
        </w:tc>
        <w:tc>
          <w:tcPr>
            <w:tcW w:w="2262" w:type="dxa"/>
            <w:tcBorders>
              <w:top w:val="single" w:color="000000" w:sz="6" w:space="0"/>
              <w:left w:val="single" w:color="0F1115" w:sz="6" w:space="0"/>
              <w:bottom w:val="single" w:color="000000" w:sz="6" w:space="0"/>
              <w:right w:val="single" w:color="0F1115" w:sz="6" w:space="0"/>
            </w:tcBorders>
            <w:shd w:val="clear" w:color="auto" w:fill="FFFFFF"/>
            <w:tcMar>
              <w:top w:w="160" w:type="dxa"/>
              <w:left w:w="240" w:type="dxa"/>
              <w:bottom w:w="160" w:type="dxa"/>
              <w:right w:w="240" w:type="dxa"/>
            </w:tcMar>
          </w:tcPr>
          <w:p w14:paraId="6DD2307C">
            <w:pPr>
              <w:pStyle w:val="3"/>
              <w:spacing w:before="240" w:after="240" w:line="240" w:lineRule="auto"/>
              <w:jc w:val="center"/>
              <w:rPr>
                <w:sz w:val="24"/>
                <w:szCs w:val="24"/>
                <w:lang w:val="en-GB"/>
              </w:rPr>
            </w:pPr>
            <w:r>
              <w:rPr>
                <w:sz w:val="24"/>
                <w:szCs w:val="24"/>
                <w:lang w:val="en-GB"/>
              </w:rPr>
              <w:t>Yes</w:t>
            </w:r>
          </w:p>
        </w:tc>
        <w:tc>
          <w:tcPr>
            <w:tcW w:w="1330" w:type="dxa"/>
            <w:tcBorders>
              <w:top w:val="single" w:color="000000" w:sz="6" w:space="0"/>
              <w:left w:val="single" w:color="0F1115" w:sz="6" w:space="0"/>
              <w:bottom w:val="single" w:color="000000" w:sz="6" w:space="0"/>
              <w:right w:val="single" w:color="0F1115" w:sz="6" w:space="0"/>
            </w:tcBorders>
            <w:shd w:val="clear" w:color="auto" w:fill="FFFFFF"/>
            <w:tcMar>
              <w:top w:w="160" w:type="dxa"/>
              <w:left w:w="0" w:type="dxa"/>
              <w:bottom w:w="160" w:type="dxa"/>
            </w:tcMar>
          </w:tcPr>
          <w:p w14:paraId="339AFA9C">
            <w:pPr>
              <w:pStyle w:val="3"/>
              <w:spacing w:before="240" w:after="240" w:line="240" w:lineRule="auto"/>
              <w:jc w:val="center"/>
              <w:rPr>
                <w:sz w:val="24"/>
                <w:szCs w:val="24"/>
                <w:lang w:val="en-GB"/>
              </w:rPr>
            </w:pPr>
            <w:r>
              <w:rPr>
                <w:sz w:val="24"/>
                <w:szCs w:val="24"/>
                <w:lang w:val="en-GB"/>
              </w:rPr>
              <w:t>Yes</w:t>
            </w:r>
          </w:p>
        </w:tc>
        <w:tc>
          <w:tcPr>
            <w:tcW w:w="1127" w:type="dxa"/>
            <w:tcBorders>
              <w:top w:val="single" w:color="000000" w:sz="6" w:space="0"/>
              <w:left w:val="single" w:color="0F1115" w:sz="6" w:space="0"/>
              <w:bottom w:val="single" w:color="000000" w:sz="6" w:space="0"/>
              <w:right w:val="single" w:color="0F1115" w:sz="6" w:space="0"/>
            </w:tcBorders>
            <w:shd w:val="clear" w:color="auto" w:fill="FFFFFF"/>
            <w:tcMar>
              <w:top w:w="160" w:type="dxa"/>
              <w:left w:w="240" w:type="dxa"/>
              <w:bottom w:w="160" w:type="dxa"/>
              <w:right w:w="0" w:type="dxa"/>
            </w:tcMar>
          </w:tcPr>
          <w:p w14:paraId="5B8D0C5C">
            <w:pPr>
              <w:pStyle w:val="3"/>
              <w:spacing w:before="240" w:after="240" w:line="240" w:lineRule="auto"/>
              <w:jc w:val="center"/>
              <w:rPr>
                <w:sz w:val="24"/>
                <w:szCs w:val="24"/>
                <w:lang w:val="en-GB"/>
              </w:rPr>
            </w:pPr>
            <w:r>
              <w:rPr>
                <w:sz w:val="24"/>
                <w:szCs w:val="24"/>
                <w:lang w:val="en-GB"/>
              </w:rPr>
              <w:t>Yes</w:t>
            </w:r>
          </w:p>
        </w:tc>
      </w:tr>
      <w:tr w14:paraId="24A930BB">
        <w:tblPrEx>
          <w:tblCellMar>
            <w:top w:w="15" w:type="dxa"/>
            <w:left w:w="15" w:type="dxa"/>
            <w:bottom w:w="15" w:type="dxa"/>
            <w:right w:w="15" w:type="dxa"/>
          </w:tblCellMar>
        </w:tblPrEx>
        <w:trPr>
          <w:cantSplit/>
          <w:trHeight w:val="1440" w:hRule="atLeast"/>
          <w:tblHeader/>
        </w:trPr>
        <w:tc>
          <w:tcPr>
            <w:tcW w:w="4330" w:type="dxa"/>
            <w:tcBorders>
              <w:top w:val="single" w:color="000000" w:sz="6" w:space="0"/>
              <w:left w:val="single" w:color="0F1115" w:sz="6" w:space="0"/>
              <w:bottom w:val="single" w:color="000000" w:sz="6" w:space="0"/>
              <w:right w:val="single" w:color="0F1115" w:sz="6" w:space="0"/>
            </w:tcBorders>
            <w:shd w:val="clear" w:color="auto" w:fill="FFFFFF"/>
            <w:tcMar>
              <w:top w:w="160" w:type="dxa"/>
              <w:left w:w="0" w:type="dxa"/>
              <w:bottom w:w="160" w:type="dxa"/>
              <w:right w:w="240" w:type="dxa"/>
            </w:tcMar>
          </w:tcPr>
          <w:p w14:paraId="620042F2">
            <w:pPr>
              <w:pStyle w:val="3"/>
              <w:spacing w:before="240" w:after="240" w:line="240" w:lineRule="auto"/>
              <w:jc w:val="center"/>
              <w:rPr>
                <w:sz w:val="24"/>
                <w:szCs w:val="24"/>
                <w:lang w:val="en-GB"/>
              </w:rPr>
            </w:pPr>
            <w:r>
              <w:rPr>
                <w:sz w:val="24"/>
                <w:szCs w:val="24"/>
                <w:lang w:val="en-GB"/>
              </w:rPr>
              <w:t>4. Was the recruitment strategy appropriate to the aims of the research?</w:t>
            </w:r>
          </w:p>
        </w:tc>
        <w:tc>
          <w:tcPr>
            <w:tcW w:w="2262" w:type="dxa"/>
            <w:tcBorders>
              <w:top w:val="single" w:color="000000" w:sz="6" w:space="0"/>
              <w:left w:val="single" w:color="0F1115" w:sz="6" w:space="0"/>
              <w:bottom w:val="single" w:color="000000" w:sz="6" w:space="0"/>
              <w:right w:val="single" w:color="0F1115" w:sz="6" w:space="0"/>
            </w:tcBorders>
            <w:shd w:val="clear" w:color="auto" w:fill="FFFFFF"/>
            <w:tcMar>
              <w:top w:w="160" w:type="dxa"/>
              <w:left w:w="240" w:type="dxa"/>
              <w:bottom w:w="160" w:type="dxa"/>
              <w:right w:w="240" w:type="dxa"/>
            </w:tcMar>
          </w:tcPr>
          <w:p w14:paraId="3F1531C1">
            <w:pPr>
              <w:pStyle w:val="3"/>
              <w:spacing w:before="240" w:after="240" w:line="240" w:lineRule="auto"/>
              <w:jc w:val="center"/>
              <w:rPr>
                <w:sz w:val="24"/>
                <w:szCs w:val="24"/>
                <w:lang w:val="en-GB"/>
              </w:rPr>
            </w:pPr>
            <w:r>
              <w:rPr>
                <w:sz w:val="24"/>
                <w:szCs w:val="24"/>
                <w:lang w:val="en-GB"/>
              </w:rPr>
              <w:t>Yes</w:t>
            </w:r>
          </w:p>
        </w:tc>
        <w:tc>
          <w:tcPr>
            <w:tcW w:w="1330" w:type="dxa"/>
            <w:tcBorders>
              <w:top w:val="single" w:color="000000" w:sz="6" w:space="0"/>
              <w:left w:val="single" w:color="0F1115" w:sz="6" w:space="0"/>
              <w:bottom w:val="single" w:color="000000" w:sz="6" w:space="0"/>
              <w:right w:val="single" w:color="0F1115" w:sz="6" w:space="0"/>
            </w:tcBorders>
            <w:shd w:val="clear" w:color="auto" w:fill="FFFFFF"/>
            <w:tcMar>
              <w:top w:w="160" w:type="dxa"/>
              <w:left w:w="0" w:type="dxa"/>
              <w:bottom w:w="160" w:type="dxa"/>
            </w:tcMar>
          </w:tcPr>
          <w:p w14:paraId="2B228BE9">
            <w:pPr>
              <w:pStyle w:val="3"/>
              <w:spacing w:before="240" w:after="240" w:line="240" w:lineRule="auto"/>
              <w:jc w:val="center"/>
              <w:rPr>
                <w:sz w:val="24"/>
                <w:szCs w:val="24"/>
                <w:lang w:val="en-GB"/>
              </w:rPr>
            </w:pPr>
            <w:r>
              <w:rPr>
                <w:sz w:val="24"/>
                <w:szCs w:val="24"/>
                <w:lang w:val="en-GB"/>
              </w:rPr>
              <w:t>Yes</w:t>
            </w:r>
          </w:p>
        </w:tc>
        <w:tc>
          <w:tcPr>
            <w:tcW w:w="1127" w:type="dxa"/>
            <w:tcBorders>
              <w:top w:val="single" w:color="000000" w:sz="6" w:space="0"/>
              <w:left w:val="single" w:color="0F1115" w:sz="6" w:space="0"/>
              <w:bottom w:val="single" w:color="000000" w:sz="6" w:space="0"/>
              <w:right w:val="single" w:color="0F1115" w:sz="6" w:space="0"/>
            </w:tcBorders>
            <w:shd w:val="clear" w:color="auto" w:fill="FFFFFF"/>
            <w:tcMar>
              <w:top w:w="160" w:type="dxa"/>
              <w:left w:w="240" w:type="dxa"/>
              <w:bottom w:w="160" w:type="dxa"/>
              <w:right w:w="0" w:type="dxa"/>
            </w:tcMar>
          </w:tcPr>
          <w:p w14:paraId="675E3878">
            <w:pPr>
              <w:pStyle w:val="3"/>
              <w:spacing w:before="240" w:after="240" w:line="240" w:lineRule="auto"/>
              <w:jc w:val="center"/>
              <w:rPr>
                <w:sz w:val="24"/>
                <w:szCs w:val="24"/>
                <w:lang w:val="en-GB"/>
              </w:rPr>
            </w:pPr>
            <w:r>
              <w:rPr>
                <w:sz w:val="24"/>
                <w:szCs w:val="24"/>
                <w:lang w:val="en-GB"/>
              </w:rPr>
              <w:t>Yes</w:t>
            </w:r>
          </w:p>
        </w:tc>
      </w:tr>
      <w:tr w14:paraId="0D5E08BA">
        <w:tblPrEx>
          <w:tblCellMar>
            <w:top w:w="15" w:type="dxa"/>
            <w:left w:w="15" w:type="dxa"/>
            <w:bottom w:w="15" w:type="dxa"/>
            <w:right w:w="15" w:type="dxa"/>
          </w:tblCellMar>
        </w:tblPrEx>
        <w:trPr>
          <w:cantSplit/>
          <w:trHeight w:val="1440" w:hRule="atLeast"/>
          <w:tblHeader/>
        </w:trPr>
        <w:tc>
          <w:tcPr>
            <w:tcW w:w="4330" w:type="dxa"/>
            <w:tcBorders>
              <w:top w:val="single" w:color="000000" w:sz="6" w:space="0"/>
              <w:left w:val="single" w:color="0F1115" w:sz="6" w:space="0"/>
              <w:bottom w:val="single" w:color="000000" w:sz="6" w:space="0"/>
              <w:right w:val="single" w:color="0F1115" w:sz="6" w:space="0"/>
            </w:tcBorders>
            <w:shd w:val="clear" w:color="auto" w:fill="FFFFFF"/>
            <w:tcMar>
              <w:top w:w="160" w:type="dxa"/>
              <w:left w:w="0" w:type="dxa"/>
              <w:bottom w:w="160" w:type="dxa"/>
              <w:right w:w="240" w:type="dxa"/>
            </w:tcMar>
          </w:tcPr>
          <w:p w14:paraId="09BF474F">
            <w:pPr>
              <w:pStyle w:val="3"/>
              <w:spacing w:before="240" w:after="240" w:line="240" w:lineRule="auto"/>
              <w:jc w:val="center"/>
              <w:rPr>
                <w:sz w:val="24"/>
                <w:szCs w:val="24"/>
                <w:lang w:val="en-GB"/>
              </w:rPr>
            </w:pPr>
            <w:r>
              <w:rPr>
                <w:sz w:val="24"/>
                <w:szCs w:val="24"/>
                <w:lang w:val="en-GB"/>
              </w:rPr>
              <w:t>5. Was the data collected in a way that addressed the research issue?</w:t>
            </w:r>
          </w:p>
        </w:tc>
        <w:tc>
          <w:tcPr>
            <w:tcW w:w="2262" w:type="dxa"/>
            <w:tcBorders>
              <w:top w:val="single" w:color="000000" w:sz="6" w:space="0"/>
              <w:left w:val="single" w:color="0F1115" w:sz="6" w:space="0"/>
              <w:bottom w:val="single" w:color="000000" w:sz="6" w:space="0"/>
              <w:right w:val="single" w:color="0F1115" w:sz="6" w:space="0"/>
            </w:tcBorders>
            <w:shd w:val="clear" w:color="auto" w:fill="FFFFFF"/>
            <w:tcMar>
              <w:top w:w="160" w:type="dxa"/>
              <w:left w:w="240" w:type="dxa"/>
              <w:bottom w:w="160" w:type="dxa"/>
              <w:right w:w="240" w:type="dxa"/>
            </w:tcMar>
          </w:tcPr>
          <w:p w14:paraId="0A1F5F38">
            <w:pPr>
              <w:pStyle w:val="3"/>
              <w:spacing w:before="240" w:after="240" w:line="240" w:lineRule="auto"/>
              <w:jc w:val="center"/>
              <w:rPr>
                <w:sz w:val="24"/>
                <w:szCs w:val="24"/>
                <w:lang w:val="en-GB"/>
              </w:rPr>
            </w:pPr>
            <w:r>
              <w:rPr>
                <w:sz w:val="24"/>
                <w:szCs w:val="24"/>
                <w:lang w:val="en-GB"/>
              </w:rPr>
              <w:t>Yes</w:t>
            </w:r>
          </w:p>
        </w:tc>
        <w:tc>
          <w:tcPr>
            <w:tcW w:w="1330" w:type="dxa"/>
            <w:tcBorders>
              <w:top w:val="single" w:color="000000" w:sz="6" w:space="0"/>
              <w:left w:val="single" w:color="0F1115" w:sz="6" w:space="0"/>
              <w:bottom w:val="single" w:color="000000" w:sz="6" w:space="0"/>
              <w:right w:val="single" w:color="0F1115" w:sz="6" w:space="0"/>
            </w:tcBorders>
            <w:shd w:val="clear" w:color="auto" w:fill="FFFFFF"/>
            <w:tcMar>
              <w:top w:w="160" w:type="dxa"/>
              <w:left w:w="0" w:type="dxa"/>
              <w:bottom w:w="160" w:type="dxa"/>
            </w:tcMar>
          </w:tcPr>
          <w:p w14:paraId="70949FB0">
            <w:pPr>
              <w:pStyle w:val="3"/>
              <w:spacing w:before="240" w:after="240" w:line="240" w:lineRule="auto"/>
              <w:jc w:val="center"/>
              <w:rPr>
                <w:sz w:val="24"/>
                <w:szCs w:val="24"/>
                <w:lang w:val="en-GB"/>
              </w:rPr>
            </w:pPr>
            <w:r>
              <w:rPr>
                <w:sz w:val="24"/>
                <w:szCs w:val="24"/>
                <w:lang w:val="en-GB"/>
              </w:rPr>
              <w:t>Yes</w:t>
            </w:r>
          </w:p>
        </w:tc>
        <w:tc>
          <w:tcPr>
            <w:tcW w:w="1127" w:type="dxa"/>
            <w:tcBorders>
              <w:top w:val="single" w:color="000000" w:sz="6" w:space="0"/>
              <w:left w:val="single" w:color="0F1115" w:sz="6" w:space="0"/>
              <w:bottom w:val="single" w:color="000000" w:sz="6" w:space="0"/>
              <w:right w:val="single" w:color="0F1115" w:sz="6" w:space="0"/>
            </w:tcBorders>
            <w:shd w:val="clear" w:color="auto" w:fill="FFFFFF"/>
            <w:tcMar>
              <w:top w:w="160" w:type="dxa"/>
              <w:left w:w="240" w:type="dxa"/>
              <w:bottom w:w="160" w:type="dxa"/>
              <w:right w:w="0" w:type="dxa"/>
            </w:tcMar>
          </w:tcPr>
          <w:p w14:paraId="10BF138F">
            <w:pPr>
              <w:pStyle w:val="3"/>
              <w:spacing w:before="240" w:after="240" w:line="240" w:lineRule="auto"/>
              <w:jc w:val="center"/>
              <w:rPr>
                <w:sz w:val="24"/>
                <w:szCs w:val="24"/>
                <w:lang w:val="en-GB"/>
              </w:rPr>
            </w:pPr>
            <w:r>
              <w:rPr>
                <w:sz w:val="24"/>
                <w:szCs w:val="24"/>
                <w:lang w:val="en-GB"/>
              </w:rPr>
              <w:t>Yes</w:t>
            </w:r>
          </w:p>
        </w:tc>
      </w:tr>
      <w:tr w14:paraId="428F436E">
        <w:tblPrEx>
          <w:tblCellMar>
            <w:top w:w="15" w:type="dxa"/>
            <w:left w:w="15" w:type="dxa"/>
            <w:bottom w:w="15" w:type="dxa"/>
            <w:right w:w="15" w:type="dxa"/>
          </w:tblCellMar>
        </w:tblPrEx>
        <w:trPr>
          <w:cantSplit/>
          <w:trHeight w:val="1815" w:hRule="atLeast"/>
          <w:tblHeader/>
        </w:trPr>
        <w:tc>
          <w:tcPr>
            <w:tcW w:w="4330" w:type="dxa"/>
            <w:tcBorders>
              <w:top w:val="single" w:color="000000" w:sz="6" w:space="0"/>
              <w:left w:val="single" w:color="0F1115" w:sz="6" w:space="0"/>
              <w:bottom w:val="single" w:color="000000" w:sz="6" w:space="0"/>
              <w:right w:val="single" w:color="0F1115" w:sz="6" w:space="0"/>
            </w:tcBorders>
            <w:shd w:val="clear" w:color="auto" w:fill="FFFFFF"/>
            <w:tcMar>
              <w:top w:w="160" w:type="dxa"/>
              <w:left w:w="0" w:type="dxa"/>
              <w:bottom w:w="160" w:type="dxa"/>
              <w:right w:w="240" w:type="dxa"/>
            </w:tcMar>
          </w:tcPr>
          <w:p w14:paraId="6B818EC0">
            <w:pPr>
              <w:pStyle w:val="3"/>
              <w:spacing w:before="240" w:after="240" w:line="240" w:lineRule="auto"/>
              <w:jc w:val="center"/>
              <w:rPr>
                <w:sz w:val="24"/>
                <w:szCs w:val="24"/>
                <w:lang w:val="en-GB"/>
              </w:rPr>
            </w:pPr>
            <w:r>
              <w:rPr>
                <w:sz w:val="24"/>
                <w:szCs w:val="24"/>
                <w:lang w:val="en-GB"/>
              </w:rPr>
              <w:t>6. Has the relationship between researcher and participants been adequately considered?</w:t>
            </w:r>
          </w:p>
        </w:tc>
        <w:tc>
          <w:tcPr>
            <w:tcW w:w="2262" w:type="dxa"/>
            <w:tcBorders>
              <w:top w:val="single" w:color="000000" w:sz="6" w:space="0"/>
              <w:left w:val="single" w:color="0F1115" w:sz="6" w:space="0"/>
              <w:bottom w:val="single" w:color="000000" w:sz="6" w:space="0"/>
              <w:right w:val="single" w:color="0F1115" w:sz="6" w:space="0"/>
            </w:tcBorders>
            <w:shd w:val="clear" w:color="auto" w:fill="FFFFFF"/>
            <w:tcMar>
              <w:top w:w="160" w:type="dxa"/>
              <w:left w:w="240" w:type="dxa"/>
              <w:bottom w:w="160" w:type="dxa"/>
              <w:right w:w="240" w:type="dxa"/>
            </w:tcMar>
          </w:tcPr>
          <w:p w14:paraId="644E4B04">
            <w:pPr>
              <w:pStyle w:val="3"/>
              <w:spacing w:before="240" w:after="240" w:line="240" w:lineRule="auto"/>
              <w:jc w:val="center"/>
              <w:rPr>
                <w:sz w:val="24"/>
                <w:szCs w:val="24"/>
                <w:lang w:val="en-GB"/>
              </w:rPr>
            </w:pPr>
            <w:r>
              <w:rPr>
                <w:sz w:val="24"/>
                <w:szCs w:val="24"/>
                <w:lang w:val="en-GB"/>
              </w:rPr>
              <w:t>No</w:t>
            </w:r>
          </w:p>
        </w:tc>
        <w:tc>
          <w:tcPr>
            <w:tcW w:w="1330" w:type="dxa"/>
            <w:tcBorders>
              <w:top w:val="single" w:color="000000" w:sz="6" w:space="0"/>
              <w:left w:val="single" w:color="0F1115" w:sz="6" w:space="0"/>
              <w:bottom w:val="single" w:color="000000" w:sz="6" w:space="0"/>
              <w:right w:val="single" w:color="0F1115" w:sz="6" w:space="0"/>
            </w:tcBorders>
            <w:shd w:val="clear" w:color="auto" w:fill="FFFFFF"/>
            <w:tcMar>
              <w:top w:w="160" w:type="dxa"/>
              <w:left w:w="0" w:type="dxa"/>
              <w:bottom w:w="160" w:type="dxa"/>
            </w:tcMar>
          </w:tcPr>
          <w:p w14:paraId="2AA0CE9E">
            <w:pPr>
              <w:pStyle w:val="3"/>
              <w:spacing w:before="240" w:after="240" w:line="240" w:lineRule="auto"/>
              <w:jc w:val="center"/>
              <w:rPr>
                <w:sz w:val="24"/>
                <w:szCs w:val="24"/>
                <w:lang w:val="en-GB"/>
              </w:rPr>
            </w:pPr>
            <w:r>
              <w:rPr>
                <w:sz w:val="24"/>
                <w:szCs w:val="24"/>
                <w:lang w:val="en-GB"/>
              </w:rPr>
              <w:t>Yes</w:t>
            </w:r>
          </w:p>
        </w:tc>
        <w:tc>
          <w:tcPr>
            <w:tcW w:w="1127" w:type="dxa"/>
            <w:tcBorders>
              <w:top w:val="single" w:color="000000" w:sz="6" w:space="0"/>
              <w:left w:val="single" w:color="0F1115" w:sz="6" w:space="0"/>
              <w:bottom w:val="single" w:color="000000" w:sz="6" w:space="0"/>
              <w:right w:val="single" w:color="0F1115" w:sz="6" w:space="0"/>
            </w:tcBorders>
            <w:shd w:val="clear" w:color="auto" w:fill="FFFFFF"/>
            <w:tcMar>
              <w:top w:w="160" w:type="dxa"/>
              <w:left w:w="240" w:type="dxa"/>
              <w:bottom w:w="160" w:type="dxa"/>
              <w:right w:w="0" w:type="dxa"/>
            </w:tcMar>
          </w:tcPr>
          <w:p w14:paraId="76234808">
            <w:pPr>
              <w:pStyle w:val="3"/>
              <w:spacing w:before="240" w:after="240" w:line="240" w:lineRule="auto"/>
              <w:jc w:val="center"/>
              <w:rPr>
                <w:sz w:val="24"/>
                <w:szCs w:val="24"/>
                <w:lang w:val="en-GB"/>
              </w:rPr>
            </w:pPr>
            <w:r>
              <w:rPr>
                <w:sz w:val="24"/>
                <w:szCs w:val="24"/>
                <w:lang w:val="en-GB"/>
              </w:rPr>
              <w:t>No</w:t>
            </w:r>
          </w:p>
        </w:tc>
      </w:tr>
      <w:tr w14:paraId="746A1EDB">
        <w:tblPrEx>
          <w:tblCellMar>
            <w:top w:w="15" w:type="dxa"/>
            <w:left w:w="15" w:type="dxa"/>
            <w:bottom w:w="15" w:type="dxa"/>
            <w:right w:w="15" w:type="dxa"/>
          </w:tblCellMar>
        </w:tblPrEx>
        <w:trPr>
          <w:cantSplit/>
          <w:trHeight w:val="1065" w:hRule="atLeast"/>
          <w:tblHeader/>
        </w:trPr>
        <w:tc>
          <w:tcPr>
            <w:tcW w:w="4330" w:type="dxa"/>
            <w:tcBorders>
              <w:top w:val="single" w:color="000000" w:sz="6" w:space="0"/>
              <w:left w:val="single" w:color="0F1115" w:sz="6" w:space="0"/>
              <w:bottom w:val="single" w:color="000000" w:sz="6" w:space="0"/>
              <w:right w:val="single" w:color="0F1115" w:sz="6" w:space="0"/>
            </w:tcBorders>
            <w:shd w:val="clear" w:color="auto" w:fill="FFFFFF"/>
            <w:tcMar>
              <w:top w:w="160" w:type="dxa"/>
              <w:left w:w="0" w:type="dxa"/>
              <w:bottom w:w="160" w:type="dxa"/>
              <w:right w:w="240" w:type="dxa"/>
            </w:tcMar>
          </w:tcPr>
          <w:p w14:paraId="0D1ABBCA">
            <w:pPr>
              <w:pStyle w:val="3"/>
              <w:spacing w:before="240" w:after="240" w:line="240" w:lineRule="auto"/>
              <w:jc w:val="center"/>
              <w:rPr>
                <w:sz w:val="24"/>
                <w:szCs w:val="24"/>
                <w:lang w:val="en-GB"/>
              </w:rPr>
            </w:pPr>
            <w:r>
              <w:rPr>
                <w:sz w:val="24"/>
                <w:szCs w:val="24"/>
                <w:lang w:val="en-GB"/>
              </w:rPr>
              <w:t>7. Have ethical issues been taken into consideration?</w:t>
            </w:r>
          </w:p>
        </w:tc>
        <w:tc>
          <w:tcPr>
            <w:tcW w:w="2262" w:type="dxa"/>
            <w:tcBorders>
              <w:top w:val="single" w:color="000000" w:sz="6" w:space="0"/>
              <w:left w:val="single" w:color="0F1115" w:sz="6" w:space="0"/>
              <w:bottom w:val="single" w:color="000000" w:sz="6" w:space="0"/>
              <w:right w:val="single" w:color="0F1115" w:sz="6" w:space="0"/>
            </w:tcBorders>
            <w:shd w:val="clear" w:color="auto" w:fill="FFFFFF"/>
            <w:tcMar>
              <w:top w:w="160" w:type="dxa"/>
              <w:left w:w="240" w:type="dxa"/>
              <w:bottom w:w="160" w:type="dxa"/>
              <w:right w:w="240" w:type="dxa"/>
            </w:tcMar>
          </w:tcPr>
          <w:p w14:paraId="55A2EC47">
            <w:pPr>
              <w:pStyle w:val="3"/>
              <w:spacing w:before="240" w:after="240" w:line="240" w:lineRule="auto"/>
              <w:jc w:val="center"/>
              <w:rPr>
                <w:sz w:val="24"/>
                <w:szCs w:val="24"/>
                <w:lang w:val="en-GB"/>
              </w:rPr>
            </w:pPr>
            <w:r>
              <w:rPr>
                <w:sz w:val="24"/>
                <w:szCs w:val="24"/>
                <w:lang w:val="en-GB"/>
              </w:rPr>
              <w:t>Yes</w:t>
            </w:r>
          </w:p>
        </w:tc>
        <w:tc>
          <w:tcPr>
            <w:tcW w:w="1330" w:type="dxa"/>
            <w:tcBorders>
              <w:top w:val="single" w:color="000000" w:sz="6" w:space="0"/>
              <w:left w:val="single" w:color="0F1115" w:sz="6" w:space="0"/>
              <w:bottom w:val="single" w:color="000000" w:sz="6" w:space="0"/>
              <w:right w:val="single" w:color="0F1115" w:sz="6" w:space="0"/>
            </w:tcBorders>
            <w:shd w:val="clear" w:color="auto" w:fill="FFFFFF"/>
            <w:tcMar>
              <w:top w:w="160" w:type="dxa"/>
              <w:left w:w="0" w:type="dxa"/>
              <w:bottom w:w="160" w:type="dxa"/>
            </w:tcMar>
          </w:tcPr>
          <w:p w14:paraId="664F4CF6">
            <w:pPr>
              <w:pStyle w:val="3"/>
              <w:spacing w:before="240" w:after="240" w:line="240" w:lineRule="auto"/>
              <w:jc w:val="center"/>
              <w:rPr>
                <w:sz w:val="24"/>
                <w:szCs w:val="24"/>
                <w:lang w:val="en-GB"/>
              </w:rPr>
            </w:pPr>
            <w:r>
              <w:rPr>
                <w:sz w:val="24"/>
                <w:szCs w:val="24"/>
                <w:lang w:val="en-GB"/>
              </w:rPr>
              <w:t>Yes</w:t>
            </w:r>
          </w:p>
        </w:tc>
        <w:tc>
          <w:tcPr>
            <w:tcW w:w="1127" w:type="dxa"/>
            <w:tcBorders>
              <w:top w:val="single" w:color="000000" w:sz="6" w:space="0"/>
              <w:left w:val="single" w:color="0F1115" w:sz="6" w:space="0"/>
              <w:bottom w:val="single" w:color="000000" w:sz="6" w:space="0"/>
              <w:right w:val="single" w:color="0F1115" w:sz="6" w:space="0"/>
            </w:tcBorders>
            <w:shd w:val="clear" w:color="auto" w:fill="FFFFFF"/>
            <w:tcMar>
              <w:top w:w="160" w:type="dxa"/>
              <w:left w:w="240" w:type="dxa"/>
              <w:bottom w:w="160" w:type="dxa"/>
              <w:right w:w="0" w:type="dxa"/>
            </w:tcMar>
          </w:tcPr>
          <w:p w14:paraId="0B486C29">
            <w:pPr>
              <w:pStyle w:val="3"/>
              <w:spacing w:before="240" w:after="240" w:line="240" w:lineRule="auto"/>
              <w:jc w:val="center"/>
              <w:rPr>
                <w:sz w:val="24"/>
                <w:szCs w:val="24"/>
                <w:lang w:val="en-GB"/>
              </w:rPr>
            </w:pPr>
            <w:r>
              <w:rPr>
                <w:sz w:val="24"/>
                <w:szCs w:val="24"/>
                <w:lang w:val="en-GB"/>
              </w:rPr>
              <w:t>Yes</w:t>
            </w:r>
          </w:p>
        </w:tc>
      </w:tr>
      <w:tr w14:paraId="209DCC43">
        <w:tblPrEx>
          <w:tblCellMar>
            <w:top w:w="15" w:type="dxa"/>
            <w:left w:w="15" w:type="dxa"/>
            <w:bottom w:w="15" w:type="dxa"/>
            <w:right w:w="15" w:type="dxa"/>
          </w:tblCellMar>
        </w:tblPrEx>
        <w:trPr>
          <w:cantSplit/>
          <w:trHeight w:val="1065" w:hRule="atLeast"/>
          <w:tblHeader/>
        </w:trPr>
        <w:tc>
          <w:tcPr>
            <w:tcW w:w="4330" w:type="dxa"/>
            <w:tcBorders>
              <w:top w:val="single" w:color="000000" w:sz="6" w:space="0"/>
              <w:left w:val="single" w:color="0F1115" w:sz="6" w:space="0"/>
              <w:bottom w:val="single" w:color="000000" w:sz="6" w:space="0"/>
              <w:right w:val="single" w:color="0F1115" w:sz="6" w:space="0"/>
            </w:tcBorders>
            <w:shd w:val="clear" w:color="auto" w:fill="FFFFFF"/>
            <w:tcMar>
              <w:top w:w="160" w:type="dxa"/>
              <w:left w:w="0" w:type="dxa"/>
              <w:bottom w:w="160" w:type="dxa"/>
              <w:right w:w="240" w:type="dxa"/>
            </w:tcMar>
          </w:tcPr>
          <w:p w14:paraId="262EC014">
            <w:pPr>
              <w:pStyle w:val="3"/>
              <w:spacing w:before="240" w:after="240" w:line="240" w:lineRule="auto"/>
              <w:jc w:val="center"/>
              <w:rPr>
                <w:sz w:val="24"/>
                <w:szCs w:val="24"/>
                <w:lang w:val="en-GB"/>
              </w:rPr>
            </w:pPr>
            <w:r>
              <w:rPr>
                <w:sz w:val="24"/>
                <w:szCs w:val="24"/>
                <w:lang w:val="en-GB"/>
              </w:rPr>
              <w:t>8. Was the data analysis sufficiently rigorous?</w:t>
            </w:r>
          </w:p>
        </w:tc>
        <w:tc>
          <w:tcPr>
            <w:tcW w:w="2262" w:type="dxa"/>
            <w:tcBorders>
              <w:top w:val="single" w:color="000000" w:sz="6" w:space="0"/>
              <w:left w:val="single" w:color="0F1115" w:sz="6" w:space="0"/>
              <w:bottom w:val="single" w:color="000000" w:sz="6" w:space="0"/>
              <w:right w:val="single" w:color="0F1115" w:sz="6" w:space="0"/>
            </w:tcBorders>
            <w:shd w:val="clear" w:color="auto" w:fill="FFFFFF"/>
            <w:tcMar>
              <w:top w:w="160" w:type="dxa"/>
              <w:left w:w="240" w:type="dxa"/>
              <w:bottom w:w="160" w:type="dxa"/>
              <w:right w:w="240" w:type="dxa"/>
            </w:tcMar>
          </w:tcPr>
          <w:p w14:paraId="6A8B974E">
            <w:pPr>
              <w:pStyle w:val="3"/>
              <w:spacing w:before="240" w:after="240" w:line="240" w:lineRule="auto"/>
              <w:jc w:val="center"/>
              <w:rPr>
                <w:sz w:val="24"/>
                <w:szCs w:val="24"/>
                <w:lang w:val="en-GB"/>
              </w:rPr>
            </w:pPr>
            <w:r>
              <w:rPr>
                <w:sz w:val="24"/>
                <w:szCs w:val="24"/>
                <w:lang w:val="en-GB"/>
              </w:rPr>
              <w:t>Yes</w:t>
            </w:r>
          </w:p>
        </w:tc>
        <w:tc>
          <w:tcPr>
            <w:tcW w:w="1330" w:type="dxa"/>
            <w:tcBorders>
              <w:top w:val="single" w:color="000000" w:sz="6" w:space="0"/>
              <w:left w:val="single" w:color="0F1115" w:sz="6" w:space="0"/>
              <w:bottom w:val="single" w:color="000000" w:sz="6" w:space="0"/>
              <w:right w:val="single" w:color="0F1115" w:sz="6" w:space="0"/>
            </w:tcBorders>
            <w:shd w:val="clear" w:color="auto" w:fill="FFFFFF"/>
            <w:tcMar>
              <w:top w:w="160" w:type="dxa"/>
              <w:left w:w="0" w:type="dxa"/>
              <w:bottom w:w="160" w:type="dxa"/>
            </w:tcMar>
          </w:tcPr>
          <w:p w14:paraId="08387597">
            <w:pPr>
              <w:pStyle w:val="3"/>
              <w:spacing w:before="240" w:after="240" w:line="240" w:lineRule="auto"/>
              <w:jc w:val="center"/>
              <w:rPr>
                <w:sz w:val="24"/>
                <w:szCs w:val="24"/>
                <w:lang w:val="en-GB"/>
              </w:rPr>
            </w:pPr>
            <w:r>
              <w:rPr>
                <w:sz w:val="24"/>
                <w:szCs w:val="24"/>
                <w:lang w:val="en-GB"/>
              </w:rPr>
              <w:t>Yes</w:t>
            </w:r>
          </w:p>
        </w:tc>
        <w:tc>
          <w:tcPr>
            <w:tcW w:w="1127" w:type="dxa"/>
            <w:tcBorders>
              <w:top w:val="single" w:color="000000" w:sz="6" w:space="0"/>
              <w:left w:val="single" w:color="0F1115" w:sz="6" w:space="0"/>
              <w:bottom w:val="single" w:color="000000" w:sz="6" w:space="0"/>
              <w:right w:val="single" w:color="0F1115" w:sz="6" w:space="0"/>
            </w:tcBorders>
            <w:shd w:val="clear" w:color="auto" w:fill="FFFFFF"/>
            <w:tcMar>
              <w:top w:w="160" w:type="dxa"/>
              <w:left w:w="240" w:type="dxa"/>
              <w:bottom w:w="160" w:type="dxa"/>
              <w:right w:w="0" w:type="dxa"/>
            </w:tcMar>
          </w:tcPr>
          <w:p w14:paraId="7903C4B2">
            <w:pPr>
              <w:pStyle w:val="3"/>
              <w:spacing w:before="240" w:after="240" w:line="240" w:lineRule="auto"/>
              <w:jc w:val="center"/>
              <w:rPr>
                <w:sz w:val="24"/>
                <w:szCs w:val="24"/>
                <w:lang w:val="en-GB"/>
              </w:rPr>
            </w:pPr>
            <w:r>
              <w:rPr>
                <w:sz w:val="24"/>
                <w:szCs w:val="24"/>
                <w:lang w:val="en-GB"/>
              </w:rPr>
              <w:t>Yes</w:t>
            </w:r>
          </w:p>
        </w:tc>
      </w:tr>
      <w:tr w14:paraId="6FB24B41">
        <w:tblPrEx>
          <w:tblCellMar>
            <w:top w:w="15" w:type="dxa"/>
            <w:left w:w="15" w:type="dxa"/>
            <w:bottom w:w="15" w:type="dxa"/>
            <w:right w:w="15" w:type="dxa"/>
          </w:tblCellMar>
        </w:tblPrEx>
        <w:trPr>
          <w:cantSplit/>
          <w:trHeight w:val="1065" w:hRule="atLeast"/>
          <w:tblHeader/>
        </w:trPr>
        <w:tc>
          <w:tcPr>
            <w:tcW w:w="4330" w:type="dxa"/>
            <w:tcBorders>
              <w:top w:val="single" w:color="000000" w:sz="6" w:space="0"/>
              <w:left w:val="single" w:color="0F1115" w:sz="6" w:space="0"/>
              <w:bottom w:val="single" w:color="000000" w:sz="6" w:space="0"/>
              <w:right w:val="single" w:color="0F1115" w:sz="6" w:space="0"/>
            </w:tcBorders>
            <w:shd w:val="clear" w:color="auto" w:fill="FFFFFF"/>
            <w:tcMar>
              <w:top w:w="160" w:type="dxa"/>
              <w:left w:w="0" w:type="dxa"/>
              <w:bottom w:w="160" w:type="dxa"/>
              <w:right w:w="240" w:type="dxa"/>
            </w:tcMar>
          </w:tcPr>
          <w:p w14:paraId="60B1F9E2">
            <w:pPr>
              <w:pStyle w:val="3"/>
              <w:spacing w:before="240" w:after="240" w:line="240" w:lineRule="auto"/>
              <w:jc w:val="center"/>
              <w:rPr>
                <w:sz w:val="24"/>
                <w:szCs w:val="24"/>
                <w:lang w:val="en-GB"/>
              </w:rPr>
            </w:pPr>
            <w:r>
              <w:rPr>
                <w:sz w:val="24"/>
                <w:szCs w:val="24"/>
                <w:lang w:val="en-GB"/>
              </w:rPr>
              <w:t>9. Is there a clear statement of findings?</w:t>
            </w:r>
          </w:p>
        </w:tc>
        <w:tc>
          <w:tcPr>
            <w:tcW w:w="2262" w:type="dxa"/>
            <w:tcBorders>
              <w:top w:val="single" w:color="000000" w:sz="6" w:space="0"/>
              <w:left w:val="single" w:color="0F1115" w:sz="6" w:space="0"/>
              <w:bottom w:val="single" w:color="000000" w:sz="6" w:space="0"/>
              <w:right w:val="single" w:color="0F1115" w:sz="6" w:space="0"/>
            </w:tcBorders>
            <w:shd w:val="clear" w:color="auto" w:fill="FFFFFF"/>
            <w:tcMar>
              <w:top w:w="160" w:type="dxa"/>
              <w:left w:w="240" w:type="dxa"/>
              <w:bottom w:w="160" w:type="dxa"/>
              <w:right w:w="240" w:type="dxa"/>
            </w:tcMar>
          </w:tcPr>
          <w:p w14:paraId="26CC413F">
            <w:pPr>
              <w:pStyle w:val="3"/>
              <w:spacing w:before="240" w:after="240" w:line="240" w:lineRule="auto"/>
              <w:jc w:val="center"/>
              <w:rPr>
                <w:sz w:val="24"/>
                <w:szCs w:val="24"/>
                <w:lang w:val="en-GB"/>
              </w:rPr>
            </w:pPr>
            <w:r>
              <w:rPr>
                <w:sz w:val="24"/>
                <w:szCs w:val="24"/>
                <w:lang w:val="en-GB"/>
              </w:rPr>
              <w:t>Yes</w:t>
            </w:r>
          </w:p>
        </w:tc>
        <w:tc>
          <w:tcPr>
            <w:tcW w:w="1330" w:type="dxa"/>
            <w:tcBorders>
              <w:top w:val="single" w:color="000000" w:sz="6" w:space="0"/>
              <w:left w:val="single" w:color="0F1115" w:sz="6" w:space="0"/>
              <w:bottom w:val="single" w:color="000000" w:sz="6" w:space="0"/>
              <w:right w:val="single" w:color="0F1115" w:sz="6" w:space="0"/>
            </w:tcBorders>
            <w:shd w:val="clear" w:color="auto" w:fill="FFFFFF"/>
            <w:tcMar>
              <w:top w:w="160" w:type="dxa"/>
              <w:left w:w="0" w:type="dxa"/>
              <w:bottom w:w="160" w:type="dxa"/>
            </w:tcMar>
          </w:tcPr>
          <w:p w14:paraId="04EFE82E">
            <w:pPr>
              <w:pStyle w:val="3"/>
              <w:spacing w:before="240" w:after="240" w:line="240" w:lineRule="auto"/>
              <w:jc w:val="center"/>
              <w:rPr>
                <w:sz w:val="24"/>
                <w:szCs w:val="24"/>
                <w:lang w:val="en-GB"/>
              </w:rPr>
            </w:pPr>
            <w:r>
              <w:rPr>
                <w:sz w:val="24"/>
                <w:szCs w:val="24"/>
                <w:lang w:val="en-GB"/>
              </w:rPr>
              <w:t>Yes</w:t>
            </w:r>
          </w:p>
        </w:tc>
        <w:tc>
          <w:tcPr>
            <w:tcW w:w="1127" w:type="dxa"/>
            <w:tcBorders>
              <w:top w:val="single" w:color="000000" w:sz="6" w:space="0"/>
              <w:left w:val="single" w:color="0F1115" w:sz="6" w:space="0"/>
              <w:bottom w:val="single" w:color="000000" w:sz="6" w:space="0"/>
              <w:right w:val="single" w:color="0F1115" w:sz="6" w:space="0"/>
            </w:tcBorders>
            <w:shd w:val="clear" w:color="auto" w:fill="FFFFFF"/>
            <w:tcMar>
              <w:top w:w="160" w:type="dxa"/>
              <w:left w:w="240" w:type="dxa"/>
              <w:bottom w:w="160" w:type="dxa"/>
              <w:right w:w="0" w:type="dxa"/>
            </w:tcMar>
          </w:tcPr>
          <w:p w14:paraId="02AADB78">
            <w:pPr>
              <w:pStyle w:val="3"/>
              <w:spacing w:before="240" w:after="240" w:line="240" w:lineRule="auto"/>
              <w:jc w:val="center"/>
              <w:rPr>
                <w:sz w:val="24"/>
                <w:szCs w:val="24"/>
                <w:lang w:val="en-GB"/>
              </w:rPr>
            </w:pPr>
            <w:r>
              <w:rPr>
                <w:sz w:val="24"/>
                <w:szCs w:val="24"/>
                <w:lang w:val="en-GB"/>
              </w:rPr>
              <w:t>Yes</w:t>
            </w:r>
          </w:p>
        </w:tc>
      </w:tr>
      <w:tr w14:paraId="2B4F21A8">
        <w:tblPrEx>
          <w:tblCellMar>
            <w:top w:w="15" w:type="dxa"/>
            <w:left w:w="15" w:type="dxa"/>
            <w:bottom w:w="15" w:type="dxa"/>
            <w:right w:w="15" w:type="dxa"/>
          </w:tblCellMar>
        </w:tblPrEx>
        <w:trPr>
          <w:cantSplit/>
          <w:trHeight w:val="1065" w:hRule="atLeast"/>
          <w:tblHeader/>
        </w:trPr>
        <w:tc>
          <w:tcPr>
            <w:tcW w:w="4330" w:type="dxa"/>
            <w:tcBorders>
              <w:top w:val="single" w:color="000000" w:sz="6" w:space="0"/>
              <w:left w:val="single" w:color="0F1115" w:sz="6" w:space="0"/>
              <w:bottom w:val="single" w:color="000000" w:sz="6" w:space="0"/>
              <w:right w:val="single" w:color="0F1115" w:sz="6" w:space="0"/>
            </w:tcBorders>
            <w:shd w:val="clear" w:color="auto" w:fill="FFFFFF"/>
            <w:tcMar>
              <w:top w:w="160" w:type="dxa"/>
              <w:left w:w="0" w:type="dxa"/>
              <w:bottom w:w="160" w:type="dxa"/>
              <w:right w:w="240" w:type="dxa"/>
            </w:tcMar>
          </w:tcPr>
          <w:p w14:paraId="25FDF374">
            <w:pPr>
              <w:pStyle w:val="3"/>
              <w:spacing w:before="240" w:after="240" w:line="240" w:lineRule="auto"/>
              <w:jc w:val="center"/>
              <w:rPr>
                <w:sz w:val="24"/>
                <w:szCs w:val="24"/>
                <w:lang w:val="en-GB"/>
              </w:rPr>
            </w:pPr>
            <w:r>
              <w:rPr>
                <w:sz w:val="24"/>
                <w:szCs w:val="24"/>
                <w:lang w:val="en-GB"/>
              </w:rPr>
              <w:t>10. How valuable is the research?</w:t>
            </w:r>
          </w:p>
        </w:tc>
        <w:tc>
          <w:tcPr>
            <w:tcW w:w="2262" w:type="dxa"/>
            <w:tcBorders>
              <w:top w:val="single" w:color="000000" w:sz="6" w:space="0"/>
              <w:left w:val="single" w:color="0F1115" w:sz="6" w:space="0"/>
              <w:bottom w:val="single" w:color="000000" w:sz="6" w:space="0"/>
              <w:right w:val="single" w:color="0F1115" w:sz="6" w:space="0"/>
            </w:tcBorders>
            <w:shd w:val="clear" w:color="auto" w:fill="FFFFFF"/>
            <w:tcMar>
              <w:top w:w="160" w:type="dxa"/>
              <w:left w:w="240" w:type="dxa"/>
              <w:bottom w:w="160" w:type="dxa"/>
              <w:right w:w="240" w:type="dxa"/>
            </w:tcMar>
          </w:tcPr>
          <w:p w14:paraId="1A7176D8">
            <w:pPr>
              <w:pStyle w:val="3"/>
              <w:spacing w:before="240" w:after="240" w:line="240" w:lineRule="auto"/>
              <w:jc w:val="center"/>
              <w:rPr>
                <w:sz w:val="24"/>
                <w:szCs w:val="24"/>
                <w:lang w:val="en-GB"/>
              </w:rPr>
            </w:pPr>
            <w:r>
              <w:rPr>
                <w:sz w:val="24"/>
                <w:szCs w:val="24"/>
                <w:lang w:val="en-GB"/>
              </w:rPr>
              <w:t>Yes</w:t>
            </w:r>
          </w:p>
        </w:tc>
        <w:tc>
          <w:tcPr>
            <w:tcW w:w="1330" w:type="dxa"/>
            <w:tcBorders>
              <w:top w:val="single" w:color="000000" w:sz="6" w:space="0"/>
              <w:left w:val="single" w:color="0F1115" w:sz="6" w:space="0"/>
              <w:bottom w:val="single" w:color="000000" w:sz="6" w:space="0"/>
              <w:right w:val="single" w:color="0F1115" w:sz="6" w:space="0"/>
            </w:tcBorders>
            <w:shd w:val="clear" w:color="auto" w:fill="FFFFFF"/>
            <w:tcMar>
              <w:top w:w="160" w:type="dxa"/>
              <w:left w:w="0" w:type="dxa"/>
              <w:bottom w:w="160" w:type="dxa"/>
            </w:tcMar>
          </w:tcPr>
          <w:p w14:paraId="0DE8FDCF">
            <w:pPr>
              <w:pStyle w:val="3"/>
              <w:spacing w:before="240" w:after="240" w:line="240" w:lineRule="auto"/>
              <w:jc w:val="center"/>
              <w:rPr>
                <w:sz w:val="24"/>
                <w:szCs w:val="24"/>
                <w:lang w:val="en-GB"/>
              </w:rPr>
            </w:pPr>
            <w:r>
              <w:rPr>
                <w:sz w:val="24"/>
                <w:szCs w:val="24"/>
                <w:lang w:val="en-GB"/>
              </w:rPr>
              <w:t>Yes</w:t>
            </w:r>
          </w:p>
        </w:tc>
        <w:tc>
          <w:tcPr>
            <w:tcW w:w="1127" w:type="dxa"/>
            <w:tcBorders>
              <w:top w:val="single" w:color="000000" w:sz="6" w:space="0"/>
              <w:left w:val="single" w:color="0F1115" w:sz="6" w:space="0"/>
              <w:bottom w:val="single" w:color="000000" w:sz="6" w:space="0"/>
              <w:right w:val="single" w:color="0F1115" w:sz="6" w:space="0"/>
            </w:tcBorders>
            <w:shd w:val="clear" w:color="auto" w:fill="FFFFFF"/>
            <w:tcMar>
              <w:top w:w="160" w:type="dxa"/>
              <w:left w:w="240" w:type="dxa"/>
              <w:bottom w:w="160" w:type="dxa"/>
              <w:right w:w="0" w:type="dxa"/>
            </w:tcMar>
          </w:tcPr>
          <w:p w14:paraId="3E5DB0A9">
            <w:pPr>
              <w:pStyle w:val="3"/>
              <w:spacing w:before="240" w:after="240" w:line="240" w:lineRule="auto"/>
              <w:jc w:val="center"/>
              <w:rPr>
                <w:sz w:val="24"/>
                <w:szCs w:val="24"/>
                <w:lang w:val="en-GB"/>
              </w:rPr>
            </w:pPr>
            <w:r>
              <w:rPr>
                <w:sz w:val="24"/>
                <w:szCs w:val="24"/>
                <w:lang w:val="en-GB"/>
              </w:rPr>
              <w:t>Yes</w:t>
            </w:r>
          </w:p>
        </w:tc>
      </w:tr>
    </w:tbl>
    <w:p w14:paraId="15CAF0D7">
      <w:pPr>
        <w:pStyle w:val="3"/>
        <w:widowControl/>
        <w:spacing w:line="480" w:lineRule="auto"/>
        <w:rPr>
          <w:lang w:val="en-GB"/>
        </w:rPr>
      </w:pPr>
    </w:p>
    <w:p w14:paraId="25863489">
      <w:pPr>
        <w:pStyle w:val="3"/>
        <w:spacing w:line="240" w:lineRule="auto"/>
        <w:jc w:val="left"/>
        <w:rPr>
          <w:b/>
          <w:bCs/>
          <w:sz w:val="26"/>
          <w:szCs w:val="26"/>
          <w:lang w:val="en-GB"/>
        </w:rPr>
      </w:pPr>
      <w:bookmarkStart w:id="93" w:name="_heading=h.dhv8x59xab42" w:colFirst="0" w:colLast="0"/>
      <w:bookmarkEnd w:id="93"/>
      <w:r>
        <w:rPr>
          <w:lang w:val="en-GB"/>
        </w:rPr>
        <w:br w:type="page"/>
      </w:r>
    </w:p>
    <w:p w14:paraId="289A29BD">
      <w:pPr>
        <w:pStyle w:val="4"/>
        <w:spacing w:line="480" w:lineRule="auto"/>
        <w:ind w:left="0"/>
        <w:rPr>
          <w:lang w:val="en-GB"/>
        </w:rPr>
      </w:pPr>
      <w:bookmarkStart w:id="94" w:name="_Toc228745875"/>
      <w:r>
        <w:rPr>
          <w:lang w:val="en-GB"/>
        </w:rPr>
        <w:t>Appendix 2- Quantitative Studies Appraisal</w:t>
      </w:r>
      <w:bookmarkEnd w:id="94"/>
    </w:p>
    <w:p w14:paraId="3D3FF374">
      <w:pPr>
        <w:pStyle w:val="3"/>
        <w:widowControl/>
        <w:spacing w:line="480" w:lineRule="auto"/>
        <w:rPr>
          <w:b/>
          <w:bCs/>
          <w:lang w:val="en-GB"/>
        </w:rPr>
      </w:pPr>
      <w:r>
        <w:rPr>
          <w:b/>
          <w:bCs/>
          <w:lang w:val="en-GB"/>
        </w:rPr>
        <w:t>Cross-Sectional Studies</w:t>
      </w:r>
    </w:p>
    <w:tbl>
      <w:tblPr>
        <w:tblStyle w:val="28"/>
        <w:tblW w:w="9435" w:type="dxa"/>
        <w:tblInd w:w="-1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15" w:type="dxa"/>
          <w:bottom w:w="0" w:type="dxa"/>
          <w:right w:w="115" w:type="dxa"/>
        </w:tblCellMar>
      </w:tblPr>
      <w:tblGrid>
        <w:gridCol w:w="1815"/>
        <w:gridCol w:w="1830"/>
        <w:gridCol w:w="1590"/>
        <w:gridCol w:w="1935"/>
        <w:gridCol w:w="2265"/>
      </w:tblGrid>
      <w:tr w14:paraId="014BBF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1100" w:hRule="atLeast"/>
          <w:tblHeader/>
        </w:trPr>
        <w:tc>
          <w:tcPr>
            <w:tcW w:w="18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96B8108">
            <w:pPr>
              <w:pStyle w:val="3"/>
              <w:widowControl/>
              <w:spacing w:line="480" w:lineRule="auto"/>
              <w:jc w:val="center"/>
              <w:rPr>
                <w:lang w:val="en-GB"/>
              </w:rPr>
            </w:pPr>
            <w:r>
              <w:rPr>
                <w:b/>
                <w:bCs/>
                <w:lang w:val="en-GB"/>
              </w:rPr>
              <w:t>CASP Question</w:t>
            </w:r>
          </w:p>
        </w:tc>
        <w:tc>
          <w:tcPr>
            <w:tcW w:w="18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C41EC39">
            <w:pPr>
              <w:pStyle w:val="3"/>
              <w:widowControl/>
              <w:spacing w:line="480" w:lineRule="auto"/>
              <w:jc w:val="center"/>
              <w:rPr>
                <w:lang w:val="en-GB"/>
              </w:rPr>
            </w:pPr>
            <w:r>
              <w:rPr>
                <w:b/>
                <w:bCs/>
                <w:lang w:val="en-GB"/>
              </w:rPr>
              <w:t>McFadden et al. (2021)</w:t>
            </w:r>
          </w:p>
        </w:tc>
        <w:tc>
          <w:tcPr>
            <w:tcW w:w="15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80FF1CA">
            <w:pPr>
              <w:pStyle w:val="3"/>
              <w:widowControl/>
              <w:spacing w:line="480" w:lineRule="auto"/>
              <w:jc w:val="center"/>
              <w:rPr>
                <w:lang w:val="en-GB"/>
              </w:rPr>
            </w:pPr>
            <w:r>
              <w:rPr>
                <w:b/>
                <w:bCs/>
                <w:lang w:val="en-GB"/>
              </w:rPr>
              <w:t>Gillen et al. (2022)</w:t>
            </w:r>
          </w:p>
        </w:tc>
        <w:tc>
          <w:tcPr>
            <w:tcW w:w="19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6BBBD3A">
            <w:pPr>
              <w:pStyle w:val="3"/>
              <w:widowControl/>
              <w:spacing w:line="480" w:lineRule="auto"/>
              <w:jc w:val="center"/>
              <w:rPr>
                <w:lang w:val="en-GB"/>
              </w:rPr>
            </w:pPr>
            <w:r>
              <w:rPr>
                <w:b/>
                <w:bCs/>
                <w:lang w:val="en-GB"/>
              </w:rPr>
              <w:t>Neill et al. (2023)</w:t>
            </w:r>
          </w:p>
        </w:tc>
        <w:tc>
          <w:tcPr>
            <w:tcW w:w="22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B575B06">
            <w:pPr>
              <w:pStyle w:val="3"/>
              <w:widowControl/>
              <w:spacing w:line="480" w:lineRule="auto"/>
              <w:jc w:val="center"/>
              <w:rPr>
                <w:lang w:val="en-GB"/>
              </w:rPr>
            </w:pPr>
            <w:r>
              <w:rPr>
                <w:b/>
                <w:bCs/>
                <w:lang w:val="en-GB"/>
              </w:rPr>
              <w:t>Ravalier et al. (2023)</w:t>
            </w:r>
          </w:p>
        </w:tc>
      </w:tr>
      <w:tr w14:paraId="48439F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800" w:hRule="atLeast"/>
          <w:tblHeader/>
        </w:trPr>
        <w:tc>
          <w:tcPr>
            <w:tcW w:w="18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20D1E9C">
            <w:pPr>
              <w:pStyle w:val="3"/>
              <w:widowControl/>
              <w:spacing w:line="480" w:lineRule="auto"/>
              <w:rPr>
                <w:lang w:val="en-GB"/>
              </w:rPr>
            </w:pPr>
            <w:r>
              <w:rPr>
                <w:b/>
                <w:bCs/>
                <w:lang w:val="en-GB"/>
              </w:rPr>
              <w:t>1. Clearly focused issue?</w:t>
            </w:r>
          </w:p>
        </w:tc>
        <w:tc>
          <w:tcPr>
            <w:tcW w:w="18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C5C3AE3">
            <w:pPr>
              <w:pStyle w:val="3"/>
              <w:widowControl/>
              <w:spacing w:line="480" w:lineRule="auto"/>
              <w:rPr>
                <w:lang w:val="en-GB"/>
              </w:rPr>
            </w:pPr>
            <w:r>
              <w:rPr>
                <w:lang w:val="en-GB"/>
              </w:rPr>
              <w:t>Yes</w:t>
            </w:r>
          </w:p>
        </w:tc>
        <w:tc>
          <w:tcPr>
            <w:tcW w:w="15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94BF134">
            <w:pPr>
              <w:pStyle w:val="3"/>
              <w:widowControl/>
              <w:spacing w:line="480" w:lineRule="auto"/>
              <w:rPr>
                <w:lang w:val="en-GB"/>
              </w:rPr>
            </w:pPr>
            <w:r>
              <w:rPr>
                <w:lang w:val="en-GB"/>
              </w:rPr>
              <w:t>Yes</w:t>
            </w:r>
          </w:p>
        </w:tc>
        <w:tc>
          <w:tcPr>
            <w:tcW w:w="19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1713075">
            <w:pPr>
              <w:pStyle w:val="3"/>
              <w:widowControl/>
              <w:spacing w:line="480" w:lineRule="auto"/>
              <w:rPr>
                <w:lang w:val="en-GB"/>
              </w:rPr>
            </w:pPr>
            <w:r>
              <w:rPr>
                <w:lang w:val="en-GB"/>
              </w:rPr>
              <w:t>Yes</w:t>
            </w:r>
          </w:p>
        </w:tc>
        <w:tc>
          <w:tcPr>
            <w:tcW w:w="22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E5CC6CD">
            <w:pPr>
              <w:pStyle w:val="3"/>
              <w:widowControl/>
              <w:spacing w:line="480" w:lineRule="auto"/>
              <w:rPr>
                <w:lang w:val="en-GB"/>
              </w:rPr>
            </w:pPr>
            <w:r>
              <w:rPr>
                <w:lang w:val="en-GB"/>
              </w:rPr>
              <w:t>Yes</w:t>
            </w:r>
          </w:p>
        </w:tc>
      </w:tr>
      <w:tr w14:paraId="790890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800" w:hRule="atLeast"/>
          <w:tblHeader/>
        </w:trPr>
        <w:tc>
          <w:tcPr>
            <w:tcW w:w="18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54CF8CE">
            <w:pPr>
              <w:pStyle w:val="3"/>
              <w:widowControl/>
              <w:spacing w:line="480" w:lineRule="auto"/>
              <w:rPr>
                <w:lang w:val="en-GB"/>
              </w:rPr>
            </w:pPr>
            <w:r>
              <w:rPr>
                <w:b/>
                <w:bCs/>
                <w:lang w:val="en-GB"/>
              </w:rPr>
              <w:t>2. Appropriate method?</w:t>
            </w:r>
          </w:p>
        </w:tc>
        <w:tc>
          <w:tcPr>
            <w:tcW w:w="18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4F1D818">
            <w:pPr>
              <w:pStyle w:val="3"/>
              <w:widowControl/>
              <w:spacing w:line="480" w:lineRule="auto"/>
              <w:rPr>
                <w:lang w:val="en-GB"/>
              </w:rPr>
            </w:pPr>
            <w:r>
              <w:rPr>
                <w:lang w:val="en-GB"/>
              </w:rPr>
              <w:t>Yes</w:t>
            </w:r>
          </w:p>
        </w:tc>
        <w:tc>
          <w:tcPr>
            <w:tcW w:w="15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CFBE1B7">
            <w:pPr>
              <w:pStyle w:val="3"/>
              <w:widowControl/>
              <w:spacing w:line="480" w:lineRule="auto"/>
              <w:rPr>
                <w:lang w:val="en-GB"/>
              </w:rPr>
            </w:pPr>
            <w:r>
              <w:rPr>
                <w:lang w:val="en-GB"/>
              </w:rPr>
              <w:t>Yes</w:t>
            </w:r>
          </w:p>
        </w:tc>
        <w:tc>
          <w:tcPr>
            <w:tcW w:w="19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60F10E2">
            <w:pPr>
              <w:pStyle w:val="3"/>
              <w:widowControl/>
              <w:spacing w:line="480" w:lineRule="auto"/>
              <w:rPr>
                <w:lang w:val="en-GB"/>
              </w:rPr>
            </w:pPr>
            <w:r>
              <w:rPr>
                <w:lang w:val="en-GB"/>
              </w:rPr>
              <w:t>Yes</w:t>
            </w:r>
          </w:p>
        </w:tc>
        <w:tc>
          <w:tcPr>
            <w:tcW w:w="22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B077B0D">
            <w:pPr>
              <w:pStyle w:val="3"/>
              <w:widowControl/>
              <w:spacing w:line="480" w:lineRule="auto"/>
              <w:rPr>
                <w:lang w:val="en-GB"/>
              </w:rPr>
            </w:pPr>
            <w:r>
              <w:rPr>
                <w:lang w:val="en-GB"/>
              </w:rPr>
              <w:t>Yes</w:t>
            </w:r>
          </w:p>
        </w:tc>
      </w:tr>
      <w:tr w14:paraId="7E1A5B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1385" w:hRule="atLeast"/>
          <w:tblHeader/>
        </w:trPr>
        <w:tc>
          <w:tcPr>
            <w:tcW w:w="18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89B10E7">
            <w:pPr>
              <w:pStyle w:val="3"/>
              <w:widowControl/>
              <w:spacing w:line="480" w:lineRule="auto"/>
              <w:rPr>
                <w:lang w:val="en-GB"/>
              </w:rPr>
            </w:pPr>
            <w:r>
              <w:rPr>
                <w:b/>
                <w:bCs/>
                <w:lang w:val="en-GB"/>
              </w:rPr>
              <w:t>3. Acceptable recruitment?</w:t>
            </w:r>
          </w:p>
        </w:tc>
        <w:tc>
          <w:tcPr>
            <w:tcW w:w="18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FE44881">
            <w:pPr>
              <w:pStyle w:val="3"/>
              <w:widowControl/>
              <w:spacing w:line="480" w:lineRule="auto"/>
              <w:rPr>
                <w:lang w:val="en-GB"/>
              </w:rPr>
            </w:pPr>
            <w:r>
              <w:rPr>
                <w:lang w:val="en-GB"/>
              </w:rPr>
              <w:t xml:space="preserve">Yes </w:t>
            </w:r>
          </w:p>
        </w:tc>
        <w:tc>
          <w:tcPr>
            <w:tcW w:w="15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3BE6DDC">
            <w:pPr>
              <w:pStyle w:val="3"/>
              <w:widowControl/>
              <w:spacing w:line="480" w:lineRule="auto"/>
              <w:rPr>
                <w:lang w:val="en-GB"/>
              </w:rPr>
            </w:pPr>
            <w:r>
              <w:rPr>
                <w:lang w:val="en-GB"/>
              </w:rPr>
              <w:t>Yes</w:t>
            </w:r>
          </w:p>
        </w:tc>
        <w:tc>
          <w:tcPr>
            <w:tcW w:w="19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B89411A">
            <w:pPr>
              <w:pStyle w:val="3"/>
              <w:widowControl/>
              <w:spacing w:line="480" w:lineRule="auto"/>
              <w:rPr>
                <w:lang w:val="en-GB"/>
              </w:rPr>
            </w:pPr>
            <w:r>
              <w:rPr>
                <w:lang w:val="en-GB"/>
              </w:rPr>
              <w:t>Yes</w:t>
            </w:r>
          </w:p>
        </w:tc>
        <w:tc>
          <w:tcPr>
            <w:tcW w:w="22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B93546B">
            <w:pPr>
              <w:pStyle w:val="3"/>
              <w:widowControl/>
              <w:spacing w:line="480" w:lineRule="auto"/>
              <w:rPr>
                <w:lang w:val="en-GB"/>
              </w:rPr>
            </w:pPr>
            <w:r>
              <w:rPr>
                <w:lang w:val="en-GB"/>
              </w:rPr>
              <w:t>Yes</w:t>
            </w:r>
          </w:p>
        </w:tc>
      </w:tr>
      <w:tr w14:paraId="229359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1385" w:hRule="atLeast"/>
          <w:tblHeader/>
        </w:trPr>
        <w:tc>
          <w:tcPr>
            <w:tcW w:w="18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43F78AB">
            <w:pPr>
              <w:pStyle w:val="3"/>
              <w:widowControl/>
              <w:spacing w:line="480" w:lineRule="auto"/>
              <w:rPr>
                <w:lang w:val="en-GB"/>
              </w:rPr>
            </w:pPr>
            <w:r>
              <w:rPr>
                <w:b/>
                <w:bCs/>
                <w:lang w:val="en-GB"/>
              </w:rPr>
              <w:t>4. Accurate measurement?</w:t>
            </w:r>
          </w:p>
        </w:tc>
        <w:tc>
          <w:tcPr>
            <w:tcW w:w="18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2052BBD">
            <w:pPr>
              <w:pStyle w:val="3"/>
              <w:widowControl/>
              <w:spacing w:line="480" w:lineRule="auto"/>
              <w:rPr>
                <w:lang w:val="en-GB"/>
              </w:rPr>
            </w:pPr>
            <w:r>
              <w:rPr>
                <w:lang w:val="en-GB"/>
              </w:rPr>
              <w:t xml:space="preserve">Yes </w:t>
            </w:r>
          </w:p>
        </w:tc>
        <w:tc>
          <w:tcPr>
            <w:tcW w:w="15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B6BAF8D">
            <w:pPr>
              <w:pStyle w:val="3"/>
              <w:widowControl/>
              <w:spacing w:line="480" w:lineRule="auto"/>
              <w:rPr>
                <w:lang w:val="en-GB"/>
              </w:rPr>
            </w:pPr>
            <w:r>
              <w:rPr>
                <w:lang w:val="en-GB"/>
              </w:rPr>
              <w:t>Yes</w:t>
            </w:r>
          </w:p>
        </w:tc>
        <w:tc>
          <w:tcPr>
            <w:tcW w:w="19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D3A8F69">
            <w:pPr>
              <w:pStyle w:val="3"/>
              <w:widowControl/>
              <w:spacing w:line="480" w:lineRule="auto"/>
              <w:rPr>
                <w:lang w:val="en-GB"/>
              </w:rPr>
            </w:pPr>
            <w:r>
              <w:rPr>
                <w:lang w:val="en-GB"/>
              </w:rPr>
              <w:t>Yes</w:t>
            </w:r>
          </w:p>
        </w:tc>
        <w:tc>
          <w:tcPr>
            <w:tcW w:w="22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A9C8B28">
            <w:pPr>
              <w:pStyle w:val="3"/>
              <w:widowControl/>
              <w:spacing w:line="480" w:lineRule="auto"/>
              <w:rPr>
                <w:lang w:val="en-GB"/>
              </w:rPr>
            </w:pPr>
            <w:r>
              <w:rPr>
                <w:lang w:val="en-GB"/>
              </w:rPr>
              <w:t>Yes</w:t>
            </w:r>
          </w:p>
        </w:tc>
      </w:tr>
      <w:tr w14:paraId="51D6A4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1100" w:hRule="atLeast"/>
          <w:tblHeader/>
        </w:trPr>
        <w:tc>
          <w:tcPr>
            <w:tcW w:w="18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9DC2591">
            <w:pPr>
              <w:pStyle w:val="3"/>
              <w:widowControl/>
              <w:spacing w:line="480" w:lineRule="auto"/>
              <w:rPr>
                <w:lang w:val="en-GB"/>
              </w:rPr>
            </w:pPr>
            <w:r>
              <w:rPr>
                <w:b/>
                <w:bCs/>
                <w:lang w:val="en-GB"/>
              </w:rPr>
              <w:t>5. Data collection appropriate?</w:t>
            </w:r>
          </w:p>
        </w:tc>
        <w:tc>
          <w:tcPr>
            <w:tcW w:w="18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D99DE67">
            <w:pPr>
              <w:pStyle w:val="3"/>
              <w:widowControl/>
              <w:spacing w:line="480" w:lineRule="auto"/>
              <w:rPr>
                <w:lang w:val="en-GB"/>
              </w:rPr>
            </w:pPr>
            <w:r>
              <w:rPr>
                <w:lang w:val="en-GB"/>
              </w:rPr>
              <w:t xml:space="preserve">Yes </w:t>
            </w:r>
          </w:p>
        </w:tc>
        <w:tc>
          <w:tcPr>
            <w:tcW w:w="15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2F5EE21">
            <w:pPr>
              <w:pStyle w:val="3"/>
              <w:widowControl/>
              <w:spacing w:line="480" w:lineRule="auto"/>
              <w:rPr>
                <w:lang w:val="en-GB"/>
              </w:rPr>
            </w:pPr>
            <w:r>
              <w:rPr>
                <w:lang w:val="en-GB"/>
              </w:rPr>
              <w:t>Yes</w:t>
            </w:r>
          </w:p>
        </w:tc>
        <w:tc>
          <w:tcPr>
            <w:tcW w:w="19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FBD6A96">
            <w:pPr>
              <w:pStyle w:val="3"/>
              <w:widowControl/>
              <w:spacing w:line="480" w:lineRule="auto"/>
              <w:rPr>
                <w:lang w:val="en-GB"/>
              </w:rPr>
            </w:pPr>
            <w:r>
              <w:rPr>
                <w:lang w:val="en-GB"/>
              </w:rPr>
              <w:t>Yes</w:t>
            </w:r>
          </w:p>
        </w:tc>
        <w:tc>
          <w:tcPr>
            <w:tcW w:w="22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AEED6A">
            <w:pPr>
              <w:pStyle w:val="3"/>
              <w:widowControl/>
              <w:spacing w:line="480" w:lineRule="auto"/>
              <w:rPr>
                <w:lang w:val="en-GB"/>
              </w:rPr>
            </w:pPr>
            <w:r>
              <w:rPr>
                <w:lang w:val="en-GB"/>
              </w:rPr>
              <w:t>Yes</w:t>
            </w:r>
          </w:p>
        </w:tc>
      </w:tr>
      <w:tr w14:paraId="68EBA1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1100" w:hRule="atLeast"/>
          <w:tblHeader/>
        </w:trPr>
        <w:tc>
          <w:tcPr>
            <w:tcW w:w="18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279FCF0">
            <w:pPr>
              <w:pStyle w:val="3"/>
              <w:widowControl/>
              <w:spacing w:line="480" w:lineRule="auto"/>
              <w:rPr>
                <w:lang w:val="en-GB"/>
              </w:rPr>
            </w:pPr>
            <w:r>
              <w:rPr>
                <w:b/>
                <w:bCs/>
                <w:lang w:val="en-GB"/>
              </w:rPr>
              <w:t>6. Enough participants?</w:t>
            </w:r>
          </w:p>
        </w:tc>
        <w:tc>
          <w:tcPr>
            <w:tcW w:w="18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CE95D2E">
            <w:pPr>
              <w:pStyle w:val="3"/>
              <w:widowControl/>
              <w:spacing w:line="480" w:lineRule="auto"/>
              <w:rPr>
                <w:lang w:val="en-GB"/>
              </w:rPr>
            </w:pPr>
            <w:r>
              <w:rPr>
                <w:lang w:val="en-GB"/>
              </w:rPr>
              <w:t xml:space="preserve">Yes </w:t>
            </w:r>
          </w:p>
        </w:tc>
        <w:tc>
          <w:tcPr>
            <w:tcW w:w="15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FA866F4">
            <w:pPr>
              <w:pStyle w:val="3"/>
              <w:widowControl/>
              <w:spacing w:line="480" w:lineRule="auto"/>
              <w:rPr>
                <w:lang w:val="en-GB"/>
              </w:rPr>
            </w:pPr>
            <w:r>
              <w:rPr>
                <w:lang w:val="en-GB"/>
              </w:rPr>
              <w:t>Yes</w:t>
            </w:r>
          </w:p>
        </w:tc>
        <w:tc>
          <w:tcPr>
            <w:tcW w:w="19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A829627">
            <w:pPr>
              <w:pStyle w:val="3"/>
              <w:widowControl/>
              <w:spacing w:line="480" w:lineRule="auto"/>
              <w:rPr>
                <w:lang w:val="en-GB"/>
              </w:rPr>
            </w:pPr>
            <w:r>
              <w:rPr>
                <w:lang w:val="en-GB"/>
              </w:rPr>
              <w:t xml:space="preserve">Yes </w:t>
            </w:r>
          </w:p>
        </w:tc>
        <w:tc>
          <w:tcPr>
            <w:tcW w:w="22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EC72537">
            <w:pPr>
              <w:pStyle w:val="3"/>
              <w:widowControl/>
              <w:spacing w:line="480" w:lineRule="auto"/>
              <w:rPr>
                <w:lang w:val="en-GB"/>
              </w:rPr>
            </w:pPr>
            <w:r>
              <w:rPr>
                <w:lang w:val="en-GB"/>
              </w:rPr>
              <w:t xml:space="preserve">Yes </w:t>
            </w:r>
          </w:p>
        </w:tc>
      </w:tr>
      <w:tr w14:paraId="015966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1100" w:hRule="atLeast"/>
          <w:tblHeader/>
        </w:trPr>
        <w:tc>
          <w:tcPr>
            <w:tcW w:w="18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28D2857">
            <w:pPr>
              <w:pStyle w:val="3"/>
              <w:widowControl/>
              <w:spacing w:line="480" w:lineRule="auto"/>
              <w:rPr>
                <w:lang w:val="en-GB"/>
              </w:rPr>
            </w:pPr>
            <w:r>
              <w:rPr>
                <w:b/>
                <w:bCs/>
                <w:lang w:val="en-GB"/>
              </w:rPr>
              <w:t>7. Results clearly presented?</w:t>
            </w:r>
          </w:p>
        </w:tc>
        <w:tc>
          <w:tcPr>
            <w:tcW w:w="18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C515E2E">
            <w:pPr>
              <w:pStyle w:val="3"/>
              <w:widowControl/>
              <w:spacing w:line="480" w:lineRule="auto"/>
              <w:rPr>
                <w:lang w:val="en-GB"/>
              </w:rPr>
            </w:pPr>
            <w:r>
              <w:rPr>
                <w:lang w:val="en-GB"/>
              </w:rPr>
              <w:t>Yes</w:t>
            </w:r>
          </w:p>
        </w:tc>
        <w:tc>
          <w:tcPr>
            <w:tcW w:w="15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896FCFB">
            <w:pPr>
              <w:pStyle w:val="3"/>
              <w:widowControl/>
              <w:spacing w:line="480" w:lineRule="auto"/>
              <w:rPr>
                <w:lang w:val="en-GB"/>
              </w:rPr>
            </w:pPr>
            <w:r>
              <w:rPr>
                <w:lang w:val="en-GB"/>
              </w:rPr>
              <w:t>Yes</w:t>
            </w:r>
          </w:p>
        </w:tc>
        <w:tc>
          <w:tcPr>
            <w:tcW w:w="19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373DCD0">
            <w:pPr>
              <w:pStyle w:val="3"/>
              <w:widowControl/>
              <w:spacing w:line="480" w:lineRule="auto"/>
              <w:rPr>
                <w:lang w:val="en-GB"/>
              </w:rPr>
            </w:pPr>
            <w:r>
              <w:rPr>
                <w:lang w:val="en-GB"/>
              </w:rPr>
              <w:t>Yes</w:t>
            </w:r>
          </w:p>
        </w:tc>
        <w:tc>
          <w:tcPr>
            <w:tcW w:w="22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EEAD0CF">
            <w:pPr>
              <w:pStyle w:val="3"/>
              <w:widowControl/>
              <w:spacing w:line="480" w:lineRule="auto"/>
              <w:rPr>
                <w:lang w:val="en-GB"/>
              </w:rPr>
            </w:pPr>
            <w:r>
              <w:rPr>
                <w:lang w:val="en-GB"/>
              </w:rPr>
              <w:t>Yes</w:t>
            </w:r>
          </w:p>
        </w:tc>
      </w:tr>
      <w:tr w14:paraId="417447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800" w:hRule="atLeast"/>
          <w:tblHeader/>
        </w:trPr>
        <w:tc>
          <w:tcPr>
            <w:tcW w:w="18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DB8334E">
            <w:pPr>
              <w:pStyle w:val="3"/>
              <w:widowControl/>
              <w:spacing w:line="480" w:lineRule="auto"/>
              <w:rPr>
                <w:lang w:val="en-GB"/>
              </w:rPr>
            </w:pPr>
            <w:r>
              <w:rPr>
                <w:b/>
                <w:bCs/>
                <w:lang w:val="en-GB"/>
              </w:rPr>
              <w:t>8. Rigorous data analysis?</w:t>
            </w:r>
          </w:p>
        </w:tc>
        <w:tc>
          <w:tcPr>
            <w:tcW w:w="18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E952268">
            <w:pPr>
              <w:pStyle w:val="3"/>
              <w:widowControl/>
              <w:spacing w:line="480" w:lineRule="auto"/>
              <w:rPr>
                <w:lang w:val="en-GB"/>
              </w:rPr>
            </w:pPr>
            <w:r>
              <w:rPr>
                <w:lang w:val="en-GB"/>
              </w:rPr>
              <w:t xml:space="preserve">Yes </w:t>
            </w:r>
          </w:p>
        </w:tc>
        <w:tc>
          <w:tcPr>
            <w:tcW w:w="15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A55EABD">
            <w:pPr>
              <w:pStyle w:val="3"/>
              <w:widowControl/>
              <w:spacing w:line="480" w:lineRule="auto"/>
              <w:rPr>
                <w:lang w:val="en-GB"/>
              </w:rPr>
            </w:pPr>
            <w:r>
              <w:rPr>
                <w:lang w:val="en-GB"/>
              </w:rPr>
              <w:t>Yes</w:t>
            </w:r>
          </w:p>
        </w:tc>
        <w:tc>
          <w:tcPr>
            <w:tcW w:w="19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D1B315A">
            <w:pPr>
              <w:pStyle w:val="3"/>
              <w:widowControl/>
              <w:spacing w:line="480" w:lineRule="auto"/>
              <w:rPr>
                <w:lang w:val="en-GB"/>
              </w:rPr>
            </w:pPr>
            <w:r>
              <w:rPr>
                <w:lang w:val="en-GB"/>
              </w:rPr>
              <w:t>Yes</w:t>
            </w:r>
          </w:p>
        </w:tc>
        <w:tc>
          <w:tcPr>
            <w:tcW w:w="22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740F141">
            <w:pPr>
              <w:pStyle w:val="3"/>
              <w:widowControl/>
              <w:spacing w:line="480" w:lineRule="auto"/>
              <w:rPr>
                <w:lang w:val="en-GB"/>
              </w:rPr>
            </w:pPr>
            <w:r>
              <w:rPr>
                <w:lang w:val="en-GB"/>
              </w:rPr>
              <w:t>Yes</w:t>
            </w:r>
          </w:p>
        </w:tc>
      </w:tr>
      <w:tr w14:paraId="63A91F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1100" w:hRule="atLeast"/>
          <w:tblHeader/>
        </w:trPr>
        <w:tc>
          <w:tcPr>
            <w:tcW w:w="18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4DD0BCF">
            <w:pPr>
              <w:pStyle w:val="3"/>
              <w:widowControl/>
              <w:spacing w:line="480" w:lineRule="auto"/>
              <w:rPr>
                <w:lang w:val="en-GB"/>
              </w:rPr>
            </w:pPr>
            <w:r>
              <w:rPr>
                <w:b/>
                <w:bCs/>
                <w:lang w:val="en-GB"/>
              </w:rPr>
              <w:t>9. Clear statement of findings?</w:t>
            </w:r>
          </w:p>
        </w:tc>
        <w:tc>
          <w:tcPr>
            <w:tcW w:w="18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F1ABD38">
            <w:pPr>
              <w:pStyle w:val="3"/>
              <w:widowControl/>
              <w:spacing w:line="480" w:lineRule="auto"/>
              <w:rPr>
                <w:lang w:val="en-GB"/>
              </w:rPr>
            </w:pPr>
            <w:r>
              <w:rPr>
                <w:lang w:val="en-GB"/>
              </w:rPr>
              <w:t>Yes</w:t>
            </w:r>
          </w:p>
        </w:tc>
        <w:tc>
          <w:tcPr>
            <w:tcW w:w="15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FD9EFF3">
            <w:pPr>
              <w:pStyle w:val="3"/>
              <w:widowControl/>
              <w:spacing w:line="480" w:lineRule="auto"/>
              <w:rPr>
                <w:lang w:val="en-GB"/>
              </w:rPr>
            </w:pPr>
            <w:r>
              <w:rPr>
                <w:lang w:val="en-GB"/>
              </w:rPr>
              <w:t>Yes</w:t>
            </w:r>
          </w:p>
        </w:tc>
        <w:tc>
          <w:tcPr>
            <w:tcW w:w="19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6D7189D">
            <w:pPr>
              <w:pStyle w:val="3"/>
              <w:widowControl/>
              <w:spacing w:line="480" w:lineRule="auto"/>
              <w:rPr>
                <w:lang w:val="en-GB"/>
              </w:rPr>
            </w:pPr>
            <w:r>
              <w:rPr>
                <w:lang w:val="en-GB"/>
              </w:rPr>
              <w:t>Yes</w:t>
            </w:r>
          </w:p>
        </w:tc>
        <w:tc>
          <w:tcPr>
            <w:tcW w:w="22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4D828FC">
            <w:pPr>
              <w:pStyle w:val="3"/>
              <w:widowControl/>
              <w:spacing w:line="480" w:lineRule="auto"/>
              <w:rPr>
                <w:lang w:val="en-GB"/>
              </w:rPr>
            </w:pPr>
            <w:r>
              <w:rPr>
                <w:lang w:val="en-GB"/>
              </w:rPr>
              <w:t>Yes</w:t>
            </w:r>
          </w:p>
        </w:tc>
      </w:tr>
      <w:tr w14:paraId="2FAB12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1100" w:hRule="atLeast"/>
          <w:tblHeader/>
        </w:trPr>
        <w:tc>
          <w:tcPr>
            <w:tcW w:w="18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A2622FB">
            <w:pPr>
              <w:pStyle w:val="3"/>
              <w:widowControl/>
              <w:spacing w:line="480" w:lineRule="auto"/>
              <w:rPr>
                <w:lang w:val="en-GB"/>
              </w:rPr>
            </w:pPr>
            <w:r>
              <w:rPr>
                <w:b/>
                <w:bCs/>
                <w:lang w:val="en-GB"/>
              </w:rPr>
              <w:t>10. Applicable to local population?</w:t>
            </w:r>
          </w:p>
        </w:tc>
        <w:tc>
          <w:tcPr>
            <w:tcW w:w="18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418E75A">
            <w:pPr>
              <w:pStyle w:val="3"/>
              <w:widowControl/>
              <w:spacing w:line="480" w:lineRule="auto"/>
              <w:rPr>
                <w:lang w:val="en-GB"/>
              </w:rPr>
            </w:pPr>
            <w:r>
              <w:rPr>
                <w:lang w:val="en-GB"/>
              </w:rPr>
              <w:t>Yes</w:t>
            </w:r>
          </w:p>
        </w:tc>
        <w:tc>
          <w:tcPr>
            <w:tcW w:w="15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A703E50">
            <w:pPr>
              <w:pStyle w:val="3"/>
              <w:widowControl/>
              <w:spacing w:line="480" w:lineRule="auto"/>
              <w:rPr>
                <w:lang w:val="en-GB"/>
              </w:rPr>
            </w:pPr>
            <w:r>
              <w:rPr>
                <w:lang w:val="en-GB"/>
              </w:rPr>
              <w:t>Yes</w:t>
            </w:r>
          </w:p>
        </w:tc>
        <w:tc>
          <w:tcPr>
            <w:tcW w:w="19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F135C01">
            <w:pPr>
              <w:pStyle w:val="3"/>
              <w:widowControl/>
              <w:spacing w:line="480" w:lineRule="auto"/>
              <w:rPr>
                <w:lang w:val="en-GB"/>
              </w:rPr>
            </w:pPr>
            <w:r>
              <w:rPr>
                <w:lang w:val="en-GB"/>
              </w:rPr>
              <w:t>Yes</w:t>
            </w:r>
          </w:p>
        </w:tc>
        <w:tc>
          <w:tcPr>
            <w:tcW w:w="22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4BD5D24">
            <w:pPr>
              <w:pStyle w:val="3"/>
              <w:widowControl/>
              <w:spacing w:line="480" w:lineRule="auto"/>
              <w:rPr>
                <w:lang w:val="en-GB"/>
              </w:rPr>
            </w:pPr>
            <w:r>
              <w:rPr>
                <w:lang w:val="en-GB"/>
              </w:rPr>
              <w:t>Yes</w:t>
            </w:r>
          </w:p>
        </w:tc>
      </w:tr>
      <w:tr w14:paraId="708F54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800" w:hRule="atLeast"/>
          <w:tblHeader/>
        </w:trPr>
        <w:tc>
          <w:tcPr>
            <w:tcW w:w="18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0F3C1AE">
            <w:pPr>
              <w:pStyle w:val="3"/>
              <w:widowControl/>
              <w:spacing w:line="480" w:lineRule="auto"/>
              <w:rPr>
                <w:lang w:val="en-GB"/>
              </w:rPr>
            </w:pPr>
            <w:r>
              <w:rPr>
                <w:b/>
                <w:bCs/>
                <w:lang w:val="en-GB"/>
              </w:rPr>
              <w:t>11. Valuable research?</w:t>
            </w:r>
          </w:p>
        </w:tc>
        <w:tc>
          <w:tcPr>
            <w:tcW w:w="18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259FFDC">
            <w:pPr>
              <w:pStyle w:val="3"/>
              <w:widowControl/>
              <w:spacing w:line="480" w:lineRule="auto"/>
              <w:rPr>
                <w:lang w:val="en-GB"/>
              </w:rPr>
            </w:pPr>
            <w:r>
              <w:rPr>
                <w:lang w:val="en-GB"/>
              </w:rPr>
              <w:t>Yes</w:t>
            </w:r>
          </w:p>
        </w:tc>
        <w:tc>
          <w:tcPr>
            <w:tcW w:w="15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1B977FC">
            <w:pPr>
              <w:pStyle w:val="3"/>
              <w:widowControl/>
              <w:spacing w:line="480" w:lineRule="auto"/>
              <w:rPr>
                <w:lang w:val="en-GB"/>
              </w:rPr>
            </w:pPr>
            <w:r>
              <w:rPr>
                <w:lang w:val="en-GB"/>
              </w:rPr>
              <w:t>Yes</w:t>
            </w:r>
          </w:p>
        </w:tc>
        <w:tc>
          <w:tcPr>
            <w:tcW w:w="19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33CC8F4">
            <w:pPr>
              <w:pStyle w:val="3"/>
              <w:widowControl/>
              <w:spacing w:line="480" w:lineRule="auto"/>
              <w:rPr>
                <w:lang w:val="en-GB"/>
              </w:rPr>
            </w:pPr>
            <w:r>
              <w:rPr>
                <w:lang w:val="en-GB"/>
              </w:rPr>
              <w:t>Yes</w:t>
            </w:r>
          </w:p>
        </w:tc>
        <w:tc>
          <w:tcPr>
            <w:tcW w:w="22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DF5FA47">
            <w:pPr>
              <w:pStyle w:val="3"/>
              <w:widowControl/>
              <w:spacing w:line="480" w:lineRule="auto"/>
              <w:rPr>
                <w:lang w:val="en-GB"/>
              </w:rPr>
            </w:pPr>
            <w:r>
              <w:rPr>
                <w:lang w:val="en-GB"/>
              </w:rPr>
              <w:t>Yes</w:t>
            </w:r>
          </w:p>
        </w:tc>
      </w:tr>
    </w:tbl>
    <w:p w14:paraId="459B5AC4">
      <w:pPr>
        <w:pStyle w:val="3"/>
        <w:widowControl/>
        <w:spacing w:line="480" w:lineRule="auto"/>
        <w:rPr>
          <w:lang w:val="en-GB"/>
        </w:rPr>
      </w:pPr>
    </w:p>
    <w:p w14:paraId="73F5F6E1">
      <w:pPr>
        <w:pStyle w:val="3"/>
        <w:widowControl/>
        <w:spacing w:line="480" w:lineRule="auto"/>
        <w:rPr>
          <w:lang w:val="en-GB"/>
        </w:rPr>
      </w:pPr>
      <w:r>
        <w:rPr>
          <w:b/>
          <w:bCs/>
          <w:lang w:val="en-GB"/>
        </w:rPr>
        <w:t xml:space="preserve">Cohort Studies </w:t>
      </w:r>
    </w:p>
    <w:tbl>
      <w:tblPr>
        <w:tblStyle w:val="29"/>
        <w:tblW w:w="9360" w:type="dxa"/>
        <w:tblInd w:w="-1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15" w:type="dxa"/>
          <w:bottom w:w="0" w:type="dxa"/>
          <w:right w:w="115" w:type="dxa"/>
        </w:tblCellMar>
      </w:tblPr>
      <w:tblGrid>
        <w:gridCol w:w="1732"/>
        <w:gridCol w:w="1896"/>
        <w:gridCol w:w="1872"/>
        <w:gridCol w:w="1930"/>
        <w:gridCol w:w="1930"/>
      </w:tblGrid>
      <w:tr w14:paraId="255590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800" w:hRule="atLeast"/>
          <w:tblHeader/>
        </w:trPr>
        <w:tc>
          <w:tcPr>
            <w:tcW w:w="173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E0D023C">
            <w:pPr>
              <w:pStyle w:val="3"/>
              <w:widowControl/>
              <w:spacing w:line="480" w:lineRule="auto"/>
              <w:jc w:val="center"/>
              <w:rPr>
                <w:lang w:val="en-GB"/>
              </w:rPr>
            </w:pPr>
            <w:r>
              <w:rPr>
                <w:b/>
                <w:bCs/>
                <w:lang w:val="en-GB"/>
              </w:rPr>
              <w:t>CASP Question</w:t>
            </w:r>
          </w:p>
        </w:tc>
        <w:tc>
          <w:tcPr>
            <w:tcW w:w="189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41B923D">
            <w:pPr>
              <w:pStyle w:val="3"/>
              <w:widowControl/>
              <w:spacing w:line="480" w:lineRule="auto"/>
              <w:jc w:val="center"/>
              <w:rPr>
                <w:lang w:val="en-GB"/>
              </w:rPr>
            </w:pPr>
            <w:r>
              <w:rPr>
                <w:b/>
                <w:bCs/>
                <w:lang w:val="en-GB"/>
              </w:rPr>
              <w:t>McFadden et al. (2021)</w:t>
            </w:r>
          </w:p>
        </w:tc>
        <w:tc>
          <w:tcPr>
            <w:tcW w:w="187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C5EADB">
            <w:pPr>
              <w:pStyle w:val="3"/>
              <w:widowControl/>
              <w:spacing w:line="480" w:lineRule="auto"/>
              <w:jc w:val="center"/>
              <w:rPr>
                <w:lang w:val="en-GB"/>
              </w:rPr>
            </w:pPr>
            <w:r>
              <w:rPr>
                <w:b/>
                <w:bCs/>
                <w:lang w:val="en-GB"/>
              </w:rPr>
              <w:t>Petrella et al. (2021)</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3CF8BFB">
            <w:pPr>
              <w:pStyle w:val="3"/>
              <w:widowControl/>
              <w:spacing w:line="480" w:lineRule="auto"/>
              <w:jc w:val="center"/>
              <w:rPr>
                <w:lang w:val="en-GB"/>
              </w:rPr>
            </w:pPr>
            <w:r>
              <w:rPr>
                <w:b/>
                <w:bCs/>
                <w:lang w:val="en-GB"/>
              </w:rPr>
              <w:t>Collett et al. (2025)</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C39ED69">
            <w:pPr>
              <w:pStyle w:val="3"/>
              <w:widowControl/>
              <w:spacing w:line="480" w:lineRule="auto"/>
              <w:jc w:val="center"/>
              <w:rPr>
                <w:b/>
                <w:bCs/>
                <w:lang w:val="en-GB"/>
              </w:rPr>
            </w:pPr>
            <w:r>
              <w:rPr>
                <w:b/>
                <w:bCs/>
                <w:lang w:val="en-GB"/>
              </w:rPr>
              <w:t>Davies et al. (2025)</w:t>
            </w:r>
          </w:p>
        </w:tc>
      </w:tr>
      <w:tr w14:paraId="0DF95F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800" w:hRule="atLeast"/>
          <w:tblHeader/>
        </w:trPr>
        <w:tc>
          <w:tcPr>
            <w:tcW w:w="173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E89605F">
            <w:pPr>
              <w:pStyle w:val="3"/>
              <w:widowControl/>
              <w:spacing w:line="480" w:lineRule="auto"/>
              <w:rPr>
                <w:lang w:val="en-GB"/>
              </w:rPr>
            </w:pPr>
            <w:r>
              <w:rPr>
                <w:b/>
                <w:bCs/>
                <w:lang w:val="en-GB"/>
              </w:rPr>
              <w:t>1. Clearly focused issue?</w:t>
            </w:r>
          </w:p>
        </w:tc>
        <w:tc>
          <w:tcPr>
            <w:tcW w:w="189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742FBAB">
            <w:pPr>
              <w:pStyle w:val="3"/>
              <w:widowControl/>
              <w:spacing w:line="480" w:lineRule="auto"/>
              <w:rPr>
                <w:lang w:val="en-GB"/>
              </w:rPr>
            </w:pPr>
            <w:r>
              <w:rPr>
                <w:lang w:val="en-GB"/>
              </w:rPr>
              <w:t>Yes</w:t>
            </w:r>
          </w:p>
        </w:tc>
        <w:tc>
          <w:tcPr>
            <w:tcW w:w="187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FBDC32F">
            <w:pPr>
              <w:pStyle w:val="3"/>
              <w:widowControl/>
              <w:spacing w:line="480" w:lineRule="auto"/>
              <w:rPr>
                <w:lang w:val="en-GB"/>
              </w:rPr>
            </w:pPr>
            <w:r>
              <w:rPr>
                <w:lang w:val="en-GB"/>
              </w:rPr>
              <w:t>Yes</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DF5C9C6">
            <w:pPr>
              <w:pStyle w:val="3"/>
              <w:widowControl/>
              <w:spacing w:line="480" w:lineRule="auto"/>
              <w:rPr>
                <w:lang w:val="en-GB"/>
              </w:rPr>
            </w:pPr>
            <w:r>
              <w:rPr>
                <w:lang w:val="en-GB"/>
              </w:rPr>
              <w:t>Yes</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94A99C2">
            <w:pPr>
              <w:pStyle w:val="3"/>
              <w:widowControl/>
              <w:spacing w:line="480" w:lineRule="auto"/>
              <w:rPr>
                <w:lang w:val="en-GB"/>
              </w:rPr>
            </w:pPr>
            <w:r>
              <w:rPr>
                <w:lang w:val="en-GB"/>
              </w:rPr>
              <w:t>Yes</w:t>
            </w:r>
          </w:p>
        </w:tc>
      </w:tr>
      <w:tr w14:paraId="2CB433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1100" w:hRule="atLeast"/>
          <w:tblHeader/>
        </w:trPr>
        <w:tc>
          <w:tcPr>
            <w:tcW w:w="173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2CF8C8E">
            <w:pPr>
              <w:pStyle w:val="3"/>
              <w:widowControl/>
              <w:spacing w:line="480" w:lineRule="auto"/>
              <w:rPr>
                <w:lang w:val="en-GB"/>
              </w:rPr>
            </w:pPr>
            <w:r>
              <w:rPr>
                <w:b/>
                <w:bCs/>
                <w:lang w:val="en-GB"/>
              </w:rPr>
              <w:t>2. Acceptable cohort recruitment?</w:t>
            </w:r>
          </w:p>
        </w:tc>
        <w:tc>
          <w:tcPr>
            <w:tcW w:w="189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F4FEBE4">
            <w:pPr>
              <w:pStyle w:val="3"/>
              <w:widowControl/>
              <w:spacing w:line="480" w:lineRule="auto"/>
              <w:rPr>
                <w:lang w:val="en-GB"/>
              </w:rPr>
            </w:pPr>
            <w:r>
              <w:rPr>
                <w:lang w:val="en-GB"/>
              </w:rPr>
              <w:t xml:space="preserve">Yes </w:t>
            </w:r>
          </w:p>
        </w:tc>
        <w:tc>
          <w:tcPr>
            <w:tcW w:w="187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8196E89">
            <w:pPr>
              <w:pStyle w:val="3"/>
              <w:widowControl/>
              <w:spacing w:line="480" w:lineRule="auto"/>
              <w:rPr>
                <w:lang w:val="en-GB"/>
              </w:rPr>
            </w:pPr>
            <w:r>
              <w:rPr>
                <w:lang w:val="en-GB"/>
              </w:rPr>
              <w:t xml:space="preserve">Yes </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2B2360B">
            <w:pPr>
              <w:pStyle w:val="3"/>
              <w:widowControl/>
              <w:spacing w:line="480" w:lineRule="auto"/>
              <w:rPr>
                <w:lang w:val="en-GB"/>
              </w:rPr>
            </w:pPr>
            <w:r>
              <w:rPr>
                <w:lang w:val="en-GB"/>
              </w:rPr>
              <w:t xml:space="preserve">Yes </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9D00749">
            <w:pPr>
              <w:pStyle w:val="3"/>
              <w:widowControl/>
              <w:spacing w:line="480" w:lineRule="auto"/>
              <w:rPr>
                <w:lang w:val="en-GB"/>
              </w:rPr>
            </w:pPr>
            <w:r>
              <w:rPr>
                <w:lang w:val="en-GB"/>
              </w:rPr>
              <w:t>No</w:t>
            </w:r>
          </w:p>
        </w:tc>
      </w:tr>
      <w:tr w14:paraId="4D562B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1100" w:hRule="atLeast"/>
          <w:tblHeader/>
        </w:trPr>
        <w:tc>
          <w:tcPr>
            <w:tcW w:w="173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82276CF">
            <w:pPr>
              <w:pStyle w:val="3"/>
              <w:widowControl/>
              <w:spacing w:line="480" w:lineRule="auto"/>
              <w:rPr>
                <w:lang w:val="en-GB"/>
              </w:rPr>
            </w:pPr>
            <w:r>
              <w:rPr>
                <w:b/>
                <w:bCs/>
                <w:lang w:val="en-GB"/>
              </w:rPr>
              <w:t>3. Exposure accurately measured?</w:t>
            </w:r>
          </w:p>
        </w:tc>
        <w:tc>
          <w:tcPr>
            <w:tcW w:w="189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D34B3BE">
            <w:pPr>
              <w:pStyle w:val="3"/>
              <w:widowControl/>
              <w:spacing w:line="480" w:lineRule="auto"/>
              <w:rPr>
                <w:lang w:val="en-GB"/>
              </w:rPr>
            </w:pPr>
            <w:r>
              <w:rPr>
                <w:lang w:val="en-GB"/>
              </w:rPr>
              <w:t xml:space="preserve">Yes </w:t>
            </w:r>
          </w:p>
        </w:tc>
        <w:tc>
          <w:tcPr>
            <w:tcW w:w="187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9E08A57">
            <w:pPr>
              <w:pStyle w:val="3"/>
              <w:widowControl/>
              <w:spacing w:line="480" w:lineRule="auto"/>
              <w:rPr>
                <w:lang w:val="en-GB"/>
              </w:rPr>
            </w:pPr>
            <w:r>
              <w:rPr>
                <w:lang w:val="en-GB"/>
              </w:rPr>
              <w:t xml:space="preserve">Yes </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628116E">
            <w:pPr>
              <w:pStyle w:val="3"/>
              <w:widowControl/>
              <w:spacing w:line="480" w:lineRule="auto"/>
              <w:rPr>
                <w:lang w:val="en-GB"/>
              </w:rPr>
            </w:pPr>
            <w:r>
              <w:rPr>
                <w:lang w:val="en-GB"/>
              </w:rPr>
              <w:t xml:space="preserve">Yes </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A31A365">
            <w:pPr>
              <w:pStyle w:val="3"/>
              <w:widowControl/>
              <w:spacing w:line="480" w:lineRule="auto"/>
              <w:rPr>
                <w:lang w:val="en-GB"/>
              </w:rPr>
            </w:pPr>
            <w:r>
              <w:rPr>
                <w:lang w:val="en-GB"/>
              </w:rPr>
              <w:t>Yes</w:t>
            </w:r>
          </w:p>
        </w:tc>
      </w:tr>
      <w:tr w14:paraId="61CC50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1100" w:hRule="atLeast"/>
          <w:tblHeader/>
        </w:trPr>
        <w:tc>
          <w:tcPr>
            <w:tcW w:w="173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DDE8744">
            <w:pPr>
              <w:pStyle w:val="3"/>
              <w:widowControl/>
              <w:spacing w:line="480" w:lineRule="auto"/>
              <w:rPr>
                <w:lang w:val="en-GB"/>
              </w:rPr>
            </w:pPr>
            <w:r>
              <w:rPr>
                <w:b/>
                <w:bCs/>
                <w:lang w:val="en-GB"/>
              </w:rPr>
              <w:t>4. Outcome accurately measured?</w:t>
            </w:r>
          </w:p>
        </w:tc>
        <w:tc>
          <w:tcPr>
            <w:tcW w:w="189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CF839CE">
            <w:pPr>
              <w:pStyle w:val="3"/>
              <w:widowControl/>
              <w:spacing w:line="480" w:lineRule="auto"/>
              <w:rPr>
                <w:lang w:val="en-GB"/>
              </w:rPr>
            </w:pPr>
            <w:r>
              <w:rPr>
                <w:lang w:val="en-GB"/>
              </w:rPr>
              <w:t xml:space="preserve">Yes </w:t>
            </w:r>
          </w:p>
        </w:tc>
        <w:tc>
          <w:tcPr>
            <w:tcW w:w="187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9CE88A6">
            <w:pPr>
              <w:pStyle w:val="3"/>
              <w:widowControl/>
              <w:spacing w:line="480" w:lineRule="auto"/>
              <w:rPr>
                <w:lang w:val="en-GB"/>
              </w:rPr>
            </w:pPr>
            <w:r>
              <w:rPr>
                <w:lang w:val="en-GB"/>
              </w:rPr>
              <w:t xml:space="preserve">Yes </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35D28F6">
            <w:pPr>
              <w:pStyle w:val="3"/>
              <w:widowControl/>
              <w:spacing w:line="480" w:lineRule="auto"/>
              <w:rPr>
                <w:lang w:val="en-GB"/>
              </w:rPr>
            </w:pPr>
            <w:r>
              <w:rPr>
                <w:lang w:val="en-GB"/>
              </w:rPr>
              <w:t xml:space="preserve">Yes </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7F94B58">
            <w:pPr>
              <w:pStyle w:val="3"/>
              <w:widowControl/>
              <w:spacing w:line="480" w:lineRule="auto"/>
              <w:rPr>
                <w:lang w:val="en-GB"/>
              </w:rPr>
            </w:pPr>
            <w:r>
              <w:rPr>
                <w:lang w:val="en-GB"/>
              </w:rPr>
              <w:t>Yes</w:t>
            </w:r>
          </w:p>
        </w:tc>
      </w:tr>
      <w:tr w14:paraId="69ED85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800" w:hRule="atLeast"/>
          <w:tblHeader/>
        </w:trPr>
        <w:tc>
          <w:tcPr>
            <w:tcW w:w="173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64B50C6">
            <w:pPr>
              <w:pStyle w:val="3"/>
              <w:widowControl/>
              <w:spacing w:line="480" w:lineRule="auto"/>
              <w:rPr>
                <w:lang w:val="en-GB"/>
              </w:rPr>
            </w:pPr>
            <w:r>
              <w:rPr>
                <w:b/>
                <w:bCs/>
                <w:lang w:val="en-GB"/>
              </w:rPr>
              <w:t>5a. Confounders identified?</w:t>
            </w:r>
          </w:p>
        </w:tc>
        <w:tc>
          <w:tcPr>
            <w:tcW w:w="189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266A07C">
            <w:pPr>
              <w:pStyle w:val="3"/>
              <w:widowControl/>
              <w:spacing w:line="480" w:lineRule="auto"/>
              <w:rPr>
                <w:lang w:val="en-GB"/>
              </w:rPr>
            </w:pPr>
            <w:r>
              <w:rPr>
                <w:lang w:val="en-GB"/>
              </w:rPr>
              <w:t>Yes</w:t>
            </w:r>
          </w:p>
        </w:tc>
        <w:tc>
          <w:tcPr>
            <w:tcW w:w="187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62785E4">
            <w:pPr>
              <w:pStyle w:val="3"/>
              <w:widowControl/>
              <w:spacing w:line="480" w:lineRule="auto"/>
              <w:rPr>
                <w:lang w:val="en-GB"/>
              </w:rPr>
            </w:pPr>
            <w:r>
              <w:rPr>
                <w:lang w:val="en-GB"/>
              </w:rPr>
              <w:t>Yes</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5487BA7">
            <w:pPr>
              <w:pStyle w:val="3"/>
              <w:widowControl/>
              <w:spacing w:line="480" w:lineRule="auto"/>
              <w:rPr>
                <w:lang w:val="en-GB"/>
              </w:rPr>
            </w:pPr>
            <w:r>
              <w:rPr>
                <w:lang w:val="en-GB"/>
              </w:rPr>
              <w:t>Yes</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8BCB160">
            <w:pPr>
              <w:pStyle w:val="3"/>
              <w:widowControl/>
              <w:spacing w:line="480" w:lineRule="auto"/>
              <w:rPr>
                <w:lang w:val="en-GB"/>
              </w:rPr>
            </w:pPr>
            <w:r>
              <w:rPr>
                <w:lang w:val="en-GB"/>
              </w:rPr>
              <w:t>Yes</w:t>
            </w:r>
          </w:p>
        </w:tc>
      </w:tr>
      <w:tr w14:paraId="7C5E62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800" w:hRule="atLeast"/>
          <w:tblHeader/>
        </w:trPr>
        <w:tc>
          <w:tcPr>
            <w:tcW w:w="173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8252A86">
            <w:pPr>
              <w:pStyle w:val="3"/>
              <w:widowControl/>
              <w:spacing w:line="480" w:lineRule="auto"/>
              <w:rPr>
                <w:lang w:val="en-GB"/>
              </w:rPr>
            </w:pPr>
            <w:r>
              <w:rPr>
                <w:b/>
                <w:bCs/>
                <w:lang w:val="en-GB"/>
              </w:rPr>
              <w:t>5b. Confounders adjusted for?</w:t>
            </w:r>
          </w:p>
        </w:tc>
        <w:tc>
          <w:tcPr>
            <w:tcW w:w="189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4DD34CB">
            <w:pPr>
              <w:pStyle w:val="3"/>
              <w:widowControl/>
              <w:spacing w:line="480" w:lineRule="auto"/>
              <w:rPr>
                <w:lang w:val="en-GB"/>
              </w:rPr>
            </w:pPr>
            <w:r>
              <w:rPr>
                <w:lang w:val="en-GB"/>
              </w:rPr>
              <w:t>Yes</w:t>
            </w:r>
          </w:p>
        </w:tc>
        <w:tc>
          <w:tcPr>
            <w:tcW w:w="187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53F089E">
            <w:pPr>
              <w:pStyle w:val="3"/>
              <w:widowControl/>
              <w:spacing w:line="480" w:lineRule="auto"/>
              <w:rPr>
                <w:lang w:val="en-GB"/>
              </w:rPr>
            </w:pPr>
            <w:r>
              <w:rPr>
                <w:lang w:val="en-GB"/>
              </w:rPr>
              <w:t xml:space="preserve">Yes </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E3A6A11">
            <w:pPr>
              <w:pStyle w:val="3"/>
              <w:widowControl/>
              <w:spacing w:line="480" w:lineRule="auto"/>
              <w:rPr>
                <w:lang w:val="en-GB"/>
              </w:rPr>
            </w:pPr>
            <w:r>
              <w:rPr>
                <w:lang w:val="en-GB"/>
              </w:rPr>
              <w:t xml:space="preserve">Yes </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203F1C1">
            <w:pPr>
              <w:pStyle w:val="3"/>
              <w:widowControl/>
              <w:spacing w:line="480" w:lineRule="auto"/>
              <w:rPr>
                <w:lang w:val="en-GB"/>
              </w:rPr>
            </w:pPr>
            <w:r>
              <w:rPr>
                <w:lang w:val="en-GB"/>
              </w:rPr>
              <w:t>Yes</w:t>
            </w:r>
          </w:p>
        </w:tc>
      </w:tr>
      <w:tr w14:paraId="07E8E1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1100" w:hRule="atLeast"/>
          <w:tblHeader/>
        </w:trPr>
        <w:tc>
          <w:tcPr>
            <w:tcW w:w="173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BF151AC">
            <w:pPr>
              <w:pStyle w:val="3"/>
              <w:widowControl/>
              <w:spacing w:line="480" w:lineRule="auto"/>
              <w:rPr>
                <w:lang w:val="en-GB"/>
              </w:rPr>
            </w:pPr>
            <w:r>
              <w:rPr>
                <w:b/>
                <w:bCs/>
                <w:lang w:val="en-GB"/>
              </w:rPr>
              <w:t>6a. Follow-up complete enough?</w:t>
            </w:r>
          </w:p>
        </w:tc>
        <w:tc>
          <w:tcPr>
            <w:tcW w:w="189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3D707EF">
            <w:pPr>
              <w:pStyle w:val="3"/>
              <w:widowControl/>
              <w:spacing w:line="480" w:lineRule="auto"/>
              <w:rPr>
                <w:lang w:val="en-GB"/>
              </w:rPr>
            </w:pPr>
            <w:r>
              <w:rPr>
                <w:lang w:val="en-GB"/>
              </w:rPr>
              <w:t xml:space="preserve">Can’t Tell </w:t>
            </w:r>
          </w:p>
        </w:tc>
        <w:tc>
          <w:tcPr>
            <w:tcW w:w="187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B580422">
            <w:pPr>
              <w:pStyle w:val="3"/>
              <w:widowControl/>
              <w:spacing w:line="480" w:lineRule="auto"/>
              <w:rPr>
                <w:lang w:val="en-GB"/>
              </w:rPr>
            </w:pPr>
            <w:r>
              <w:rPr>
                <w:lang w:val="en-GB"/>
              </w:rPr>
              <w:t xml:space="preserve">Can’t Tell </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AA381EA">
            <w:pPr>
              <w:pStyle w:val="3"/>
              <w:widowControl/>
              <w:spacing w:line="480" w:lineRule="auto"/>
              <w:rPr>
                <w:lang w:val="en-GB"/>
              </w:rPr>
            </w:pPr>
            <w:r>
              <w:rPr>
                <w:lang w:val="en-GB"/>
              </w:rPr>
              <w:t xml:space="preserve">Yes </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DBBC7B2">
            <w:pPr>
              <w:pStyle w:val="3"/>
              <w:widowControl/>
              <w:spacing w:line="480" w:lineRule="auto"/>
              <w:rPr>
                <w:lang w:val="en-GB"/>
              </w:rPr>
            </w:pPr>
            <w:r>
              <w:rPr>
                <w:lang w:val="en-GB"/>
              </w:rPr>
              <w:t>No</w:t>
            </w:r>
          </w:p>
        </w:tc>
      </w:tr>
      <w:tr w14:paraId="14642F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800" w:hRule="atLeast"/>
          <w:tblHeader/>
        </w:trPr>
        <w:tc>
          <w:tcPr>
            <w:tcW w:w="173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C29D77A">
            <w:pPr>
              <w:pStyle w:val="3"/>
              <w:widowControl/>
              <w:spacing w:line="480" w:lineRule="auto"/>
              <w:rPr>
                <w:lang w:val="en-GB"/>
              </w:rPr>
            </w:pPr>
            <w:r>
              <w:rPr>
                <w:b/>
                <w:bCs/>
                <w:lang w:val="en-GB"/>
              </w:rPr>
              <w:t>6b. Follow-up long enough?</w:t>
            </w:r>
          </w:p>
        </w:tc>
        <w:tc>
          <w:tcPr>
            <w:tcW w:w="189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C3C0A6F">
            <w:pPr>
              <w:pStyle w:val="3"/>
              <w:widowControl/>
              <w:spacing w:line="480" w:lineRule="auto"/>
              <w:rPr>
                <w:lang w:val="en-GB"/>
              </w:rPr>
            </w:pPr>
            <w:r>
              <w:rPr>
                <w:lang w:val="en-GB"/>
              </w:rPr>
              <w:t>Yes</w:t>
            </w:r>
          </w:p>
        </w:tc>
        <w:tc>
          <w:tcPr>
            <w:tcW w:w="187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669171E">
            <w:pPr>
              <w:pStyle w:val="3"/>
              <w:widowControl/>
              <w:spacing w:line="480" w:lineRule="auto"/>
              <w:rPr>
                <w:lang w:val="en-GB"/>
              </w:rPr>
            </w:pPr>
            <w:r>
              <w:rPr>
                <w:lang w:val="en-GB"/>
              </w:rPr>
              <w:t xml:space="preserve">Yes </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8A8CF16">
            <w:pPr>
              <w:pStyle w:val="3"/>
              <w:widowControl/>
              <w:spacing w:line="480" w:lineRule="auto"/>
              <w:rPr>
                <w:lang w:val="en-GB"/>
              </w:rPr>
            </w:pPr>
            <w:r>
              <w:rPr>
                <w:lang w:val="en-GB"/>
              </w:rPr>
              <w:t xml:space="preserve">Yes </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F1D5C21">
            <w:pPr>
              <w:pStyle w:val="3"/>
              <w:widowControl/>
              <w:spacing w:line="480" w:lineRule="auto"/>
              <w:rPr>
                <w:lang w:val="en-GB"/>
              </w:rPr>
            </w:pPr>
            <w:r>
              <w:rPr>
                <w:lang w:val="en-GB"/>
              </w:rPr>
              <w:t>No</w:t>
            </w:r>
          </w:p>
        </w:tc>
      </w:tr>
      <w:tr w14:paraId="223A54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800" w:hRule="atLeast"/>
          <w:tblHeader/>
        </w:trPr>
        <w:tc>
          <w:tcPr>
            <w:tcW w:w="173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279C04D">
            <w:pPr>
              <w:pStyle w:val="3"/>
              <w:widowControl/>
              <w:spacing w:line="480" w:lineRule="auto"/>
              <w:rPr>
                <w:lang w:val="en-GB"/>
              </w:rPr>
            </w:pPr>
            <w:r>
              <w:rPr>
                <w:b/>
                <w:bCs/>
                <w:lang w:val="en-GB"/>
              </w:rPr>
              <w:t>7. Results clearly reported?</w:t>
            </w:r>
          </w:p>
        </w:tc>
        <w:tc>
          <w:tcPr>
            <w:tcW w:w="189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3D328AE">
            <w:pPr>
              <w:pStyle w:val="3"/>
              <w:widowControl/>
              <w:spacing w:line="480" w:lineRule="auto"/>
              <w:rPr>
                <w:lang w:val="en-GB"/>
              </w:rPr>
            </w:pPr>
            <w:r>
              <w:rPr>
                <w:lang w:val="en-GB"/>
              </w:rPr>
              <w:t>Yes</w:t>
            </w:r>
          </w:p>
        </w:tc>
        <w:tc>
          <w:tcPr>
            <w:tcW w:w="187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6CC8BD5">
            <w:pPr>
              <w:pStyle w:val="3"/>
              <w:widowControl/>
              <w:spacing w:line="480" w:lineRule="auto"/>
              <w:rPr>
                <w:lang w:val="en-GB"/>
              </w:rPr>
            </w:pPr>
            <w:r>
              <w:rPr>
                <w:lang w:val="en-GB"/>
              </w:rPr>
              <w:t>Yes</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01D1E27">
            <w:pPr>
              <w:pStyle w:val="3"/>
              <w:widowControl/>
              <w:spacing w:line="480" w:lineRule="auto"/>
              <w:rPr>
                <w:lang w:val="en-GB"/>
              </w:rPr>
            </w:pPr>
            <w:r>
              <w:rPr>
                <w:lang w:val="en-GB"/>
              </w:rPr>
              <w:t>Yes</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81AABB7">
            <w:pPr>
              <w:pStyle w:val="3"/>
              <w:widowControl/>
              <w:spacing w:line="480" w:lineRule="auto"/>
              <w:rPr>
                <w:lang w:val="en-GB"/>
              </w:rPr>
            </w:pPr>
            <w:r>
              <w:rPr>
                <w:lang w:val="en-GB"/>
              </w:rPr>
              <w:t>Yes</w:t>
            </w:r>
          </w:p>
        </w:tc>
      </w:tr>
      <w:tr w14:paraId="3F4B6A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800" w:hRule="atLeast"/>
          <w:tblHeader/>
        </w:trPr>
        <w:tc>
          <w:tcPr>
            <w:tcW w:w="173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2C9E96E">
            <w:pPr>
              <w:pStyle w:val="3"/>
              <w:widowControl/>
              <w:spacing w:line="480" w:lineRule="auto"/>
              <w:rPr>
                <w:lang w:val="en-GB"/>
              </w:rPr>
            </w:pPr>
            <w:r>
              <w:rPr>
                <w:b/>
                <w:bCs/>
                <w:lang w:val="en-GB"/>
              </w:rPr>
              <w:t>8. Results precise (CIs reported)?</w:t>
            </w:r>
          </w:p>
        </w:tc>
        <w:tc>
          <w:tcPr>
            <w:tcW w:w="189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70CFCC0">
            <w:pPr>
              <w:pStyle w:val="3"/>
              <w:widowControl/>
              <w:spacing w:line="480" w:lineRule="auto"/>
              <w:rPr>
                <w:lang w:val="en-GB"/>
              </w:rPr>
            </w:pPr>
            <w:r>
              <w:rPr>
                <w:lang w:val="en-GB"/>
              </w:rPr>
              <w:t>Yes</w:t>
            </w:r>
          </w:p>
        </w:tc>
        <w:tc>
          <w:tcPr>
            <w:tcW w:w="187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84918C9">
            <w:pPr>
              <w:pStyle w:val="3"/>
              <w:widowControl/>
              <w:spacing w:line="480" w:lineRule="auto"/>
              <w:rPr>
                <w:lang w:val="en-GB"/>
              </w:rPr>
            </w:pPr>
            <w:r>
              <w:rPr>
                <w:lang w:val="en-GB"/>
              </w:rPr>
              <w:t>Yes</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74891FD">
            <w:pPr>
              <w:pStyle w:val="3"/>
              <w:widowControl/>
              <w:spacing w:line="480" w:lineRule="auto"/>
              <w:rPr>
                <w:lang w:val="en-GB"/>
              </w:rPr>
            </w:pPr>
            <w:r>
              <w:rPr>
                <w:lang w:val="en-GB"/>
              </w:rPr>
              <w:t>Yes</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6156EE0">
            <w:pPr>
              <w:pStyle w:val="3"/>
              <w:widowControl/>
              <w:spacing w:line="480" w:lineRule="auto"/>
              <w:rPr>
                <w:lang w:val="en-GB"/>
              </w:rPr>
            </w:pPr>
            <w:r>
              <w:rPr>
                <w:lang w:val="en-GB"/>
              </w:rPr>
              <w:t>Yes</w:t>
            </w:r>
          </w:p>
        </w:tc>
      </w:tr>
      <w:tr w14:paraId="02F5CA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800" w:hRule="atLeast"/>
          <w:tblHeader/>
        </w:trPr>
        <w:tc>
          <w:tcPr>
            <w:tcW w:w="173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B477C5B">
            <w:pPr>
              <w:pStyle w:val="3"/>
              <w:widowControl/>
              <w:spacing w:line="480" w:lineRule="auto"/>
              <w:rPr>
                <w:lang w:val="en-GB"/>
              </w:rPr>
            </w:pPr>
            <w:r>
              <w:rPr>
                <w:b/>
                <w:bCs/>
                <w:lang w:val="en-GB"/>
              </w:rPr>
              <w:t>9. Results believable?</w:t>
            </w:r>
          </w:p>
        </w:tc>
        <w:tc>
          <w:tcPr>
            <w:tcW w:w="189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07A9A49">
            <w:pPr>
              <w:pStyle w:val="3"/>
              <w:widowControl/>
              <w:spacing w:line="480" w:lineRule="auto"/>
              <w:rPr>
                <w:lang w:val="en-GB"/>
              </w:rPr>
            </w:pPr>
            <w:r>
              <w:rPr>
                <w:lang w:val="en-GB"/>
              </w:rPr>
              <w:t>Yes</w:t>
            </w:r>
          </w:p>
        </w:tc>
        <w:tc>
          <w:tcPr>
            <w:tcW w:w="187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A7D9339">
            <w:pPr>
              <w:pStyle w:val="3"/>
              <w:widowControl/>
              <w:spacing w:line="480" w:lineRule="auto"/>
              <w:rPr>
                <w:lang w:val="en-GB"/>
              </w:rPr>
            </w:pPr>
            <w:r>
              <w:rPr>
                <w:lang w:val="en-GB"/>
              </w:rPr>
              <w:t>Yes</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E85CE18">
            <w:pPr>
              <w:pStyle w:val="3"/>
              <w:widowControl/>
              <w:spacing w:line="480" w:lineRule="auto"/>
              <w:rPr>
                <w:lang w:val="en-GB"/>
              </w:rPr>
            </w:pPr>
            <w:r>
              <w:rPr>
                <w:lang w:val="en-GB"/>
              </w:rPr>
              <w:t>Yes</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E404721">
            <w:pPr>
              <w:pStyle w:val="3"/>
              <w:widowControl/>
              <w:spacing w:line="480" w:lineRule="auto"/>
              <w:rPr>
                <w:lang w:val="en-GB"/>
              </w:rPr>
            </w:pPr>
            <w:r>
              <w:rPr>
                <w:lang w:val="en-GB"/>
              </w:rPr>
              <w:t>Yes</w:t>
            </w:r>
          </w:p>
        </w:tc>
      </w:tr>
      <w:tr w14:paraId="64DADD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800" w:hRule="atLeast"/>
          <w:tblHeader/>
        </w:trPr>
        <w:tc>
          <w:tcPr>
            <w:tcW w:w="173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A563C4E">
            <w:pPr>
              <w:pStyle w:val="3"/>
              <w:widowControl/>
              <w:spacing w:line="480" w:lineRule="auto"/>
              <w:rPr>
                <w:lang w:val="en-GB"/>
              </w:rPr>
            </w:pPr>
            <w:r>
              <w:rPr>
                <w:b/>
                <w:bCs/>
                <w:lang w:val="en-GB"/>
              </w:rPr>
              <w:t>10. Applicable locally?</w:t>
            </w:r>
          </w:p>
        </w:tc>
        <w:tc>
          <w:tcPr>
            <w:tcW w:w="189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9544A6A">
            <w:pPr>
              <w:pStyle w:val="3"/>
              <w:widowControl/>
              <w:spacing w:line="480" w:lineRule="auto"/>
              <w:rPr>
                <w:lang w:val="en-GB"/>
              </w:rPr>
            </w:pPr>
            <w:r>
              <w:rPr>
                <w:lang w:val="en-GB"/>
              </w:rPr>
              <w:t>Yes (UK context)</w:t>
            </w:r>
          </w:p>
        </w:tc>
        <w:tc>
          <w:tcPr>
            <w:tcW w:w="187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1B79954">
            <w:pPr>
              <w:pStyle w:val="3"/>
              <w:widowControl/>
              <w:spacing w:line="480" w:lineRule="auto"/>
              <w:rPr>
                <w:lang w:val="en-GB"/>
              </w:rPr>
            </w:pPr>
            <w:r>
              <w:rPr>
                <w:lang w:val="en-GB"/>
              </w:rPr>
              <w:t>Yes</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B81F6AB">
            <w:pPr>
              <w:pStyle w:val="3"/>
              <w:widowControl/>
              <w:spacing w:line="480" w:lineRule="auto"/>
              <w:rPr>
                <w:lang w:val="en-GB"/>
              </w:rPr>
            </w:pPr>
            <w:r>
              <w:rPr>
                <w:lang w:val="en-GB"/>
              </w:rPr>
              <w:t>Yes</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3E0DF15">
            <w:pPr>
              <w:pStyle w:val="3"/>
              <w:widowControl/>
              <w:spacing w:line="480" w:lineRule="auto"/>
              <w:rPr>
                <w:lang w:val="en-GB"/>
              </w:rPr>
            </w:pPr>
            <w:r>
              <w:rPr>
                <w:lang w:val="en-GB"/>
              </w:rPr>
              <w:t>Cant’t Tell</w:t>
            </w:r>
          </w:p>
        </w:tc>
      </w:tr>
      <w:tr w14:paraId="49D7FA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800" w:hRule="atLeast"/>
          <w:tblHeader/>
        </w:trPr>
        <w:tc>
          <w:tcPr>
            <w:tcW w:w="173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B7A06A3">
            <w:pPr>
              <w:pStyle w:val="3"/>
              <w:widowControl/>
              <w:spacing w:line="480" w:lineRule="auto"/>
              <w:rPr>
                <w:lang w:val="en-GB"/>
              </w:rPr>
            </w:pPr>
            <w:r>
              <w:rPr>
                <w:b/>
                <w:bCs/>
                <w:lang w:val="en-GB"/>
              </w:rPr>
              <w:t>11. Fit with other evidence?</w:t>
            </w:r>
          </w:p>
        </w:tc>
        <w:tc>
          <w:tcPr>
            <w:tcW w:w="189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35D66AB">
            <w:pPr>
              <w:pStyle w:val="3"/>
              <w:widowControl/>
              <w:spacing w:line="480" w:lineRule="auto"/>
              <w:rPr>
                <w:lang w:val="en-GB"/>
              </w:rPr>
            </w:pPr>
            <w:r>
              <w:rPr>
                <w:lang w:val="en-GB"/>
              </w:rPr>
              <w:t>Yes</w:t>
            </w:r>
          </w:p>
        </w:tc>
        <w:tc>
          <w:tcPr>
            <w:tcW w:w="187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1388497">
            <w:pPr>
              <w:pStyle w:val="3"/>
              <w:widowControl/>
              <w:spacing w:line="480" w:lineRule="auto"/>
              <w:rPr>
                <w:lang w:val="en-GB"/>
              </w:rPr>
            </w:pPr>
            <w:r>
              <w:rPr>
                <w:lang w:val="en-GB"/>
              </w:rPr>
              <w:t>Yes</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0435FDC">
            <w:pPr>
              <w:pStyle w:val="3"/>
              <w:widowControl/>
              <w:spacing w:line="480" w:lineRule="auto"/>
              <w:rPr>
                <w:lang w:val="en-GB"/>
              </w:rPr>
            </w:pPr>
            <w:r>
              <w:rPr>
                <w:lang w:val="en-GB"/>
              </w:rPr>
              <w:t>Yes</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3C14DF2">
            <w:pPr>
              <w:pStyle w:val="3"/>
              <w:widowControl/>
              <w:spacing w:line="480" w:lineRule="auto"/>
              <w:rPr>
                <w:lang w:val="en-GB"/>
              </w:rPr>
            </w:pPr>
            <w:r>
              <w:rPr>
                <w:lang w:val="en-GB"/>
              </w:rPr>
              <w:t>Yes</w:t>
            </w:r>
          </w:p>
        </w:tc>
      </w:tr>
      <w:tr w14:paraId="632E32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800" w:hRule="atLeast"/>
          <w:tblHeader/>
        </w:trPr>
        <w:tc>
          <w:tcPr>
            <w:tcW w:w="173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DA96CED">
            <w:pPr>
              <w:pStyle w:val="3"/>
              <w:widowControl/>
              <w:spacing w:line="480" w:lineRule="auto"/>
              <w:rPr>
                <w:lang w:val="en-GB"/>
              </w:rPr>
            </w:pPr>
            <w:r>
              <w:rPr>
                <w:b/>
                <w:bCs/>
                <w:lang w:val="en-GB"/>
              </w:rPr>
              <w:t>12. Implications for practice clear?</w:t>
            </w:r>
          </w:p>
        </w:tc>
        <w:tc>
          <w:tcPr>
            <w:tcW w:w="189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7C4B8F4">
            <w:pPr>
              <w:pStyle w:val="3"/>
              <w:widowControl/>
              <w:spacing w:line="480" w:lineRule="auto"/>
              <w:rPr>
                <w:lang w:val="en-GB"/>
              </w:rPr>
            </w:pPr>
            <w:r>
              <w:rPr>
                <w:lang w:val="en-GB"/>
              </w:rPr>
              <w:t>Yes</w:t>
            </w:r>
          </w:p>
        </w:tc>
        <w:tc>
          <w:tcPr>
            <w:tcW w:w="187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F86866">
            <w:pPr>
              <w:pStyle w:val="3"/>
              <w:widowControl/>
              <w:spacing w:line="480" w:lineRule="auto"/>
              <w:rPr>
                <w:lang w:val="en-GB"/>
              </w:rPr>
            </w:pPr>
            <w:r>
              <w:rPr>
                <w:lang w:val="en-GB"/>
              </w:rPr>
              <w:t>Yes</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4C9B8EA">
            <w:pPr>
              <w:pStyle w:val="3"/>
              <w:widowControl/>
              <w:spacing w:line="480" w:lineRule="auto"/>
              <w:rPr>
                <w:lang w:val="en-GB"/>
              </w:rPr>
            </w:pPr>
            <w:r>
              <w:rPr>
                <w:lang w:val="en-GB"/>
              </w:rPr>
              <w:t>Yes</w:t>
            </w:r>
          </w:p>
        </w:tc>
        <w:tc>
          <w:tcPr>
            <w:tcW w:w="193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9C7DB20">
            <w:pPr>
              <w:pStyle w:val="3"/>
              <w:widowControl/>
              <w:spacing w:line="480" w:lineRule="auto"/>
              <w:rPr>
                <w:lang w:val="en-GB"/>
              </w:rPr>
            </w:pPr>
            <w:r>
              <w:rPr>
                <w:lang w:val="en-GB"/>
              </w:rPr>
              <w:t>Yes</w:t>
            </w:r>
          </w:p>
        </w:tc>
      </w:tr>
    </w:tbl>
    <w:p w14:paraId="7E438F0A">
      <w:pPr>
        <w:pStyle w:val="3"/>
        <w:widowControl/>
        <w:spacing w:line="480" w:lineRule="auto"/>
        <w:rPr>
          <w:lang w:val="en-GB"/>
        </w:rPr>
      </w:pPr>
    </w:p>
    <w:p w14:paraId="00D35CCF">
      <w:pPr>
        <w:widowControl/>
        <w:spacing w:line="240" w:lineRule="auto"/>
        <w:jc w:val="left"/>
        <w:rPr>
          <w:b/>
          <w:bCs/>
          <w:sz w:val="26"/>
          <w:szCs w:val="26"/>
          <w:lang w:val="en-US"/>
        </w:rPr>
      </w:pPr>
      <w:r>
        <w:br w:type="page"/>
      </w:r>
    </w:p>
    <w:p w14:paraId="479C3383">
      <w:pPr>
        <w:pStyle w:val="4"/>
        <w:spacing w:line="480" w:lineRule="auto"/>
        <w:ind w:left="0"/>
        <w:rPr>
          <w:sz w:val="36"/>
          <w:szCs w:val="36"/>
        </w:rPr>
      </w:pPr>
      <w:bookmarkStart w:id="95" w:name="_Toc228745876"/>
      <w:r>
        <w:t>Appendix 3- Mixed-Method Studies Appraisal</w:t>
      </w:r>
      <w:bookmarkEnd w:id="95"/>
      <w:r>
        <w:t> </w:t>
      </w:r>
    </w:p>
    <w:p w14:paraId="4E70F8EA">
      <w:pPr>
        <w:pStyle w:val="3"/>
        <w:shd w:val="clear" w:color="auto" w:fill="FFFFFF"/>
        <w:spacing w:after="240"/>
        <w:rPr>
          <w:sz w:val="24"/>
          <w:szCs w:val="24"/>
          <w:lang w:val="en-GB"/>
        </w:rPr>
      </w:pPr>
      <w:r>
        <w:rPr>
          <w:b/>
          <w:bCs/>
          <w:sz w:val="24"/>
          <w:szCs w:val="24"/>
          <w:lang w:val="en-GB"/>
        </w:rPr>
        <w:t>CASP Cohort Study Checklist:  Quantitative Component</w:t>
      </w:r>
    </w:p>
    <w:tbl>
      <w:tblPr>
        <w:tblStyle w:val="30"/>
        <w:tblW w:w="9274" w:type="dxa"/>
        <w:tblInd w:w="-7" w:type="dxa"/>
        <w:tblLayout w:type="fixed"/>
        <w:tblCellMar>
          <w:top w:w="15" w:type="dxa"/>
          <w:left w:w="15" w:type="dxa"/>
          <w:bottom w:w="15" w:type="dxa"/>
          <w:right w:w="15" w:type="dxa"/>
        </w:tblCellMar>
      </w:tblPr>
      <w:tblGrid>
        <w:gridCol w:w="3717"/>
        <w:gridCol w:w="5557"/>
      </w:tblGrid>
      <w:tr w14:paraId="162BB746">
        <w:tblPrEx>
          <w:tblCellMar>
            <w:top w:w="15" w:type="dxa"/>
            <w:left w:w="15" w:type="dxa"/>
            <w:bottom w:w="15" w:type="dxa"/>
            <w:right w:w="15" w:type="dxa"/>
          </w:tblCellMar>
        </w:tblPrEx>
        <w:trPr>
          <w:cantSplit/>
          <w:trHeight w:val="690" w:hRule="atLeast"/>
          <w:tblHeader/>
        </w:trPr>
        <w:tc>
          <w:tcPr>
            <w:tcW w:w="3717" w:type="dxa"/>
            <w:tcBorders>
              <w:top w:val="single" w:color="000000" w:sz="6" w:space="0"/>
              <w:left w:val="single" w:color="000000" w:sz="6" w:space="0"/>
              <w:bottom w:val="single" w:color="000000" w:sz="6" w:space="0"/>
              <w:right w:val="single" w:color="000000" w:sz="6" w:space="0"/>
            </w:tcBorders>
            <w:tcMar>
              <w:top w:w="160" w:type="dxa"/>
              <w:left w:w="0" w:type="dxa"/>
              <w:bottom w:w="160" w:type="dxa"/>
              <w:right w:w="240" w:type="dxa"/>
            </w:tcMar>
          </w:tcPr>
          <w:p w14:paraId="5F0A0385">
            <w:pPr>
              <w:pStyle w:val="3"/>
              <w:spacing w:before="240" w:after="240"/>
              <w:jc w:val="center"/>
              <w:rPr>
                <w:sz w:val="24"/>
                <w:szCs w:val="24"/>
                <w:lang w:val="en-GB"/>
              </w:rPr>
            </w:pPr>
            <w:r>
              <w:rPr>
                <w:b/>
                <w:bCs/>
                <w:sz w:val="24"/>
                <w:szCs w:val="24"/>
                <w:lang w:val="en-GB"/>
              </w:rPr>
              <w:t>CASP Question</w:t>
            </w:r>
          </w:p>
        </w:tc>
        <w:tc>
          <w:tcPr>
            <w:tcW w:w="5557" w:type="dxa"/>
            <w:tcBorders>
              <w:top w:val="single" w:color="000000" w:sz="6" w:space="0"/>
              <w:left w:val="single" w:color="000000" w:sz="6" w:space="0"/>
              <w:bottom w:val="single" w:color="000000" w:sz="6" w:space="0"/>
              <w:right w:val="single" w:color="000000" w:sz="6" w:space="0"/>
            </w:tcBorders>
            <w:tcMar>
              <w:top w:w="160" w:type="dxa"/>
              <w:left w:w="240" w:type="dxa"/>
              <w:bottom w:w="160" w:type="dxa"/>
              <w:right w:w="240" w:type="dxa"/>
            </w:tcMar>
          </w:tcPr>
          <w:p w14:paraId="1E35EF58">
            <w:pPr>
              <w:pStyle w:val="3"/>
              <w:spacing w:before="240" w:after="240"/>
              <w:jc w:val="center"/>
              <w:rPr>
                <w:sz w:val="24"/>
                <w:szCs w:val="24"/>
                <w:lang w:val="en-GB"/>
              </w:rPr>
            </w:pPr>
            <w:r>
              <w:rPr>
                <w:b/>
                <w:bCs/>
                <w:sz w:val="24"/>
                <w:szCs w:val="24"/>
                <w:lang w:val="en-GB"/>
              </w:rPr>
              <w:t>Beattie et al. (2023)</w:t>
            </w:r>
          </w:p>
        </w:tc>
      </w:tr>
      <w:tr w14:paraId="47CE4E0F">
        <w:tblPrEx>
          <w:tblCellMar>
            <w:top w:w="15" w:type="dxa"/>
            <w:left w:w="15" w:type="dxa"/>
            <w:bottom w:w="15" w:type="dxa"/>
            <w:right w:w="15" w:type="dxa"/>
          </w:tblCellMar>
        </w:tblPrEx>
        <w:trPr>
          <w:cantSplit/>
          <w:trHeight w:val="690" w:hRule="atLeast"/>
          <w:tblHeader/>
        </w:trPr>
        <w:tc>
          <w:tcPr>
            <w:tcW w:w="3717" w:type="dxa"/>
            <w:tcBorders>
              <w:top w:val="single" w:color="000000" w:sz="6" w:space="0"/>
              <w:left w:val="single" w:color="000000" w:sz="6" w:space="0"/>
              <w:bottom w:val="single" w:color="000000" w:sz="6" w:space="0"/>
              <w:right w:val="single" w:color="000000" w:sz="6" w:space="0"/>
            </w:tcBorders>
            <w:tcMar>
              <w:top w:w="160" w:type="dxa"/>
              <w:left w:w="0" w:type="dxa"/>
              <w:bottom w:w="160" w:type="dxa"/>
              <w:right w:w="240" w:type="dxa"/>
            </w:tcMar>
          </w:tcPr>
          <w:p w14:paraId="2622A3AA">
            <w:pPr>
              <w:pStyle w:val="3"/>
              <w:spacing w:before="240" w:after="240"/>
              <w:jc w:val="center"/>
              <w:rPr>
                <w:sz w:val="24"/>
                <w:szCs w:val="24"/>
                <w:lang w:val="en-GB"/>
              </w:rPr>
            </w:pPr>
            <w:r>
              <w:rPr>
                <w:sz w:val="24"/>
                <w:szCs w:val="24"/>
                <w:lang w:val="en-GB"/>
              </w:rPr>
              <w:t>1. Clearly focused issue?</w:t>
            </w:r>
          </w:p>
        </w:tc>
        <w:tc>
          <w:tcPr>
            <w:tcW w:w="5557" w:type="dxa"/>
            <w:tcBorders>
              <w:top w:val="single" w:color="000000" w:sz="6" w:space="0"/>
              <w:left w:val="single" w:color="000000" w:sz="6" w:space="0"/>
              <w:bottom w:val="single" w:color="000000" w:sz="6" w:space="0"/>
              <w:right w:val="single" w:color="000000" w:sz="6" w:space="0"/>
            </w:tcBorders>
            <w:tcMar>
              <w:top w:w="160" w:type="dxa"/>
              <w:left w:w="240" w:type="dxa"/>
              <w:bottom w:w="160" w:type="dxa"/>
              <w:right w:w="0" w:type="dxa"/>
            </w:tcMar>
          </w:tcPr>
          <w:p w14:paraId="19ED832E">
            <w:pPr>
              <w:pStyle w:val="3"/>
              <w:spacing w:before="240" w:after="240"/>
              <w:jc w:val="center"/>
              <w:rPr>
                <w:sz w:val="24"/>
                <w:szCs w:val="24"/>
                <w:lang w:val="en-GB"/>
              </w:rPr>
            </w:pPr>
            <w:r>
              <w:rPr>
                <w:sz w:val="24"/>
                <w:szCs w:val="24"/>
                <w:lang w:val="en-GB"/>
              </w:rPr>
              <w:t>Yes</w:t>
            </w:r>
          </w:p>
        </w:tc>
      </w:tr>
      <w:tr w14:paraId="4572BB14">
        <w:tblPrEx>
          <w:tblCellMar>
            <w:top w:w="15" w:type="dxa"/>
            <w:left w:w="15" w:type="dxa"/>
            <w:bottom w:w="15" w:type="dxa"/>
            <w:right w:w="15" w:type="dxa"/>
          </w:tblCellMar>
        </w:tblPrEx>
        <w:trPr>
          <w:cantSplit/>
          <w:trHeight w:val="690" w:hRule="atLeast"/>
          <w:tblHeader/>
        </w:trPr>
        <w:tc>
          <w:tcPr>
            <w:tcW w:w="3717" w:type="dxa"/>
            <w:tcBorders>
              <w:top w:val="single" w:color="000000" w:sz="6" w:space="0"/>
              <w:left w:val="single" w:color="000000" w:sz="6" w:space="0"/>
              <w:bottom w:val="single" w:color="000000" w:sz="6" w:space="0"/>
              <w:right w:val="single" w:color="000000" w:sz="6" w:space="0"/>
            </w:tcBorders>
            <w:tcMar>
              <w:top w:w="160" w:type="dxa"/>
              <w:left w:w="0" w:type="dxa"/>
              <w:bottom w:w="160" w:type="dxa"/>
              <w:right w:w="240" w:type="dxa"/>
            </w:tcMar>
          </w:tcPr>
          <w:p w14:paraId="509560D4">
            <w:pPr>
              <w:pStyle w:val="3"/>
              <w:spacing w:before="240" w:after="240"/>
              <w:jc w:val="center"/>
              <w:rPr>
                <w:sz w:val="24"/>
                <w:szCs w:val="24"/>
                <w:lang w:val="en-GB"/>
              </w:rPr>
            </w:pPr>
            <w:r>
              <w:rPr>
                <w:sz w:val="24"/>
                <w:szCs w:val="24"/>
                <w:lang w:val="en-GB"/>
              </w:rPr>
              <w:t>2. Acceptable cohort recruitment?</w:t>
            </w:r>
          </w:p>
        </w:tc>
        <w:tc>
          <w:tcPr>
            <w:tcW w:w="5557" w:type="dxa"/>
            <w:tcBorders>
              <w:top w:val="single" w:color="000000" w:sz="6" w:space="0"/>
              <w:left w:val="single" w:color="000000" w:sz="6" w:space="0"/>
              <w:bottom w:val="single" w:color="000000" w:sz="6" w:space="0"/>
              <w:right w:val="single" w:color="000000" w:sz="6" w:space="0"/>
            </w:tcBorders>
            <w:tcMar>
              <w:top w:w="160" w:type="dxa"/>
              <w:left w:w="240" w:type="dxa"/>
              <w:bottom w:w="160" w:type="dxa"/>
              <w:right w:w="0" w:type="dxa"/>
            </w:tcMar>
          </w:tcPr>
          <w:p w14:paraId="0DB07485">
            <w:pPr>
              <w:pStyle w:val="3"/>
              <w:spacing w:before="240" w:after="240"/>
              <w:jc w:val="center"/>
              <w:rPr>
                <w:sz w:val="24"/>
                <w:szCs w:val="24"/>
                <w:lang w:val="en-GB"/>
              </w:rPr>
            </w:pPr>
            <w:r>
              <w:rPr>
                <w:sz w:val="24"/>
                <w:szCs w:val="24"/>
                <w:lang w:val="en-GB"/>
              </w:rPr>
              <w:t>No</w:t>
            </w:r>
          </w:p>
        </w:tc>
      </w:tr>
      <w:tr w14:paraId="0EA1E393">
        <w:tblPrEx>
          <w:tblCellMar>
            <w:top w:w="15" w:type="dxa"/>
            <w:left w:w="15" w:type="dxa"/>
            <w:bottom w:w="15" w:type="dxa"/>
            <w:right w:w="15" w:type="dxa"/>
          </w:tblCellMar>
        </w:tblPrEx>
        <w:trPr>
          <w:cantSplit/>
          <w:trHeight w:val="690" w:hRule="atLeast"/>
          <w:tblHeader/>
        </w:trPr>
        <w:tc>
          <w:tcPr>
            <w:tcW w:w="3717" w:type="dxa"/>
            <w:tcBorders>
              <w:top w:val="single" w:color="000000" w:sz="6" w:space="0"/>
              <w:left w:val="single" w:color="000000" w:sz="6" w:space="0"/>
              <w:bottom w:val="single" w:color="000000" w:sz="6" w:space="0"/>
              <w:right w:val="single" w:color="000000" w:sz="6" w:space="0"/>
            </w:tcBorders>
            <w:tcMar>
              <w:top w:w="160" w:type="dxa"/>
              <w:left w:w="0" w:type="dxa"/>
              <w:bottom w:w="160" w:type="dxa"/>
              <w:right w:w="240" w:type="dxa"/>
            </w:tcMar>
          </w:tcPr>
          <w:p w14:paraId="5D7FC0E9">
            <w:pPr>
              <w:pStyle w:val="3"/>
              <w:spacing w:before="240" w:after="240"/>
              <w:jc w:val="center"/>
              <w:rPr>
                <w:sz w:val="24"/>
                <w:szCs w:val="24"/>
                <w:lang w:val="en-GB"/>
              </w:rPr>
            </w:pPr>
            <w:r>
              <w:rPr>
                <w:sz w:val="24"/>
                <w:szCs w:val="24"/>
                <w:lang w:val="en-GB"/>
              </w:rPr>
              <w:t>3. Exposure accurately measured?</w:t>
            </w:r>
          </w:p>
        </w:tc>
        <w:tc>
          <w:tcPr>
            <w:tcW w:w="5557" w:type="dxa"/>
            <w:tcBorders>
              <w:top w:val="single" w:color="000000" w:sz="6" w:space="0"/>
              <w:left w:val="single" w:color="000000" w:sz="6" w:space="0"/>
              <w:bottom w:val="single" w:color="000000" w:sz="6" w:space="0"/>
              <w:right w:val="single" w:color="000000" w:sz="6" w:space="0"/>
            </w:tcBorders>
            <w:tcMar>
              <w:top w:w="160" w:type="dxa"/>
              <w:left w:w="240" w:type="dxa"/>
              <w:bottom w:w="160" w:type="dxa"/>
              <w:right w:w="0" w:type="dxa"/>
            </w:tcMar>
          </w:tcPr>
          <w:p w14:paraId="091891E6">
            <w:pPr>
              <w:pStyle w:val="3"/>
              <w:spacing w:before="240" w:after="240"/>
              <w:jc w:val="center"/>
              <w:rPr>
                <w:sz w:val="24"/>
                <w:szCs w:val="24"/>
                <w:lang w:val="en-GB"/>
              </w:rPr>
            </w:pPr>
            <w:r>
              <w:rPr>
                <w:sz w:val="24"/>
                <w:szCs w:val="24"/>
                <w:lang w:val="en-GB"/>
              </w:rPr>
              <w:t>Yes</w:t>
            </w:r>
          </w:p>
        </w:tc>
      </w:tr>
      <w:tr w14:paraId="7A9CF30E">
        <w:tblPrEx>
          <w:tblCellMar>
            <w:top w:w="15" w:type="dxa"/>
            <w:left w:w="15" w:type="dxa"/>
            <w:bottom w:w="15" w:type="dxa"/>
            <w:right w:w="15" w:type="dxa"/>
          </w:tblCellMar>
        </w:tblPrEx>
        <w:trPr>
          <w:cantSplit/>
          <w:trHeight w:val="690" w:hRule="atLeast"/>
          <w:tblHeader/>
        </w:trPr>
        <w:tc>
          <w:tcPr>
            <w:tcW w:w="3717" w:type="dxa"/>
            <w:tcBorders>
              <w:top w:val="single" w:color="000000" w:sz="6" w:space="0"/>
              <w:left w:val="single" w:color="000000" w:sz="6" w:space="0"/>
              <w:bottom w:val="single" w:color="000000" w:sz="6" w:space="0"/>
              <w:right w:val="single" w:color="000000" w:sz="6" w:space="0"/>
            </w:tcBorders>
            <w:tcMar>
              <w:top w:w="160" w:type="dxa"/>
              <w:left w:w="0" w:type="dxa"/>
              <w:bottom w:w="160" w:type="dxa"/>
              <w:right w:w="240" w:type="dxa"/>
            </w:tcMar>
          </w:tcPr>
          <w:p w14:paraId="73A428A9">
            <w:pPr>
              <w:pStyle w:val="3"/>
              <w:spacing w:before="240" w:after="240"/>
              <w:jc w:val="center"/>
              <w:rPr>
                <w:sz w:val="24"/>
                <w:szCs w:val="24"/>
                <w:lang w:val="en-GB"/>
              </w:rPr>
            </w:pPr>
            <w:r>
              <w:rPr>
                <w:sz w:val="24"/>
                <w:szCs w:val="24"/>
                <w:lang w:val="en-GB"/>
              </w:rPr>
              <w:t>4. Outcome accurately measured?</w:t>
            </w:r>
          </w:p>
        </w:tc>
        <w:tc>
          <w:tcPr>
            <w:tcW w:w="5557" w:type="dxa"/>
            <w:tcBorders>
              <w:top w:val="single" w:color="000000" w:sz="6" w:space="0"/>
              <w:left w:val="single" w:color="000000" w:sz="6" w:space="0"/>
              <w:bottom w:val="single" w:color="000000" w:sz="6" w:space="0"/>
              <w:right w:val="single" w:color="000000" w:sz="6" w:space="0"/>
            </w:tcBorders>
            <w:tcMar>
              <w:top w:w="160" w:type="dxa"/>
              <w:left w:w="240" w:type="dxa"/>
              <w:bottom w:w="160" w:type="dxa"/>
              <w:right w:w="0" w:type="dxa"/>
            </w:tcMar>
          </w:tcPr>
          <w:p w14:paraId="7BB8C650">
            <w:pPr>
              <w:pStyle w:val="3"/>
              <w:spacing w:before="240" w:after="240"/>
              <w:jc w:val="center"/>
              <w:rPr>
                <w:sz w:val="24"/>
                <w:szCs w:val="24"/>
                <w:lang w:val="en-GB"/>
              </w:rPr>
            </w:pPr>
            <w:r>
              <w:rPr>
                <w:sz w:val="24"/>
                <w:szCs w:val="24"/>
                <w:lang w:val="en-GB"/>
              </w:rPr>
              <w:t>Yes</w:t>
            </w:r>
          </w:p>
        </w:tc>
      </w:tr>
      <w:tr w14:paraId="3160D2DA">
        <w:tblPrEx>
          <w:tblCellMar>
            <w:top w:w="15" w:type="dxa"/>
            <w:left w:w="15" w:type="dxa"/>
            <w:bottom w:w="15" w:type="dxa"/>
            <w:right w:w="15" w:type="dxa"/>
          </w:tblCellMar>
        </w:tblPrEx>
        <w:trPr>
          <w:cantSplit/>
          <w:trHeight w:val="690" w:hRule="atLeast"/>
          <w:tblHeader/>
        </w:trPr>
        <w:tc>
          <w:tcPr>
            <w:tcW w:w="3717" w:type="dxa"/>
            <w:tcBorders>
              <w:top w:val="single" w:color="000000" w:sz="6" w:space="0"/>
              <w:left w:val="single" w:color="000000" w:sz="6" w:space="0"/>
              <w:bottom w:val="single" w:color="000000" w:sz="6" w:space="0"/>
              <w:right w:val="single" w:color="000000" w:sz="6" w:space="0"/>
            </w:tcBorders>
            <w:tcMar>
              <w:top w:w="160" w:type="dxa"/>
              <w:left w:w="0" w:type="dxa"/>
              <w:bottom w:w="160" w:type="dxa"/>
              <w:right w:w="240" w:type="dxa"/>
            </w:tcMar>
          </w:tcPr>
          <w:p w14:paraId="722553FF">
            <w:pPr>
              <w:pStyle w:val="3"/>
              <w:spacing w:before="240" w:after="240"/>
              <w:jc w:val="center"/>
              <w:rPr>
                <w:sz w:val="24"/>
                <w:szCs w:val="24"/>
                <w:lang w:val="en-GB"/>
              </w:rPr>
            </w:pPr>
            <w:r>
              <w:rPr>
                <w:sz w:val="24"/>
                <w:szCs w:val="24"/>
                <w:lang w:val="en-GB"/>
              </w:rPr>
              <w:t>5a. Confounders identified?</w:t>
            </w:r>
          </w:p>
        </w:tc>
        <w:tc>
          <w:tcPr>
            <w:tcW w:w="5557" w:type="dxa"/>
            <w:tcBorders>
              <w:top w:val="single" w:color="000000" w:sz="6" w:space="0"/>
              <w:left w:val="single" w:color="000000" w:sz="6" w:space="0"/>
              <w:bottom w:val="single" w:color="000000" w:sz="6" w:space="0"/>
              <w:right w:val="single" w:color="000000" w:sz="6" w:space="0"/>
            </w:tcBorders>
            <w:tcMar>
              <w:top w:w="160" w:type="dxa"/>
              <w:left w:w="240" w:type="dxa"/>
              <w:bottom w:w="160" w:type="dxa"/>
              <w:right w:w="0" w:type="dxa"/>
            </w:tcMar>
          </w:tcPr>
          <w:p w14:paraId="1D145DD7">
            <w:pPr>
              <w:pStyle w:val="3"/>
              <w:spacing w:before="240" w:after="240"/>
              <w:jc w:val="center"/>
              <w:rPr>
                <w:sz w:val="24"/>
                <w:szCs w:val="24"/>
                <w:lang w:val="en-GB"/>
              </w:rPr>
            </w:pPr>
            <w:r>
              <w:rPr>
                <w:sz w:val="24"/>
                <w:szCs w:val="24"/>
                <w:lang w:val="en-GB"/>
              </w:rPr>
              <w:t>No</w:t>
            </w:r>
          </w:p>
        </w:tc>
      </w:tr>
      <w:tr w14:paraId="6162BC6D">
        <w:tblPrEx>
          <w:tblCellMar>
            <w:top w:w="15" w:type="dxa"/>
            <w:left w:w="15" w:type="dxa"/>
            <w:bottom w:w="15" w:type="dxa"/>
            <w:right w:w="15" w:type="dxa"/>
          </w:tblCellMar>
        </w:tblPrEx>
        <w:trPr>
          <w:cantSplit/>
          <w:trHeight w:val="690" w:hRule="atLeast"/>
          <w:tblHeader/>
        </w:trPr>
        <w:tc>
          <w:tcPr>
            <w:tcW w:w="3717" w:type="dxa"/>
            <w:tcBorders>
              <w:top w:val="single" w:color="000000" w:sz="6" w:space="0"/>
              <w:left w:val="single" w:color="000000" w:sz="6" w:space="0"/>
              <w:bottom w:val="single" w:color="000000" w:sz="6" w:space="0"/>
              <w:right w:val="single" w:color="000000" w:sz="6" w:space="0"/>
            </w:tcBorders>
            <w:tcMar>
              <w:top w:w="160" w:type="dxa"/>
              <w:left w:w="0" w:type="dxa"/>
              <w:bottom w:w="160" w:type="dxa"/>
              <w:right w:w="240" w:type="dxa"/>
            </w:tcMar>
          </w:tcPr>
          <w:p w14:paraId="6A85D58D">
            <w:pPr>
              <w:pStyle w:val="3"/>
              <w:spacing w:before="240" w:after="240"/>
              <w:jc w:val="center"/>
              <w:rPr>
                <w:sz w:val="24"/>
                <w:szCs w:val="24"/>
                <w:lang w:val="en-GB"/>
              </w:rPr>
            </w:pPr>
            <w:r>
              <w:rPr>
                <w:sz w:val="24"/>
                <w:szCs w:val="24"/>
                <w:lang w:val="en-GB"/>
              </w:rPr>
              <w:t>5b. Confounders adjusted for?</w:t>
            </w:r>
          </w:p>
        </w:tc>
        <w:tc>
          <w:tcPr>
            <w:tcW w:w="5557" w:type="dxa"/>
            <w:tcBorders>
              <w:top w:val="single" w:color="000000" w:sz="6" w:space="0"/>
              <w:left w:val="single" w:color="000000" w:sz="6" w:space="0"/>
              <w:bottom w:val="single" w:color="000000" w:sz="6" w:space="0"/>
              <w:right w:val="single" w:color="000000" w:sz="6" w:space="0"/>
            </w:tcBorders>
            <w:tcMar>
              <w:top w:w="160" w:type="dxa"/>
              <w:left w:w="240" w:type="dxa"/>
              <w:bottom w:w="160" w:type="dxa"/>
              <w:right w:w="0" w:type="dxa"/>
            </w:tcMar>
          </w:tcPr>
          <w:p w14:paraId="2B5E72B1">
            <w:pPr>
              <w:pStyle w:val="3"/>
              <w:spacing w:before="240" w:after="240"/>
              <w:jc w:val="center"/>
              <w:rPr>
                <w:sz w:val="24"/>
                <w:szCs w:val="24"/>
                <w:lang w:val="en-GB"/>
              </w:rPr>
            </w:pPr>
            <w:r>
              <w:rPr>
                <w:sz w:val="24"/>
                <w:szCs w:val="24"/>
                <w:lang w:val="en-GB"/>
              </w:rPr>
              <w:t>Yes</w:t>
            </w:r>
          </w:p>
        </w:tc>
      </w:tr>
      <w:tr w14:paraId="5B25F932">
        <w:tblPrEx>
          <w:tblCellMar>
            <w:top w:w="15" w:type="dxa"/>
            <w:left w:w="15" w:type="dxa"/>
            <w:bottom w:w="15" w:type="dxa"/>
            <w:right w:w="15" w:type="dxa"/>
          </w:tblCellMar>
        </w:tblPrEx>
        <w:trPr>
          <w:cantSplit/>
          <w:trHeight w:val="690" w:hRule="atLeast"/>
          <w:tblHeader/>
        </w:trPr>
        <w:tc>
          <w:tcPr>
            <w:tcW w:w="3717" w:type="dxa"/>
            <w:tcBorders>
              <w:top w:val="single" w:color="000000" w:sz="6" w:space="0"/>
              <w:left w:val="single" w:color="000000" w:sz="6" w:space="0"/>
              <w:bottom w:val="single" w:color="000000" w:sz="6" w:space="0"/>
              <w:right w:val="single" w:color="000000" w:sz="6" w:space="0"/>
            </w:tcBorders>
            <w:tcMar>
              <w:top w:w="160" w:type="dxa"/>
              <w:left w:w="0" w:type="dxa"/>
              <w:bottom w:w="160" w:type="dxa"/>
              <w:right w:w="240" w:type="dxa"/>
            </w:tcMar>
          </w:tcPr>
          <w:p w14:paraId="23E3906B">
            <w:pPr>
              <w:pStyle w:val="3"/>
              <w:spacing w:before="240" w:after="240"/>
              <w:jc w:val="center"/>
              <w:rPr>
                <w:sz w:val="24"/>
                <w:szCs w:val="24"/>
                <w:lang w:val="en-GB"/>
              </w:rPr>
            </w:pPr>
            <w:r>
              <w:rPr>
                <w:sz w:val="24"/>
                <w:szCs w:val="24"/>
                <w:lang w:val="en-GB"/>
              </w:rPr>
              <w:t>6a. Follow-up complete enough?</w:t>
            </w:r>
          </w:p>
        </w:tc>
        <w:tc>
          <w:tcPr>
            <w:tcW w:w="5557" w:type="dxa"/>
            <w:tcBorders>
              <w:top w:val="single" w:color="000000" w:sz="6" w:space="0"/>
              <w:left w:val="single" w:color="000000" w:sz="6" w:space="0"/>
              <w:bottom w:val="single" w:color="000000" w:sz="6" w:space="0"/>
              <w:right w:val="single" w:color="000000" w:sz="6" w:space="0"/>
            </w:tcBorders>
            <w:tcMar>
              <w:top w:w="160" w:type="dxa"/>
              <w:left w:w="240" w:type="dxa"/>
              <w:bottom w:w="160" w:type="dxa"/>
              <w:right w:w="0" w:type="dxa"/>
            </w:tcMar>
          </w:tcPr>
          <w:p w14:paraId="6C282525">
            <w:pPr>
              <w:pStyle w:val="3"/>
              <w:spacing w:before="240" w:after="240"/>
              <w:jc w:val="center"/>
              <w:rPr>
                <w:sz w:val="24"/>
                <w:szCs w:val="24"/>
                <w:lang w:val="en-GB"/>
              </w:rPr>
            </w:pPr>
            <w:r>
              <w:rPr>
                <w:sz w:val="24"/>
                <w:szCs w:val="24"/>
                <w:lang w:val="en-GB"/>
              </w:rPr>
              <w:t>Yes</w:t>
            </w:r>
          </w:p>
        </w:tc>
      </w:tr>
      <w:tr w14:paraId="19DB1364">
        <w:tblPrEx>
          <w:tblCellMar>
            <w:top w:w="15" w:type="dxa"/>
            <w:left w:w="15" w:type="dxa"/>
            <w:bottom w:w="15" w:type="dxa"/>
            <w:right w:w="15" w:type="dxa"/>
          </w:tblCellMar>
        </w:tblPrEx>
        <w:trPr>
          <w:cantSplit/>
          <w:trHeight w:val="690" w:hRule="atLeast"/>
          <w:tblHeader/>
        </w:trPr>
        <w:tc>
          <w:tcPr>
            <w:tcW w:w="3717" w:type="dxa"/>
            <w:tcBorders>
              <w:top w:val="single" w:color="000000" w:sz="6" w:space="0"/>
              <w:left w:val="single" w:color="000000" w:sz="6" w:space="0"/>
              <w:bottom w:val="single" w:color="000000" w:sz="6" w:space="0"/>
              <w:right w:val="single" w:color="000000" w:sz="6" w:space="0"/>
            </w:tcBorders>
            <w:tcMar>
              <w:top w:w="160" w:type="dxa"/>
              <w:left w:w="0" w:type="dxa"/>
              <w:bottom w:w="160" w:type="dxa"/>
              <w:right w:w="240" w:type="dxa"/>
            </w:tcMar>
          </w:tcPr>
          <w:p w14:paraId="5AD5DDA3">
            <w:pPr>
              <w:pStyle w:val="3"/>
              <w:spacing w:before="240" w:after="240"/>
              <w:jc w:val="center"/>
              <w:rPr>
                <w:sz w:val="24"/>
                <w:szCs w:val="24"/>
                <w:lang w:val="en-GB"/>
              </w:rPr>
            </w:pPr>
            <w:r>
              <w:rPr>
                <w:sz w:val="24"/>
                <w:szCs w:val="24"/>
                <w:lang w:val="en-GB"/>
              </w:rPr>
              <w:t>6b. Follow-up long enough?</w:t>
            </w:r>
          </w:p>
        </w:tc>
        <w:tc>
          <w:tcPr>
            <w:tcW w:w="5557" w:type="dxa"/>
            <w:tcBorders>
              <w:top w:val="single" w:color="000000" w:sz="6" w:space="0"/>
              <w:left w:val="single" w:color="000000" w:sz="6" w:space="0"/>
              <w:bottom w:val="single" w:color="000000" w:sz="6" w:space="0"/>
              <w:right w:val="single" w:color="000000" w:sz="6" w:space="0"/>
            </w:tcBorders>
            <w:tcMar>
              <w:top w:w="160" w:type="dxa"/>
              <w:left w:w="240" w:type="dxa"/>
              <w:bottom w:w="160" w:type="dxa"/>
              <w:right w:w="0" w:type="dxa"/>
            </w:tcMar>
          </w:tcPr>
          <w:p w14:paraId="59A49453">
            <w:pPr>
              <w:pStyle w:val="3"/>
              <w:spacing w:before="240" w:after="240"/>
              <w:jc w:val="center"/>
              <w:rPr>
                <w:sz w:val="24"/>
                <w:szCs w:val="24"/>
                <w:lang w:val="en-GB"/>
              </w:rPr>
            </w:pPr>
            <w:r>
              <w:rPr>
                <w:sz w:val="24"/>
                <w:szCs w:val="24"/>
                <w:lang w:val="en-GB"/>
              </w:rPr>
              <w:t>No</w:t>
            </w:r>
          </w:p>
        </w:tc>
      </w:tr>
      <w:tr w14:paraId="58338029">
        <w:tblPrEx>
          <w:tblCellMar>
            <w:top w:w="15" w:type="dxa"/>
            <w:left w:w="15" w:type="dxa"/>
            <w:bottom w:w="15" w:type="dxa"/>
            <w:right w:w="15" w:type="dxa"/>
          </w:tblCellMar>
        </w:tblPrEx>
        <w:trPr>
          <w:cantSplit/>
          <w:trHeight w:val="690" w:hRule="atLeast"/>
          <w:tblHeader/>
        </w:trPr>
        <w:tc>
          <w:tcPr>
            <w:tcW w:w="3717" w:type="dxa"/>
            <w:tcBorders>
              <w:top w:val="single" w:color="000000" w:sz="6" w:space="0"/>
              <w:left w:val="single" w:color="000000" w:sz="6" w:space="0"/>
              <w:bottom w:val="single" w:color="000000" w:sz="6" w:space="0"/>
              <w:right w:val="single" w:color="000000" w:sz="6" w:space="0"/>
            </w:tcBorders>
            <w:tcMar>
              <w:top w:w="160" w:type="dxa"/>
              <w:left w:w="0" w:type="dxa"/>
              <w:bottom w:w="160" w:type="dxa"/>
              <w:right w:w="240" w:type="dxa"/>
            </w:tcMar>
          </w:tcPr>
          <w:p w14:paraId="048391A3">
            <w:pPr>
              <w:pStyle w:val="3"/>
              <w:spacing w:before="240" w:after="240"/>
              <w:jc w:val="center"/>
              <w:rPr>
                <w:sz w:val="24"/>
                <w:szCs w:val="24"/>
                <w:lang w:val="en-GB"/>
              </w:rPr>
            </w:pPr>
            <w:r>
              <w:rPr>
                <w:sz w:val="24"/>
                <w:szCs w:val="24"/>
                <w:lang w:val="en-GB"/>
              </w:rPr>
              <w:t>7. Results clearly reported?</w:t>
            </w:r>
          </w:p>
        </w:tc>
        <w:tc>
          <w:tcPr>
            <w:tcW w:w="5557" w:type="dxa"/>
            <w:tcBorders>
              <w:top w:val="single" w:color="000000" w:sz="6" w:space="0"/>
              <w:left w:val="single" w:color="000000" w:sz="6" w:space="0"/>
              <w:bottom w:val="single" w:color="000000" w:sz="6" w:space="0"/>
              <w:right w:val="single" w:color="000000" w:sz="6" w:space="0"/>
            </w:tcBorders>
            <w:tcMar>
              <w:top w:w="160" w:type="dxa"/>
              <w:left w:w="240" w:type="dxa"/>
              <w:bottom w:w="160" w:type="dxa"/>
              <w:right w:w="0" w:type="dxa"/>
            </w:tcMar>
          </w:tcPr>
          <w:p w14:paraId="4676D76E">
            <w:pPr>
              <w:pStyle w:val="3"/>
              <w:spacing w:before="240" w:after="240"/>
              <w:jc w:val="center"/>
              <w:rPr>
                <w:sz w:val="24"/>
                <w:szCs w:val="24"/>
                <w:lang w:val="en-GB"/>
              </w:rPr>
            </w:pPr>
            <w:r>
              <w:rPr>
                <w:sz w:val="24"/>
                <w:szCs w:val="24"/>
                <w:lang w:val="en-GB"/>
              </w:rPr>
              <w:t>Yes</w:t>
            </w:r>
          </w:p>
        </w:tc>
      </w:tr>
      <w:tr w14:paraId="7861D12B">
        <w:tblPrEx>
          <w:tblCellMar>
            <w:top w:w="15" w:type="dxa"/>
            <w:left w:w="15" w:type="dxa"/>
            <w:bottom w:w="15" w:type="dxa"/>
            <w:right w:w="15" w:type="dxa"/>
          </w:tblCellMar>
        </w:tblPrEx>
        <w:trPr>
          <w:cantSplit/>
          <w:trHeight w:val="690" w:hRule="atLeast"/>
          <w:tblHeader/>
        </w:trPr>
        <w:tc>
          <w:tcPr>
            <w:tcW w:w="3717" w:type="dxa"/>
            <w:tcBorders>
              <w:top w:val="single" w:color="000000" w:sz="6" w:space="0"/>
              <w:left w:val="single" w:color="000000" w:sz="6" w:space="0"/>
              <w:bottom w:val="single" w:color="000000" w:sz="6" w:space="0"/>
              <w:right w:val="single" w:color="000000" w:sz="6" w:space="0"/>
            </w:tcBorders>
            <w:tcMar>
              <w:top w:w="160" w:type="dxa"/>
              <w:left w:w="0" w:type="dxa"/>
              <w:bottom w:w="160" w:type="dxa"/>
              <w:right w:w="240" w:type="dxa"/>
            </w:tcMar>
          </w:tcPr>
          <w:p w14:paraId="4AC87FA2">
            <w:pPr>
              <w:pStyle w:val="3"/>
              <w:spacing w:before="240" w:after="240"/>
              <w:jc w:val="center"/>
              <w:rPr>
                <w:sz w:val="24"/>
                <w:szCs w:val="24"/>
                <w:lang w:val="en-GB"/>
              </w:rPr>
            </w:pPr>
            <w:r>
              <w:rPr>
                <w:sz w:val="24"/>
                <w:szCs w:val="24"/>
                <w:lang w:val="en-GB"/>
              </w:rPr>
              <w:t>8. Results precise (CIs reported)?</w:t>
            </w:r>
          </w:p>
        </w:tc>
        <w:tc>
          <w:tcPr>
            <w:tcW w:w="5557" w:type="dxa"/>
            <w:tcBorders>
              <w:top w:val="single" w:color="000000" w:sz="6" w:space="0"/>
              <w:left w:val="single" w:color="000000" w:sz="6" w:space="0"/>
              <w:bottom w:val="single" w:color="000000" w:sz="6" w:space="0"/>
              <w:right w:val="single" w:color="000000" w:sz="6" w:space="0"/>
            </w:tcBorders>
            <w:tcMar>
              <w:top w:w="160" w:type="dxa"/>
              <w:left w:w="240" w:type="dxa"/>
              <w:bottom w:w="160" w:type="dxa"/>
              <w:right w:w="0" w:type="dxa"/>
            </w:tcMar>
          </w:tcPr>
          <w:p w14:paraId="08D5426C">
            <w:pPr>
              <w:pStyle w:val="3"/>
              <w:spacing w:before="240" w:after="240"/>
              <w:jc w:val="center"/>
              <w:rPr>
                <w:sz w:val="24"/>
                <w:szCs w:val="24"/>
                <w:lang w:val="en-GB"/>
              </w:rPr>
            </w:pPr>
            <w:r>
              <w:rPr>
                <w:sz w:val="24"/>
                <w:szCs w:val="24"/>
                <w:lang w:val="en-GB"/>
              </w:rPr>
              <w:t>No</w:t>
            </w:r>
          </w:p>
        </w:tc>
      </w:tr>
      <w:tr w14:paraId="1A9E7BEE">
        <w:tblPrEx>
          <w:tblCellMar>
            <w:top w:w="15" w:type="dxa"/>
            <w:left w:w="15" w:type="dxa"/>
            <w:bottom w:w="15" w:type="dxa"/>
            <w:right w:w="15" w:type="dxa"/>
          </w:tblCellMar>
        </w:tblPrEx>
        <w:trPr>
          <w:cantSplit/>
          <w:trHeight w:val="690" w:hRule="atLeast"/>
          <w:tblHeader/>
        </w:trPr>
        <w:tc>
          <w:tcPr>
            <w:tcW w:w="3717" w:type="dxa"/>
            <w:tcBorders>
              <w:top w:val="single" w:color="000000" w:sz="6" w:space="0"/>
              <w:left w:val="single" w:color="000000" w:sz="6" w:space="0"/>
              <w:bottom w:val="single" w:color="000000" w:sz="6" w:space="0"/>
              <w:right w:val="single" w:color="000000" w:sz="6" w:space="0"/>
            </w:tcBorders>
            <w:tcMar>
              <w:top w:w="160" w:type="dxa"/>
              <w:left w:w="0" w:type="dxa"/>
              <w:bottom w:w="160" w:type="dxa"/>
              <w:right w:w="240" w:type="dxa"/>
            </w:tcMar>
          </w:tcPr>
          <w:p w14:paraId="5BA257B4">
            <w:pPr>
              <w:pStyle w:val="3"/>
              <w:spacing w:before="240" w:after="240"/>
              <w:jc w:val="center"/>
              <w:rPr>
                <w:sz w:val="24"/>
                <w:szCs w:val="24"/>
                <w:lang w:val="en-GB"/>
              </w:rPr>
            </w:pPr>
            <w:r>
              <w:rPr>
                <w:sz w:val="24"/>
                <w:szCs w:val="24"/>
                <w:lang w:val="en-GB"/>
              </w:rPr>
              <w:t>9. Results believable?</w:t>
            </w:r>
          </w:p>
        </w:tc>
        <w:tc>
          <w:tcPr>
            <w:tcW w:w="5557" w:type="dxa"/>
            <w:tcBorders>
              <w:top w:val="single" w:color="000000" w:sz="6" w:space="0"/>
              <w:left w:val="single" w:color="000000" w:sz="6" w:space="0"/>
              <w:bottom w:val="single" w:color="000000" w:sz="6" w:space="0"/>
              <w:right w:val="single" w:color="000000" w:sz="6" w:space="0"/>
            </w:tcBorders>
            <w:tcMar>
              <w:top w:w="160" w:type="dxa"/>
              <w:left w:w="240" w:type="dxa"/>
              <w:bottom w:w="160" w:type="dxa"/>
              <w:right w:w="0" w:type="dxa"/>
            </w:tcMar>
          </w:tcPr>
          <w:p w14:paraId="7E0B829B">
            <w:pPr>
              <w:pStyle w:val="3"/>
              <w:spacing w:before="240" w:after="240"/>
              <w:jc w:val="center"/>
              <w:rPr>
                <w:sz w:val="24"/>
                <w:szCs w:val="24"/>
                <w:lang w:val="en-GB"/>
              </w:rPr>
            </w:pPr>
            <w:r>
              <w:rPr>
                <w:sz w:val="24"/>
                <w:szCs w:val="24"/>
                <w:lang w:val="en-GB"/>
              </w:rPr>
              <w:t>No</w:t>
            </w:r>
          </w:p>
        </w:tc>
      </w:tr>
      <w:tr w14:paraId="7554B203">
        <w:tblPrEx>
          <w:tblCellMar>
            <w:top w:w="15" w:type="dxa"/>
            <w:left w:w="15" w:type="dxa"/>
            <w:bottom w:w="15" w:type="dxa"/>
            <w:right w:w="15" w:type="dxa"/>
          </w:tblCellMar>
        </w:tblPrEx>
        <w:trPr>
          <w:cantSplit/>
          <w:trHeight w:val="690" w:hRule="atLeast"/>
          <w:tblHeader/>
        </w:trPr>
        <w:tc>
          <w:tcPr>
            <w:tcW w:w="3717" w:type="dxa"/>
            <w:tcBorders>
              <w:top w:val="single" w:color="000000" w:sz="6" w:space="0"/>
              <w:left w:val="single" w:color="000000" w:sz="6" w:space="0"/>
              <w:bottom w:val="single" w:color="000000" w:sz="6" w:space="0"/>
              <w:right w:val="single" w:color="000000" w:sz="6" w:space="0"/>
            </w:tcBorders>
            <w:tcMar>
              <w:top w:w="160" w:type="dxa"/>
              <w:left w:w="0" w:type="dxa"/>
              <w:bottom w:w="160" w:type="dxa"/>
              <w:right w:w="240" w:type="dxa"/>
            </w:tcMar>
          </w:tcPr>
          <w:p w14:paraId="4D052A9C">
            <w:pPr>
              <w:pStyle w:val="3"/>
              <w:spacing w:before="240" w:after="240"/>
              <w:jc w:val="center"/>
              <w:rPr>
                <w:sz w:val="24"/>
                <w:szCs w:val="24"/>
                <w:lang w:val="en-GB"/>
              </w:rPr>
            </w:pPr>
            <w:r>
              <w:rPr>
                <w:sz w:val="24"/>
                <w:szCs w:val="24"/>
                <w:lang w:val="en-GB"/>
              </w:rPr>
              <w:t>10. Applicable locally?</w:t>
            </w:r>
          </w:p>
        </w:tc>
        <w:tc>
          <w:tcPr>
            <w:tcW w:w="5557" w:type="dxa"/>
            <w:tcBorders>
              <w:top w:val="single" w:color="000000" w:sz="6" w:space="0"/>
              <w:left w:val="single" w:color="000000" w:sz="6" w:space="0"/>
              <w:bottom w:val="single" w:color="000000" w:sz="6" w:space="0"/>
              <w:right w:val="single" w:color="000000" w:sz="6" w:space="0"/>
            </w:tcBorders>
            <w:tcMar>
              <w:top w:w="160" w:type="dxa"/>
              <w:left w:w="240" w:type="dxa"/>
              <w:bottom w:w="160" w:type="dxa"/>
              <w:right w:w="0" w:type="dxa"/>
            </w:tcMar>
          </w:tcPr>
          <w:p w14:paraId="5A4071A5">
            <w:pPr>
              <w:pStyle w:val="3"/>
              <w:spacing w:before="240" w:after="240"/>
              <w:jc w:val="center"/>
              <w:rPr>
                <w:sz w:val="24"/>
                <w:szCs w:val="24"/>
                <w:lang w:val="en-GB"/>
              </w:rPr>
            </w:pPr>
            <w:r>
              <w:rPr>
                <w:sz w:val="24"/>
                <w:szCs w:val="24"/>
                <w:lang w:val="en-GB"/>
              </w:rPr>
              <w:t>No</w:t>
            </w:r>
          </w:p>
        </w:tc>
      </w:tr>
      <w:tr w14:paraId="19D8AE25">
        <w:tblPrEx>
          <w:tblCellMar>
            <w:top w:w="15" w:type="dxa"/>
            <w:left w:w="15" w:type="dxa"/>
            <w:bottom w:w="15" w:type="dxa"/>
            <w:right w:w="15" w:type="dxa"/>
          </w:tblCellMar>
        </w:tblPrEx>
        <w:trPr>
          <w:cantSplit/>
          <w:trHeight w:val="690" w:hRule="atLeast"/>
          <w:tblHeader/>
        </w:trPr>
        <w:tc>
          <w:tcPr>
            <w:tcW w:w="3717" w:type="dxa"/>
            <w:tcBorders>
              <w:top w:val="single" w:color="000000" w:sz="6" w:space="0"/>
              <w:left w:val="single" w:color="000000" w:sz="6" w:space="0"/>
              <w:bottom w:val="single" w:color="000000" w:sz="6" w:space="0"/>
              <w:right w:val="single" w:color="000000" w:sz="6" w:space="0"/>
            </w:tcBorders>
            <w:tcMar>
              <w:top w:w="160" w:type="dxa"/>
              <w:left w:w="0" w:type="dxa"/>
              <w:bottom w:w="160" w:type="dxa"/>
              <w:right w:w="240" w:type="dxa"/>
            </w:tcMar>
          </w:tcPr>
          <w:p w14:paraId="4D3E0C95">
            <w:pPr>
              <w:pStyle w:val="3"/>
              <w:spacing w:before="240" w:after="240"/>
              <w:jc w:val="center"/>
              <w:rPr>
                <w:sz w:val="24"/>
                <w:szCs w:val="24"/>
                <w:lang w:val="en-GB"/>
              </w:rPr>
            </w:pPr>
            <w:r>
              <w:rPr>
                <w:sz w:val="24"/>
                <w:szCs w:val="24"/>
                <w:lang w:val="en-GB"/>
              </w:rPr>
              <w:t>11. Fit with other evidence?</w:t>
            </w:r>
          </w:p>
        </w:tc>
        <w:tc>
          <w:tcPr>
            <w:tcW w:w="5557" w:type="dxa"/>
            <w:tcBorders>
              <w:top w:val="single" w:color="000000" w:sz="6" w:space="0"/>
              <w:left w:val="single" w:color="000000" w:sz="6" w:space="0"/>
              <w:bottom w:val="single" w:color="000000" w:sz="6" w:space="0"/>
              <w:right w:val="single" w:color="000000" w:sz="6" w:space="0"/>
            </w:tcBorders>
            <w:tcMar>
              <w:top w:w="160" w:type="dxa"/>
              <w:left w:w="240" w:type="dxa"/>
              <w:bottom w:w="160" w:type="dxa"/>
              <w:right w:w="0" w:type="dxa"/>
            </w:tcMar>
          </w:tcPr>
          <w:p w14:paraId="607594C2">
            <w:pPr>
              <w:pStyle w:val="3"/>
              <w:spacing w:before="240" w:after="240"/>
              <w:jc w:val="center"/>
              <w:rPr>
                <w:sz w:val="24"/>
                <w:szCs w:val="24"/>
                <w:lang w:val="en-GB"/>
              </w:rPr>
            </w:pPr>
            <w:r>
              <w:rPr>
                <w:sz w:val="24"/>
                <w:szCs w:val="24"/>
                <w:lang w:val="en-GB"/>
              </w:rPr>
              <w:t>Yes</w:t>
            </w:r>
          </w:p>
        </w:tc>
      </w:tr>
      <w:tr w14:paraId="6045DF4D">
        <w:tblPrEx>
          <w:tblCellMar>
            <w:top w:w="15" w:type="dxa"/>
            <w:left w:w="15" w:type="dxa"/>
            <w:bottom w:w="15" w:type="dxa"/>
            <w:right w:w="15" w:type="dxa"/>
          </w:tblCellMar>
        </w:tblPrEx>
        <w:trPr>
          <w:cantSplit/>
          <w:trHeight w:val="690" w:hRule="atLeast"/>
          <w:tblHeader/>
        </w:trPr>
        <w:tc>
          <w:tcPr>
            <w:tcW w:w="3717" w:type="dxa"/>
            <w:tcBorders>
              <w:top w:val="single" w:color="000000" w:sz="6" w:space="0"/>
              <w:left w:val="single" w:color="000000" w:sz="6" w:space="0"/>
              <w:bottom w:val="single" w:color="000000" w:sz="6" w:space="0"/>
              <w:right w:val="single" w:color="000000" w:sz="6" w:space="0"/>
            </w:tcBorders>
            <w:tcMar>
              <w:top w:w="160" w:type="dxa"/>
              <w:left w:w="0" w:type="dxa"/>
              <w:bottom w:w="160" w:type="dxa"/>
              <w:right w:w="240" w:type="dxa"/>
            </w:tcMar>
          </w:tcPr>
          <w:p w14:paraId="289D88DA">
            <w:pPr>
              <w:pStyle w:val="3"/>
              <w:spacing w:before="240" w:after="240"/>
              <w:jc w:val="center"/>
              <w:rPr>
                <w:sz w:val="24"/>
                <w:szCs w:val="24"/>
                <w:lang w:val="en-GB"/>
              </w:rPr>
            </w:pPr>
            <w:r>
              <w:rPr>
                <w:sz w:val="24"/>
                <w:szCs w:val="24"/>
                <w:lang w:val="en-GB"/>
              </w:rPr>
              <w:t>12. Implications for practice clear?</w:t>
            </w:r>
          </w:p>
        </w:tc>
        <w:tc>
          <w:tcPr>
            <w:tcW w:w="5557" w:type="dxa"/>
            <w:tcBorders>
              <w:top w:val="single" w:color="000000" w:sz="6" w:space="0"/>
              <w:left w:val="single" w:color="000000" w:sz="6" w:space="0"/>
              <w:bottom w:val="single" w:color="000000" w:sz="6" w:space="0"/>
              <w:right w:val="single" w:color="000000" w:sz="6" w:space="0"/>
            </w:tcBorders>
            <w:tcMar>
              <w:top w:w="160" w:type="dxa"/>
              <w:left w:w="240" w:type="dxa"/>
              <w:bottom w:w="160" w:type="dxa"/>
              <w:right w:w="0" w:type="dxa"/>
            </w:tcMar>
          </w:tcPr>
          <w:p w14:paraId="3E97CAA5">
            <w:pPr>
              <w:pStyle w:val="3"/>
              <w:spacing w:before="240" w:after="240"/>
              <w:jc w:val="center"/>
              <w:rPr>
                <w:sz w:val="24"/>
                <w:szCs w:val="24"/>
                <w:lang w:val="en-GB"/>
              </w:rPr>
            </w:pPr>
            <w:r>
              <w:rPr>
                <w:sz w:val="24"/>
                <w:szCs w:val="24"/>
                <w:lang w:val="en-GB"/>
              </w:rPr>
              <w:t>Yes</w:t>
            </w:r>
          </w:p>
        </w:tc>
      </w:tr>
    </w:tbl>
    <w:p w14:paraId="7394721F">
      <w:pPr>
        <w:pStyle w:val="3"/>
        <w:shd w:val="clear" w:color="auto" w:fill="FFFFFF"/>
        <w:spacing w:after="240"/>
        <w:rPr>
          <w:b/>
          <w:bCs/>
          <w:sz w:val="24"/>
          <w:szCs w:val="24"/>
          <w:lang w:val="en-GB"/>
        </w:rPr>
      </w:pPr>
    </w:p>
    <w:p w14:paraId="20EB17B5">
      <w:pPr>
        <w:widowControl/>
        <w:spacing w:line="240" w:lineRule="auto"/>
        <w:jc w:val="left"/>
        <w:rPr>
          <w:b/>
          <w:bCs/>
          <w:sz w:val="24"/>
          <w:szCs w:val="24"/>
        </w:rPr>
      </w:pPr>
      <w:r>
        <w:rPr>
          <w:b/>
          <w:bCs/>
          <w:sz w:val="24"/>
          <w:szCs w:val="24"/>
        </w:rPr>
        <w:br w:type="page"/>
      </w:r>
    </w:p>
    <w:p w14:paraId="75F94BC0">
      <w:pPr>
        <w:pStyle w:val="3"/>
        <w:shd w:val="clear" w:color="auto" w:fill="FFFFFF"/>
        <w:spacing w:after="240"/>
        <w:rPr>
          <w:sz w:val="24"/>
          <w:szCs w:val="24"/>
          <w:lang w:val="en-GB"/>
        </w:rPr>
      </w:pPr>
      <w:r>
        <w:rPr>
          <w:b/>
          <w:bCs/>
          <w:sz w:val="24"/>
          <w:szCs w:val="24"/>
          <w:lang w:val="en-GB"/>
        </w:rPr>
        <w:t>CASP Qualitative Checklist: Qualitative Component</w:t>
      </w:r>
    </w:p>
    <w:tbl>
      <w:tblPr>
        <w:tblStyle w:val="31"/>
        <w:tblW w:w="9274" w:type="dxa"/>
        <w:tblInd w:w="-7" w:type="dxa"/>
        <w:tblLayout w:type="fixed"/>
        <w:tblCellMar>
          <w:top w:w="15" w:type="dxa"/>
          <w:left w:w="15" w:type="dxa"/>
          <w:bottom w:w="15" w:type="dxa"/>
          <w:right w:w="15" w:type="dxa"/>
        </w:tblCellMar>
      </w:tblPr>
      <w:tblGrid>
        <w:gridCol w:w="7085"/>
        <w:gridCol w:w="2189"/>
      </w:tblGrid>
      <w:tr w14:paraId="423DAAB8">
        <w:tblPrEx>
          <w:tblCellMar>
            <w:top w:w="15" w:type="dxa"/>
            <w:left w:w="15" w:type="dxa"/>
            <w:bottom w:w="15" w:type="dxa"/>
            <w:right w:w="15" w:type="dxa"/>
          </w:tblCellMar>
        </w:tblPrEx>
        <w:trPr>
          <w:cantSplit/>
          <w:trHeight w:val="690" w:hRule="atLeast"/>
          <w:tblHeader/>
        </w:trPr>
        <w:tc>
          <w:tcPr>
            <w:tcW w:w="7085" w:type="dxa"/>
            <w:tcBorders>
              <w:top w:val="single" w:color="000000" w:sz="6" w:space="0"/>
              <w:left w:val="single" w:color="000000" w:sz="6" w:space="0"/>
              <w:bottom w:val="single" w:color="000000" w:sz="6" w:space="0"/>
              <w:right w:val="single" w:color="000000" w:sz="6" w:space="0"/>
            </w:tcBorders>
            <w:tcMar>
              <w:top w:w="160" w:type="dxa"/>
              <w:left w:w="0" w:type="dxa"/>
              <w:bottom w:w="160" w:type="dxa"/>
              <w:right w:w="240" w:type="dxa"/>
            </w:tcMar>
          </w:tcPr>
          <w:p w14:paraId="77DBEC26">
            <w:pPr>
              <w:pStyle w:val="3"/>
              <w:spacing w:before="240" w:after="240"/>
              <w:jc w:val="center"/>
              <w:rPr>
                <w:sz w:val="24"/>
                <w:szCs w:val="24"/>
                <w:lang w:val="en-GB"/>
              </w:rPr>
            </w:pPr>
            <w:r>
              <w:rPr>
                <w:b/>
                <w:bCs/>
                <w:sz w:val="24"/>
                <w:szCs w:val="24"/>
                <w:lang w:val="en-GB"/>
              </w:rPr>
              <w:t>CASP Question</w:t>
            </w:r>
          </w:p>
        </w:tc>
        <w:tc>
          <w:tcPr>
            <w:tcW w:w="2189" w:type="dxa"/>
            <w:tcBorders>
              <w:top w:val="single" w:color="000000" w:sz="6" w:space="0"/>
              <w:left w:val="single" w:color="000000" w:sz="6" w:space="0"/>
              <w:bottom w:val="single" w:color="000000" w:sz="6" w:space="0"/>
              <w:right w:val="single" w:color="000000" w:sz="6" w:space="0"/>
            </w:tcBorders>
            <w:tcMar>
              <w:top w:w="160" w:type="dxa"/>
              <w:left w:w="240" w:type="dxa"/>
              <w:bottom w:w="160" w:type="dxa"/>
              <w:right w:w="240" w:type="dxa"/>
            </w:tcMar>
          </w:tcPr>
          <w:p w14:paraId="4AFF611E">
            <w:pPr>
              <w:pStyle w:val="3"/>
              <w:spacing w:before="240" w:after="240"/>
              <w:jc w:val="center"/>
              <w:rPr>
                <w:sz w:val="24"/>
                <w:szCs w:val="24"/>
                <w:lang w:val="en-GB"/>
              </w:rPr>
            </w:pPr>
            <w:r>
              <w:rPr>
                <w:b/>
                <w:bCs/>
                <w:sz w:val="24"/>
                <w:szCs w:val="24"/>
                <w:lang w:val="en-GB"/>
              </w:rPr>
              <w:t>Beattie et al. (2023)</w:t>
            </w:r>
          </w:p>
        </w:tc>
      </w:tr>
      <w:tr w14:paraId="209B8912">
        <w:tblPrEx>
          <w:tblCellMar>
            <w:top w:w="15" w:type="dxa"/>
            <w:left w:w="15" w:type="dxa"/>
            <w:bottom w:w="15" w:type="dxa"/>
            <w:right w:w="15" w:type="dxa"/>
          </w:tblCellMar>
        </w:tblPrEx>
        <w:trPr>
          <w:cantSplit/>
          <w:trHeight w:val="690" w:hRule="atLeast"/>
          <w:tblHeader/>
        </w:trPr>
        <w:tc>
          <w:tcPr>
            <w:tcW w:w="7085" w:type="dxa"/>
            <w:tcBorders>
              <w:top w:val="single" w:color="000000" w:sz="6" w:space="0"/>
              <w:left w:val="single" w:color="000000" w:sz="6" w:space="0"/>
              <w:bottom w:val="single" w:color="000000" w:sz="6" w:space="0"/>
              <w:right w:val="single" w:color="000000" w:sz="6" w:space="0"/>
            </w:tcBorders>
            <w:tcMar>
              <w:top w:w="160" w:type="dxa"/>
              <w:left w:w="0" w:type="dxa"/>
              <w:bottom w:w="160" w:type="dxa"/>
              <w:right w:w="240" w:type="dxa"/>
            </w:tcMar>
          </w:tcPr>
          <w:p w14:paraId="52CB211F">
            <w:pPr>
              <w:pStyle w:val="3"/>
              <w:spacing w:before="240" w:after="240"/>
              <w:jc w:val="center"/>
              <w:rPr>
                <w:sz w:val="24"/>
                <w:szCs w:val="24"/>
                <w:lang w:val="en-GB"/>
              </w:rPr>
            </w:pPr>
            <w:r>
              <w:rPr>
                <w:sz w:val="24"/>
                <w:szCs w:val="24"/>
                <w:lang w:val="en-GB"/>
              </w:rPr>
              <w:t>1. Was there a clear statement of the aims of the research?</w:t>
            </w:r>
          </w:p>
        </w:tc>
        <w:tc>
          <w:tcPr>
            <w:tcW w:w="2189" w:type="dxa"/>
            <w:tcBorders>
              <w:top w:val="single" w:color="000000" w:sz="6" w:space="0"/>
              <w:left w:val="single" w:color="000000" w:sz="6" w:space="0"/>
              <w:bottom w:val="single" w:color="000000" w:sz="6" w:space="0"/>
              <w:right w:val="single" w:color="000000" w:sz="6" w:space="0"/>
            </w:tcBorders>
            <w:tcMar>
              <w:top w:w="160" w:type="dxa"/>
              <w:left w:w="240" w:type="dxa"/>
              <w:bottom w:w="160" w:type="dxa"/>
              <w:right w:w="0" w:type="dxa"/>
            </w:tcMar>
          </w:tcPr>
          <w:p w14:paraId="55C278A7">
            <w:pPr>
              <w:pStyle w:val="3"/>
              <w:spacing w:before="240" w:after="240"/>
              <w:jc w:val="center"/>
              <w:rPr>
                <w:sz w:val="24"/>
                <w:szCs w:val="24"/>
                <w:lang w:val="en-GB"/>
              </w:rPr>
            </w:pPr>
            <w:r>
              <w:rPr>
                <w:sz w:val="24"/>
                <w:szCs w:val="24"/>
                <w:lang w:val="en-GB"/>
              </w:rPr>
              <w:t>Yes</w:t>
            </w:r>
          </w:p>
        </w:tc>
      </w:tr>
      <w:tr w14:paraId="336362F4">
        <w:tblPrEx>
          <w:tblCellMar>
            <w:top w:w="15" w:type="dxa"/>
            <w:left w:w="15" w:type="dxa"/>
            <w:bottom w:w="15" w:type="dxa"/>
            <w:right w:w="15" w:type="dxa"/>
          </w:tblCellMar>
        </w:tblPrEx>
        <w:trPr>
          <w:cantSplit/>
          <w:trHeight w:val="690" w:hRule="atLeast"/>
          <w:tblHeader/>
        </w:trPr>
        <w:tc>
          <w:tcPr>
            <w:tcW w:w="7085" w:type="dxa"/>
            <w:tcBorders>
              <w:top w:val="single" w:color="000000" w:sz="6" w:space="0"/>
              <w:left w:val="single" w:color="000000" w:sz="6" w:space="0"/>
              <w:bottom w:val="single" w:color="000000" w:sz="6" w:space="0"/>
              <w:right w:val="single" w:color="000000" w:sz="6" w:space="0"/>
            </w:tcBorders>
            <w:tcMar>
              <w:top w:w="160" w:type="dxa"/>
              <w:left w:w="0" w:type="dxa"/>
              <w:bottom w:w="160" w:type="dxa"/>
              <w:right w:w="240" w:type="dxa"/>
            </w:tcMar>
          </w:tcPr>
          <w:p w14:paraId="09E62852">
            <w:pPr>
              <w:pStyle w:val="3"/>
              <w:spacing w:before="240" w:after="240"/>
              <w:jc w:val="center"/>
              <w:rPr>
                <w:sz w:val="24"/>
                <w:szCs w:val="24"/>
                <w:lang w:val="en-GB"/>
              </w:rPr>
            </w:pPr>
            <w:r>
              <w:rPr>
                <w:sz w:val="24"/>
                <w:szCs w:val="24"/>
                <w:lang w:val="en-GB"/>
              </w:rPr>
              <w:t>2. Is a qualitative methodology appropriate?</w:t>
            </w:r>
          </w:p>
        </w:tc>
        <w:tc>
          <w:tcPr>
            <w:tcW w:w="2189" w:type="dxa"/>
            <w:tcBorders>
              <w:top w:val="single" w:color="000000" w:sz="6" w:space="0"/>
              <w:left w:val="single" w:color="000000" w:sz="6" w:space="0"/>
              <w:bottom w:val="single" w:color="000000" w:sz="6" w:space="0"/>
              <w:right w:val="single" w:color="000000" w:sz="6" w:space="0"/>
            </w:tcBorders>
            <w:tcMar>
              <w:top w:w="160" w:type="dxa"/>
              <w:left w:w="240" w:type="dxa"/>
              <w:bottom w:w="160" w:type="dxa"/>
              <w:right w:w="0" w:type="dxa"/>
            </w:tcMar>
          </w:tcPr>
          <w:p w14:paraId="5DA58EC7">
            <w:pPr>
              <w:pStyle w:val="3"/>
              <w:spacing w:before="240" w:after="240"/>
              <w:jc w:val="center"/>
              <w:rPr>
                <w:sz w:val="24"/>
                <w:szCs w:val="24"/>
                <w:lang w:val="en-GB"/>
              </w:rPr>
            </w:pPr>
            <w:r>
              <w:rPr>
                <w:sz w:val="24"/>
                <w:szCs w:val="24"/>
                <w:lang w:val="en-GB"/>
              </w:rPr>
              <w:t>Yes</w:t>
            </w:r>
          </w:p>
        </w:tc>
      </w:tr>
      <w:tr w14:paraId="215F4F14">
        <w:tblPrEx>
          <w:tblCellMar>
            <w:top w:w="15" w:type="dxa"/>
            <w:left w:w="15" w:type="dxa"/>
            <w:bottom w:w="15" w:type="dxa"/>
            <w:right w:w="15" w:type="dxa"/>
          </w:tblCellMar>
        </w:tblPrEx>
        <w:trPr>
          <w:cantSplit/>
          <w:trHeight w:val="1065" w:hRule="atLeast"/>
          <w:tblHeader/>
        </w:trPr>
        <w:tc>
          <w:tcPr>
            <w:tcW w:w="7085" w:type="dxa"/>
            <w:tcBorders>
              <w:top w:val="single" w:color="000000" w:sz="6" w:space="0"/>
              <w:left w:val="single" w:color="000000" w:sz="6" w:space="0"/>
              <w:bottom w:val="single" w:color="000000" w:sz="6" w:space="0"/>
              <w:right w:val="single" w:color="000000" w:sz="6" w:space="0"/>
            </w:tcBorders>
            <w:tcMar>
              <w:top w:w="160" w:type="dxa"/>
              <w:left w:w="0" w:type="dxa"/>
              <w:bottom w:w="160" w:type="dxa"/>
              <w:right w:w="240" w:type="dxa"/>
            </w:tcMar>
          </w:tcPr>
          <w:p w14:paraId="06D7EB62">
            <w:pPr>
              <w:pStyle w:val="3"/>
              <w:spacing w:before="240" w:after="240"/>
              <w:jc w:val="center"/>
              <w:rPr>
                <w:sz w:val="24"/>
                <w:szCs w:val="24"/>
                <w:lang w:val="en-GB"/>
              </w:rPr>
            </w:pPr>
            <w:r>
              <w:rPr>
                <w:sz w:val="24"/>
                <w:szCs w:val="24"/>
                <w:lang w:val="en-GB"/>
              </w:rPr>
              <w:t>3. Was the research design appropriate to address the aims of the research?</w:t>
            </w:r>
          </w:p>
        </w:tc>
        <w:tc>
          <w:tcPr>
            <w:tcW w:w="2189" w:type="dxa"/>
            <w:tcBorders>
              <w:top w:val="single" w:color="000000" w:sz="6" w:space="0"/>
              <w:left w:val="single" w:color="000000" w:sz="6" w:space="0"/>
              <w:bottom w:val="single" w:color="000000" w:sz="6" w:space="0"/>
              <w:right w:val="single" w:color="000000" w:sz="6" w:space="0"/>
            </w:tcBorders>
            <w:tcMar>
              <w:top w:w="160" w:type="dxa"/>
              <w:left w:w="240" w:type="dxa"/>
              <w:bottom w:w="160" w:type="dxa"/>
              <w:right w:w="0" w:type="dxa"/>
            </w:tcMar>
          </w:tcPr>
          <w:p w14:paraId="246DBFAE">
            <w:pPr>
              <w:pStyle w:val="3"/>
              <w:spacing w:before="240" w:after="240"/>
              <w:jc w:val="center"/>
              <w:rPr>
                <w:sz w:val="24"/>
                <w:szCs w:val="24"/>
                <w:lang w:val="en-GB"/>
              </w:rPr>
            </w:pPr>
            <w:r>
              <w:rPr>
                <w:sz w:val="24"/>
                <w:szCs w:val="24"/>
                <w:lang w:val="en-GB"/>
              </w:rPr>
              <w:t>Yes</w:t>
            </w:r>
          </w:p>
        </w:tc>
      </w:tr>
      <w:tr w14:paraId="5F6AE137">
        <w:tblPrEx>
          <w:tblCellMar>
            <w:top w:w="15" w:type="dxa"/>
            <w:left w:w="15" w:type="dxa"/>
            <w:bottom w:w="15" w:type="dxa"/>
            <w:right w:w="15" w:type="dxa"/>
          </w:tblCellMar>
        </w:tblPrEx>
        <w:trPr>
          <w:cantSplit/>
          <w:trHeight w:val="1065" w:hRule="atLeast"/>
          <w:tblHeader/>
        </w:trPr>
        <w:tc>
          <w:tcPr>
            <w:tcW w:w="7085" w:type="dxa"/>
            <w:tcBorders>
              <w:top w:val="single" w:color="000000" w:sz="6" w:space="0"/>
              <w:left w:val="single" w:color="000000" w:sz="6" w:space="0"/>
              <w:bottom w:val="single" w:color="000000" w:sz="6" w:space="0"/>
              <w:right w:val="single" w:color="000000" w:sz="6" w:space="0"/>
            </w:tcBorders>
            <w:tcMar>
              <w:top w:w="160" w:type="dxa"/>
              <w:left w:w="0" w:type="dxa"/>
              <w:bottom w:w="160" w:type="dxa"/>
              <w:right w:w="240" w:type="dxa"/>
            </w:tcMar>
          </w:tcPr>
          <w:p w14:paraId="60697613">
            <w:pPr>
              <w:pStyle w:val="3"/>
              <w:spacing w:before="240" w:after="240"/>
              <w:jc w:val="center"/>
              <w:rPr>
                <w:sz w:val="24"/>
                <w:szCs w:val="24"/>
                <w:lang w:val="en-GB"/>
              </w:rPr>
            </w:pPr>
            <w:r>
              <w:rPr>
                <w:sz w:val="24"/>
                <w:szCs w:val="24"/>
                <w:lang w:val="en-GB"/>
              </w:rPr>
              <w:t>4. Was the recruitment strategy appropriate to the aims of the research?</w:t>
            </w:r>
          </w:p>
        </w:tc>
        <w:tc>
          <w:tcPr>
            <w:tcW w:w="2189" w:type="dxa"/>
            <w:tcBorders>
              <w:top w:val="single" w:color="000000" w:sz="6" w:space="0"/>
              <w:left w:val="single" w:color="000000" w:sz="6" w:space="0"/>
              <w:bottom w:val="single" w:color="000000" w:sz="6" w:space="0"/>
              <w:right w:val="single" w:color="000000" w:sz="6" w:space="0"/>
            </w:tcBorders>
            <w:tcMar>
              <w:top w:w="160" w:type="dxa"/>
              <w:left w:w="240" w:type="dxa"/>
              <w:bottom w:w="160" w:type="dxa"/>
              <w:right w:w="0" w:type="dxa"/>
            </w:tcMar>
          </w:tcPr>
          <w:p w14:paraId="48E39F81">
            <w:pPr>
              <w:pStyle w:val="3"/>
              <w:spacing w:before="240" w:after="240"/>
              <w:jc w:val="center"/>
              <w:rPr>
                <w:sz w:val="24"/>
                <w:szCs w:val="24"/>
                <w:lang w:val="en-GB"/>
              </w:rPr>
            </w:pPr>
            <w:r>
              <w:rPr>
                <w:sz w:val="24"/>
                <w:szCs w:val="24"/>
                <w:lang w:val="en-GB"/>
              </w:rPr>
              <w:t>Yes</w:t>
            </w:r>
          </w:p>
        </w:tc>
      </w:tr>
      <w:tr w14:paraId="11DFA783">
        <w:tblPrEx>
          <w:tblCellMar>
            <w:top w:w="15" w:type="dxa"/>
            <w:left w:w="15" w:type="dxa"/>
            <w:bottom w:w="15" w:type="dxa"/>
            <w:right w:w="15" w:type="dxa"/>
          </w:tblCellMar>
        </w:tblPrEx>
        <w:trPr>
          <w:cantSplit/>
          <w:trHeight w:val="1065" w:hRule="atLeast"/>
          <w:tblHeader/>
        </w:trPr>
        <w:tc>
          <w:tcPr>
            <w:tcW w:w="7085" w:type="dxa"/>
            <w:tcBorders>
              <w:top w:val="single" w:color="000000" w:sz="6" w:space="0"/>
              <w:left w:val="single" w:color="000000" w:sz="6" w:space="0"/>
              <w:bottom w:val="single" w:color="000000" w:sz="6" w:space="0"/>
              <w:right w:val="single" w:color="000000" w:sz="6" w:space="0"/>
            </w:tcBorders>
            <w:tcMar>
              <w:top w:w="160" w:type="dxa"/>
              <w:left w:w="0" w:type="dxa"/>
              <w:bottom w:w="160" w:type="dxa"/>
              <w:right w:w="240" w:type="dxa"/>
            </w:tcMar>
          </w:tcPr>
          <w:p w14:paraId="224EF484">
            <w:pPr>
              <w:pStyle w:val="3"/>
              <w:spacing w:before="240" w:after="240"/>
              <w:jc w:val="center"/>
              <w:rPr>
                <w:sz w:val="24"/>
                <w:szCs w:val="24"/>
                <w:lang w:val="en-GB"/>
              </w:rPr>
            </w:pPr>
            <w:r>
              <w:rPr>
                <w:sz w:val="24"/>
                <w:szCs w:val="24"/>
                <w:lang w:val="en-GB"/>
              </w:rPr>
              <w:t>5. Was the data collected in a way that addressed the research issue?</w:t>
            </w:r>
          </w:p>
        </w:tc>
        <w:tc>
          <w:tcPr>
            <w:tcW w:w="2189" w:type="dxa"/>
            <w:tcBorders>
              <w:top w:val="single" w:color="000000" w:sz="6" w:space="0"/>
              <w:left w:val="single" w:color="000000" w:sz="6" w:space="0"/>
              <w:bottom w:val="single" w:color="000000" w:sz="6" w:space="0"/>
              <w:right w:val="single" w:color="000000" w:sz="6" w:space="0"/>
            </w:tcBorders>
            <w:tcMar>
              <w:top w:w="160" w:type="dxa"/>
              <w:left w:w="240" w:type="dxa"/>
              <w:bottom w:w="160" w:type="dxa"/>
              <w:right w:w="0" w:type="dxa"/>
            </w:tcMar>
          </w:tcPr>
          <w:p w14:paraId="4A073741">
            <w:pPr>
              <w:pStyle w:val="3"/>
              <w:spacing w:before="240" w:after="240"/>
              <w:jc w:val="center"/>
              <w:rPr>
                <w:sz w:val="24"/>
                <w:szCs w:val="24"/>
                <w:lang w:val="en-GB"/>
              </w:rPr>
            </w:pPr>
            <w:r>
              <w:rPr>
                <w:sz w:val="24"/>
                <w:szCs w:val="24"/>
                <w:lang w:val="en-GB"/>
              </w:rPr>
              <w:t>Yes</w:t>
            </w:r>
          </w:p>
        </w:tc>
      </w:tr>
      <w:tr w14:paraId="1E55C0D8">
        <w:tblPrEx>
          <w:tblCellMar>
            <w:top w:w="15" w:type="dxa"/>
            <w:left w:w="15" w:type="dxa"/>
            <w:bottom w:w="15" w:type="dxa"/>
            <w:right w:w="15" w:type="dxa"/>
          </w:tblCellMar>
        </w:tblPrEx>
        <w:trPr>
          <w:cantSplit/>
          <w:trHeight w:val="1065" w:hRule="atLeast"/>
          <w:tblHeader/>
        </w:trPr>
        <w:tc>
          <w:tcPr>
            <w:tcW w:w="7085" w:type="dxa"/>
            <w:tcBorders>
              <w:top w:val="single" w:color="000000" w:sz="6" w:space="0"/>
              <w:left w:val="single" w:color="000000" w:sz="6" w:space="0"/>
              <w:bottom w:val="single" w:color="000000" w:sz="6" w:space="0"/>
              <w:right w:val="single" w:color="000000" w:sz="6" w:space="0"/>
            </w:tcBorders>
            <w:tcMar>
              <w:top w:w="160" w:type="dxa"/>
              <w:left w:w="0" w:type="dxa"/>
              <w:bottom w:w="160" w:type="dxa"/>
              <w:right w:w="240" w:type="dxa"/>
            </w:tcMar>
          </w:tcPr>
          <w:p w14:paraId="4C29F979">
            <w:pPr>
              <w:pStyle w:val="3"/>
              <w:spacing w:before="240" w:after="240"/>
              <w:jc w:val="center"/>
              <w:rPr>
                <w:sz w:val="24"/>
                <w:szCs w:val="24"/>
                <w:lang w:val="en-GB"/>
              </w:rPr>
            </w:pPr>
            <w:r>
              <w:rPr>
                <w:sz w:val="24"/>
                <w:szCs w:val="24"/>
                <w:lang w:val="en-GB"/>
              </w:rPr>
              <w:t>6. Has the relationship between researcher and participants been adequately considered?</w:t>
            </w:r>
          </w:p>
        </w:tc>
        <w:tc>
          <w:tcPr>
            <w:tcW w:w="2189" w:type="dxa"/>
            <w:tcBorders>
              <w:top w:val="single" w:color="000000" w:sz="6" w:space="0"/>
              <w:left w:val="single" w:color="000000" w:sz="6" w:space="0"/>
              <w:bottom w:val="single" w:color="000000" w:sz="6" w:space="0"/>
              <w:right w:val="single" w:color="000000" w:sz="6" w:space="0"/>
            </w:tcBorders>
            <w:tcMar>
              <w:top w:w="160" w:type="dxa"/>
              <w:left w:w="240" w:type="dxa"/>
              <w:bottom w:w="160" w:type="dxa"/>
              <w:right w:w="0" w:type="dxa"/>
            </w:tcMar>
          </w:tcPr>
          <w:p w14:paraId="0154693C">
            <w:pPr>
              <w:pStyle w:val="3"/>
              <w:spacing w:before="240" w:after="240"/>
              <w:jc w:val="center"/>
              <w:rPr>
                <w:sz w:val="24"/>
                <w:szCs w:val="24"/>
                <w:lang w:val="en-GB"/>
              </w:rPr>
            </w:pPr>
            <w:r>
              <w:rPr>
                <w:sz w:val="24"/>
                <w:szCs w:val="24"/>
                <w:lang w:val="en-GB"/>
              </w:rPr>
              <w:t>No</w:t>
            </w:r>
          </w:p>
        </w:tc>
      </w:tr>
      <w:tr w14:paraId="336ABD2A">
        <w:tblPrEx>
          <w:tblCellMar>
            <w:top w:w="15" w:type="dxa"/>
            <w:left w:w="15" w:type="dxa"/>
            <w:bottom w:w="15" w:type="dxa"/>
            <w:right w:w="15" w:type="dxa"/>
          </w:tblCellMar>
        </w:tblPrEx>
        <w:trPr>
          <w:cantSplit/>
          <w:trHeight w:val="690" w:hRule="atLeast"/>
          <w:tblHeader/>
        </w:trPr>
        <w:tc>
          <w:tcPr>
            <w:tcW w:w="7085" w:type="dxa"/>
            <w:tcBorders>
              <w:top w:val="single" w:color="000000" w:sz="6" w:space="0"/>
              <w:left w:val="single" w:color="000000" w:sz="6" w:space="0"/>
              <w:bottom w:val="single" w:color="000000" w:sz="6" w:space="0"/>
              <w:right w:val="single" w:color="000000" w:sz="6" w:space="0"/>
            </w:tcBorders>
            <w:tcMar>
              <w:top w:w="160" w:type="dxa"/>
              <w:left w:w="0" w:type="dxa"/>
              <w:bottom w:w="160" w:type="dxa"/>
              <w:right w:w="240" w:type="dxa"/>
            </w:tcMar>
          </w:tcPr>
          <w:p w14:paraId="5AD3F217">
            <w:pPr>
              <w:pStyle w:val="3"/>
              <w:spacing w:before="240" w:after="240"/>
              <w:jc w:val="center"/>
              <w:rPr>
                <w:sz w:val="24"/>
                <w:szCs w:val="24"/>
                <w:lang w:val="en-GB"/>
              </w:rPr>
            </w:pPr>
            <w:r>
              <w:rPr>
                <w:sz w:val="24"/>
                <w:szCs w:val="24"/>
                <w:lang w:val="en-GB"/>
              </w:rPr>
              <w:t>7. Have ethical issues been taken into consideration?</w:t>
            </w:r>
          </w:p>
        </w:tc>
        <w:tc>
          <w:tcPr>
            <w:tcW w:w="2189" w:type="dxa"/>
            <w:tcBorders>
              <w:top w:val="single" w:color="000000" w:sz="6" w:space="0"/>
              <w:left w:val="single" w:color="000000" w:sz="6" w:space="0"/>
              <w:bottom w:val="single" w:color="000000" w:sz="6" w:space="0"/>
              <w:right w:val="single" w:color="000000" w:sz="6" w:space="0"/>
            </w:tcBorders>
            <w:tcMar>
              <w:top w:w="160" w:type="dxa"/>
              <w:left w:w="240" w:type="dxa"/>
              <w:bottom w:w="160" w:type="dxa"/>
              <w:right w:w="0" w:type="dxa"/>
            </w:tcMar>
          </w:tcPr>
          <w:p w14:paraId="0FFB369C">
            <w:pPr>
              <w:pStyle w:val="3"/>
              <w:spacing w:before="240" w:after="240"/>
              <w:jc w:val="center"/>
              <w:rPr>
                <w:sz w:val="24"/>
                <w:szCs w:val="24"/>
                <w:lang w:val="en-GB"/>
              </w:rPr>
            </w:pPr>
            <w:r>
              <w:rPr>
                <w:sz w:val="24"/>
                <w:szCs w:val="24"/>
                <w:lang w:val="en-GB"/>
              </w:rPr>
              <w:t>Yes</w:t>
            </w:r>
          </w:p>
        </w:tc>
      </w:tr>
      <w:tr w14:paraId="34947426">
        <w:tblPrEx>
          <w:tblCellMar>
            <w:top w:w="15" w:type="dxa"/>
            <w:left w:w="15" w:type="dxa"/>
            <w:bottom w:w="15" w:type="dxa"/>
            <w:right w:w="15" w:type="dxa"/>
          </w:tblCellMar>
        </w:tblPrEx>
        <w:trPr>
          <w:cantSplit/>
          <w:trHeight w:val="690" w:hRule="atLeast"/>
          <w:tblHeader/>
        </w:trPr>
        <w:tc>
          <w:tcPr>
            <w:tcW w:w="7085" w:type="dxa"/>
            <w:tcBorders>
              <w:top w:val="single" w:color="000000" w:sz="6" w:space="0"/>
              <w:left w:val="single" w:color="000000" w:sz="6" w:space="0"/>
              <w:bottom w:val="single" w:color="000000" w:sz="6" w:space="0"/>
              <w:right w:val="single" w:color="000000" w:sz="6" w:space="0"/>
            </w:tcBorders>
            <w:tcMar>
              <w:top w:w="160" w:type="dxa"/>
              <w:left w:w="0" w:type="dxa"/>
              <w:bottom w:w="160" w:type="dxa"/>
              <w:right w:w="240" w:type="dxa"/>
            </w:tcMar>
          </w:tcPr>
          <w:p w14:paraId="20E7BA78">
            <w:pPr>
              <w:pStyle w:val="3"/>
              <w:spacing w:before="240" w:after="240"/>
              <w:jc w:val="center"/>
              <w:rPr>
                <w:sz w:val="24"/>
                <w:szCs w:val="24"/>
                <w:lang w:val="en-GB"/>
              </w:rPr>
            </w:pPr>
            <w:r>
              <w:rPr>
                <w:sz w:val="24"/>
                <w:szCs w:val="24"/>
                <w:lang w:val="en-GB"/>
              </w:rPr>
              <w:t>8. Was the data analysis sufficiently rigorous?</w:t>
            </w:r>
          </w:p>
        </w:tc>
        <w:tc>
          <w:tcPr>
            <w:tcW w:w="2189" w:type="dxa"/>
            <w:tcBorders>
              <w:top w:val="single" w:color="000000" w:sz="6" w:space="0"/>
              <w:left w:val="single" w:color="000000" w:sz="6" w:space="0"/>
              <w:bottom w:val="single" w:color="000000" w:sz="6" w:space="0"/>
              <w:right w:val="single" w:color="000000" w:sz="6" w:space="0"/>
            </w:tcBorders>
            <w:tcMar>
              <w:top w:w="160" w:type="dxa"/>
              <w:left w:w="240" w:type="dxa"/>
              <w:bottom w:w="160" w:type="dxa"/>
              <w:right w:w="0" w:type="dxa"/>
            </w:tcMar>
          </w:tcPr>
          <w:p w14:paraId="74E948A2">
            <w:pPr>
              <w:pStyle w:val="3"/>
              <w:spacing w:before="240" w:after="240"/>
              <w:jc w:val="center"/>
              <w:rPr>
                <w:sz w:val="24"/>
                <w:szCs w:val="24"/>
                <w:lang w:val="en-GB"/>
              </w:rPr>
            </w:pPr>
            <w:r>
              <w:rPr>
                <w:sz w:val="24"/>
                <w:szCs w:val="24"/>
                <w:lang w:val="en-GB"/>
              </w:rPr>
              <w:t>Yes</w:t>
            </w:r>
          </w:p>
        </w:tc>
      </w:tr>
      <w:tr w14:paraId="52EC0E8D">
        <w:tblPrEx>
          <w:tblCellMar>
            <w:top w:w="15" w:type="dxa"/>
            <w:left w:w="15" w:type="dxa"/>
            <w:bottom w:w="15" w:type="dxa"/>
            <w:right w:w="15" w:type="dxa"/>
          </w:tblCellMar>
        </w:tblPrEx>
        <w:trPr>
          <w:cantSplit/>
          <w:trHeight w:val="690" w:hRule="atLeast"/>
          <w:tblHeader/>
        </w:trPr>
        <w:tc>
          <w:tcPr>
            <w:tcW w:w="7085" w:type="dxa"/>
            <w:tcBorders>
              <w:top w:val="single" w:color="000000" w:sz="6" w:space="0"/>
              <w:left w:val="single" w:color="000000" w:sz="6" w:space="0"/>
              <w:bottom w:val="single" w:color="000000" w:sz="6" w:space="0"/>
              <w:right w:val="single" w:color="000000" w:sz="6" w:space="0"/>
            </w:tcBorders>
            <w:tcMar>
              <w:top w:w="160" w:type="dxa"/>
              <w:left w:w="0" w:type="dxa"/>
              <w:bottom w:w="160" w:type="dxa"/>
              <w:right w:w="240" w:type="dxa"/>
            </w:tcMar>
          </w:tcPr>
          <w:p w14:paraId="3E38B50A">
            <w:pPr>
              <w:pStyle w:val="3"/>
              <w:spacing w:before="240" w:after="240"/>
              <w:jc w:val="center"/>
              <w:rPr>
                <w:sz w:val="24"/>
                <w:szCs w:val="24"/>
                <w:lang w:val="en-GB"/>
              </w:rPr>
            </w:pPr>
            <w:r>
              <w:rPr>
                <w:sz w:val="24"/>
                <w:szCs w:val="24"/>
                <w:lang w:val="en-GB"/>
              </w:rPr>
              <w:t>9. Is there a clear statement of findings?</w:t>
            </w:r>
          </w:p>
        </w:tc>
        <w:tc>
          <w:tcPr>
            <w:tcW w:w="2189" w:type="dxa"/>
            <w:tcBorders>
              <w:top w:val="single" w:color="000000" w:sz="6" w:space="0"/>
              <w:left w:val="single" w:color="000000" w:sz="6" w:space="0"/>
              <w:bottom w:val="single" w:color="000000" w:sz="6" w:space="0"/>
              <w:right w:val="single" w:color="000000" w:sz="6" w:space="0"/>
            </w:tcBorders>
            <w:tcMar>
              <w:top w:w="160" w:type="dxa"/>
              <w:left w:w="240" w:type="dxa"/>
              <w:bottom w:w="160" w:type="dxa"/>
              <w:right w:w="0" w:type="dxa"/>
            </w:tcMar>
          </w:tcPr>
          <w:p w14:paraId="2086154E">
            <w:pPr>
              <w:pStyle w:val="3"/>
              <w:spacing w:before="240" w:after="240"/>
              <w:jc w:val="center"/>
              <w:rPr>
                <w:sz w:val="24"/>
                <w:szCs w:val="24"/>
                <w:lang w:val="en-GB"/>
              </w:rPr>
            </w:pPr>
            <w:r>
              <w:rPr>
                <w:sz w:val="24"/>
                <w:szCs w:val="24"/>
                <w:lang w:val="en-GB"/>
              </w:rPr>
              <w:t>Yes</w:t>
            </w:r>
          </w:p>
        </w:tc>
      </w:tr>
      <w:tr w14:paraId="3CBC8E06">
        <w:tblPrEx>
          <w:tblCellMar>
            <w:top w:w="15" w:type="dxa"/>
            <w:left w:w="15" w:type="dxa"/>
            <w:bottom w:w="15" w:type="dxa"/>
            <w:right w:w="15" w:type="dxa"/>
          </w:tblCellMar>
        </w:tblPrEx>
        <w:trPr>
          <w:cantSplit/>
          <w:trHeight w:val="690" w:hRule="atLeast"/>
          <w:tblHeader/>
        </w:trPr>
        <w:tc>
          <w:tcPr>
            <w:tcW w:w="7085" w:type="dxa"/>
            <w:tcBorders>
              <w:top w:val="single" w:color="000000" w:sz="6" w:space="0"/>
              <w:left w:val="single" w:color="000000" w:sz="6" w:space="0"/>
              <w:bottom w:val="single" w:color="000000" w:sz="6" w:space="0"/>
              <w:right w:val="single" w:color="000000" w:sz="6" w:space="0"/>
            </w:tcBorders>
            <w:tcMar>
              <w:top w:w="160" w:type="dxa"/>
              <w:left w:w="0" w:type="dxa"/>
              <w:bottom w:w="160" w:type="dxa"/>
              <w:right w:w="240" w:type="dxa"/>
            </w:tcMar>
          </w:tcPr>
          <w:p w14:paraId="44F7206C">
            <w:pPr>
              <w:pStyle w:val="3"/>
              <w:spacing w:before="240" w:after="240"/>
              <w:jc w:val="center"/>
              <w:rPr>
                <w:sz w:val="24"/>
                <w:szCs w:val="24"/>
                <w:lang w:val="en-GB"/>
              </w:rPr>
            </w:pPr>
            <w:r>
              <w:rPr>
                <w:sz w:val="24"/>
                <w:szCs w:val="24"/>
                <w:lang w:val="en-GB"/>
              </w:rPr>
              <w:t>10. How valuable is the research?</w:t>
            </w:r>
          </w:p>
        </w:tc>
        <w:tc>
          <w:tcPr>
            <w:tcW w:w="2189" w:type="dxa"/>
            <w:tcBorders>
              <w:top w:val="single" w:color="000000" w:sz="6" w:space="0"/>
              <w:left w:val="single" w:color="000000" w:sz="6" w:space="0"/>
              <w:bottom w:val="single" w:color="000000" w:sz="6" w:space="0"/>
              <w:right w:val="single" w:color="000000" w:sz="6" w:space="0"/>
            </w:tcBorders>
            <w:tcMar>
              <w:top w:w="160" w:type="dxa"/>
              <w:left w:w="240" w:type="dxa"/>
              <w:bottom w:w="160" w:type="dxa"/>
              <w:right w:w="0" w:type="dxa"/>
            </w:tcMar>
          </w:tcPr>
          <w:p w14:paraId="57A3A9F9">
            <w:pPr>
              <w:pStyle w:val="3"/>
              <w:spacing w:before="240" w:after="240"/>
              <w:jc w:val="center"/>
              <w:rPr>
                <w:sz w:val="24"/>
                <w:szCs w:val="24"/>
                <w:lang w:val="en-GB"/>
              </w:rPr>
            </w:pPr>
            <w:r>
              <w:rPr>
                <w:sz w:val="24"/>
                <w:szCs w:val="24"/>
                <w:lang w:val="en-GB"/>
              </w:rPr>
              <w:t>Yes</w:t>
            </w:r>
          </w:p>
        </w:tc>
      </w:tr>
    </w:tbl>
    <w:p w14:paraId="28A14A7B">
      <w:pPr>
        <w:pStyle w:val="3"/>
        <w:widowControl/>
        <w:rPr>
          <w:lang w:val="en-GB"/>
        </w:rPr>
      </w:pPr>
    </w:p>
    <w:p w14:paraId="4EB32367">
      <w:pPr>
        <w:pStyle w:val="3"/>
        <w:spacing w:line="240" w:lineRule="auto"/>
        <w:jc w:val="left"/>
        <w:rPr>
          <w:b/>
          <w:bCs/>
          <w:lang w:val="en-GB"/>
        </w:rPr>
      </w:pPr>
      <w:r>
        <w:rPr>
          <w:lang w:val="en-GB"/>
        </w:rPr>
        <w:br w:type="page"/>
      </w:r>
    </w:p>
    <w:p w14:paraId="496214A3">
      <w:pPr>
        <w:pStyle w:val="4"/>
        <w:spacing w:line="480" w:lineRule="auto"/>
        <w:ind w:left="0"/>
        <w:rPr>
          <w:lang w:val="en-GB"/>
        </w:rPr>
      </w:pPr>
      <w:bookmarkStart w:id="96" w:name="_Toc228745877"/>
      <w:r>
        <w:rPr>
          <w:lang w:val="en-GB"/>
        </w:rPr>
        <w:t>Appendix 4- Study Characteristics</w:t>
      </w:r>
      <w:bookmarkEnd w:id="96"/>
    </w:p>
    <w:tbl>
      <w:tblPr>
        <w:tblStyle w:val="32"/>
        <w:tblW w:w="9360" w:type="dxa"/>
        <w:tblInd w:w="-1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15" w:type="dxa"/>
          <w:bottom w:w="0" w:type="dxa"/>
          <w:right w:w="115" w:type="dxa"/>
        </w:tblCellMar>
      </w:tblPr>
      <w:tblGrid>
        <w:gridCol w:w="1215"/>
        <w:gridCol w:w="1309"/>
        <w:gridCol w:w="1161"/>
        <w:gridCol w:w="1335"/>
        <w:gridCol w:w="1335"/>
        <w:gridCol w:w="1469"/>
        <w:gridCol w:w="1536"/>
      </w:tblGrid>
      <w:tr w14:paraId="3C8AC6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800" w:hRule="atLeast"/>
          <w:tblHeader/>
        </w:trPr>
        <w:tc>
          <w:tcPr>
            <w:tcW w:w="12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2BE9279">
            <w:pPr>
              <w:pStyle w:val="3"/>
              <w:widowControl/>
              <w:jc w:val="center"/>
              <w:rPr>
                <w:lang w:val="en-GB"/>
              </w:rPr>
            </w:pPr>
            <w:r>
              <w:rPr>
                <w:b/>
                <w:bCs/>
                <w:lang w:val="en-GB"/>
              </w:rPr>
              <w:t>Author(s) &amp; Year</w:t>
            </w:r>
          </w:p>
        </w:tc>
        <w:tc>
          <w:tcPr>
            <w:tcW w:w="130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405FCF4">
            <w:pPr>
              <w:pStyle w:val="3"/>
              <w:widowControl/>
              <w:jc w:val="center"/>
              <w:rPr>
                <w:lang w:val="en-GB"/>
              </w:rPr>
            </w:pPr>
            <w:r>
              <w:rPr>
                <w:b/>
                <w:bCs/>
                <w:lang w:val="en-GB"/>
              </w:rPr>
              <w:t>Country</w:t>
            </w:r>
          </w:p>
        </w:tc>
        <w:tc>
          <w:tcPr>
            <w:tcW w:w="116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4C6040B">
            <w:pPr>
              <w:pStyle w:val="3"/>
              <w:widowControl/>
              <w:jc w:val="center"/>
              <w:rPr>
                <w:lang w:val="en-GB"/>
              </w:rPr>
            </w:pPr>
            <w:r>
              <w:rPr>
                <w:b/>
                <w:bCs/>
                <w:lang w:val="en-GB"/>
              </w:rPr>
              <w:t>Study Design</w:t>
            </w:r>
          </w:p>
        </w:tc>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B95E6F2">
            <w:pPr>
              <w:pStyle w:val="3"/>
              <w:widowControl/>
              <w:jc w:val="center"/>
              <w:rPr>
                <w:lang w:val="en-GB"/>
              </w:rPr>
            </w:pPr>
            <w:r>
              <w:rPr>
                <w:b/>
                <w:bCs/>
                <w:lang w:val="en-GB"/>
              </w:rPr>
              <w:t>Sample Size</w:t>
            </w:r>
          </w:p>
        </w:tc>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0C9C0A9">
            <w:pPr>
              <w:pStyle w:val="3"/>
              <w:widowControl/>
              <w:jc w:val="center"/>
              <w:rPr>
                <w:lang w:val="en-GB"/>
              </w:rPr>
            </w:pPr>
            <w:r>
              <w:rPr>
                <w:b/>
                <w:bCs/>
                <w:lang w:val="en-GB"/>
              </w:rPr>
              <w:t>Population</w:t>
            </w:r>
          </w:p>
        </w:tc>
        <w:tc>
          <w:tcPr>
            <w:tcW w:w="146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6F0D8B3">
            <w:pPr>
              <w:pStyle w:val="3"/>
              <w:widowControl/>
              <w:jc w:val="center"/>
              <w:rPr>
                <w:lang w:val="en-GB"/>
              </w:rPr>
            </w:pPr>
            <w:r>
              <w:rPr>
                <w:b/>
                <w:bCs/>
                <w:lang w:val="en-GB"/>
              </w:rPr>
              <w:t>Key Focus</w:t>
            </w:r>
          </w:p>
        </w:tc>
        <w:tc>
          <w:tcPr>
            <w:tcW w:w="153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0B64BE8">
            <w:pPr>
              <w:pStyle w:val="3"/>
              <w:widowControl/>
              <w:jc w:val="center"/>
              <w:rPr>
                <w:lang w:val="en-GB"/>
              </w:rPr>
            </w:pPr>
            <w:r>
              <w:rPr>
                <w:b/>
                <w:bCs/>
                <w:lang w:val="en-GB"/>
              </w:rPr>
              <w:t>Main Findings</w:t>
            </w:r>
          </w:p>
        </w:tc>
      </w:tr>
      <w:tr w14:paraId="214F48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3680" w:hRule="atLeast"/>
          <w:tblHeader/>
        </w:trPr>
        <w:tc>
          <w:tcPr>
            <w:tcW w:w="12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2FEE637">
            <w:pPr>
              <w:pStyle w:val="3"/>
              <w:widowControl/>
              <w:rPr>
                <w:lang w:val="en-GB"/>
              </w:rPr>
            </w:pPr>
            <w:r>
              <w:rPr>
                <w:lang w:val="en-GB"/>
              </w:rPr>
              <w:t>Aughterson et al. (2021)</w:t>
            </w:r>
          </w:p>
        </w:tc>
        <w:tc>
          <w:tcPr>
            <w:tcW w:w="130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7D29D93">
            <w:pPr>
              <w:pStyle w:val="3"/>
              <w:widowControl/>
              <w:rPr>
                <w:lang w:val="en-GB"/>
              </w:rPr>
            </w:pPr>
            <w:r>
              <w:rPr>
                <w:lang w:val="en-GB"/>
              </w:rPr>
              <w:t>United Kingdom</w:t>
            </w:r>
          </w:p>
        </w:tc>
        <w:tc>
          <w:tcPr>
            <w:tcW w:w="116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5F4092F">
            <w:pPr>
              <w:pStyle w:val="3"/>
              <w:widowControl/>
              <w:rPr>
                <w:lang w:val="en-GB"/>
              </w:rPr>
            </w:pPr>
            <w:r>
              <w:rPr>
                <w:lang w:val="en-GB"/>
              </w:rPr>
              <w:t>Qualitative interview study</w:t>
            </w:r>
          </w:p>
        </w:tc>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E1148C8">
            <w:pPr>
              <w:pStyle w:val="3"/>
              <w:widowControl/>
              <w:rPr>
                <w:lang w:val="en-GB"/>
              </w:rPr>
            </w:pPr>
            <w:r>
              <w:rPr>
                <w:lang w:val="en-GB"/>
              </w:rPr>
              <w:t>25 participants</w:t>
            </w:r>
          </w:p>
        </w:tc>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8221265">
            <w:pPr>
              <w:pStyle w:val="3"/>
              <w:widowControl/>
              <w:rPr>
                <w:lang w:val="en-GB"/>
              </w:rPr>
            </w:pPr>
            <w:r>
              <w:rPr>
                <w:lang w:val="en-GB"/>
              </w:rPr>
              <w:t>Health and social care professionals</w:t>
            </w:r>
          </w:p>
        </w:tc>
        <w:tc>
          <w:tcPr>
            <w:tcW w:w="146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E28A28E">
            <w:pPr>
              <w:pStyle w:val="3"/>
              <w:widowControl/>
              <w:rPr>
                <w:lang w:val="en-GB"/>
              </w:rPr>
            </w:pPr>
            <w:r>
              <w:rPr>
                <w:lang w:val="en-GB"/>
              </w:rPr>
              <w:t>Psychosocial impact of COVID-19</w:t>
            </w:r>
          </w:p>
        </w:tc>
        <w:tc>
          <w:tcPr>
            <w:tcW w:w="153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7F0F0B5">
            <w:pPr>
              <w:pStyle w:val="3"/>
              <w:widowControl/>
              <w:rPr>
                <w:lang w:val="en-GB"/>
              </w:rPr>
            </w:pPr>
            <w:r>
              <w:rPr>
                <w:lang w:val="en-GB"/>
              </w:rPr>
              <w:t>Workers experienced emotional exhaustion, anxiety and stress. Organisational support and peer relationships were important for coping.</w:t>
            </w:r>
          </w:p>
        </w:tc>
      </w:tr>
      <w:tr w14:paraId="691FDB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2825" w:hRule="atLeast"/>
          <w:tblHeader/>
        </w:trPr>
        <w:tc>
          <w:tcPr>
            <w:tcW w:w="12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9A74816">
            <w:pPr>
              <w:pStyle w:val="3"/>
              <w:widowControl/>
              <w:rPr>
                <w:lang w:val="en-GB"/>
              </w:rPr>
            </w:pPr>
            <w:r>
              <w:rPr>
                <w:lang w:val="en-GB"/>
              </w:rPr>
              <w:t>Allsopp et al. (2023)</w:t>
            </w:r>
          </w:p>
        </w:tc>
        <w:tc>
          <w:tcPr>
            <w:tcW w:w="130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1857FBC">
            <w:pPr>
              <w:pStyle w:val="3"/>
              <w:widowControl/>
              <w:rPr>
                <w:lang w:val="en-GB"/>
              </w:rPr>
            </w:pPr>
            <w:r>
              <w:rPr>
                <w:lang w:val="en-GB"/>
              </w:rPr>
              <w:t>United Kingdom</w:t>
            </w:r>
          </w:p>
        </w:tc>
        <w:tc>
          <w:tcPr>
            <w:tcW w:w="116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9821FFF">
            <w:pPr>
              <w:pStyle w:val="3"/>
              <w:widowControl/>
              <w:rPr>
                <w:lang w:val="en-GB"/>
              </w:rPr>
            </w:pPr>
            <w:r>
              <w:rPr>
                <w:lang w:val="en-GB"/>
              </w:rPr>
              <w:t>Qualitative study</w:t>
            </w:r>
          </w:p>
        </w:tc>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012452A">
            <w:pPr>
              <w:pStyle w:val="3"/>
              <w:widowControl/>
              <w:rPr>
                <w:lang w:val="en-GB"/>
              </w:rPr>
            </w:pPr>
            <w:r>
              <w:rPr>
                <w:lang w:val="en-GB"/>
              </w:rPr>
              <w:t>63 participants</w:t>
            </w:r>
          </w:p>
        </w:tc>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7F439B1">
            <w:pPr>
              <w:pStyle w:val="3"/>
              <w:widowControl/>
              <w:rPr>
                <w:lang w:val="en-GB"/>
              </w:rPr>
            </w:pPr>
            <w:r>
              <w:rPr>
                <w:lang w:val="en-GB"/>
              </w:rPr>
              <w:t>Health and social care workers and stakeholders</w:t>
            </w:r>
          </w:p>
        </w:tc>
        <w:tc>
          <w:tcPr>
            <w:tcW w:w="146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F56288B">
            <w:pPr>
              <w:pStyle w:val="3"/>
              <w:widowControl/>
              <w:rPr>
                <w:lang w:val="en-GB"/>
              </w:rPr>
            </w:pPr>
            <w:r>
              <w:rPr>
                <w:lang w:val="en-GB"/>
              </w:rPr>
              <w:t>Evaluation of resilience hubs</w:t>
            </w:r>
          </w:p>
        </w:tc>
        <w:tc>
          <w:tcPr>
            <w:tcW w:w="153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75E5642">
            <w:pPr>
              <w:pStyle w:val="3"/>
              <w:widowControl/>
              <w:rPr>
                <w:lang w:val="en-GB"/>
              </w:rPr>
            </w:pPr>
            <w:r>
              <w:rPr>
                <w:lang w:val="en-GB"/>
              </w:rPr>
              <w:t>Psychological support hubs improved staff wellbeing and provided accessible mental health support during the pandemic.</w:t>
            </w:r>
          </w:p>
        </w:tc>
      </w:tr>
      <w:tr w14:paraId="64F7A3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2825" w:hRule="atLeast"/>
          <w:tblHeader/>
        </w:trPr>
        <w:tc>
          <w:tcPr>
            <w:tcW w:w="12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643C9B2">
            <w:pPr>
              <w:pStyle w:val="3"/>
              <w:widowControl/>
              <w:rPr>
                <w:lang w:val="en-GB"/>
              </w:rPr>
            </w:pPr>
            <w:r>
              <w:rPr>
                <w:lang w:val="en-GB"/>
              </w:rPr>
              <w:t>Blake et al. (2021)</w:t>
            </w:r>
          </w:p>
        </w:tc>
        <w:tc>
          <w:tcPr>
            <w:tcW w:w="130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19D5B8C">
            <w:pPr>
              <w:pStyle w:val="3"/>
              <w:widowControl/>
              <w:rPr>
                <w:lang w:val="en-GB"/>
              </w:rPr>
            </w:pPr>
            <w:r>
              <w:rPr>
                <w:lang w:val="en-GB"/>
              </w:rPr>
              <w:t>United Kingdom</w:t>
            </w:r>
          </w:p>
        </w:tc>
        <w:tc>
          <w:tcPr>
            <w:tcW w:w="116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CCDF84E">
            <w:pPr>
              <w:pStyle w:val="3"/>
              <w:widowControl/>
              <w:rPr>
                <w:lang w:val="en-GB"/>
              </w:rPr>
            </w:pPr>
            <w:r>
              <w:rPr>
                <w:lang w:val="en-GB"/>
              </w:rPr>
              <w:t>Qualitative study</w:t>
            </w:r>
          </w:p>
        </w:tc>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4BB9849">
            <w:pPr>
              <w:pStyle w:val="3"/>
              <w:widowControl/>
              <w:rPr>
                <w:lang w:val="en-GB"/>
              </w:rPr>
            </w:pPr>
            <w:r>
              <w:rPr>
                <w:lang w:val="en-GB"/>
              </w:rPr>
              <w:t>24 participants</w:t>
            </w:r>
          </w:p>
        </w:tc>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BCDFB17">
            <w:pPr>
              <w:pStyle w:val="3"/>
              <w:widowControl/>
              <w:rPr>
                <w:lang w:val="en-GB"/>
              </w:rPr>
            </w:pPr>
            <w:r>
              <w:rPr>
                <w:lang w:val="en-GB"/>
              </w:rPr>
              <w:t>Healthcare workers in the NHS trust</w:t>
            </w:r>
          </w:p>
        </w:tc>
        <w:tc>
          <w:tcPr>
            <w:tcW w:w="146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82681A3">
            <w:pPr>
              <w:pStyle w:val="3"/>
              <w:widowControl/>
              <w:rPr>
                <w:lang w:val="en-GB"/>
              </w:rPr>
            </w:pPr>
            <w:r>
              <w:rPr>
                <w:lang w:val="en-GB"/>
              </w:rPr>
              <w:t>Evaluation of wellbeing centres</w:t>
            </w:r>
          </w:p>
        </w:tc>
        <w:tc>
          <w:tcPr>
            <w:tcW w:w="153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84833CA">
            <w:pPr>
              <w:pStyle w:val="3"/>
              <w:widowControl/>
              <w:rPr>
                <w:lang w:val="en-GB"/>
              </w:rPr>
            </w:pPr>
            <w:r>
              <w:rPr>
                <w:lang w:val="en-GB"/>
              </w:rPr>
              <w:t>Wellbeing centres improved staff morale and emotional support but faced barriers such as limited access time.</w:t>
            </w:r>
          </w:p>
        </w:tc>
      </w:tr>
      <w:tr w14:paraId="756FED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2825" w:hRule="atLeast"/>
          <w:tblHeader/>
        </w:trPr>
        <w:tc>
          <w:tcPr>
            <w:tcW w:w="12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B4C0EE9">
            <w:pPr>
              <w:pStyle w:val="3"/>
              <w:widowControl/>
              <w:rPr>
                <w:lang w:val="en-GB"/>
              </w:rPr>
            </w:pPr>
            <w:r>
              <w:rPr>
                <w:lang w:val="en-GB"/>
              </w:rPr>
              <w:t>Beattie et al. (2023)</w:t>
            </w:r>
          </w:p>
        </w:tc>
        <w:tc>
          <w:tcPr>
            <w:tcW w:w="130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FE4AA73">
            <w:pPr>
              <w:pStyle w:val="3"/>
              <w:widowControl/>
              <w:rPr>
                <w:lang w:val="en-GB"/>
              </w:rPr>
            </w:pPr>
            <w:r>
              <w:rPr>
                <w:lang w:val="en-GB"/>
              </w:rPr>
              <w:t>Scotland, UK</w:t>
            </w:r>
          </w:p>
        </w:tc>
        <w:tc>
          <w:tcPr>
            <w:tcW w:w="116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26C0B9F">
            <w:pPr>
              <w:pStyle w:val="3"/>
              <w:widowControl/>
              <w:rPr>
                <w:lang w:val="en-GB"/>
              </w:rPr>
            </w:pPr>
            <w:r>
              <w:rPr>
                <w:lang w:val="en-GB"/>
              </w:rPr>
              <w:t>Mixed-methods study</w:t>
            </w:r>
          </w:p>
        </w:tc>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6068066">
            <w:pPr>
              <w:pStyle w:val="3"/>
              <w:widowControl/>
              <w:rPr>
                <w:lang w:val="en-GB"/>
              </w:rPr>
            </w:pPr>
            <w:r>
              <w:rPr>
                <w:lang w:val="en-GB"/>
              </w:rPr>
              <w:t>65 participants (13 interviews, 52 survey responses)</w:t>
            </w:r>
          </w:p>
        </w:tc>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2786DEC">
            <w:pPr>
              <w:pStyle w:val="3"/>
              <w:widowControl/>
              <w:rPr>
                <w:lang w:val="en-GB"/>
              </w:rPr>
            </w:pPr>
            <w:r>
              <w:rPr>
                <w:lang w:val="en-GB"/>
              </w:rPr>
              <w:t>Care home workers</w:t>
            </w:r>
          </w:p>
        </w:tc>
        <w:tc>
          <w:tcPr>
            <w:tcW w:w="146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11DCF4B">
            <w:pPr>
              <w:pStyle w:val="3"/>
              <w:widowControl/>
              <w:rPr>
                <w:lang w:val="en-GB"/>
              </w:rPr>
            </w:pPr>
            <w:r>
              <w:rPr>
                <w:lang w:val="en-GB"/>
              </w:rPr>
              <w:t>Stress and coping during COVID-19</w:t>
            </w:r>
          </w:p>
        </w:tc>
        <w:tc>
          <w:tcPr>
            <w:tcW w:w="153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FA62F44">
            <w:pPr>
              <w:pStyle w:val="3"/>
              <w:widowControl/>
              <w:rPr>
                <w:lang w:val="en-GB"/>
              </w:rPr>
            </w:pPr>
            <w:r>
              <w:rPr>
                <w:lang w:val="en-GB"/>
              </w:rPr>
              <w:t>Workers reported high stress levels, but coping strategies and supportive leadership reduced burnout.</w:t>
            </w:r>
          </w:p>
        </w:tc>
      </w:tr>
      <w:tr w14:paraId="09745F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2240" w:hRule="atLeast"/>
          <w:tblHeader/>
        </w:trPr>
        <w:tc>
          <w:tcPr>
            <w:tcW w:w="12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208E14A">
            <w:pPr>
              <w:pStyle w:val="3"/>
              <w:widowControl/>
              <w:rPr>
                <w:lang w:val="en-GB"/>
              </w:rPr>
            </w:pPr>
            <w:r>
              <w:rPr>
                <w:lang w:val="en-GB"/>
              </w:rPr>
              <w:t>McFadden et al. (2021)</w:t>
            </w:r>
          </w:p>
        </w:tc>
        <w:tc>
          <w:tcPr>
            <w:tcW w:w="130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9B7B585">
            <w:pPr>
              <w:pStyle w:val="3"/>
              <w:widowControl/>
              <w:rPr>
                <w:lang w:val="en-GB"/>
              </w:rPr>
            </w:pPr>
            <w:r>
              <w:rPr>
                <w:lang w:val="en-GB"/>
              </w:rPr>
              <w:t>United Kingdom</w:t>
            </w:r>
          </w:p>
        </w:tc>
        <w:tc>
          <w:tcPr>
            <w:tcW w:w="116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7BB566D">
            <w:pPr>
              <w:pStyle w:val="3"/>
              <w:widowControl/>
              <w:rPr>
                <w:lang w:val="en-GB"/>
              </w:rPr>
            </w:pPr>
            <w:r>
              <w:rPr>
                <w:lang w:val="en-GB"/>
              </w:rPr>
              <w:t>Cross-sectional survey</w:t>
            </w:r>
          </w:p>
        </w:tc>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8EF8CC2">
            <w:pPr>
              <w:pStyle w:val="3"/>
              <w:widowControl/>
              <w:rPr>
                <w:lang w:val="en-GB"/>
              </w:rPr>
            </w:pPr>
            <w:r>
              <w:rPr>
                <w:lang w:val="en-GB"/>
              </w:rPr>
              <w:t>3290 (Phase 1), 3499 (Phase 2)</w:t>
            </w:r>
          </w:p>
        </w:tc>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8F7BD4D">
            <w:pPr>
              <w:pStyle w:val="3"/>
              <w:widowControl/>
              <w:rPr>
                <w:lang w:val="en-GB"/>
              </w:rPr>
            </w:pPr>
            <w:r>
              <w:rPr>
                <w:lang w:val="en-GB"/>
              </w:rPr>
              <w:t>Health and social care workers</w:t>
            </w:r>
          </w:p>
        </w:tc>
        <w:tc>
          <w:tcPr>
            <w:tcW w:w="146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326101D">
            <w:pPr>
              <w:pStyle w:val="3"/>
              <w:widowControl/>
              <w:rPr>
                <w:lang w:val="en-GB"/>
              </w:rPr>
            </w:pPr>
            <w:r>
              <w:rPr>
                <w:lang w:val="en-GB"/>
              </w:rPr>
              <w:t>Wellbeing and quality of working life</w:t>
            </w:r>
          </w:p>
        </w:tc>
        <w:tc>
          <w:tcPr>
            <w:tcW w:w="153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644D38B">
            <w:pPr>
              <w:pStyle w:val="3"/>
              <w:widowControl/>
              <w:rPr>
                <w:lang w:val="en-GB"/>
              </w:rPr>
            </w:pPr>
            <w:r>
              <w:rPr>
                <w:lang w:val="en-GB"/>
              </w:rPr>
              <w:t>Declining well-being and increasing stress levels were reported during COVID-19.</w:t>
            </w:r>
          </w:p>
        </w:tc>
      </w:tr>
      <w:tr w14:paraId="610798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2540" w:hRule="atLeast"/>
          <w:tblHeader/>
        </w:trPr>
        <w:tc>
          <w:tcPr>
            <w:tcW w:w="12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07BC495">
            <w:pPr>
              <w:pStyle w:val="3"/>
              <w:widowControl/>
              <w:rPr>
                <w:lang w:val="en-GB"/>
              </w:rPr>
            </w:pPr>
            <w:r>
              <w:rPr>
                <w:lang w:val="en-GB"/>
              </w:rPr>
              <w:t>Gillen et al. (2022)</w:t>
            </w:r>
          </w:p>
        </w:tc>
        <w:tc>
          <w:tcPr>
            <w:tcW w:w="130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73178BF">
            <w:pPr>
              <w:pStyle w:val="3"/>
              <w:widowControl/>
              <w:rPr>
                <w:lang w:val="en-GB"/>
              </w:rPr>
            </w:pPr>
            <w:r>
              <w:rPr>
                <w:lang w:val="en-GB"/>
              </w:rPr>
              <w:t>United Kingdom</w:t>
            </w:r>
          </w:p>
        </w:tc>
        <w:tc>
          <w:tcPr>
            <w:tcW w:w="116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FF21172">
            <w:pPr>
              <w:pStyle w:val="3"/>
              <w:widowControl/>
              <w:rPr>
                <w:lang w:val="en-GB"/>
              </w:rPr>
            </w:pPr>
            <w:r>
              <w:rPr>
                <w:lang w:val="en-GB"/>
              </w:rPr>
              <w:t>Cross-sectional survey</w:t>
            </w:r>
          </w:p>
        </w:tc>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4944F5C">
            <w:pPr>
              <w:pStyle w:val="3"/>
              <w:widowControl/>
              <w:rPr>
                <w:lang w:val="en-GB"/>
              </w:rPr>
            </w:pPr>
            <w:r>
              <w:rPr>
                <w:lang w:val="en-GB"/>
              </w:rPr>
              <w:t>3-phase survey</w:t>
            </w:r>
          </w:p>
        </w:tc>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8B52329">
            <w:pPr>
              <w:pStyle w:val="3"/>
              <w:widowControl/>
              <w:rPr>
                <w:lang w:val="en-GB"/>
              </w:rPr>
            </w:pPr>
            <w:r>
              <w:rPr>
                <w:lang w:val="en-GB"/>
              </w:rPr>
              <w:t>Healthcare and social care workers</w:t>
            </w:r>
          </w:p>
        </w:tc>
        <w:tc>
          <w:tcPr>
            <w:tcW w:w="146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812B236">
            <w:pPr>
              <w:pStyle w:val="3"/>
              <w:widowControl/>
              <w:rPr>
                <w:lang w:val="en-GB"/>
              </w:rPr>
            </w:pPr>
            <w:r>
              <w:rPr>
                <w:lang w:val="en-GB"/>
              </w:rPr>
              <w:t>Coping strategies and well-being</w:t>
            </w:r>
          </w:p>
        </w:tc>
        <w:tc>
          <w:tcPr>
            <w:tcW w:w="153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04BA50C">
            <w:pPr>
              <w:pStyle w:val="3"/>
              <w:widowControl/>
              <w:rPr>
                <w:lang w:val="en-GB"/>
              </w:rPr>
            </w:pPr>
            <w:r>
              <w:rPr>
                <w:lang w:val="en-GB"/>
              </w:rPr>
              <w:t>Increased use of negative coping strategies and reduced well-being among workers.</w:t>
            </w:r>
          </w:p>
        </w:tc>
      </w:tr>
      <w:tr w14:paraId="6E9C92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2240" w:hRule="atLeast"/>
          <w:tblHeader/>
        </w:trPr>
        <w:tc>
          <w:tcPr>
            <w:tcW w:w="12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B76EEBD">
            <w:pPr>
              <w:pStyle w:val="3"/>
              <w:widowControl/>
              <w:rPr>
                <w:lang w:val="en-GB"/>
              </w:rPr>
            </w:pPr>
            <w:r>
              <w:rPr>
                <w:lang w:val="en-GB"/>
              </w:rPr>
              <w:t>Neill et al. (2023)</w:t>
            </w:r>
          </w:p>
        </w:tc>
        <w:tc>
          <w:tcPr>
            <w:tcW w:w="130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CB1C6D8">
            <w:pPr>
              <w:pStyle w:val="3"/>
              <w:widowControl/>
              <w:rPr>
                <w:lang w:val="en-GB"/>
              </w:rPr>
            </w:pPr>
            <w:r>
              <w:rPr>
                <w:lang w:val="en-GB"/>
              </w:rPr>
              <w:t>United Kingdom</w:t>
            </w:r>
          </w:p>
        </w:tc>
        <w:tc>
          <w:tcPr>
            <w:tcW w:w="116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B25FB72">
            <w:pPr>
              <w:pStyle w:val="3"/>
              <w:widowControl/>
              <w:rPr>
                <w:lang w:val="en-GB"/>
              </w:rPr>
            </w:pPr>
            <w:r>
              <w:rPr>
                <w:lang w:val="en-GB"/>
              </w:rPr>
              <w:t>Large survey study</w:t>
            </w:r>
          </w:p>
        </w:tc>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B2C4059">
            <w:pPr>
              <w:pStyle w:val="3"/>
              <w:widowControl/>
              <w:rPr>
                <w:lang w:val="en-GB"/>
              </w:rPr>
            </w:pPr>
            <w:r>
              <w:rPr>
                <w:lang w:val="en-GB"/>
              </w:rPr>
              <w:t>Over 14,000 participants</w:t>
            </w:r>
          </w:p>
        </w:tc>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BAD5A97">
            <w:pPr>
              <w:pStyle w:val="3"/>
              <w:widowControl/>
              <w:rPr>
                <w:lang w:val="en-GB"/>
              </w:rPr>
            </w:pPr>
            <w:r>
              <w:rPr>
                <w:lang w:val="en-GB"/>
              </w:rPr>
              <w:t>Health and social care workers</w:t>
            </w:r>
          </w:p>
        </w:tc>
        <w:tc>
          <w:tcPr>
            <w:tcW w:w="146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4793EE7">
            <w:pPr>
              <w:pStyle w:val="3"/>
              <w:widowControl/>
              <w:rPr>
                <w:lang w:val="en-GB"/>
              </w:rPr>
            </w:pPr>
            <w:r>
              <w:rPr>
                <w:lang w:val="en-GB"/>
              </w:rPr>
              <w:t>Psychological wellbeing during pandemic</w:t>
            </w:r>
          </w:p>
        </w:tc>
        <w:tc>
          <w:tcPr>
            <w:tcW w:w="153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A6EFAE9">
            <w:pPr>
              <w:pStyle w:val="3"/>
              <w:widowControl/>
              <w:rPr>
                <w:lang w:val="en-GB"/>
              </w:rPr>
            </w:pPr>
            <w:r>
              <w:rPr>
                <w:lang w:val="en-GB"/>
              </w:rPr>
              <w:t>Significant decline in well-being and work-related quality of life during COVID-19.</w:t>
            </w:r>
          </w:p>
        </w:tc>
      </w:tr>
      <w:tr w14:paraId="5045D2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2540" w:hRule="atLeast"/>
          <w:tblHeader/>
        </w:trPr>
        <w:tc>
          <w:tcPr>
            <w:tcW w:w="12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79C4C5A">
            <w:pPr>
              <w:pStyle w:val="3"/>
              <w:widowControl/>
              <w:rPr>
                <w:lang w:val="en-GB"/>
              </w:rPr>
            </w:pPr>
            <w:r>
              <w:rPr>
                <w:lang w:val="en-GB"/>
              </w:rPr>
              <w:t>Davies et al. (2025)</w:t>
            </w:r>
          </w:p>
        </w:tc>
        <w:tc>
          <w:tcPr>
            <w:tcW w:w="130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229D8C3">
            <w:pPr>
              <w:pStyle w:val="3"/>
              <w:widowControl/>
              <w:rPr>
                <w:lang w:val="en-GB"/>
              </w:rPr>
            </w:pPr>
            <w:r>
              <w:rPr>
                <w:lang w:val="en-GB"/>
              </w:rPr>
              <w:t>England, UK</w:t>
            </w:r>
          </w:p>
        </w:tc>
        <w:tc>
          <w:tcPr>
            <w:tcW w:w="116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A6D6FED">
            <w:pPr>
              <w:pStyle w:val="3"/>
              <w:widowControl/>
              <w:rPr>
                <w:lang w:val="en-GB"/>
              </w:rPr>
            </w:pPr>
            <w:r>
              <w:rPr>
                <w:lang w:val="en-GB"/>
              </w:rPr>
              <w:t>Survey study</w:t>
            </w:r>
          </w:p>
        </w:tc>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36BD50E">
            <w:pPr>
              <w:pStyle w:val="3"/>
              <w:widowControl/>
              <w:rPr>
                <w:lang w:val="en-GB"/>
              </w:rPr>
            </w:pPr>
            <w:r>
              <w:rPr>
                <w:lang w:val="en-GB"/>
              </w:rPr>
              <w:t>251 participants</w:t>
            </w:r>
          </w:p>
        </w:tc>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AD93A86">
            <w:pPr>
              <w:pStyle w:val="3"/>
              <w:widowControl/>
              <w:rPr>
                <w:lang w:val="en-GB"/>
              </w:rPr>
            </w:pPr>
            <w:r>
              <w:rPr>
                <w:lang w:val="en-GB"/>
              </w:rPr>
              <w:t>Adult social care workforce</w:t>
            </w:r>
          </w:p>
        </w:tc>
        <w:tc>
          <w:tcPr>
            <w:tcW w:w="146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AA7089C">
            <w:pPr>
              <w:pStyle w:val="3"/>
              <w:widowControl/>
              <w:rPr>
                <w:lang w:val="en-GB"/>
              </w:rPr>
            </w:pPr>
            <w:r>
              <w:rPr>
                <w:lang w:val="en-GB"/>
              </w:rPr>
              <w:t>Moral injury and burnout</w:t>
            </w:r>
          </w:p>
        </w:tc>
        <w:tc>
          <w:tcPr>
            <w:tcW w:w="153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5023205">
            <w:pPr>
              <w:pStyle w:val="3"/>
              <w:widowControl/>
              <w:rPr>
                <w:lang w:val="en-GB"/>
              </w:rPr>
            </w:pPr>
            <w:r>
              <w:rPr>
                <w:lang w:val="en-GB"/>
              </w:rPr>
              <w:t>Moral distress and burnout were strongly associated with high job demands and a lack of resources.</w:t>
            </w:r>
          </w:p>
        </w:tc>
      </w:tr>
      <w:tr w14:paraId="0983FB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2540" w:hRule="atLeast"/>
          <w:tblHeader/>
        </w:trPr>
        <w:tc>
          <w:tcPr>
            <w:tcW w:w="12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1A8FC19">
            <w:pPr>
              <w:pStyle w:val="3"/>
              <w:widowControl/>
              <w:rPr>
                <w:lang w:val="en-GB"/>
              </w:rPr>
            </w:pPr>
            <w:r>
              <w:rPr>
                <w:highlight w:val="white"/>
                <w:lang w:val="en-GB"/>
              </w:rPr>
              <w:t xml:space="preserve">Collett et al. (2025) </w:t>
            </w:r>
          </w:p>
        </w:tc>
        <w:tc>
          <w:tcPr>
            <w:tcW w:w="130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ADC1A21">
            <w:pPr>
              <w:pStyle w:val="3"/>
              <w:widowControl/>
              <w:rPr>
                <w:lang w:val="en-GB"/>
              </w:rPr>
            </w:pPr>
            <w:r>
              <w:rPr>
                <w:lang w:val="en-GB"/>
              </w:rPr>
              <w:t xml:space="preserve">United Kingdom </w:t>
            </w:r>
          </w:p>
        </w:tc>
        <w:tc>
          <w:tcPr>
            <w:tcW w:w="116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8E35608">
            <w:pPr>
              <w:pStyle w:val="3"/>
              <w:widowControl/>
              <w:rPr>
                <w:lang w:val="en-GB"/>
              </w:rPr>
            </w:pPr>
            <w:r>
              <w:rPr>
                <w:lang w:val="en-GB"/>
              </w:rPr>
              <w:t>Cohort Study with Follow-up Survey</w:t>
            </w:r>
          </w:p>
        </w:tc>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4683610">
            <w:pPr>
              <w:pStyle w:val="3"/>
              <w:widowControl/>
              <w:rPr>
                <w:sz w:val="20"/>
                <w:szCs w:val="20"/>
                <w:lang w:val="en-GB"/>
              </w:rPr>
            </w:pPr>
            <w:r>
              <w:rPr>
                <w:lang w:val="en-GB"/>
              </w:rPr>
              <w:t xml:space="preserve">400 </w:t>
            </w:r>
          </w:p>
        </w:tc>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CEEF6C2">
            <w:pPr>
              <w:pStyle w:val="3"/>
              <w:widowControl/>
              <w:rPr>
                <w:lang w:val="en-GB"/>
              </w:rPr>
            </w:pPr>
            <w:r>
              <w:rPr>
                <w:lang w:val="en-GB"/>
              </w:rPr>
              <w:t xml:space="preserve">Healthcare professionals </w:t>
            </w:r>
          </w:p>
        </w:tc>
        <w:tc>
          <w:tcPr>
            <w:tcW w:w="146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67D1604">
            <w:pPr>
              <w:pStyle w:val="3"/>
              <w:widowControl/>
              <w:rPr>
                <w:lang w:val="en-GB"/>
              </w:rPr>
            </w:pPr>
            <w:r>
              <w:rPr>
                <w:lang w:val="en-GB"/>
              </w:rPr>
              <w:t>Burnout</w:t>
            </w:r>
          </w:p>
        </w:tc>
        <w:tc>
          <w:tcPr>
            <w:tcW w:w="153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7C2715E">
            <w:pPr>
              <w:pStyle w:val="3"/>
              <w:widowControl/>
              <w:rPr>
                <w:lang w:val="en-GB"/>
              </w:rPr>
            </w:pPr>
            <w:r>
              <w:rPr>
                <w:lang w:val="en-GB"/>
              </w:rPr>
              <w:t>An increase in the perceived level of managerial understanding of staff welfare was associated with reduced burnout</w:t>
            </w:r>
          </w:p>
        </w:tc>
      </w:tr>
      <w:tr w14:paraId="3535CE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2540" w:hRule="atLeast"/>
          <w:tblHeader/>
        </w:trPr>
        <w:tc>
          <w:tcPr>
            <w:tcW w:w="12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75F49A7">
            <w:pPr>
              <w:pStyle w:val="3"/>
              <w:widowControl/>
              <w:rPr>
                <w:lang w:val="en-GB"/>
              </w:rPr>
            </w:pPr>
            <w:r>
              <w:rPr>
                <w:lang w:val="en-GB"/>
              </w:rPr>
              <w:t>McFadden et al. (2021)</w:t>
            </w:r>
          </w:p>
        </w:tc>
        <w:tc>
          <w:tcPr>
            <w:tcW w:w="130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D995A45">
            <w:pPr>
              <w:pStyle w:val="3"/>
              <w:widowControl/>
              <w:rPr>
                <w:lang w:val="en-GB"/>
              </w:rPr>
            </w:pPr>
            <w:r>
              <w:rPr>
                <w:lang w:val="en-GB"/>
              </w:rPr>
              <w:t>United Kingdom</w:t>
            </w:r>
          </w:p>
        </w:tc>
        <w:tc>
          <w:tcPr>
            <w:tcW w:w="116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F28D14C">
            <w:pPr>
              <w:pStyle w:val="3"/>
              <w:widowControl/>
              <w:rPr>
                <w:lang w:val="en-GB"/>
              </w:rPr>
            </w:pPr>
            <w:r>
              <w:rPr>
                <w:lang w:val="en-GB"/>
              </w:rPr>
              <w:t>Online survey</w:t>
            </w:r>
          </w:p>
        </w:tc>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BF22E58">
            <w:pPr>
              <w:pStyle w:val="3"/>
              <w:widowControl/>
              <w:rPr>
                <w:lang w:val="en-GB"/>
              </w:rPr>
            </w:pPr>
            <w:r>
              <w:rPr>
                <w:lang w:val="en-GB"/>
              </w:rPr>
              <w:t>3425</w:t>
            </w:r>
          </w:p>
        </w:tc>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4E8C8B9">
            <w:pPr>
              <w:pStyle w:val="3"/>
              <w:widowControl/>
              <w:rPr>
                <w:lang w:val="en-GB"/>
              </w:rPr>
            </w:pPr>
            <w:r>
              <w:rPr>
                <w:lang w:val="en-GB"/>
              </w:rPr>
              <w:t xml:space="preserve">Health and social care workers </w:t>
            </w:r>
          </w:p>
        </w:tc>
        <w:tc>
          <w:tcPr>
            <w:tcW w:w="146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1694AA2">
            <w:pPr>
              <w:pStyle w:val="3"/>
              <w:widowControl/>
              <w:rPr>
                <w:lang w:val="en-GB"/>
              </w:rPr>
            </w:pPr>
            <w:r>
              <w:rPr>
                <w:lang w:val="en-GB"/>
              </w:rPr>
              <w:t>Negative impacts on the health and well-being of social care workers</w:t>
            </w:r>
          </w:p>
        </w:tc>
        <w:tc>
          <w:tcPr>
            <w:tcW w:w="153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F60F222">
            <w:pPr>
              <w:pStyle w:val="3"/>
              <w:widowControl/>
              <w:rPr>
                <w:lang w:val="en-GB"/>
              </w:rPr>
            </w:pPr>
            <w:r>
              <w:rPr>
                <w:lang w:val="en-GB"/>
              </w:rPr>
              <w:t>T</w:t>
            </w:r>
            <w:r>
              <w:rPr>
                <w:sz w:val="23"/>
                <w:szCs w:val="23"/>
                <w:highlight w:val="white"/>
                <w:lang w:val="en-GB"/>
              </w:rPr>
              <w:t>he importance of organisational and management support during stressful times.</w:t>
            </w:r>
          </w:p>
        </w:tc>
      </w:tr>
      <w:tr w14:paraId="49177A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2540" w:hRule="atLeast"/>
          <w:tblHeader/>
        </w:trPr>
        <w:tc>
          <w:tcPr>
            <w:tcW w:w="12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C41ED02">
            <w:pPr>
              <w:pStyle w:val="3"/>
              <w:widowControl/>
              <w:rPr>
                <w:lang w:val="en-GB"/>
              </w:rPr>
            </w:pPr>
            <w:r>
              <w:rPr>
                <w:highlight w:val="white"/>
                <w:lang w:val="en-GB"/>
              </w:rPr>
              <w:t>Petrella et al. (2021)</w:t>
            </w:r>
          </w:p>
        </w:tc>
        <w:tc>
          <w:tcPr>
            <w:tcW w:w="130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82E543F">
            <w:pPr>
              <w:pStyle w:val="3"/>
              <w:widowControl/>
              <w:rPr>
                <w:lang w:val="en-GB"/>
              </w:rPr>
            </w:pPr>
            <w:r>
              <w:rPr>
                <w:lang w:val="en-GB"/>
              </w:rPr>
              <w:t>United Kingdom</w:t>
            </w:r>
          </w:p>
        </w:tc>
        <w:tc>
          <w:tcPr>
            <w:tcW w:w="116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462CBBA">
            <w:pPr>
              <w:pStyle w:val="3"/>
              <w:widowControl/>
              <w:rPr>
                <w:lang w:val="en-GB"/>
              </w:rPr>
            </w:pPr>
            <w:r>
              <w:rPr>
                <w:lang w:val="en-GB"/>
              </w:rPr>
              <w:t>Online survey</w:t>
            </w:r>
          </w:p>
        </w:tc>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D2E8C6A">
            <w:pPr>
              <w:pStyle w:val="3"/>
              <w:widowControl/>
              <w:rPr>
                <w:lang w:val="en-GB"/>
              </w:rPr>
            </w:pPr>
            <w:r>
              <w:rPr>
                <w:lang w:val="en-GB"/>
              </w:rPr>
              <w:t>1127 staff</w:t>
            </w:r>
          </w:p>
        </w:tc>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DCDA349">
            <w:pPr>
              <w:pStyle w:val="3"/>
              <w:widowControl/>
              <w:rPr>
                <w:lang w:val="en-GB"/>
              </w:rPr>
            </w:pPr>
            <w:r>
              <w:rPr>
                <w:lang w:val="en-GB"/>
              </w:rPr>
              <w:t>Healthcare staff</w:t>
            </w:r>
          </w:p>
        </w:tc>
        <w:tc>
          <w:tcPr>
            <w:tcW w:w="146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4FE0D20">
            <w:pPr>
              <w:pStyle w:val="3"/>
              <w:widowControl/>
              <w:rPr>
                <w:lang w:val="en-GB"/>
              </w:rPr>
            </w:pPr>
            <w:r>
              <w:rPr>
                <w:lang w:val="en-GB"/>
              </w:rPr>
              <w:t>HCW psychological welfare during the acute phase of the COVID-19 pandemic</w:t>
            </w:r>
          </w:p>
        </w:tc>
        <w:tc>
          <w:tcPr>
            <w:tcW w:w="153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14A43C9">
            <w:pPr>
              <w:pStyle w:val="3"/>
              <w:widowControl/>
              <w:rPr>
                <w:lang w:val="en-GB"/>
              </w:rPr>
            </w:pPr>
            <w:r>
              <w:rPr>
                <w:lang w:val="en-GB"/>
              </w:rPr>
              <w:t>Greater levels of burnout were associated with increased psychological distress when controlling for personal factors</w:t>
            </w:r>
          </w:p>
        </w:tc>
      </w:tr>
      <w:tr w14:paraId="409B04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15" w:type="dxa"/>
            <w:bottom w:w="0" w:type="dxa"/>
            <w:right w:w="115" w:type="dxa"/>
          </w:tblCellMar>
        </w:tblPrEx>
        <w:trPr>
          <w:cantSplit/>
          <w:trHeight w:val="2540" w:hRule="atLeast"/>
          <w:tblHeader/>
        </w:trPr>
        <w:tc>
          <w:tcPr>
            <w:tcW w:w="12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4D45262">
            <w:pPr>
              <w:pStyle w:val="3"/>
              <w:widowControl/>
              <w:rPr>
                <w:lang w:val="en-GB"/>
              </w:rPr>
            </w:pPr>
            <w:r>
              <w:rPr>
                <w:highlight w:val="white"/>
                <w:lang w:val="en-GB"/>
              </w:rPr>
              <w:t>Ravalier et al. (2023)</w:t>
            </w:r>
          </w:p>
        </w:tc>
        <w:tc>
          <w:tcPr>
            <w:tcW w:w="130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69437C">
            <w:pPr>
              <w:pStyle w:val="3"/>
              <w:widowControl/>
              <w:rPr>
                <w:lang w:val="en-GB"/>
              </w:rPr>
            </w:pPr>
            <w:r>
              <w:rPr>
                <w:lang w:val="en-GB"/>
              </w:rPr>
              <w:t>United Kingdom</w:t>
            </w:r>
          </w:p>
        </w:tc>
        <w:tc>
          <w:tcPr>
            <w:tcW w:w="116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14EA344">
            <w:pPr>
              <w:pStyle w:val="3"/>
              <w:widowControl/>
              <w:rPr>
                <w:lang w:val="en-GB"/>
              </w:rPr>
            </w:pPr>
            <w:r>
              <w:rPr>
                <w:lang w:val="en-GB"/>
              </w:rPr>
              <w:t>Cross-sectional online survey</w:t>
            </w:r>
          </w:p>
        </w:tc>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0DA62E4">
            <w:pPr>
              <w:pStyle w:val="3"/>
              <w:widowControl/>
              <w:rPr>
                <w:lang w:val="en-GB"/>
              </w:rPr>
            </w:pPr>
            <w:r>
              <w:rPr>
                <w:lang w:val="en-GB"/>
              </w:rPr>
              <w:t>4950</w:t>
            </w:r>
          </w:p>
        </w:tc>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5107800">
            <w:pPr>
              <w:pStyle w:val="3"/>
              <w:widowControl/>
              <w:rPr>
                <w:lang w:val="en-GB"/>
              </w:rPr>
            </w:pPr>
            <w:r>
              <w:rPr>
                <w:lang w:val="en-GB"/>
              </w:rPr>
              <w:t>UK social care and social welfare workers</w:t>
            </w:r>
          </w:p>
        </w:tc>
        <w:tc>
          <w:tcPr>
            <w:tcW w:w="146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3D89A87">
            <w:pPr>
              <w:pStyle w:val="3"/>
              <w:widowControl/>
              <w:rPr>
                <w:lang w:val="en-GB"/>
              </w:rPr>
            </w:pPr>
            <w:r>
              <w:rPr>
                <w:lang w:val="en-GB"/>
              </w:rPr>
              <w:t>The spread of the COVID-19 pandemic in social care Workers</w:t>
            </w:r>
          </w:p>
        </w:tc>
        <w:tc>
          <w:tcPr>
            <w:tcW w:w="153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7ACF0B3">
            <w:pPr>
              <w:pStyle w:val="3"/>
              <w:widowControl/>
              <w:rPr>
                <w:lang w:val="en-GB"/>
              </w:rPr>
            </w:pPr>
            <w:r>
              <w:rPr>
                <w:lang w:val="en-GB"/>
              </w:rPr>
              <w:t xml:space="preserve"> Highlight the importance of understanding and addressing the impact of the pandemic on the Social Care and Social Work workforce</w:t>
            </w:r>
          </w:p>
        </w:tc>
      </w:tr>
    </w:tbl>
    <w:p w14:paraId="15F75ED6">
      <w:r>
        <w:br w:type="page"/>
      </w:r>
    </w:p>
    <w:p w14:paraId="4DFDF1BC">
      <w:pPr>
        <w:pStyle w:val="4"/>
        <w:spacing w:line="480" w:lineRule="auto"/>
        <w:rPr>
          <w:lang w:val="en-GB"/>
        </w:rPr>
      </w:pPr>
      <w:bookmarkStart w:id="97" w:name="_Toc228745878"/>
      <w:r>
        <w:rPr>
          <w:lang w:val="en-GB"/>
        </w:rPr>
        <w:t>Appendix 5: Themes Table</w:t>
      </w:r>
      <w:bookmarkEnd w:id="97"/>
    </w:p>
    <w:tbl>
      <w:tblPr>
        <w:tblStyle w:val="33"/>
        <w:tblW w:w="9274" w:type="dxa"/>
        <w:tblInd w:w="-7" w:type="dxa"/>
        <w:tblLayout w:type="fixed"/>
        <w:tblCellMar>
          <w:top w:w="15" w:type="dxa"/>
          <w:left w:w="15" w:type="dxa"/>
          <w:bottom w:w="15" w:type="dxa"/>
          <w:right w:w="15" w:type="dxa"/>
        </w:tblCellMar>
      </w:tblPr>
      <w:tblGrid>
        <w:gridCol w:w="3426"/>
        <w:gridCol w:w="5848"/>
      </w:tblGrid>
      <w:tr w14:paraId="59FDD555">
        <w:tblPrEx>
          <w:tblCellMar>
            <w:top w:w="15" w:type="dxa"/>
            <w:left w:w="15" w:type="dxa"/>
            <w:bottom w:w="15" w:type="dxa"/>
            <w:right w:w="15" w:type="dxa"/>
          </w:tblCellMar>
        </w:tblPrEx>
        <w:trPr>
          <w:cantSplit/>
          <w:trHeight w:val="690" w:hRule="atLeast"/>
          <w:tblHeader/>
        </w:trPr>
        <w:tc>
          <w:tcPr>
            <w:tcW w:w="3426" w:type="dxa"/>
            <w:tcBorders>
              <w:top w:val="single" w:color="0F1115" w:sz="6" w:space="0"/>
              <w:left w:val="single" w:color="0F1115" w:sz="6" w:space="0"/>
              <w:bottom w:val="single" w:color="000000" w:sz="6" w:space="0"/>
              <w:right w:val="single" w:color="0F1115" w:sz="6" w:space="0"/>
            </w:tcBorders>
            <w:shd w:val="clear" w:color="auto" w:fill="FFFFFF"/>
            <w:tcMar>
              <w:top w:w="160" w:type="dxa"/>
              <w:left w:w="0" w:type="dxa"/>
              <w:bottom w:w="160" w:type="dxa"/>
              <w:right w:w="240" w:type="dxa"/>
            </w:tcMar>
          </w:tcPr>
          <w:p w14:paraId="222FA9C4">
            <w:pPr>
              <w:pStyle w:val="3"/>
              <w:jc w:val="center"/>
              <w:rPr>
                <w:rFonts w:ascii="Times New Roman" w:hAnsi="Times New Roman" w:eastAsia="Times New Roman" w:cs="Times New Roman"/>
                <w:sz w:val="24"/>
                <w:szCs w:val="24"/>
                <w:lang w:val="en-GB"/>
              </w:rPr>
            </w:pPr>
            <w:r>
              <w:rPr>
                <w:b/>
                <w:bCs/>
                <w:lang w:val="en-GB"/>
              </w:rPr>
              <w:t>Themes</w:t>
            </w:r>
          </w:p>
        </w:tc>
        <w:tc>
          <w:tcPr>
            <w:tcW w:w="5848" w:type="dxa"/>
            <w:tcBorders>
              <w:top w:val="single" w:color="0F1115" w:sz="6" w:space="0"/>
              <w:left w:val="single" w:color="0F1115" w:sz="6" w:space="0"/>
              <w:bottom w:val="single" w:color="000000" w:sz="6" w:space="0"/>
              <w:right w:val="single" w:color="0F1115" w:sz="6" w:space="0"/>
            </w:tcBorders>
            <w:shd w:val="clear" w:color="auto" w:fill="FFFFFF"/>
            <w:tcMar>
              <w:top w:w="160" w:type="dxa"/>
              <w:left w:w="240" w:type="dxa"/>
              <w:bottom w:w="160" w:type="dxa"/>
              <w:right w:w="240" w:type="dxa"/>
            </w:tcMar>
          </w:tcPr>
          <w:p w14:paraId="19909055">
            <w:pPr>
              <w:pStyle w:val="3"/>
              <w:jc w:val="center"/>
              <w:rPr>
                <w:rFonts w:ascii="Times New Roman" w:hAnsi="Times New Roman" w:eastAsia="Times New Roman" w:cs="Times New Roman"/>
                <w:sz w:val="24"/>
                <w:szCs w:val="24"/>
                <w:lang w:val="en-GB"/>
              </w:rPr>
            </w:pPr>
            <w:r>
              <w:rPr>
                <w:b/>
                <w:bCs/>
                <w:lang w:val="en-GB"/>
              </w:rPr>
              <w:t>Articles where it was extracted</w:t>
            </w:r>
          </w:p>
        </w:tc>
      </w:tr>
      <w:tr w14:paraId="40E1CE3A">
        <w:tblPrEx>
          <w:tblCellMar>
            <w:top w:w="15" w:type="dxa"/>
            <w:left w:w="15" w:type="dxa"/>
            <w:bottom w:w="15" w:type="dxa"/>
            <w:right w:w="15" w:type="dxa"/>
          </w:tblCellMar>
        </w:tblPrEx>
        <w:trPr>
          <w:cantSplit/>
          <w:trHeight w:val="1440" w:hRule="atLeast"/>
          <w:tblHeader/>
        </w:trPr>
        <w:tc>
          <w:tcPr>
            <w:tcW w:w="3426" w:type="dxa"/>
            <w:tcBorders>
              <w:top w:val="single" w:color="000000" w:sz="6" w:space="0"/>
              <w:left w:val="single" w:color="0F1115" w:sz="6" w:space="0"/>
              <w:bottom w:val="single" w:color="000000" w:sz="6" w:space="0"/>
              <w:right w:val="single" w:color="0F1115" w:sz="6" w:space="0"/>
            </w:tcBorders>
            <w:shd w:val="clear" w:color="auto" w:fill="FFFFFF"/>
            <w:tcMar>
              <w:top w:w="160" w:type="dxa"/>
              <w:left w:w="0" w:type="dxa"/>
              <w:bottom w:w="160" w:type="dxa"/>
              <w:right w:w="240" w:type="dxa"/>
            </w:tcMar>
          </w:tcPr>
          <w:p w14:paraId="79EE1084">
            <w:pPr>
              <w:pStyle w:val="3"/>
              <w:jc w:val="center"/>
              <w:rPr>
                <w:rFonts w:ascii="Times New Roman" w:hAnsi="Times New Roman" w:eastAsia="Times New Roman" w:cs="Times New Roman"/>
                <w:sz w:val="24"/>
                <w:szCs w:val="24"/>
                <w:lang w:val="en-GB"/>
              </w:rPr>
            </w:pPr>
            <w:r>
              <w:rPr>
                <w:b/>
                <w:bCs/>
                <w:lang w:val="en-GB"/>
              </w:rPr>
              <w:t>Theme 1: Escalation of Burnout and Psychological Distress</w:t>
            </w:r>
          </w:p>
        </w:tc>
        <w:tc>
          <w:tcPr>
            <w:tcW w:w="5848" w:type="dxa"/>
            <w:tcBorders>
              <w:top w:val="single" w:color="000000" w:sz="6" w:space="0"/>
              <w:left w:val="single" w:color="0F1115" w:sz="6" w:space="0"/>
              <w:bottom w:val="single" w:color="000000" w:sz="6" w:space="0"/>
              <w:right w:val="single" w:color="0F1115" w:sz="6" w:space="0"/>
            </w:tcBorders>
            <w:shd w:val="clear" w:color="auto" w:fill="FFFFFF"/>
            <w:tcMar>
              <w:top w:w="160" w:type="dxa"/>
              <w:left w:w="240" w:type="dxa"/>
              <w:bottom w:w="160" w:type="dxa"/>
              <w:right w:w="0" w:type="dxa"/>
            </w:tcMar>
          </w:tcPr>
          <w:p w14:paraId="3CFC94B6">
            <w:pPr>
              <w:pStyle w:val="3"/>
              <w:rPr>
                <w:rFonts w:ascii="Times New Roman" w:hAnsi="Times New Roman" w:eastAsia="Times New Roman" w:cs="Times New Roman"/>
                <w:sz w:val="24"/>
                <w:szCs w:val="24"/>
                <w:lang w:val="en-GB"/>
              </w:rPr>
            </w:pPr>
            <w:r>
              <w:rPr>
                <w:lang w:val="nl-NL"/>
              </w:rPr>
              <w:t xml:space="preserve">McFadden et al. (2021a, 2021b); Petrella et al. (2021); Gillen et al. (2022); Neill et al. (2023); Ravalier et al. (2023); Davies et al. (2025); Aughterson et al. (2021); Beattie et al. </w:t>
            </w:r>
            <w:r>
              <w:rPr>
                <w:lang w:val="en-GB"/>
              </w:rPr>
              <w:t>(2023)</w:t>
            </w:r>
          </w:p>
        </w:tc>
      </w:tr>
      <w:tr w14:paraId="372A3C95">
        <w:tblPrEx>
          <w:tblCellMar>
            <w:top w:w="15" w:type="dxa"/>
            <w:left w:w="15" w:type="dxa"/>
            <w:bottom w:w="15" w:type="dxa"/>
            <w:right w:w="15" w:type="dxa"/>
          </w:tblCellMar>
        </w:tblPrEx>
        <w:trPr>
          <w:cantSplit/>
          <w:trHeight w:val="1440" w:hRule="atLeast"/>
          <w:tblHeader/>
        </w:trPr>
        <w:tc>
          <w:tcPr>
            <w:tcW w:w="3426" w:type="dxa"/>
            <w:tcBorders>
              <w:top w:val="single" w:color="000000" w:sz="6" w:space="0"/>
              <w:left w:val="single" w:color="0F1115" w:sz="6" w:space="0"/>
              <w:bottom w:val="single" w:color="000000" w:sz="6" w:space="0"/>
              <w:right w:val="single" w:color="0F1115" w:sz="6" w:space="0"/>
            </w:tcBorders>
            <w:shd w:val="clear" w:color="auto" w:fill="FFFFFF"/>
            <w:tcMar>
              <w:top w:w="160" w:type="dxa"/>
              <w:left w:w="0" w:type="dxa"/>
              <w:bottom w:w="160" w:type="dxa"/>
              <w:right w:w="240" w:type="dxa"/>
            </w:tcMar>
          </w:tcPr>
          <w:p w14:paraId="31B1652E">
            <w:pPr>
              <w:pStyle w:val="3"/>
              <w:jc w:val="center"/>
              <w:rPr>
                <w:rFonts w:ascii="Times New Roman" w:hAnsi="Times New Roman" w:eastAsia="Times New Roman" w:cs="Times New Roman"/>
                <w:sz w:val="24"/>
                <w:szCs w:val="24"/>
                <w:lang w:val="en-GB"/>
              </w:rPr>
            </w:pPr>
            <w:r>
              <w:rPr>
                <w:b/>
                <w:bCs/>
                <w:lang w:val="en-GB"/>
              </w:rPr>
              <w:t>Theme 2: Organisational Factors as Determinants of Well-being</w:t>
            </w:r>
          </w:p>
        </w:tc>
        <w:tc>
          <w:tcPr>
            <w:tcW w:w="5848" w:type="dxa"/>
            <w:tcBorders>
              <w:top w:val="single" w:color="000000" w:sz="6" w:space="0"/>
              <w:left w:val="single" w:color="0F1115" w:sz="6" w:space="0"/>
              <w:bottom w:val="single" w:color="000000" w:sz="6" w:space="0"/>
              <w:right w:val="single" w:color="0F1115" w:sz="6" w:space="0"/>
            </w:tcBorders>
            <w:shd w:val="clear" w:color="auto" w:fill="FFFFFF"/>
            <w:tcMar>
              <w:top w:w="160" w:type="dxa"/>
              <w:left w:w="240" w:type="dxa"/>
              <w:bottom w:w="160" w:type="dxa"/>
              <w:right w:w="0" w:type="dxa"/>
            </w:tcMar>
          </w:tcPr>
          <w:p w14:paraId="7D8374F1">
            <w:pPr>
              <w:pStyle w:val="3"/>
              <w:rPr>
                <w:rFonts w:ascii="Times New Roman" w:hAnsi="Times New Roman" w:eastAsia="Times New Roman" w:cs="Times New Roman"/>
                <w:sz w:val="24"/>
                <w:szCs w:val="24"/>
                <w:lang w:val="en-GB"/>
              </w:rPr>
            </w:pPr>
            <w:r>
              <w:rPr>
                <w:lang w:val="nl-NL"/>
              </w:rPr>
              <w:t xml:space="preserve">McFadden et al. (2021a); Ravalier et al. (2023); Collett et al. (2025); Allsopp et al. </w:t>
            </w:r>
            <w:r>
              <w:rPr>
                <w:lang w:val="en-GB"/>
              </w:rPr>
              <w:t>(2023); Blake et al. (2021); Aughterson et al. (2021); Beattie et al. (2023)</w:t>
            </w:r>
          </w:p>
        </w:tc>
      </w:tr>
      <w:tr w14:paraId="246D822A">
        <w:tblPrEx>
          <w:tblCellMar>
            <w:top w:w="15" w:type="dxa"/>
            <w:left w:w="15" w:type="dxa"/>
            <w:bottom w:w="15" w:type="dxa"/>
            <w:right w:w="15" w:type="dxa"/>
          </w:tblCellMar>
        </w:tblPrEx>
        <w:trPr>
          <w:cantSplit/>
          <w:trHeight w:val="1065" w:hRule="atLeast"/>
          <w:tblHeader/>
        </w:trPr>
        <w:tc>
          <w:tcPr>
            <w:tcW w:w="3426" w:type="dxa"/>
            <w:tcBorders>
              <w:top w:val="single" w:color="000000" w:sz="6" w:space="0"/>
              <w:left w:val="single" w:color="0F1115" w:sz="6" w:space="0"/>
              <w:bottom w:val="single" w:color="000000" w:sz="6" w:space="0"/>
              <w:right w:val="single" w:color="0F1115" w:sz="6" w:space="0"/>
            </w:tcBorders>
            <w:shd w:val="clear" w:color="auto" w:fill="FFFFFF"/>
            <w:tcMar>
              <w:top w:w="160" w:type="dxa"/>
              <w:left w:w="0" w:type="dxa"/>
              <w:bottom w:w="160" w:type="dxa"/>
              <w:right w:w="240" w:type="dxa"/>
            </w:tcMar>
          </w:tcPr>
          <w:p w14:paraId="6A6303DB">
            <w:pPr>
              <w:pStyle w:val="3"/>
              <w:jc w:val="center"/>
              <w:rPr>
                <w:rFonts w:ascii="Times New Roman" w:hAnsi="Times New Roman" w:eastAsia="Times New Roman" w:cs="Times New Roman"/>
                <w:sz w:val="24"/>
                <w:szCs w:val="24"/>
                <w:lang w:val="en-GB"/>
              </w:rPr>
            </w:pPr>
            <w:r>
              <w:rPr>
                <w:b/>
                <w:bCs/>
                <w:lang w:val="en-GB"/>
              </w:rPr>
              <w:t>Sub-theme 2.1: Workload and Staffing Pressures</w:t>
            </w:r>
          </w:p>
        </w:tc>
        <w:tc>
          <w:tcPr>
            <w:tcW w:w="5848" w:type="dxa"/>
            <w:tcBorders>
              <w:top w:val="single" w:color="000000" w:sz="6" w:space="0"/>
              <w:left w:val="single" w:color="0F1115" w:sz="6" w:space="0"/>
              <w:bottom w:val="single" w:color="000000" w:sz="6" w:space="0"/>
              <w:right w:val="single" w:color="0F1115" w:sz="6" w:space="0"/>
            </w:tcBorders>
            <w:shd w:val="clear" w:color="auto" w:fill="FFFFFF"/>
            <w:tcMar>
              <w:top w:w="160" w:type="dxa"/>
              <w:left w:w="240" w:type="dxa"/>
              <w:bottom w:w="160" w:type="dxa"/>
              <w:right w:w="0" w:type="dxa"/>
            </w:tcMar>
          </w:tcPr>
          <w:p w14:paraId="7397DFB1">
            <w:pPr>
              <w:pStyle w:val="3"/>
              <w:rPr>
                <w:rFonts w:ascii="Times New Roman" w:hAnsi="Times New Roman" w:eastAsia="Times New Roman" w:cs="Times New Roman"/>
                <w:sz w:val="24"/>
                <w:szCs w:val="24"/>
                <w:lang w:val="en-GB"/>
              </w:rPr>
            </w:pPr>
            <w:r>
              <w:rPr>
                <w:lang w:val="nl-NL"/>
              </w:rPr>
              <w:t xml:space="preserve">McFadden et al. (2021a); Ravalier et al. (2023); Aughterson et al. (2021); Beattie et al. </w:t>
            </w:r>
            <w:r>
              <w:rPr>
                <w:lang w:val="en-GB"/>
              </w:rPr>
              <w:t>(2023)</w:t>
            </w:r>
          </w:p>
        </w:tc>
      </w:tr>
      <w:tr w14:paraId="2C206924">
        <w:tblPrEx>
          <w:tblCellMar>
            <w:top w:w="15" w:type="dxa"/>
            <w:left w:w="15" w:type="dxa"/>
            <w:bottom w:w="15" w:type="dxa"/>
            <w:right w:w="15" w:type="dxa"/>
          </w:tblCellMar>
        </w:tblPrEx>
        <w:trPr>
          <w:cantSplit/>
          <w:trHeight w:val="1065" w:hRule="atLeast"/>
          <w:tblHeader/>
        </w:trPr>
        <w:tc>
          <w:tcPr>
            <w:tcW w:w="3426" w:type="dxa"/>
            <w:tcBorders>
              <w:top w:val="single" w:color="000000" w:sz="6" w:space="0"/>
              <w:left w:val="single" w:color="0F1115" w:sz="6" w:space="0"/>
              <w:bottom w:val="single" w:color="000000" w:sz="6" w:space="0"/>
              <w:right w:val="single" w:color="0F1115" w:sz="6" w:space="0"/>
            </w:tcBorders>
            <w:shd w:val="clear" w:color="auto" w:fill="FFFFFF"/>
            <w:tcMar>
              <w:top w:w="160" w:type="dxa"/>
              <w:left w:w="0" w:type="dxa"/>
              <w:bottom w:w="160" w:type="dxa"/>
              <w:right w:w="240" w:type="dxa"/>
            </w:tcMar>
          </w:tcPr>
          <w:p w14:paraId="18273849">
            <w:pPr>
              <w:pStyle w:val="3"/>
              <w:jc w:val="center"/>
              <w:rPr>
                <w:rFonts w:ascii="Times New Roman" w:hAnsi="Times New Roman" w:eastAsia="Times New Roman" w:cs="Times New Roman"/>
                <w:sz w:val="24"/>
                <w:szCs w:val="24"/>
                <w:lang w:val="en-GB"/>
              </w:rPr>
            </w:pPr>
            <w:r>
              <w:rPr>
                <w:b/>
                <w:bCs/>
                <w:lang w:val="en-GB"/>
              </w:rPr>
              <w:t>Sub-theme 2.2: Leadership and Managerial Support</w:t>
            </w:r>
          </w:p>
        </w:tc>
        <w:tc>
          <w:tcPr>
            <w:tcW w:w="5848" w:type="dxa"/>
            <w:tcBorders>
              <w:top w:val="single" w:color="000000" w:sz="6" w:space="0"/>
              <w:left w:val="single" w:color="0F1115" w:sz="6" w:space="0"/>
              <w:bottom w:val="single" w:color="000000" w:sz="6" w:space="0"/>
              <w:right w:val="single" w:color="0F1115" w:sz="6" w:space="0"/>
            </w:tcBorders>
            <w:shd w:val="clear" w:color="auto" w:fill="FFFFFF"/>
            <w:tcMar>
              <w:top w:w="160" w:type="dxa"/>
              <w:left w:w="240" w:type="dxa"/>
              <w:bottom w:w="160" w:type="dxa"/>
              <w:right w:w="0" w:type="dxa"/>
            </w:tcMar>
          </w:tcPr>
          <w:p w14:paraId="33A716BF">
            <w:pPr>
              <w:pStyle w:val="3"/>
              <w:rPr>
                <w:rFonts w:ascii="Times New Roman" w:hAnsi="Times New Roman" w:eastAsia="Times New Roman" w:cs="Times New Roman"/>
                <w:sz w:val="24"/>
                <w:szCs w:val="24"/>
                <w:lang w:val="en-GB"/>
              </w:rPr>
            </w:pPr>
            <w:r>
              <w:rPr>
                <w:lang w:val="nl-NL"/>
              </w:rPr>
              <w:t xml:space="preserve">Allsopp et al. (2023); Blake et al. (2021); Aughterson et al. (2021); Collett et al. (2025); Beattie et al. </w:t>
            </w:r>
            <w:r>
              <w:rPr>
                <w:lang w:val="en-GB"/>
              </w:rPr>
              <w:t>(2023)</w:t>
            </w:r>
          </w:p>
        </w:tc>
      </w:tr>
      <w:tr w14:paraId="20B7F9B1">
        <w:tblPrEx>
          <w:tblCellMar>
            <w:top w:w="15" w:type="dxa"/>
            <w:left w:w="15" w:type="dxa"/>
            <w:bottom w:w="15" w:type="dxa"/>
            <w:right w:w="15" w:type="dxa"/>
          </w:tblCellMar>
        </w:tblPrEx>
        <w:trPr>
          <w:cantSplit/>
          <w:trHeight w:val="1065" w:hRule="atLeast"/>
          <w:tblHeader/>
        </w:trPr>
        <w:tc>
          <w:tcPr>
            <w:tcW w:w="3426" w:type="dxa"/>
            <w:tcBorders>
              <w:top w:val="single" w:color="000000" w:sz="6" w:space="0"/>
              <w:left w:val="single" w:color="0F1115" w:sz="6" w:space="0"/>
              <w:bottom w:val="single" w:color="000000" w:sz="6" w:space="0"/>
              <w:right w:val="single" w:color="0F1115" w:sz="6" w:space="0"/>
            </w:tcBorders>
            <w:shd w:val="clear" w:color="auto" w:fill="FFFFFF"/>
            <w:tcMar>
              <w:top w:w="160" w:type="dxa"/>
              <w:left w:w="0" w:type="dxa"/>
              <w:bottom w:w="160" w:type="dxa"/>
              <w:right w:w="240" w:type="dxa"/>
            </w:tcMar>
          </w:tcPr>
          <w:p w14:paraId="726E560D">
            <w:pPr>
              <w:pStyle w:val="3"/>
              <w:jc w:val="center"/>
              <w:rPr>
                <w:rFonts w:ascii="Times New Roman" w:hAnsi="Times New Roman" w:eastAsia="Times New Roman" w:cs="Times New Roman"/>
                <w:sz w:val="24"/>
                <w:szCs w:val="24"/>
                <w:lang w:val="en-GB"/>
              </w:rPr>
            </w:pPr>
            <w:r>
              <w:rPr>
                <w:b/>
                <w:bCs/>
                <w:lang w:val="en-GB"/>
              </w:rPr>
              <w:t>Theme 3: Coping Strategies and Individual-Level Responses</w:t>
            </w:r>
          </w:p>
        </w:tc>
        <w:tc>
          <w:tcPr>
            <w:tcW w:w="5848" w:type="dxa"/>
            <w:tcBorders>
              <w:top w:val="single" w:color="000000" w:sz="6" w:space="0"/>
              <w:left w:val="single" w:color="0F1115" w:sz="6" w:space="0"/>
              <w:bottom w:val="single" w:color="000000" w:sz="6" w:space="0"/>
              <w:right w:val="single" w:color="0F1115" w:sz="6" w:space="0"/>
            </w:tcBorders>
            <w:shd w:val="clear" w:color="auto" w:fill="FFFFFF"/>
            <w:tcMar>
              <w:top w:w="160" w:type="dxa"/>
              <w:left w:w="240" w:type="dxa"/>
              <w:bottom w:w="160" w:type="dxa"/>
              <w:right w:w="0" w:type="dxa"/>
            </w:tcMar>
          </w:tcPr>
          <w:p w14:paraId="0DE837F9">
            <w:pPr>
              <w:pStyle w:val="3"/>
              <w:rPr>
                <w:rFonts w:ascii="Times New Roman" w:hAnsi="Times New Roman" w:eastAsia="Times New Roman" w:cs="Times New Roman"/>
                <w:sz w:val="24"/>
                <w:szCs w:val="24"/>
                <w:lang w:val="en-GB"/>
              </w:rPr>
            </w:pPr>
            <w:r>
              <w:rPr>
                <w:lang w:val="nl-NL"/>
              </w:rPr>
              <w:t xml:space="preserve">McFadden et al. (2021b); Gillen et al. (2022); Petrella et al. (2021); Beattie et al. </w:t>
            </w:r>
            <w:r>
              <w:rPr>
                <w:lang w:val="en-GB"/>
              </w:rPr>
              <w:t>(2023); Aughterson et al. (2021)</w:t>
            </w:r>
          </w:p>
        </w:tc>
      </w:tr>
      <w:tr w14:paraId="250F0014">
        <w:tblPrEx>
          <w:tblCellMar>
            <w:top w:w="15" w:type="dxa"/>
            <w:left w:w="15" w:type="dxa"/>
            <w:bottom w:w="15" w:type="dxa"/>
            <w:right w:w="15" w:type="dxa"/>
          </w:tblCellMar>
        </w:tblPrEx>
        <w:trPr>
          <w:cantSplit/>
          <w:trHeight w:val="1065" w:hRule="atLeast"/>
          <w:tblHeader/>
        </w:trPr>
        <w:tc>
          <w:tcPr>
            <w:tcW w:w="3426" w:type="dxa"/>
            <w:tcBorders>
              <w:top w:val="single" w:color="000000" w:sz="6" w:space="0"/>
              <w:left w:val="single" w:color="0F1115" w:sz="6" w:space="0"/>
              <w:bottom w:val="single" w:color="000000" w:sz="6" w:space="0"/>
              <w:right w:val="single" w:color="0F1115" w:sz="6" w:space="0"/>
            </w:tcBorders>
            <w:shd w:val="clear" w:color="auto" w:fill="FFFFFF"/>
            <w:tcMar>
              <w:top w:w="160" w:type="dxa"/>
              <w:left w:w="0" w:type="dxa"/>
              <w:bottom w:w="160" w:type="dxa"/>
              <w:right w:w="240" w:type="dxa"/>
            </w:tcMar>
          </w:tcPr>
          <w:p w14:paraId="4CF2B18C">
            <w:pPr>
              <w:pStyle w:val="3"/>
              <w:jc w:val="center"/>
              <w:rPr>
                <w:rFonts w:ascii="Times New Roman" w:hAnsi="Times New Roman" w:eastAsia="Times New Roman" w:cs="Times New Roman"/>
                <w:sz w:val="24"/>
                <w:szCs w:val="24"/>
                <w:lang w:val="en-GB"/>
              </w:rPr>
            </w:pPr>
            <w:r>
              <w:rPr>
                <w:b/>
                <w:bCs/>
                <w:lang w:val="en-GB"/>
              </w:rPr>
              <w:t>Theme 4: Organisational Interventions and Support Mechanisms</w:t>
            </w:r>
          </w:p>
        </w:tc>
        <w:tc>
          <w:tcPr>
            <w:tcW w:w="5848" w:type="dxa"/>
            <w:tcBorders>
              <w:top w:val="single" w:color="000000" w:sz="6" w:space="0"/>
              <w:left w:val="single" w:color="0F1115" w:sz="6" w:space="0"/>
              <w:bottom w:val="single" w:color="000000" w:sz="6" w:space="0"/>
              <w:right w:val="single" w:color="0F1115" w:sz="6" w:space="0"/>
            </w:tcBorders>
            <w:shd w:val="clear" w:color="auto" w:fill="FFFFFF"/>
            <w:tcMar>
              <w:top w:w="160" w:type="dxa"/>
              <w:left w:w="240" w:type="dxa"/>
              <w:bottom w:w="160" w:type="dxa"/>
              <w:right w:w="0" w:type="dxa"/>
            </w:tcMar>
          </w:tcPr>
          <w:p w14:paraId="1592352F">
            <w:pPr>
              <w:pStyle w:val="3"/>
              <w:rPr>
                <w:rFonts w:ascii="Times New Roman" w:hAnsi="Times New Roman" w:eastAsia="Times New Roman" w:cs="Times New Roman"/>
                <w:sz w:val="24"/>
                <w:szCs w:val="24"/>
                <w:lang w:val="en-GB"/>
              </w:rPr>
            </w:pPr>
            <w:r>
              <w:rPr>
                <w:lang w:val="nl-NL"/>
              </w:rPr>
              <w:t xml:space="preserve">Allsopp et al. (2023); Blake et al. (2021); Collett et al. (2025); Petrella et al. </w:t>
            </w:r>
            <w:r>
              <w:rPr>
                <w:lang w:val="en-GB"/>
              </w:rPr>
              <w:t>(2021); Davies et al. (2025)</w:t>
            </w:r>
          </w:p>
        </w:tc>
      </w:tr>
      <w:tr w14:paraId="1B6B92C7">
        <w:tblPrEx>
          <w:tblCellMar>
            <w:top w:w="15" w:type="dxa"/>
            <w:left w:w="15" w:type="dxa"/>
            <w:bottom w:w="15" w:type="dxa"/>
            <w:right w:w="15" w:type="dxa"/>
          </w:tblCellMar>
        </w:tblPrEx>
        <w:trPr>
          <w:cantSplit/>
          <w:trHeight w:val="1065" w:hRule="atLeast"/>
          <w:tblHeader/>
        </w:trPr>
        <w:tc>
          <w:tcPr>
            <w:tcW w:w="3426" w:type="dxa"/>
            <w:tcBorders>
              <w:top w:val="single" w:color="000000" w:sz="6" w:space="0"/>
              <w:left w:val="single" w:color="0F1115" w:sz="6" w:space="0"/>
              <w:bottom w:val="single" w:color="000000" w:sz="6" w:space="0"/>
              <w:right w:val="single" w:color="0F1115" w:sz="6" w:space="0"/>
            </w:tcBorders>
            <w:shd w:val="clear" w:color="auto" w:fill="FFFFFF"/>
            <w:tcMar>
              <w:top w:w="160" w:type="dxa"/>
              <w:left w:w="0" w:type="dxa"/>
              <w:bottom w:w="160" w:type="dxa"/>
              <w:right w:w="240" w:type="dxa"/>
            </w:tcMar>
          </w:tcPr>
          <w:p w14:paraId="4B82B4FD">
            <w:pPr>
              <w:pStyle w:val="3"/>
              <w:jc w:val="center"/>
              <w:rPr>
                <w:rFonts w:ascii="Times New Roman" w:hAnsi="Times New Roman" w:eastAsia="Times New Roman" w:cs="Times New Roman"/>
                <w:sz w:val="24"/>
                <w:szCs w:val="24"/>
                <w:lang w:val="en-GB"/>
              </w:rPr>
            </w:pPr>
            <w:r>
              <w:rPr>
                <w:b/>
                <w:bCs/>
                <w:lang w:val="en-GB"/>
              </w:rPr>
              <w:t>Sub-theme 4.1: Staff Wellbeing Hubs and Psychological Support Services</w:t>
            </w:r>
          </w:p>
        </w:tc>
        <w:tc>
          <w:tcPr>
            <w:tcW w:w="5848" w:type="dxa"/>
            <w:tcBorders>
              <w:top w:val="single" w:color="000000" w:sz="6" w:space="0"/>
              <w:left w:val="single" w:color="0F1115" w:sz="6" w:space="0"/>
              <w:bottom w:val="single" w:color="000000" w:sz="6" w:space="0"/>
              <w:right w:val="single" w:color="0F1115" w:sz="6" w:space="0"/>
            </w:tcBorders>
            <w:shd w:val="clear" w:color="auto" w:fill="FFFFFF"/>
            <w:tcMar>
              <w:top w:w="160" w:type="dxa"/>
              <w:left w:w="240" w:type="dxa"/>
              <w:bottom w:w="160" w:type="dxa"/>
              <w:right w:w="0" w:type="dxa"/>
            </w:tcMar>
          </w:tcPr>
          <w:p w14:paraId="706630D0">
            <w:pPr>
              <w:pStyle w:val="3"/>
              <w:rPr>
                <w:rFonts w:ascii="Times New Roman" w:hAnsi="Times New Roman" w:eastAsia="Times New Roman" w:cs="Times New Roman"/>
                <w:sz w:val="24"/>
                <w:szCs w:val="24"/>
                <w:lang w:val="en-GB"/>
              </w:rPr>
            </w:pPr>
            <w:r>
              <w:rPr>
                <w:lang w:val="nl-NL"/>
              </w:rPr>
              <w:t xml:space="preserve">Allsopp et al. (2023); Blake et al. </w:t>
            </w:r>
            <w:r>
              <w:rPr>
                <w:lang w:val="en-GB"/>
              </w:rPr>
              <w:t>(2021); Petrella et al. (2021)</w:t>
            </w:r>
          </w:p>
        </w:tc>
      </w:tr>
      <w:tr w14:paraId="660537FC">
        <w:tblPrEx>
          <w:tblCellMar>
            <w:top w:w="15" w:type="dxa"/>
            <w:left w:w="15" w:type="dxa"/>
            <w:bottom w:w="15" w:type="dxa"/>
            <w:right w:w="15" w:type="dxa"/>
          </w:tblCellMar>
        </w:tblPrEx>
        <w:trPr>
          <w:cantSplit/>
          <w:trHeight w:val="1065" w:hRule="atLeast"/>
          <w:tblHeader/>
        </w:trPr>
        <w:tc>
          <w:tcPr>
            <w:tcW w:w="3426" w:type="dxa"/>
            <w:tcBorders>
              <w:top w:val="single" w:color="000000" w:sz="6" w:space="0"/>
              <w:left w:val="single" w:color="0F1115" w:sz="6" w:space="0"/>
              <w:bottom w:val="single" w:color="000000" w:sz="6" w:space="0"/>
              <w:right w:val="single" w:color="0F1115" w:sz="6" w:space="0"/>
            </w:tcBorders>
            <w:shd w:val="clear" w:color="auto" w:fill="FFFFFF"/>
            <w:tcMar>
              <w:top w:w="160" w:type="dxa"/>
              <w:left w:w="0" w:type="dxa"/>
              <w:bottom w:w="160" w:type="dxa"/>
              <w:right w:w="240" w:type="dxa"/>
            </w:tcMar>
          </w:tcPr>
          <w:p w14:paraId="08EA8F79">
            <w:pPr>
              <w:pStyle w:val="3"/>
              <w:jc w:val="center"/>
              <w:rPr>
                <w:rFonts w:ascii="Times New Roman" w:hAnsi="Times New Roman" w:eastAsia="Times New Roman" w:cs="Times New Roman"/>
                <w:sz w:val="24"/>
                <w:szCs w:val="24"/>
                <w:lang w:val="en-GB"/>
              </w:rPr>
            </w:pPr>
            <w:r>
              <w:rPr>
                <w:b/>
                <w:bCs/>
                <w:lang w:val="en-GB"/>
              </w:rPr>
              <w:t>Sub-theme 4.2: Peer Support and Collegial Relationships</w:t>
            </w:r>
          </w:p>
        </w:tc>
        <w:tc>
          <w:tcPr>
            <w:tcW w:w="5848" w:type="dxa"/>
            <w:tcBorders>
              <w:top w:val="single" w:color="000000" w:sz="6" w:space="0"/>
              <w:left w:val="single" w:color="0F1115" w:sz="6" w:space="0"/>
              <w:bottom w:val="single" w:color="000000" w:sz="6" w:space="0"/>
              <w:right w:val="single" w:color="0F1115" w:sz="6" w:space="0"/>
            </w:tcBorders>
            <w:shd w:val="clear" w:color="auto" w:fill="FFFFFF"/>
            <w:tcMar>
              <w:top w:w="160" w:type="dxa"/>
              <w:left w:w="240" w:type="dxa"/>
              <w:bottom w:w="160" w:type="dxa"/>
              <w:right w:w="0" w:type="dxa"/>
            </w:tcMar>
          </w:tcPr>
          <w:p w14:paraId="298ECAC2">
            <w:pPr>
              <w:pStyle w:val="3"/>
              <w:rPr>
                <w:rFonts w:ascii="Times New Roman" w:hAnsi="Times New Roman" w:eastAsia="Times New Roman" w:cs="Times New Roman"/>
                <w:sz w:val="24"/>
                <w:szCs w:val="24"/>
                <w:lang w:val="en-GB"/>
              </w:rPr>
            </w:pPr>
            <w:r>
              <w:rPr>
                <w:lang w:val="nl-NL"/>
              </w:rPr>
              <w:t xml:space="preserve">Allsopp et al. (2023); Blake et al. (2021); Aughterson et al. (2021); Beattie et al. </w:t>
            </w:r>
            <w:r>
              <w:rPr>
                <w:lang w:val="en-GB"/>
              </w:rPr>
              <w:t>(2023)</w:t>
            </w:r>
          </w:p>
        </w:tc>
      </w:tr>
      <w:tr w14:paraId="609401BD">
        <w:tblPrEx>
          <w:tblCellMar>
            <w:top w:w="15" w:type="dxa"/>
            <w:left w:w="15" w:type="dxa"/>
            <w:bottom w:w="15" w:type="dxa"/>
            <w:right w:w="15" w:type="dxa"/>
          </w:tblCellMar>
        </w:tblPrEx>
        <w:trPr>
          <w:cantSplit/>
          <w:trHeight w:val="1440" w:hRule="atLeast"/>
          <w:tblHeader/>
        </w:trPr>
        <w:tc>
          <w:tcPr>
            <w:tcW w:w="3426" w:type="dxa"/>
            <w:tcBorders>
              <w:top w:val="single" w:color="000000" w:sz="6" w:space="0"/>
              <w:left w:val="single" w:color="0F1115" w:sz="6" w:space="0"/>
              <w:bottom w:val="single" w:color="000000" w:sz="6" w:space="0"/>
              <w:right w:val="single" w:color="0F1115" w:sz="6" w:space="0"/>
            </w:tcBorders>
            <w:shd w:val="clear" w:color="auto" w:fill="FFFFFF"/>
            <w:tcMar>
              <w:top w:w="160" w:type="dxa"/>
              <w:left w:w="0" w:type="dxa"/>
              <w:bottom w:w="160" w:type="dxa"/>
              <w:right w:w="240" w:type="dxa"/>
            </w:tcMar>
          </w:tcPr>
          <w:p w14:paraId="7141B1A2">
            <w:pPr>
              <w:pStyle w:val="3"/>
              <w:jc w:val="center"/>
              <w:rPr>
                <w:rFonts w:ascii="Times New Roman" w:hAnsi="Times New Roman" w:eastAsia="Times New Roman" w:cs="Times New Roman"/>
                <w:sz w:val="24"/>
                <w:szCs w:val="24"/>
                <w:lang w:val="en-GB"/>
              </w:rPr>
            </w:pPr>
            <w:r>
              <w:rPr>
                <w:b/>
                <w:bCs/>
                <w:lang w:val="en-GB"/>
              </w:rPr>
              <w:t>Theme 5: Barriers to Accessing Support</w:t>
            </w:r>
          </w:p>
        </w:tc>
        <w:tc>
          <w:tcPr>
            <w:tcW w:w="5848" w:type="dxa"/>
            <w:tcBorders>
              <w:top w:val="single" w:color="000000" w:sz="6" w:space="0"/>
              <w:left w:val="single" w:color="0F1115" w:sz="6" w:space="0"/>
              <w:bottom w:val="single" w:color="000000" w:sz="6" w:space="0"/>
              <w:right w:val="single" w:color="0F1115" w:sz="6" w:space="0"/>
            </w:tcBorders>
            <w:shd w:val="clear" w:color="auto" w:fill="FFFFFF"/>
            <w:tcMar>
              <w:top w:w="160" w:type="dxa"/>
              <w:left w:w="240" w:type="dxa"/>
              <w:bottom w:w="160" w:type="dxa"/>
              <w:right w:w="0" w:type="dxa"/>
            </w:tcMar>
          </w:tcPr>
          <w:p w14:paraId="0048940F">
            <w:pPr>
              <w:pStyle w:val="3"/>
              <w:rPr>
                <w:rFonts w:ascii="Times New Roman" w:hAnsi="Times New Roman" w:eastAsia="Times New Roman" w:cs="Times New Roman"/>
                <w:sz w:val="24"/>
                <w:szCs w:val="24"/>
                <w:lang w:val="en-GB"/>
              </w:rPr>
            </w:pPr>
            <w:r>
              <w:rPr>
                <w:lang w:val="nl-NL"/>
              </w:rPr>
              <w:t xml:space="preserve">Petrella et al. (2021); Blake et al. (2021); Allsopp et al. (2023); Aughterson et al. (2021); Beattie et al. </w:t>
            </w:r>
            <w:r>
              <w:rPr>
                <w:lang w:val="en-GB"/>
              </w:rPr>
              <w:t>(2023)</w:t>
            </w:r>
          </w:p>
          <w:p w14:paraId="7B64AED4">
            <w:pPr>
              <w:pStyle w:val="3"/>
              <w:jc w:val="left"/>
              <w:rPr>
                <w:rFonts w:ascii="Times New Roman" w:hAnsi="Times New Roman" w:eastAsia="Times New Roman" w:cs="Times New Roman"/>
                <w:sz w:val="24"/>
                <w:szCs w:val="24"/>
                <w:lang w:val="en-GB"/>
              </w:rPr>
            </w:pPr>
          </w:p>
        </w:tc>
      </w:tr>
    </w:tbl>
    <w:p w14:paraId="29138827">
      <w:pPr>
        <w:pStyle w:val="3"/>
        <w:widowControl/>
        <w:spacing w:line="480" w:lineRule="auto"/>
        <w:rPr>
          <w:lang w:val="en-GB"/>
        </w:rPr>
      </w:pPr>
    </w:p>
    <w:p w14:paraId="6D5B077F">
      <w:pPr>
        <w:pStyle w:val="3"/>
        <w:spacing w:line="240" w:lineRule="auto"/>
        <w:jc w:val="left"/>
        <w:rPr>
          <w:b/>
          <w:bCs/>
          <w:lang w:val="en-GB"/>
        </w:rPr>
      </w:pPr>
    </w:p>
    <w:sectPr>
      <w:headerReference r:id="rId7" w:type="default"/>
      <w:footerReference r:id="rId8" w:type="default"/>
      <w:pgSz w:w="12240" w:h="15840"/>
      <w:pgMar w:top="1440" w:right="1800" w:bottom="1440" w:left="1800" w:header="708" w:footer="708" w:gutter="0"/>
      <w:cols w:space="720" w:num="1"/>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embedRegular r:id="rId1" w:fontKey="{A4DF823C-6B5B-473A-95BF-E4F367D34B6F}"/>
  </w:font>
  <w:font w:name="Arial">
    <w:panose1 w:val="020B0604020202020204"/>
    <w:charset w:val="86"/>
    <w:family w:val="swiss"/>
    <w:pitch w:val="default"/>
    <w:sig w:usb0="E0002EFF" w:usb1="C000785B" w:usb2="00000009" w:usb3="00000000" w:csb0="400001FF" w:csb1="FFFF0000"/>
    <w:embedRegular r:id="rId2" w:fontKey="{5A49F7AE-A55A-4DBC-9F20-D37EAD4A3DF4}"/>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3" w:fontKey="{FE73324A-F8A9-4B0B-AC2F-4D230274B6B3}"/>
  </w:font>
  <w:font w:name="Wingdings">
    <w:panose1 w:val="05000000000000000000"/>
    <w:charset w:val="02"/>
    <w:family w:val="auto"/>
    <w:pitch w:val="default"/>
    <w:sig w:usb0="00000000" w:usb1="00000000" w:usb2="00000000" w:usb3="00000000" w:csb0="80000000" w:csb1="00000000"/>
    <w:embedRegular r:id="rId4" w:fontKey="{B9717A7C-24E0-4157-8A40-F12EA2F18FF2}"/>
  </w:font>
  <w:font w:name="Calibri">
    <w:panose1 w:val="020F0502020204030204"/>
    <w:charset w:val="00"/>
    <w:family w:val="swiss"/>
    <w:pitch w:val="default"/>
    <w:sig w:usb0="E4002EFF" w:usb1="C000247B" w:usb2="00000009" w:usb3="00000000" w:csb0="200001FF" w:csb1="00000000"/>
    <w:embedRegular r:id="rId5" w:fontKey="{B03E23E5-C241-4B3B-82B3-8B4E85951434}"/>
  </w:font>
  <w:font w:name="Tahoma">
    <w:panose1 w:val="020B0604030504040204"/>
    <w:charset w:val="00"/>
    <w:family w:val="swiss"/>
    <w:pitch w:val="default"/>
    <w:sig w:usb0="E1002EFF" w:usb1="C000605B" w:usb2="00000029" w:usb3="00000000" w:csb0="200101FF" w:csb1="20280000"/>
    <w:embedRegular r:id="rId6" w:fontKey="{F3C3F2D9-31D6-48AC-BDF6-E8433FAAB188}"/>
  </w:font>
  <w:font w:name="Georgia">
    <w:panose1 w:val="02040502050405020303"/>
    <w:charset w:val="00"/>
    <w:family w:val="roman"/>
    <w:pitch w:val="default"/>
    <w:sig w:usb0="00000287" w:usb1="00000000" w:usb2="00000000" w:usb3="00000000" w:csb0="2000009F" w:csb1="00000000"/>
    <w:embedRegular r:id="rId7" w:fontKey="{35FD063A-8ADB-4515-A758-108E784397A9}"/>
  </w:font>
  <w:font w:name="Cambria">
    <w:panose1 w:val="02040503050406030204"/>
    <w:charset w:val="00"/>
    <w:family w:val="roman"/>
    <w:pitch w:val="default"/>
    <w:sig w:usb0="E00006FF" w:usb1="420024FF" w:usb2="02000000" w:usb3="00000000" w:csb0="2000019F" w:csb1="00000000"/>
    <w:embedRegular r:id="rId8" w:fontKey="{5B9F6BF9-9BB1-4952-AA6E-69B90E79481D}"/>
  </w:font>
  <w:font w:name="Noto Sans Symbols">
    <w:altName w:val="Calibri"/>
    <w:panose1 w:val="00000000000000000000"/>
    <w:charset w:val="00"/>
    <w:family w:val="auto"/>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embedRegular r:id="rId9" w:fontKey="{268A9B68-B8C5-4C1B-A7BF-32E2BE5E94CD}"/>
  </w:font>
  <w:font w:name="Segoe UI">
    <w:panose1 w:val="020B0502040204020203"/>
    <w:charset w:val="00"/>
    <w:family w:val="auto"/>
    <w:pitch w:val="default"/>
    <w:sig w:usb0="E4002EFF" w:usb1="C000E47F" w:usb2="00000009" w:usb3="00000000" w:csb0="200001FF" w:csb1="00000000"/>
    <w:embedRegular r:id="rId10" w:fontKey="{205BD84B-81CF-4CB3-B910-C77DC5BCA25A}"/>
  </w:font>
  <w:font w:name="Arial">
    <w:panose1 w:val="020B0604020202020204"/>
    <w:charset w:val="00"/>
    <w:family w:val="auto"/>
    <w:pitch w:val="default"/>
    <w:sig w:usb0="E0002EFF" w:usb1="C000785B" w:usb2="00000009" w:usb3="00000000" w:csb0="400001FF" w:csb1="FFFF0000"/>
    <w:embedRegular r:id="rId11" w:fontKey="{8EBC7598-7904-40AF-AC56-6E8530FBD2E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28CAC">
    <w:pPr>
      <w:pStyle w:val="3"/>
      <w:widowControl/>
      <w:tabs>
        <w:tab w:val="center" w:pos="4513"/>
        <w:tab w:val="right" w:pos="9026"/>
      </w:tabs>
      <w:jc w:val="center"/>
      <w:rPr>
        <w:rFonts w:ascii="Calibri" w:hAnsi="Calibri" w:eastAsia="Calibri" w:cs="Calibri"/>
        <w:color w:val="000000"/>
      </w:rPr>
    </w:pPr>
    <w:r>
      <w:rPr>
        <w:rFonts w:ascii="Calibri" w:hAnsi="Calibri" w:eastAsia="Calibri" w:cs="Calibri"/>
        <w:color w:val="000000"/>
      </w:rPr>
      <w:fldChar w:fldCharType="begin"/>
    </w:r>
    <w:r>
      <w:rPr>
        <w:rFonts w:ascii="Calibri" w:hAnsi="Calibri" w:eastAsia="Calibri" w:cs="Calibri"/>
        <w:color w:val="000000"/>
      </w:rPr>
      <w:instrText xml:space="preserve">PAGE</w:instrText>
    </w:r>
    <w:r>
      <w:rPr>
        <w:rFonts w:ascii="Calibri" w:hAnsi="Calibri" w:eastAsia="Calibri" w:cs="Calibri"/>
        <w:color w:val="000000"/>
      </w:rPr>
      <w:fldChar w:fldCharType="separate"/>
    </w:r>
    <w:r>
      <w:rPr>
        <w:rFonts w:ascii="Calibri" w:hAnsi="Calibri" w:eastAsia="Calibri" w:cs="Calibri"/>
        <w:color w:val="000000"/>
      </w:rPr>
      <w:t>1</w:t>
    </w:r>
    <w:r>
      <w:rPr>
        <w:rFonts w:ascii="Calibri" w:hAnsi="Calibri" w:eastAsia="Calibri" w:cs="Calibri"/>
        <w:color w:val="000000"/>
      </w:rPr>
      <w:fldChar w:fldCharType="end"/>
    </w:r>
  </w:p>
  <w:p w14:paraId="2AAB993F">
    <w:pPr>
      <w:pStyle w:val="3"/>
      <w:spacing w:line="14" w:lineRule="auto"/>
      <w:rPr>
        <w:color w:val="000000"/>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16317438"/>
    </w:sdtPr>
    <w:sdtContent>
      <w:p w14:paraId="0B05E3CF">
        <w:pPr>
          <w:pStyle w:val="14"/>
          <w:jc w:val="right"/>
        </w:pPr>
        <w:r>
          <w:fldChar w:fldCharType="begin"/>
        </w:r>
        <w:r>
          <w:instrText xml:space="preserve"> PAGE   \* MERGEFORMAT </w:instrText>
        </w:r>
        <w:r>
          <w:fldChar w:fldCharType="separate"/>
        </w:r>
        <w:r>
          <w:t>69</w:t>
        </w:r>
        <w:r>
          <w:fldChar w:fldCharType="end"/>
        </w:r>
      </w:p>
    </w:sdtContent>
  </w:sdt>
  <w:p w14:paraId="7C0137EA">
    <w:pPr>
      <w:pStyle w:val="3"/>
      <w:widowControl/>
      <w:tabs>
        <w:tab w:val="center" w:pos="4513"/>
        <w:tab w:val="right" w:pos="9026"/>
      </w:tabs>
      <w:rPr>
        <w:rFonts w:ascii="Calibri" w:hAnsi="Calibri" w:eastAsia="Calibri" w:cs="Calibri"/>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36F0B">
    <w:pPr>
      <w:pStyle w:val="3"/>
      <w:widowControl/>
      <w:spacing w:before="240" w:after="240"/>
      <w:ind w:left="720"/>
      <w:jc w:val="right"/>
      <w:rPr>
        <w:bCs/>
        <w:color w:val="222222"/>
        <w:lang w:val="en-GB"/>
      </w:rPr>
    </w:pPr>
    <w:r>
      <w:rPr>
        <w:bCs/>
        <w:color w:val="222222"/>
        <w:lang w:val="en-GB"/>
      </w:rPr>
      <w:t>Student number: 2434370</w:t>
    </w:r>
  </w:p>
  <w:p w14:paraId="6037EA49">
    <w:pPr>
      <w:pStyle w:val="1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B1AD7">
    <w:pPr>
      <w:pStyle w:val="3"/>
      <w:widowControl/>
      <w:spacing w:before="240" w:after="240"/>
      <w:ind w:left="720"/>
      <w:jc w:val="right"/>
      <w:rPr>
        <w:bCs/>
        <w:color w:val="222222"/>
        <w:lang w:val="en-GB"/>
      </w:rPr>
    </w:pPr>
    <w:r>
      <w:rPr>
        <w:bCs/>
        <w:color w:val="222222"/>
        <w:lang w:val="en-GB"/>
      </w:rPr>
      <w:t>Student number: 2434370</w:t>
    </w:r>
  </w:p>
  <w:p w14:paraId="7A216F7C">
    <w:pPr>
      <w:pStyle w:val="3"/>
      <w:widowControl/>
      <w:tabs>
        <w:tab w:val="center" w:pos="4513"/>
        <w:tab w:val="right" w:pos="9026"/>
      </w:tabs>
      <w:rPr>
        <w:rFonts w:ascii="Calibri" w:hAnsi="Calibri" w:eastAsia="Calibri" w:cs="Calibri"/>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2C3587"/>
    <w:multiLevelType w:val="multilevel"/>
    <w:tmpl w:val="012C3587"/>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18ED5F3A"/>
    <w:multiLevelType w:val="multilevel"/>
    <w:tmpl w:val="18ED5F3A"/>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2">
    <w:nsid w:val="2D8B63FC"/>
    <w:multiLevelType w:val="multilevel"/>
    <w:tmpl w:val="2D8B63FC"/>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3">
    <w:nsid w:val="750B72AE"/>
    <w:multiLevelType w:val="multilevel"/>
    <w:tmpl w:val="750B72AE"/>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2"/>
  </w:compat>
  <w:rsids>
    <w:rsidRoot w:val="009E0970"/>
    <w:rsid w:val="0004094F"/>
    <w:rsid w:val="00062BF1"/>
    <w:rsid w:val="00111CF8"/>
    <w:rsid w:val="0013314F"/>
    <w:rsid w:val="0013629D"/>
    <w:rsid w:val="0014701B"/>
    <w:rsid w:val="00153EA5"/>
    <w:rsid w:val="0019737D"/>
    <w:rsid w:val="001D369E"/>
    <w:rsid w:val="001E0BF7"/>
    <w:rsid w:val="0023038C"/>
    <w:rsid w:val="00234155"/>
    <w:rsid w:val="00280D48"/>
    <w:rsid w:val="002B6BDB"/>
    <w:rsid w:val="002B7C07"/>
    <w:rsid w:val="002F7EA3"/>
    <w:rsid w:val="00332022"/>
    <w:rsid w:val="003370F0"/>
    <w:rsid w:val="003A4E93"/>
    <w:rsid w:val="003E72A9"/>
    <w:rsid w:val="00403DB6"/>
    <w:rsid w:val="0041278C"/>
    <w:rsid w:val="004607BB"/>
    <w:rsid w:val="004664F3"/>
    <w:rsid w:val="004C01C1"/>
    <w:rsid w:val="004C2659"/>
    <w:rsid w:val="004D4631"/>
    <w:rsid w:val="004E1FAB"/>
    <w:rsid w:val="004E2F96"/>
    <w:rsid w:val="004F5F44"/>
    <w:rsid w:val="005245F8"/>
    <w:rsid w:val="005315F8"/>
    <w:rsid w:val="00536F1A"/>
    <w:rsid w:val="0054345E"/>
    <w:rsid w:val="00543DCF"/>
    <w:rsid w:val="0057379C"/>
    <w:rsid w:val="0058303D"/>
    <w:rsid w:val="005854DE"/>
    <w:rsid w:val="005E31BF"/>
    <w:rsid w:val="0060113E"/>
    <w:rsid w:val="00613DA6"/>
    <w:rsid w:val="006242A2"/>
    <w:rsid w:val="00644AAE"/>
    <w:rsid w:val="006450AF"/>
    <w:rsid w:val="00674BF9"/>
    <w:rsid w:val="006A7BB3"/>
    <w:rsid w:val="006D55AE"/>
    <w:rsid w:val="006D601B"/>
    <w:rsid w:val="00733618"/>
    <w:rsid w:val="00747808"/>
    <w:rsid w:val="00795319"/>
    <w:rsid w:val="007A66AA"/>
    <w:rsid w:val="008145AA"/>
    <w:rsid w:val="00820C4A"/>
    <w:rsid w:val="00823089"/>
    <w:rsid w:val="008407D7"/>
    <w:rsid w:val="00894A06"/>
    <w:rsid w:val="008C6A5E"/>
    <w:rsid w:val="008E2DEC"/>
    <w:rsid w:val="008F148B"/>
    <w:rsid w:val="008F4D3B"/>
    <w:rsid w:val="008F661A"/>
    <w:rsid w:val="00910E3C"/>
    <w:rsid w:val="009873CB"/>
    <w:rsid w:val="00991D33"/>
    <w:rsid w:val="009B1BF4"/>
    <w:rsid w:val="009B2DD6"/>
    <w:rsid w:val="009C5751"/>
    <w:rsid w:val="009C59C8"/>
    <w:rsid w:val="009C5EB3"/>
    <w:rsid w:val="009C638C"/>
    <w:rsid w:val="009D5D82"/>
    <w:rsid w:val="009D7605"/>
    <w:rsid w:val="009E0970"/>
    <w:rsid w:val="009F05A6"/>
    <w:rsid w:val="00A34F56"/>
    <w:rsid w:val="00A70561"/>
    <w:rsid w:val="00AF31D5"/>
    <w:rsid w:val="00B10CE4"/>
    <w:rsid w:val="00B23F45"/>
    <w:rsid w:val="00B27474"/>
    <w:rsid w:val="00B467AD"/>
    <w:rsid w:val="00B97743"/>
    <w:rsid w:val="00C0053B"/>
    <w:rsid w:val="00C04346"/>
    <w:rsid w:val="00C0643D"/>
    <w:rsid w:val="00C06651"/>
    <w:rsid w:val="00C44138"/>
    <w:rsid w:val="00C524D8"/>
    <w:rsid w:val="00C7166F"/>
    <w:rsid w:val="00C80D57"/>
    <w:rsid w:val="00C91915"/>
    <w:rsid w:val="00CA39E2"/>
    <w:rsid w:val="00CB7531"/>
    <w:rsid w:val="00D02A37"/>
    <w:rsid w:val="00D20926"/>
    <w:rsid w:val="00D302A2"/>
    <w:rsid w:val="00D35518"/>
    <w:rsid w:val="00D4699B"/>
    <w:rsid w:val="00DF6BC4"/>
    <w:rsid w:val="00E27176"/>
    <w:rsid w:val="00E337F2"/>
    <w:rsid w:val="00E40BDF"/>
    <w:rsid w:val="00E4344B"/>
    <w:rsid w:val="00E66E67"/>
    <w:rsid w:val="00E7586F"/>
    <w:rsid w:val="00EC52B7"/>
    <w:rsid w:val="00EC6789"/>
    <w:rsid w:val="00ED4986"/>
    <w:rsid w:val="00F2539E"/>
    <w:rsid w:val="00F616DB"/>
    <w:rsid w:val="00F65553"/>
    <w:rsid w:val="00F738B8"/>
    <w:rsid w:val="00F91287"/>
    <w:rsid w:val="00F95655"/>
    <w:rsid w:val="00FA7A29"/>
    <w:rsid w:val="00FC664D"/>
    <w:rsid w:val="080D469D"/>
    <w:rsid w:val="194D157E"/>
    <w:rsid w:val="2F0F6405"/>
    <w:rsid w:val="31B91B4A"/>
    <w:rsid w:val="422260FC"/>
    <w:rsid w:val="4DEA3368"/>
  </w:rsids>
  <m:mathPr>
    <m:mathFont m:val="Cambria Math"/>
    <m:brkBin m:val="before"/>
    <m:brkBinSub m:val="--"/>
    <m:smallFrac m:val="1"/>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Arial" w:hAnsi="Arial" w:eastAsia="Arial" w:cs="Arial"/>
      <w:sz w:val="22"/>
      <w:szCs w:val="22"/>
      <w:lang w:val="en-GB" w:eastAsia="en-US" w:bidi="ar-SA"/>
    </w:rPr>
  </w:style>
  <w:style w:type="paragraph" w:styleId="2">
    <w:name w:val="heading 1"/>
    <w:basedOn w:val="3"/>
    <w:next w:val="3"/>
    <w:qFormat/>
    <w:uiPriority w:val="0"/>
    <w:pPr>
      <w:jc w:val="center"/>
      <w:outlineLvl w:val="0"/>
    </w:pPr>
    <w:rPr>
      <w:b/>
      <w:bCs/>
      <w:sz w:val="28"/>
      <w:szCs w:val="28"/>
    </w:rPr>
  </w:style>
  <w:style w:type="paragraph" w:styleId="4">
    <w:name w:val="heading 2"/>
    <w:basedOn w:val="3"/>
    <w:next w:val="3"/>
    <w:qFormat/>
    <w:uiPriority w:val="0"/>
    <w:pPr>
      <w:ind w:left="220"/>
      <w:outlineLvl w:val="1"/>
    </w:pPr>
    <w:rPr>
      <w:b/>
      <w:bCs/>
      <w:sz w:val="26"/>
      <w:szCs w:val="26"/>
    </w:rPr>
  </w:style>
  <w:style w:type="paragraph" w:styleId="5">
    <w:name w:val="heading 3"/>
    <w:basedOn w:val="3"/>
    <w:next w:val="3"/>
    <w:qFormat/>
    <w:uiPriority w:val="0"/>
    <w:pPr>
      <w:spacing w:before="10"/>
      <w:ind w:left="40"/>
      <w:outlineLvl w:val="2"/>
    </w:pPr>
    <w:rPr>
      <w:b/>
      <w:bCs/>
    </w:rPr>
  </w:style>
  <w:style w:type="paragraph" w:styleId="6">
    <w:name w:val="heading 4"/>
    <w:basedOn w:val="3"/>
    <w:next w:val="3"/>
    <w:qFormat/>
    <w:uiPriority w:val="0"/>
    <w:pPr>
      <w:keepNext/>
      <w:keepLines/>
      <w:spacing w:before="240" w:after="40"/>
      <w:outlineLvl w:val="3"/>
    </w:pPr>
    <w:rPr>
      <w:b/>
      <w:bCs/>
      <w:sz w:val="24"/>
      <w:szCs w:val="24"/>
    </w:rPr>
  </w:style>
  <w:style w:type="paragraph" w:styleId="7">
    <w:name w:val="heading 5"/>
    <w:basedOn w:val="3"/>
    <w:next w:val="3"/>
    <w:qFormat/>
    <w:uiPriority w:val="0"/>
    <w:pPr>
      <w:keepNext/>
      <w:keepLines/>
      <w:spacing w:before="220" w:after="40"/>
      <w:outlineLvl w:val="4"/>
    </w:pPr>
    <w:rPr>
      <w:b/>
      <w:bCs/>
    </w:rPr>
  </w:style>
  <w:style w:type="paragraph" w:styleId="8">
    <w:name w:val="heading 6"/>
    <w:basedOn w:val="3"/>
    <w:next w:val="3"/>
    <w:qFormat/>
    <w:uiPriority w:val="0"/>
    <w:pPr>
      <w:keepNext/>
      <w:keepLines/>
      <w:spacing w:before="200" w:after="40"/>
      <w:outlineLvl w:val="5"/>
    </w:pPr>
    <w:rPr>
      <w:b/>
      <w:bCs/>
      <w:sz w:val="20"/>
      <w:szCs w:val="20"/>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3">
    <w:name w:val="Normal1"/>
    <w:qFormat/>
    <w:uiPriority w:val="0"/>
    <w:pPr>
      <w:widowControl w:val="0"/>
      <w:spacing w:line="360" w:lineRule="auto"/>
      <w:jc w:val="both"/>
    </w:pPr>
    <w:rPr>
      <w:rFonts w:ascii="Arial" w:hAnsi="Arial" w:eastAsia="Arial" w:cs="Arial"/>
      <w:sz w:val="22"/>
      <w:szCs w:val="22"/>
      <w:lang w:val="en-US" w:eastAsia="en-US" w:bidi="ar-SA"/>
    </w:rPr>
  </w:style>
  <w:style w:type="paragraph" w:styleId="11">
    <w:name w:val="Balloon Text"/>
    <w:basedOn w:val="1"/>
    <w:link w:val="34"/>
    <w:semiHidden/>
    <w:unhideWhenUsed/>
    <w:qFormat/>
    <w:uiPriority w:val="99"/>
    <w:pPr>
      <w:spacing w:line="240" w:lineRule="auto"/>
    </w:pPr>
    <w:rPr>
      <w:rFonts w:ascii="Tahoma" w:hAnsi="Tahoma" w:cs="Tahoma"/>
      <w:sz w:val="16"/>
      <w:szCs w:val="16"/>
    </w:rPr>
  </w:style>
  <w:style w:type="paragraph" w:styleId="12">
    <w:name w:val="caption"/>
    <w:basedOn w:val="1"/>
    <w:next w:val="1"/>
    <w:semiHidden/>
    <w:unhideWhenUsed/>
    <w:qFormat/>
    <w:uiPriority w:val="35"/>
    <w:rPr>
      <w:rFonts w:ascii="Arial" w:hAnsi="Arial" w:eastAsia="黑体" w:cs="Arial"/>
      <w:sz w:val="20"/>
    </w:rPr>
  </w:style>
  <w:style w:type="character" w:styleId="13">
    <w:name w:val="Emphasis"/>
    <w:basedOn w:val="9"/>
    <w:qFormat/>
    <w:uiPriority w:val="20"/>
    <w:rPr>
      <w:i/>
      <w:iCs/>
    </w:rPr>
  </w:style>
  <w:style w:type="paragraph" w:styleId="14">
    <w:name w:val="footer"/>
    <w:basedOn w:val="1"/>
    <w:link w:val="36"/>
    <w:unhideWhenUsed/>
    <w:qFormat/>
    <w:uiPriority w:val="99"/>
    <w:pPr>
      <w:tabs>
        <w:tab w:val="center" w:pos="4680"/>
        <w:tab w:val="right" w:pos="9360"/>
      </w:tabs>
      <w:spacing w:line="240" w:lineRule="auto"/>
    </w:pPr>
  </w:style>
  <w:style w:type="paragraph" w:styleId="15">
    <w:name w:val="header"/>
    <w:basedOn w:val="1"/>
    <w:link w:val="35"/>
    <w:unhideWhenUsed/>
    <w:qFormat/>
    <w:uiPriority w:val="99"/>
    <w:pPr>
      <w:tabs>
        <w:tab w:val="center" w:pos="4680"/>
        <w:tab w:val="right" w:pos="9360"/>
      </w:tabs>
      <w:spacing w:line="240" w:lineRule="auto"/>
    </w:pPr>
  </w:style>
  <w:style w:type="character" w:styleId="16">
    <w:name w:val="Hyperlink"/>
    <w:basedOn w:val="9"/>
    <w:unhideWhenUsed/>
    <w:qFormat/>
    <w:uiPriority w:val="99"/>
    <w:rPr>
      <w:color w:val="0000FF" w:themeColor="hyperlink"/>
      <w:u w:val="single"/>
    </w:rPr>
  </w:style>
  <w:style w:type="paragraph" w:styleId="17">
    <w:name w:val="Normal (Web)"/>
    <w:basedOn w:val="1"/>
    <w:unhideWhenUsed/>
    <w:qFormat/>
    <w:uiPriority w:val="99"/>
    <w:pPr>
      <w:widowControl/>
      <w:spacing w:before="100" w:beforeAutospacing="1" w:after="100" w:afterAutospacing="1" w:line="240" w:lineRule="auto"/>
      <w:jc w:val="left"/>
    </w:pPr>
    <w:rPr>
      <w:rFonts w:ascii="Times New Roman" w:hAnsi="Times New Roman" w:eastAsia="Times New Roman" w:cs="Times New Roman"/>
      <w:sz w:val="24"/>
      <w:szCs w:val="24"/>
      <w:lang w:val="en-US"/>
    </w:rPr>
  </w:style>
  <w:style w:type="character" w:styleId="18">
    <w:name w:val="Strong"/>
    <w:basedOn w:val="9"/>
    <w:qFormat/>
    <w:uiPriority w:val="22"/>
    <w:rPr>
      <w:b/>
      <w:bCs/>
    </w:rPr>
  </w:style>
  <w:style w:type="paragraph" w:styleId="19">
    <w:name w:val="Subtitle"/>
    <w:basedOn w:val="3"/>
    <w:next w:val="3"/>
    <w:qFormat/>
    <w:uiPriority w:val="0"/>
    <w:pPr>
      <w:keepNext/>
      <w:keepLines/>
      <w:spacing w:before="360" w:after="80"/>
    </w:pPr>
    <w:rPr>
      <w:rFonts w:ascii="Georgia" w:hAnsi="Georgia" w:eastAsia="Georgia" w:cs="Georgia"/>
      <w:i/>
      <w:iCs/>
      <w:color w:val="666666"/>
      <w:sz w:val="48"/>
      <w:szCs w:val="48"/>
    </w:rPr>
  </w:style>
  <w:style w:type="paragraph" w:styleId="20">
    <w:name w:val="table of figures"/>
    <w:basedOn w:val="1"/>
    <w:next w:val="1"/>
    <w:semiHidden/>
    <w:unhideWhenUsed/>
    <w:qFormat/>
    <w:uiPriority w:val="99"/>
    <w:pPr>
      <w:ind w:leftChars="200" w:hanging="200" w:hangingChars="200"/>
    </w:pPr>
  </w:style>
  <w:style w:type="paragraph" w:styleId="21">
    <w:name w:val="Title"/>
    <w:basedOn w:val="3"/>
    <w:next w:val="3"/>
    <w:qFormat/>
    <w:uiPriority w:val="0"/>
    <w:pPr>
      <w:keepNext/>
      <w:keepLines/>
      <w:spacing w:before="480" w:after="120"/>
    </w:pPr>
    <w:rPr>
      <w:b/>
      <w:bCs/>
      <w:sz w:val="72"/>
      <w:szCs w:val="72"/>
    </w:rPr>
  </w:style>
  <w:style w:type="paragraph" w:styleId="22">
    <w:name w:val="toc 1"/>
    <w:basedOn w:val="1"/>
    <w:next w:val="1"/>
    <w:autoRedefine/>
    <w:unhideWhenUsed/>
    <w:qFormat/>
    <w:uiPriority w:val="39"/>
    <w:pPr>
      <w:spacing w:after="100"/>
    </w:pPr>
  </w:style>
  <w:style w:type="paragraph" w:styleId="23">
    <w:name w:val="toc 2"/>
    <w:basedOn w:val="1"/>
    <w:next w:val="1"/>
    <w:autoRedefine/>
    <w:unhideWhenUsed/>
    <w:qFormat/>
    <w:uiPriority w:val="39"/>
    <w:pPr>
      <w:spacing w:after="100"/>
      <w:ind w:left="220"/>
    </w:pPr>
  </w:style>
  <w:style w:type="paragraph" w:styleId="24">
    <w:name w:val="toc 3"/>
    <w:basedOn w:val="1"/>
    <w:next w:val="1"/>
    <w:autoRedefine/>
    <w:unhideWhenUsed/>
    <w:qFormat/>
    <w:uiPriority w:val="39"/>
    <w:pPr>
      <w:spacing w:after="100"/>
      <w:ind w:left="440"/>
    </w:pPr>
  </w:style>
  <w:style w:type="table" w:customStyle="1" w:styleId="25">
    <w:name w:val="TableNormal"/>
    <w:qFormat/>
    <w:uiPriority w:val="0"/>
    <w:tblPr>
      <w:tblCellMar>
        <w:top w:w="100" w:type="dxa"/>
        <w:left w:w="100" w:type="dxa"/>
        <w:bottom w:w="100" w:type="dxa"/>
        <w:right w:w="100" w:type="dxa"/>
      </w:tblCellMar>
    </w:tblPr>
  </w:style>
  <w:style w:type="table" w:customStyle="1" w:styleId="26">
    <w:name w:val="_Style 13"/>
    <w:basedOn w:val="25"/>
    <w:qFormat/>
    <w:uiPriority w:val="0"/>
    <w:tblPr>
      <w:tblCellMar>
        <w:top w:w="0" w:type="dxa"/>
        <w:left w:w="108" w:type="dxa"/>
        <w:bottom w:w="0" w:type="dxa"/>
        <w:right w:w="108" w:type="dxa"/>
      </w:tblCellMar>
    </w:tblPr>
  </w:style>
  <w:style w:type="table" w:customStyle="1" w:styleId="27">
    <w:name w:val="_Style 14"/>
    <w:basedOn w:val="25"/>
    <w:qFormat/>
    <w:uiPriority w:val="0"/>
    <w:tblPr>
      <w:tblCellMar>
        <w:top w:w="15" w:type="dxa"/>
        <w:left w:w="15" w:type="dxa"/>
        <w:bottom w:w="15" w:type="dxa"/>
        <w:right w:w="15" w:type="dxa"/>
      </w:tblCellMar>
    </w:tblPr>
  </w:style>
  <w:style w:type="table" w:customStyle="1" w:styleId="28">
    <w:name w:val="_Style 15"/>
    <w:basedOn w:val="25"/>
    <w:qFormat/>
    <w:uiPriority w:val="0"/>
    <w:tblPr>
      <w:tblCellMar>
        <w:top w:w="0" w:type="dxa"/>
        <w:left w:w="115" w:type="dxa"/>
        <w:bottom w:w="0" w:type="dxa"/>
        <w:right w:w="115" w:type="dxa"/>
      </w:tblCellMar>
    </w:tblPr>
  </w:style>
  <w:style w:type="table" w:customStyle="1" w:styleId="29">
    <w:name w:val="_Style 16"/>
    <w:basedOn w:val="25"/>
    <w:qFormat/>
    <w:uiPriority w:val="0"/>
    <w:tblPr>
      <w:tblCellMar>
        <w:top w:w="0" w:type="dxa"/>
        <w:left w:w="115" w:type="dxa"/>
        <w:bottom w:w="0" w:type="dxa"/>
        <w:right w:w="115" w:type="dxa"/>
      </w:tblCellMar>
    </w:tblPr>
  </w:style>
  <w:style w:type="table" w:customStyle="1" w:styleId="30">
    <w:name w:val="_Style 17"/>
    <w:basedOn w:val="25"/>
    <w:qFormat/>
    <w:uiPriority w:val="0"/>
    <w:tblPr>
      <w:tblCellMar>
        <w:top w:w="15" w:type="dxa"/>
        <w:left w:w="15" w:type="dxa"/>
        <w:bottom w:w="15" w:type="dxa"/>
        <w:right w:w="15" w:type="dxa"/>
      </w:tblCellMar>
    </w:tblPr>
  </w:style>
  <w:style w:type="table" w:customStyle="1" w:styleId="31">
    <w:name w:val="_Style 18"/>
    <w:basedOn w:val="25"/>
    <w:qFormat/>
    <w:uiPriority w:val="0"/>
    <w:tblPr>
      <w:tblCellMar>
        <w:top w:w="15" w:type="dxa"/>
        <w:left w:w="15" w:type="dxa"/>
        <w:bottom w:w="15" w:type="dxa"/>
        <w:right w:w="15" w:type="dxa"/>
      </w:tblCellMar>
    </w:tblPr>
  </w:style>
  <w:style w:type="table" w:customStyle="1" w:styleId="32">
    <w:name w:val="_Style 19"/>
    <w:basedOn w:val="25"/>
    <w:qFormat/>
    <w:uiPriority w:val="0"/>
    <w:tblPr>
      <w:tblCellMar>
        <w:top w:w="0" w:type="dxa"/>
        <w:left w:w="115" w:type="dxa"/>
        <w:bottom w:w="0" w:type="dxa"/>
        <w:right w:w="115" w:type="dxa"/>
      </w:tblCellMar>
    </w:tblPr>
  </w:style>
  <w:style w:type="table" w:customStyle="1" w:styleId="33">
    <w:name w:val="_Style 20"/>
    <w:basedOn w:val="25"/>
    <w:qFormat/>
    <w:uiPriority w:val="0"/>
    <w:tblPr>
      <w:tblCellMar>
        <w:top w:w="15" w:type="dxa"/>
        <w:left w:w="15" w:type="dxa"/>
        <w:bottom w:w="15" w:type="dxa"/>
        <w:right w:w="15" w:type="dxa"/>
      </w:tblCellMar>
    </w:tblPr>
  </w:style>
  <w:style w:type="character" w:customStyle="1" w:styleId="34">
    <w:name w:val="Balloon Text Char"/>
    <w:basedOn w:val="9"/>
    <w:link w:val="11"/>
    <w:semiHidden/>
    <w:qFormat/>
    <w:uiPriority w:val="99"/>
    <w:rPr>
      <w:rFonts w:ascii="Tahoma" w:hAnsi="Tahoma" w:cs="Tahoma"/>
      <w:sz w:val="16"/>
      <w:szCs w:val="16"/>
    </w:rPr>
  </w:style>
  <w:style w:type="character" w:customStyle="1" w:styleId="35">
    <w:name w:val="Header Char"/>
    <w:basedOn w:val="9"/>
    <w:link w:val="15"/>
    <w:qFormat/>
    <w:uiPriority w:val="99"/>
    <w:rPr>
      <w:lang w:val="en-GB"/>
    </w:rPr>
  </w:style>
  <w:style w:type="character" w:customStyle="1" w:styleId="36">
    <w:name w:val="Footer Char"/>
    <w:basedOn w:val="9"/>
    <w:link w:val="14"/>
    <w:qFormat/>
    <w:uiPriority w:val="99"/>
    <w:rPr>
      <w:lang w:val="en-GB"/>
    </w:rPr>
  </w:style>
  <w:style w:type="paragraph" w:styleId="37">
    <w:name w:val="List Paragraph"/>
    <w:basedOn w:val="1"/>
    <w:qFormat/>
    <w:uiPriority w:val="34"/>
    <w:pPr>
      <w:ind w:left="720"/>
      <w:contextualSpacing/>
    </w:pPr>
  </w:style>
  <w:style w:type="table" w:customStyle="1" w:styleId="38">
    <w:name w:val="Table Grid Light1"/>
    <w:basedOn w:val="10"/>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II5XAc9pX4cw9nCc5JnvXTCXFg==">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</go:docsCustomData>
</go:gDocsCustomXmlDataStorage>
</file>

<file path=customXml/itemProps1.xml><?xml version="1.0" encoding="utf-8"?>
<ds:datastoreItem xmlns:ds="http://schemas.openxmlformats.org/officeDocument/2006/customXml" ds:itemID="{35594005-1E6A-4BEB-B061-A63348EFFA85}">
  <ds:schemaRefs/>
</ds:datastoreItem>
</file>

<file path=customXml/itemProps2.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90</Pages>
  <Words>1118</Words>
  <Characters>6392</Characters>
  <DocSecurity>0</DocSecurity>
  <Lines>1074</Lines>
  <Paragraphs>302</Paragraphs>
  <ScaleCrop>false</ScaleCrop>
  <LinksUpToDate>false</LinksUpToDate>
  <CharactersWithSpaces>7434</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2026-04-21T09:12:00Z</dcterms:created>
  <dcterms:modified xsi:type="dcterms:W3CDTF">2026-05-12T08:15:32Z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2019-10-08T00:00:00Z</vt:lpwstr>
  </property>
  <property fmtid="{D5CDD505-2E9C-101B-9397-08002B2CF9AE}" pid="3" name="Creator">
    <vt:lpwstr>Microsoft® Word 2016</vt:lpwstr>
  </property>
  <property fmtid="{D5CDD505-2E9C-101B-9397-08002B2CF9AE}" pid="4" name="LastSaved">
    <vt:lpwstr>2019-10-15T00:00:00Z</vt:lpwstr>
  </property>
  <property fmtid="{D5CDD505-2E9C-101B-9397-08002B2CF9AE}" pid="5" name="GrammarlyDocumentId">
    <vt:lpwstr>4a6856f3-ad7a-4357-bebf-a99563158a12</vt:lpwstr>
  </property>
  <property fmtid="{D5CDD505-2E9C-101B-9397-08002B2CF9AE}" pid="6" name="KSOTemplateDocerSaveRecord">
    <vt:lpwstr>eyJoZGlkIjoiN2E0ZWVkZDJmNTI2NWMzZDY2ZDY1ZGI3YjdkNDhlZmMiLCJ1c2VySWQiOiI1Njc1NjA4NjcyNTUifQ==</vt:lpwstr>
  </property>
  <property fmtid="{D5CDD505-2E9C-101B-9397-08002B2CF9AE}" pid="7" name="KSOProductBuildVer">
    <vt:lpwstr>1033-12.1.0.25862</vt:lpwstr>
  </property>
  <property fmtid="{D5CDD505-2E9C-101B-9397-08002B2CF9AE}" pid="8" name="ICV">
    <vt:lpwstr>1CD09019E9EA47F9B8AF17E0BB167F0D_12</vt:lpwstr>
  </property>
</Properties>
</file>