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D37CF" w14:textId="77777777" w:rsidR="00262CA6" w:rsidRDefault="00262CA6" w:rsidP="00262CA6">
      <w:pPr>
        <w:spacing w:line="360" w:lineRule="auto"/>
        <w:rPr>
          <w:rFonts w:ascii="Arial" w:hAnsi="Arial" w:cs="Arial"/>
          <w:lang w:val="en-GB"/>
        </w:rPr>
      </w:pPr>
    </w:p>
    <w:p w14:paraId="34DF23E5" w14:textId="77777777" w:rsidR="00262CA6" w:rsidRDefault="00262CA6" w:rsidP="00262CA6">
      <w:pPr>
        <w:spacing w:line="360" w:lineRule="auto"/>
        <w:rPr>
          <w:rFonts w:ascii="Arial" w:hAnsi="Arial" w:cs="Arial"/>
          <w:lang w:val="en-GB"/>
        </w:rPr>
      </w:pPr>
    </w:p>
    <w:p w14:paraId="58F81A70" w14:textId="77777777" w:rsidR="00262CA6" w:rsidRDefault="00262CA6" w:rsidP="00262CA6">
      <w:pPr>
        <w:spacing w:line="360" w:lineRule="auto"/>
        <w:rPr>
          <w:rFonts w:ascii="Arial" w:hAnsi="Arial" w:cs="Arial"/>
          <w:lang w:val="en-GB"/>
        </w:rPr>
      </w:pPr>
    </w:p>
    <w:p w14:paraId="4A1FABFC" w14:textId="77777777" w:rsidR="00262CA6" w:rsidRDefault="00262CA6" w:rsidP="00262CA6">
      <w:pPr>
        <w:spacing w:line="360" w:lineRule="auto"/>
        <w:rPr>
          <w:rFonts w:ascii="Arial" w:hAnsi="Arial" w:cs="Arial"/>
          <w:lang w:val="en-GB"/>
        </w:rPr>
      </w:pPr>
    </w:p>
    <w:p w14:paraId="2BAC13D3" w14:textId="77777777" w:rsidR="00262CA6" w:rsidRDefault="00262CA6" w:rsidP="00262CA6">
      <w:pPr>
        <w:spacing w:line="360" w:lineRule="auto"/>
        <w:rPr>
          <w:rFonts w:ascii="Arial" w:hAnsi="Arial" w:cs="Arial"/>
          <w:lang w:val="en-GB"/>
        </w:rPr>
      </w:pPr>
    </w:p>
    <w:p w14:paraId="12B5536B" w14:textId="77777777" w:rsidR="00262CA6" w:rsidRDefault="00262CA6" w:rsidP="00262CA6">
      <w:pPr>
        <w:spacing w:line="360" w:lineRule="auto"/>
        <w:rPr>
          <w:rFonts w:ascii="Arial" w:hAnsi="Arial" w:cs="Arial"/>
          <w:lang w:val="en-GB"/>
        </w:rPr>
      </w:pPr>
    </w:p>
    <w:p w14:paraId="34625BA4" w14:textId="77777777" w:rsidR="00262CA6" w:rsidRDefault="00262CA6" w:rsidP="00262CA6">
      <w:pPr>
        <w:spacing w:line="360" w:lineRule="auto"/>
        <w:rPr>
          <w:rFonts w:ascii="Arial" w:hAnsi="Arial" w:cs="Arial"/>
          <w:lang w:val="en-GB"/>
        </w:rPr>
      </w:pPr>
    </w:p>
    <w:p w14:paraId="2A6B599D" w14:textId="77777777" w:rsidR="00262CA6" w:rsidRDefault="00262CA6" w:rsidP="00262CA6">
      <w:pPr>
        <w:spacing w:line="360" w:lineRule="auto"/>
        <w:rPr>
          <w:rFonts w:ascii="Arial" w:hAnsi="Arial" w:cs="Arial"/>
          <w:lang w:val="en-GB"/>
        </w:rPr>
      </w:pPr>
    </w:p>
    <w:p w14:paraId="4F4D95F7" w14:textId="77777777" w:rsidR="00262CA6" w:rsidRDefault="00262CA6" w:rsidP="00262CA6">
      <w:pPr>
        <w:spacing w:line="360" w:lineRule="auto"/>
        <w:rPr>
          <w:rFonts w:ascii="Arial" w:hAnsi="Arial" w:cs="Arial"/>
          <w:lang w:val="en-GB"/>
        </w:rPr>
      </w:pPr>
    </w:p>
    <w:p w14:paraId="1B93DAB6" w14:textId="77777777" w:rsidR="00262CA6" w:rsidRDefault="00262CA6" w:rsidP="00262CA6">
      <w:pPr>
        <w:spacing w:line="360" w:lineRule="auto"/>
        <w:rPr>
          <w:rFonts w:ascii="Arial" w:hAnsi="Arial" w:cs="Arial"/>
          <w:lang w:val="en-GB"/>
        </w:rPr>
      </w:pPr>
    </w:p>
    <w:p w14:paraId="5D0EB33C" w14:textId="77777777" w:rsidR="00262CA6" w:rsidRDefault="00262CA6" w:rsidP="00262CA6">
      <w:pPr>
        <w:spacing w:line="360" w:lineRule="auto"/>
        <w:rPr>
          <w:rFonts w:ascii="Arial" w:hAnsi="Arial" w:cs="Arial"/>
          <w:lang w:val="en-GB"/>
        </w:rPr>
      </w:pPr>
    </w:p>
    <w:p w14:paraId="28621CDF" w14:textId="77777777" w:rsidR="00262CA6" w:rsidRDefault="00262CA6" w:rsidP="00262CA6">
      <w:pPr>
        <w:spacing w:line="360" w:lineRule="auto"/>
        <w:rPr>
          <w:rFonts w:ascii="Arial" w:hAnsi="Arial" w:cs="Arial"/>
          <w:lang w:val="en-GB"/>
        </w:rPr>
      </w:pPr>
    </w:p>
    <w:p w14:paraId="5805E0B6" w14:textId="17FEE349" w:rsidR="00697037" w:rsidRPr="00262CA6" w:rsidRDefault="00697037" w:rsidP="00262CA6">
      <w:pPr>
        <w:spacing w:line="360" w:lineRule="auto"/>
        <w:rPr>
          <w:rFonts w:ascii="Arial" w:hAnsi="Arial" w:cs="Arial"/>
          <w:lang w:val="en-GB"/>
        </w:rPr>
      </w:pPr>
      <w:r w:rsidRPr="00262CA6">
        <w:rPr>
          <w:rFonts w:ascii="Arial" w:hAnsi="Arial" w:cs="Arial"/>
          <w:lang w:val="en-GB"/>
        </w:rPr>
        <w:t>E</w:t>
      </w:r>
      <w:r w:rsidRPr="00262CA6">
        <w:rPr>
          <w:rFonts w:ascii="Arial" w:hAnsi="Arial" w:cs="Arial"/>
          <w:lang w:val="en-GB"/>
        </w:rPr>
        <w:t xml:space="preserve">vent Strategic Planning and Delivery Considerations for an International Meeting. </w:t>
      </w:r>
    </w:p>
    <w:p w14:paraId="2E4EE685" w14:textId="77777777" w:rsidR="00EA0743" w:rsidRPr="00262CA6" w:rsidRDefault="00EA0743" w:rsidP="00262CA6">
      <w:pPr>
        <w:spacing w:line="360" w:lineRule="auto"/>
        <w:rPr>
          <w:rFonts w:ascii="Arial" w:hAnsi="Arial" w:cs="Arial"/>
          <w:lang w:val="en-GB"/>
        </w:rPr>
      </w:pPr>
    </w:p>
    <w:p w14:paraId="60A3F04E" w14:textId="03F5D890" w:rsidR="00262CA6" w:rsidRPr="00262CA6" w:rsidRDefault="00697037" w:rsidP="00262CA6">
      <w:pPr>
        <w:spacing w:line="360" w:lineRule="auto"/>
        <w:rPr>
          <w:rFonts w:ascii="Arial" w:hAnsi="Arial" w:cs="Arial"/>
        </w:rPr>
      </w:pPr>
      <w:r w:rsidRPr="00262CA6">
        <w:rPr>
          <w:rFonts w:ascii="Arial" w:hAnsi="Arial" w:cs="Arial"/>
          <w:lang w:val="en-GB"/>
        </w:rPr>
        <w:t>Your name and student number</w:t>
      </w:r>
      <w:r w:rsidR="00262CA6" w:rsidRPr="00262CA6">
        <w:rPr>
          <w:rFonts w:ascii="Arial" w:hAnsi="Arial" w:cs="Arial"/>
        </w:rPr>
        <w:t xml:space="preserve">: </w:t>
      </w:r>
      <w:r w:rsidR="00262CA6" w:rsidRPr="00262CA6">
        <w:rPr>
          <w:rFonts w:ascii="Arial" w:hAnsi="Arial" w:cs="Arial"/>
        </w:rPr>
        <w:t>Elena Claudia Pasare, 2131347</w:t>
      </w:r>
      <w:r w:rsidRPr="00262CA6">
        <w:rPr>
          <w:rFonts w:ascii="Arial" w:hAnsi="Arial" w:cs="Arial"/>
          <w:lang w:val="en-GB"/>
        </w:rPr>
        <w:br/>
        <w:t>The assignment title: Planning and Delivering an International Meeting/Event. The module title: International Meetings Management BMIH6007</w:t>
      </w:r>
      <w:r w:rsidRPr="00262CA6">
        <w:rPr>
          <w:rFonts w:ascii="Arial" w:hAnsi="Arial" w:cs="Arial"/>
          <w:lang w:val="en-GB"/>
        </w:rPr>
        <w:br/>
        <w:t xml:space="preserve">Your </w:t>
      </w:r>
      <w:r w:rsidR="00262CA6" w:rsidRPr="00262CA6">
        <w:rPr>
          <w:rFonts w:ascii="Arial" w:hAnsi="Arial" w:cs="Arial"/>
          <w:lang w:val="en-GB"/>
        </w:rPr>
        <w:t>lecturer’s</w:t>
      </w:r>
      <w:r w:rsidRPr="00262CA6">
        <w:rPr>
          <w:rFonts w:ascii="Arial" w:hAnsi="Arial" w:cs="Arial"/>
          <w:lang w:val="en-GB"/>
        </w:rPr>
        <w:t xml:space="preserve"> name</w:t>
      </w:r>
      <w:r w:rsidR="00262CA6" w:rsidRPr="00262CA6">
        <w:rPr>
          <w:rFonts w:ascii="Arial" w:hAnsi="Arial" w:cs="Arial"/>
        </w:rPr>
        <w:t xml:space="preserve">: </w:t>
      </w:r>
      <w:r w:rsidR="00262CA6" w:rsidRPr="00262CA6">
        <w:rPr>
          <w:rFonts w:ascii="Arial" w:hAnsi="Arial" w:cs="Arial"/>
        </w:rPr>
        <w:t xml:space="preserve">Kathryn Flynn </w:t>
      </w:r>
    </w:p>
    <w:p w14:paraId="7F2AA567" w14:textId="0C46C21F" w:rsidR="00697037" w:rsidRPr="00262CA6" w:rsidRDefault="00697037" w:rsidP="00262CA6">
      <w:pPr>
        <w:spacing w:line="360" w:lineRule="auto"/>
        <w:rPr>
          <w:rFonts w:ascii="Arial" w:hAnsi="Arial" w:cs="Arial"/>
          <w:lang w:val="en-GB" w:eastAsia="en-GB"/>
        </w:rPr>
      </w:pPr>
    </w:p>
    <w:p w14:paraId="47D0CDDC" w14:textId="77777777" w:rsidR="00EA0743" w:rsidRPr="00262CA6" w:rsidRDefault="00EA0743" w:rsidP="00262CA6">
      <w:pPr>
        <w:spacing w:line="360" w:lineRule="auto"/>
        <w:rPr>
          <w:rFonts w:ascii="Arial" w:hAnsi="Arial" w:cs="Arial"/>
          <w:lang w:val="en-GB"/>
        </w:rPr>
      </w:pPr>
    </w:p>
    <w:p w14:paraId="4F820B2C" w14:textId="77777777" w:rsidR="00EA0743" w:rsidRPr="00262CA6" w:rsidRDefault="00EA0743" w:rsidP="00262CA6">
      <w:pPr>
        <w:spacing w:line="360" w:lineRule="auto"/>
        <w:rPr>
          <w:rFonts w:ascii="Arial" w:hAnsi="Arial" w:cs="Arial"/>
          <w:lang w:val="en-GB"/>
        </w:rPr>
      </w:pPr>
    </w:p>
    <w:p w14:paraId="7BC59795" w14:textId="77777777" w:rsidR="00EA0743" w:rsidRPr="00262CA6" w:rsidRDefault="00EA0743" w:rsidP="00262CA6">
      <w:pPr>
        <w:spacing w:line="360" w:lineRule="auto"/>
        <w:rPr>
          <w:rFonts w:ascii="Arial" w:hAnsi="Arial" w:cs="Arial"/>
          <w:lang w:val="en-GB"/>
        </w:rPr>
      </w:pPr>
    </w:p>
    <w:p w14:paraId="6DE2F797" w14:textId="77777777" w:rsidR="00EA0743" w:rsidRPr="00262CA6" w:rsidRDefault="00EA0743" w:rsidP="00262CA6">
      <w:pPr>
        <w:spacing w:line="360" w:lineRule="auto"/>
        <w:rPr>
          <w:rFonts w:ascii="Arial" w:hAnsi="Arial" w:cs="Arial"/>
          <w:lang w:val="en-GB"/>
        </w:rPr>
      </w:pPr>
    </w:p>
    <w:p w14:paraId="5FD4B006" w14:textId="77777777" w:rsidR="00EA0743" w:rsidRPr="00262CA6" w:rsidRDefault="00EA0743" w:rsidP="00262CA6">
      <w:pPr>
        <w:spacing w:line="360" w:lineRule="auto"/>
        <w:rPr>
          <w:rFonts w:ascii="Arial" w:hAnsi="Arial" w:cs="Arial"/>
          <w:lang w:val="en-GB"/>
        </w:rPr>
      </w:pPr>
    </w:p>
    <w:p w14:paraId="0D102647" w14:textId="77777777" w:rsidR="00EA0743" w:rsidRDefault="00EA0743" w:rsidP="00262CA6">
      <w:pPr>
        <w:spacing w:line="360" w:lineRule="auto"/>
        <w:rPr>
          <w:rFonts w:ascii="Arial" w:hAnsi="Arial" w:cs="Arial"/>
          <w:lang w:val="en-GB"/>
        </w:rPr>
      </w:pPr>
    </w:p>
    <w:p w14:paraId="2625D2A8" w14:textId="77777777" w:rsidR="00262CA6" w:rsidRDefault="00262CA6" w:rsidP="00262CA6">
      <w:pPr>
        <w:spacing w:line="360" w:lineRule="auto"/>
        <w:rPr>
          <w:rFonts w:ascii="Arial" w:hAnsi="Arial" w:cs="Arial"/>
          <w:lang w:val="en-GB"/>
        </w:rPr>
      </w:pPr>
    </w:p>
    <w:p w14:paraId="2687FBC3" w14:textId="77777777" w:rsidR="00262CA6" w:rsidRDefault="00262CA6" w:rsidP="00262CA6">
      <w:pPr>
        <w:spacing w:line="360" w:lineRule="auto"/>
        <w:rPr>
          <w:rFonts w:ascii="Arial" w:hAnsi="Arial" w:cs="Arial"/>
          <w:lang w:val="en-GB"/>
        </w:rPr>
      </w:pPr>
    </w:p>
    <w:p w14:paraId="1CF2FE27" w14:textId="77777777" w:rsidR="00262CA6" w:rsidRDefault="00262CA6" w:rsidP="00262CA6">
      <w:pPr>
        <w:spacing w:line="360" w:lineRule="auto"/>
        <w:rPr>
          <w:rFonts w:ascii="Arial" w:hAnsi="Arial" w:cs="Arial"/>
          <w:lang w:val="en-GB"/>
        </w:rPr>
      </w:pPr>
    </w:p>
    <w:p w14:paraId="54187582" w14:textId="77777777" w:rsidR="00262CA6" w:rsidRDefault="00262CA6" w:rsidP="00262CA6">
      <w:pPr>
        <w:spacing w:line="360" w:lineRule="auto"/>
        <w:rPr>
          <w:rFonts w:ascii="Arial" w:hAnsi="Arial" w:cs="Arial"/>
          <w:lang w:val="en-GB"/>
        </w:rPr>
      </w:pPr>
    </w:p>
    <w:p w14:paraId="255CC0B1" w14:textId="77777777" w:rsidR="00262CA6" w:rsidRDefault="00262CA6" w:rsidP="00262CA6">
      <w:pPr>
        <w:spacing w:line="360" w:lineRule="auto"/>
        <w:rPr>
          <w:rFonts w:ascii="Arial" w:hAnsi="Arial" w:cs="Arial"/>
          <w:lang w:val="en-GB"/>
        </w:rPr>
      </w:pPr>
    </w:p>
    <w:p w14:paraId="5CEB7C83" w14:textId="77777777" w:rsidR="00262CA6" w:rsidRDefault="00262CA6" w:rsidP="00262CA6">
      <w:pPr>
        <w:spacing w:line="360" w:lineRule="auto"/>
        <w:rPr>
          <w:rFonts w:ascii="Arial" w:hAnsi="Arial" w:cs="Arial"/>
          <w:lang w:val="en-GB"/>
        </w:rPr>
      </w:pPr>
    </w:p>
    <w:p w14:paraId="1DAD40D7" w14:textId="77777777" w:rsidR="00262CA6" w:rsidRDefault="00262CA6" w:rsidP="00262CA6">
      <w:pPr>
        <w:spacing w:line="360" w:lineRule="auto"/>
        <w:rPr>
          <w:rFonts w:ascii="Arial" w:hAnsi="Arial" w:cs="Arial"/>
          <w:lang w:val="en-GB"/>
        </w:rPr>
      </w:pPr>
    </w:p>
    <w:p w14:paraId="1BE5760F" w14:textId="77777777" w:rsidR="00262CA6" w:rsidRDefault="00262CA6" w:rsidP="00262CA6">
      <w:pPr>
        <w:spacing w:line="360" w:lineRule="auto"/>
        <w:rPr>
          <w:rFonts w:ascii="Arial" w:hAnsi="Arial" w:cs="Arial"/>
          <w:lang w:val="en-GB"/>
        </w:rPr>
      </w:pPr>
    </w:p>
    <w:p w14:paraId="051634A1" w14:textId="77777777" w:rsidR="00262CA6" w:rsidRDefault="00262CA6" w:rsidP="00262CA6">
      <w:pPr>
        <w:spacing w:line="360" w:lineRule="auto"/>
        <w:rPr>
          <w:rFonts w:ascii="Arial" w:hAnsi="Arial" w:cs="Arial"/>
          <w:lang w:val="en-GB"/>
        </w:rPr>
      </w:pPr>
    </w:p>
    <w:p w14:paraId="1EAE8548" w14:textId="77777777" w:rsidR="00262CA6" w:rsidRDefault="00262CA6" w:rsidP="00262CA6">
      <w:pPr>
        <w:spacing w:line="360" w:lineRule="auto"/>
        <w:rPr>
          <w:rFonts w:ascii="Arial" w:hAnsi="Arial" w:cs="Arial"/>
          <w:lang w:val="en-GB"/>
        </w:rPr>
      </w:pPr>
    </w:p>
    <w:p w14:paraId="32C522A1" w14:textId="77777777" w:rsidR="00262CA6" w:rsidRDefault="00262CA6" w:rsidP="00262CA6">
      <w:pPr>
        <w:spacing w:line="360" w:lineRule="auto"/>
        <w:rPr>
          <w:rFonts w:ascii="Arial" w:hAnsi="Arial" w:cs="Arial"/>
          <w:lang w:val="en-GB"/>
        </w:rPr>
      </w:pPr>
    </w:p>
    <w:p w14:paraId="2AF5BF0D" w14:textId="77777777" w:rsidR="00262CA6" w:rsidRDefault="00262CA6" w:rsidP="00262CA6">
      <w:pPr>
        <w:spacing w:line="360" w:lineRule="auto"/>
        <w:rPr>
          <w:rFonts w:ascii="Arial" w:hAnsi="Arial" w:cs="Arial"/>
          <w:lang w:val="en-GB"/>
        </w:rPr>
      </w:pPr>
    </w:p>
    <w:p w14:paraId="482B823D" w14:textId="77777777" w:rsidR="00262CA6" w:rsidRDefault="00262CA6" w:rsidP="00262CA6">
      <w:pPr>
        <w:spacing w:line="360" w:lineRule="auto"/>
        <w:rPr>
          <w:rFonts w:ascii="Arial" w:hAnsi="Arial" w:cs="Arial"/>
          <w:lang w:val="en-GB"/>
        </w:rPr>
      </w:pPr>
    </w:p>
    <w:p w14:paraId="2077996E" w14:textId="77777777" w:rsidR="00262CA6" w:rsidRDefault="00262CA6" w:rsidP="00262CA6">
      <w:pPr>
        <w:spacing w:line="360" w:lineRule="auto"/>
        <w:rPr>
          <w:rFonts w:ascii="Arial" w:hAnsi="Arial" w:cs="Arial"/>
          <w:lang w:val="en-GB"/>
        </w:rPr>
      </w:pPr>
    </w:p>
    <w:p w14:paraId="7E59B8BA" w14:textId="77777777" w:rsidR="00262CA6" w:rsidRDefault="00262CA6" w:rsidP="00262CA6">
      <w:pPr>
        <w:spacing w:line="360" w:lineRule="auto"/>
        <w:rPr>
          <w:rFonts w:ascii="Arial" w:hAnsi="Arial" w:cs="Arial"/>
          <w:lang w:val="en-GB"/>
        </w:rPr>
      </w:pPr>
    </w:p>
    <w:p w14:paraId="42EB5E2A" w14:textId="77777777" w:rsidR="00262CA6" w:rsidRDefault="00262CA6" w:rsidP="00262CA6">
      <w:pPr>
        <w:spacing w:line="360" w:lineRule="auto"/>
        <w:rPr>
          <w:rFonts w:ascii="Arial" w:hAnsi="Arial" w:cs="Arial"/>
          <w:lang w:val="en-GB"/>
        </w:rPr>
      </w:pPr>
    </w:p>
    <w:sdt>
      <w:sdtPr>
        <w:id w:val="1494914426"/>
        <w:docPartObj>
          <w:docPartGallery w:val="Table of Contents"/>
          <w:docPartUnique/>
        </w:docPartObj>
      </w:sdtPr>
      <w:sdtEndPr>
        <w:rPr>
          <w:rFonts w:asciiTheme="minorHAnsi" w:eastAsiaTheme="minorHAnsi" w:hAnsiTheme="minorHAnsi" w:cstheme="minorBidi"/>
          <w:noProof/>
          <w:color w:val="auto"/>
          <w:kern w:val="2"/>
          <w:sz w:val="24"/>
          <w:szCs w:val="24"/>
          <w:lang w:val="en-RO"/>
          <w14:ligatures w14:val="standardContextual"/>
        </w:rPr>
      </w:sdtEndPr>
      <w:sdtContent>
        <w:p w14:paraId="07D48CBA" w14:textId="7D3D1CF9" w:rsidR="00262CA6" w:rsidRDefault="00262CA6">
          <w:pPr>
            <w:pStyle w:val="TOCHeading"/>
          </w:pPr>
          <w:r>
            <w:t>Table of Contents</w:t>
          </w:r>
        </w:p>
        <w:p w14:paraId="73610BC6" w14:textId="49BC9A6B" w:rsidR="00262CA6" w:rsidRDefault="00262CA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7016815" w:history="1">
            <w:r w:rsidRPr="00B67C53">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_Toc167016815 \h </w:instrText>
            </w:r>
            <w:r>
              <w:rPr>
                <w:noProof/>
                <w:webHidden/>
              </w:rPr>
            </w:r>
            <w:r>
              <w:rPr>
                <w:noProof/>
                <w:webHidden/>
              </w:rPr>
              <w:fldChar w:fldCharType="separate"/>
            </w:r>
            <w:r>
              <w:rPr>
                <w:noProof/>
                <w:webHidden/>
              </w:rPr>
              <w:t>2</w:t>
            </w:r>
            <w:r>
              <w:rPr>
                <w:noProof/>
                <w:webHidden/>
              </w:rPr>
              <w:fldChar w:fldCharType="end"/>
            </w:r>
          </w:hyperlink>
        </w:p>
        <w:p w14:paraId="6D0DA7AF" w14:textId="08D9C75B" w:rsidR="00262CA6" w:rsidRDefault="00262CA6">
          <w:pPr>
            <w:pStyle w:val="TOC1"/>
            <w:tabs>
              <w:tab w:val="right" w:leader="dot" w:pos="9016"/>
            </w:tabs>
            <w:rPr>
              <w:noProof/>
            </w:rPr>
          </w:pPr>
          <w:hyperlink w:anchor="_Toc167016816" w:history="1">
            <w:r w:rsidRPr="00B67C53">
              <w:rPr>
                <w:rStyle w:val="Hyperlink"/>
                <w:rFonts w:ascii="Arial" w:hAnsi="Arial" w:cs="Arial"/>
                <w:noProof/>
                <w:lang w:val="en-GB"/>
              </w:rPr>
              <w:t>The Event Cycle</w:t>
            </w:r>
            <w:r>
              <w:rPr>
                <w:noProof/>
                <w:webHidden/>
              </w:rPr>
              <w:tab/>
            </w:r>
            <w:r>
              <w:rPr>
                <w:noProof/>
                <w:webHidden/>
              </w:rPr>
              <w:fldChar w:fldCharType="begin"/>
            </w:r>
            <w:r>
              <w:rPr>
                <w:noProof/>
                <w:webHidden/>
              </w:rPr>
              <w:instrText xml:space="preserve"> PAGEREF _Toc167016816 \h </w:instrText>
            </w:r>
            <w:r>
              <w:rPr>
                <w:noProof/>
                <w:webHidden/>
              </w:rPr>
            </w:r>
            <w:r>
              <w:rPr>
                <w:noProof/>
                <w:webHidden/>
              </w:rPr>
              <w:fldChar w:fldCharType="separate"/>
            </w:r>
            <w:r>
              <w:rPr>
                <w:noProof/>
                <w:webHidden/>
              </w:rPr>
              <w:t>2</w:t>
            </w:r>
            <w:r>
              <w:rPr>
                <w:noProof/>
                <w:webHidden/>
              </w:rPr>
              <w:fldChar w:fldCharType="end"/>
            </w:r>
          </w:hyperlink>
        </w:p>
        <w:p w14:paraId="3FE6CF0C" w14:textId="3498A94B" w:rsidR="00262CA6" w:rsidRDefault="00262CA6">
          <w:pPr>
            <w:pStyle w:val="TOC1"/>
            <w:tabs>
              <w:tab w:val="right" w:leader="dot" w:pos="9016"/>
            </w:tabs>
            <w:rPr>
              <w:noProof/>
            </w:rPr>
          </w:pPr>
          <w:hyperlink w:anchor="_Toc167016817" w:history="1">
            <w:r w:rsidRPr="00B67C53">
              <w:rPr>
                <w:rStyle w:val="Hyperlink"/>
                <w:rFonts w:ascii="Arial" w:hAnsi="Arial" w:cs="Arial"/>
                <w:noProof/>
              </w:rPr>
              <w:t>Event Concept</w:t>
            </w:r>
            <w:r>
              <w:rPr>
                <w:noProof/>
                <w:webHidden/>
              </w:rPr>
              <w:tab/>
            </w:r>
            <w:r>
              <w:rPr>
                <w:noProof/>
                <w:webHidden/>
              </w:rPr>
              <w:fldChar w:fldCharType="begin"/>
            </w:r>
            <w:r>
              <w:rPr>
                <w:noProof/>
                <w:webHidden/>
              </w:rPr>
              <w:instrText xml:space="preserve"> PAGEREF _Toc167016817 \h </w:instrText>
            </w:r>
            <w:r>
              <w:rPr>
                <w:noProof/>
                <w:webHidden/>
              </w:rPr>
            </w:r>
            <w:r>
              <w:rPr>
                <w:noProof/>
                <w:webHidden/>
              </w:rPr>
              <w:fldChar w:fldCharType="separate"/>
            </w:r>
            <w:r>
              <w:rPr>
                <w:noProof/>
                <w:webHidden/>
              </w:rPr>
              <w:t>4</w:t>
            </w:r>
            <w:r>
              <w:rPr>
                <w:noProof/>
                <w:webHidden/>
              </w:rPr>
              <w:fldChar w:fldCharType="end"/>
            </w:r>
          </w:hyperlink>
        </w:p>
        <w:p w14:paraId="14A1DD8C" w14:textId="243D3952" w:rsidR="00262CA6" w:rsidRDefault="00262CA6">
          <w:pPr>
            <w:pStyle w:val="TOC2"/>
            <w:tabs>
              <w:tab w:val="right" w:leader="dot" w:pos="9016"/>
            </w:tabs>
            <w:rPr>
              <w:noProof/>
            </w:rPr>
          </w:pPr>
          <w:hyperlink w:anchor="_Toc167016818" w:history="1">
            <w:r w:rsidRPr="00B67C53">
              <w:rPr>
                <w:rStyle w:val="Hyperlink"/>
                <w:rFonts w:ascii="Arial" w:hAnsi="Arial" w:cs="Arial"/>
                <w:noProof/>
                <w:lang w:val="en-GB" w:eastAsia="en-GB"/>
              </w:rPr>
              <w:t>Itinerary:</w:t>
            </w:r>
            <w:r>
              <w:rPr>
                <w:noProof/>
                <w:webHidden/>
              </w:rPr>
              <w:tab/>
            </w:r>
            <w:r>
              <w:rPr>
                <w:noProof/>
                <w:webHidden/>
              </w:rPr>
              <w:fldChar w:fldCharType="begin"/>
            </w:r>
            <w:r>
              <w:rPr>
                <w:noProof/>
                <w:webHidden/>
              </w:rPr>
              <w:instrText xml:space="preserve"> PAGEREF _Toc167016818 \h </w:instrText>
            </w:r>
            <w:r>
              <w:rPr>
                <w:noProof/>
                <w:webHidden/>
              </w:rPr>
            </w:r>
            <w:r>
              <w:rPr>
                <w:noProof/>
                <w:webHidden/>
              </w:rPr>
              <w:fldChar w:fldCharType="separate"/>
            </w:r>
            <w:r>
              <w:rPr>
                <w:noProof/>
                <w:webHidden/>
              </w:rPr>
              <w:t>4</w:t>
            </w:r>
            <w:r>
              <w:rPr>
                <w:noProof/>
                <w:webHidden/>
              </w:rPr>
              <w:fldChar w:fldCharType="end"/>
            </w:r>
          </w:hyperlink>
        </w:p>
        <w:p w14:paraId="20BD03B3" w14:textId="30346916" w:rsidR="00262CA6" w:rsidRDefault="00262CA6">
          <w:pPr>
            <w:pStyle w:val="TOC1"/>
            <w:tabs>
              <w:tab w:val="right" w:leader="dot" w:pos="9016"/>
            </w:tabs>
            <w:rPr>
              <w:noProof/>
            </w:rPr>
          </w:pPr>
          <w:hyperlink w:anchor="_Toc167016819" w:history="1">
            <w:r w:rsidRPr="00B67C53">
              <w:rPr>
                <w:rStyle w:val="Hyperlink"/>
                <w:rFonts w:ascii="Arial" w:hAnsi="Arial" w:cs="Arial"/>
                <w:noProof/>
                <w:lang w:val="en-GB"/>
              </w:rPr>
              <w:t>Aim and Objectives</w:t>
            </w:r>
            <w:r>
              <w:rPr>
                <w:noProof/>
                <w:webHidden/>
              </w:rPr>
              <w:tab/>
            </w:r>
            <w:r>
              <w:rPr>
                <w:noProof/>
                <w:webHidden/>
              </w:rPr>
              <w:fldChar w:fldCharType="begin"/>
            </w:r>
            <w:r>
              <w:rPr>
                <w:noProof/>
                <w:webHidden/>
              </w:rPr>
              <w:instrText xml:space="preserve"> PAGEREF _Toc167016819 \h </w:instrText>
            </w:r>
            <w:r>
              <w:rPr>
                <w:noProof/>
                <w:webHidden/>
              </w:rPr>
            </w:r>
            <w:r>
              <w:rPr>
                <w:noProof/>
                <w:webHidden/>
              </w:rPr>
              <w:fldChar w:fldCharType="separate"/>
            </w:r>
            <w:r>
              <w:rPr>
                <w:noProof/>
                <w:webHidden/>
              </w:rPr>
              <w:t>5</w:t>
            </w:r>
            <w:r>
              <w:rPr>
                <w:noProof/>
                <w:webHidden/>
              </w:rPr>
              <w:fldChar w:fldCharType="end"/>
            </w:r>
          </w:hyperlink>
        </w:p>
        <w:p w14:paraId="0E43BA94" w14:textId="0FAE5620" w:rsidR="00262CA6" w:rsidRDefault="00262CA6">
          <w:pPr>
            <w:pStyle w:val="TOC2"/>
            <w:tabs>
              <w:tab w:val="right" w:leader="dot" w:pos="9016"/>
            </w:tabs>
            <w:rPr>
              <w:noProof/>
            </w:rPr>
          </w:pPr>
          <w:hyperlink w:anchor="_Toc167016820" w:history="1">
            <w:r w:rsidRPr="00B67C53">
              <w:rPr>
                <w:rStyle w:val="Hyperlink"/>
                <w:rFonts w:ascii="Arial" w:hAnsi="Arial" w:cs="Arial"/>
                <w:noProof/>
                <w:lang w:val="en-GB" w:eastAsia="en-GB"/>
              </w:rPr>
              <w:t>SMART Objectives:</w:t>
            </w:r>
            <w:r>
              <w:rPr>
                <w:noProof/>
                <w:webHidden/>
              </w:rPr>
              <w:tab/>
            </w:r>
            <w:r>
              <w:rPr>
                <w:noProof/>
                <w:webHidden/>
              </w:rPr>
              <w:fldChar w:fldCharType="begin"/>
            </w:r>
            <w:r>
              <w:rPr>
                <w:noProof/>
                <w:webHidden/>
              </w:rPr>
              <w:instrText xml:space="preserve"> PAGEREF _Toc167016820 \h </w:instrText>
            </w:r>
            <w:r>
              <w:rPr>
                <w:noProof/>
                <w:webHidden/>
              </w:rPr>
            </w:r>
            <w:r>
              <w:rPr>
                <w:noProof/>
                <w:webHidden/>
              </w:rPr>
              <w:fldChar w:fldCharType="separate"/>
            </w:r>
            <w:r>
              <w:rPr>
                <w:noProof/>
                <w:webHidden/>
              </w:rPr>
              <w:t>6</w:t>
            </w:r>
            <w:r>
              <w:rPr>
                <w:noProof/>
                <w:webHidden/>
              </w:rPr>
              <w:fldChar w:fldCharType="end"/>
            </w:r>
          </w:hyperlink>
        </w:p>
        <w:p w14:paraId="57597D5B" w14:textId="42C28E54" w:rsidR="00262CA6" w:rsidRDefault="00262CA6">
          <w:pPr>
            <w:pStyle w:val="TOC1"/>
            <w:tabs>
              <w:tab w:val="right" w:leader="dot" w:pos="9016"/>
            </w:tabs>
            <w:rPr>
              <w:noProof/>
            </w:rPr>
          </w:pPr>
          <w:hyperlink w:anchor="_Toc167016821" w:history="1">
            <w:r w:rsidRPr="00B67C53">
              <w:rPr>
                <w:rStyle w:val="Hyperlink"/>
                <w:rFonts w:ascii="Arial" w:hAnsi="Arial" w:cs="Arial"/>
                <w:noProof/>
                <w:lang w:val="en-GB"/>
              </w:rPr>
              <w:t>Event Operations</w:t>
            </w:r>
            <w:r>
              <w:rPr>
                <w:noProof/>
                <w:webHidden/>
              </w:rPr>
              <w:tab/>
            </w:r>
            <w:r>
              <w:rPr>
                <w:noProof/>
                <w:webHidden/>
              </w:rPr>
              <w:fldChar w:fldCharType="begin"/>
            </w:r>
            <w:r>
              <w:rPr>
                <w:noProof/>
                <w:webHidden/>
              </w:rPr>
              <w:instrText xml:space="preserve"> PAGEREF _Toc167016821 \h </w:instrText>
            </w:r>
            <w:r>
              <w:rPr>
                <w:noProof/>
                <w:webHidden/>
              </w:rPr>
            </w:r>
            <w:r>
              <w:rPr>
                <w:noProof/>
                <w:webHidden/>
              </w:rPr>
              <w:fldChar w:fldCharType="separate"/>
            </w:r>
            <w:r>
              <w:rPr>
                <w:noProof/>
                <w:webHidden/>
              </w:rPr>
              <w:t>8</w:t>
            </w:r>
            <w:r>
              <w:rPr>
                <w:noProof/>
                <w:webHidden/>
              </w:rPr>
              <w:fldChar w:fldCharType="end"/>
            </w:r>
          </w:hyperlink>
        </w:p>
        <w:p w14:paraId="1F2AF1BD" w14:textId="1CEBBA71" w:rsidR="00262CA6" w:rsidRDefault="00262CA6">
          <w:pPr>
            <w:pStyle w:val="TOC1"/>
            <w:tabs>
              <w:tab w:val="right" w:leader="dot" w:pos="9016"/>
            </w:tabs>
            <w:rPr>
              <w:noProof/>
            </w:rPr>
          </w:pPr>
          <w:hyperlink w:anchor="_Toc167016822" w:history="1">
            <w:r w:rsidRPr="00B67C53">
              <w:rPr>
                <w:rStyle w:val="Hyperlink"/>
                <w:rFonts w:ascii="Arial" w:hAnsi="Arial" w:cs="Arial"/>
                <w:noProof/>
                <w:lang w:val="en-GB"/>
              </w:rPr>
              <w:t>Event Budget</w:t>
            </w:r>
            <w:r>
              <w:rPr>
                <w:noProof/>
                <w:webHidden/>
              </w:rPr>
              <w:tab/>
            </w:r>
            <w:r>
              <w:rPr>
                <w:noProof/>
                <w:webHidden/>
              </w:rPr>
              <w:fldChar w:fldCharType="begin"/>
            </w:r>
            <w:r>
              <w:rPr>
                <w:noProof/>
                <w:webHidden/>
              </w:rPr>
              <w:instrText xml:space="preserve"> PAGEREF _Toc167016822 \h </w:instrText>
            </w:r>
            <w:r>
              <w:rPr>
                <w:noProof/>
                <w:webHidden/>
              </w:rPr>
            </w:r>
            <w:r>
              <w:rPr>
                <w:noProof/>
                <w:webHidden/>
              </w:rPr>
              <w:fldChar w:fldCharType="separate"/>
            </w:r>
            <w:r>
              <w:rPr>
                <w:noProof/>
                <w:webHidden/>
              </w:rPr>
              <w:t>9</w:t>
            </w:r>
            <w:r>
              <w:rPr>
                <w:noProof/>
                <w:webHidden/>
              </w:rPr>
              <w:fldChar w:fldCharType="end"/>
            </w:r>
          </w:hyperlink>
        </w:p>
        <w:p w14:paraId="4D88A5CB" w14:textId="7DF19661" w:rsidR="00262CA6" w:rsidRDefault="00262CA6">
          <w:pPr>
            <w:pStyle w:val="TOC1"/>
            <w:tabs>
              <w:tab w:val="right" w:leader="dot" w:pos="9016"/>
            </w:tabs>
            <w:rPr>
              <w:noProof/>
            </w:rPr>
          </w:pPr>
          <w:hyperlink w:anchor="_Toc167016823" w:history="1">
            <w:r w:rsidRPr="00B67C53">
              <w:rPr>
                <w:rStyle w:val="Hyperlink"/>
                <w:rFonts w:ascii="Arial" w:hAnsi="Arial" w:cs="Arial"/>
                <w:noProof/>
                <w:lang w:val="en-GB"/>
              </w:rPr>
              <w:t>Industry Trends / Issues / Impacts</w:t>
            </w:r>
            <w:r>
              <w:rPr>
                <w:noProof/>
                <w:webHidden/>
              </w:rPr>
              <w:tab/>
            </w:r>
            <w:r>
              <w:rPr>
                <w:noProof/>
                <w:webHidden/>
              </w:rPr>
              <w:fldChar w:fldCharType="begin"/>
            </w:r>
            <w:r>
              <w:rPr>
                <w:noProof/>
                <w:webHidden/>
              </w:rPr>
              <w:instrText xml:space="preserve"> PAGEREF _Toc167016823 \h </w:instrText>
            </w:r>
            <w:r>
              <w:rPr>
                <w:noProof/>
                <w:webHidden/>
              </w:rPr>
            </w:r>
            <w:r>
              <w:rPr>
                <w:noProof/>
                <w:webHidden/>
              </w:rPr>
              <w:fldChar w:fldCharType="separate"/>
            </w:r>
            <w:r>
              <w:rPr>
                <w:noProof/>
                <w:webHidden/>
              </w:rPr>
              <w:t>10</w:t>
            </w:r>
            <w:r>
              <w:rPr>
                <w:noProof/>
                <w:webHidden/>
              </w:rPr>
              <w:fldChar w:fldCharType="end"/>
            </w:r>
          </w:hyperlink>
        </w:p>
        <w:p w14:paraId="0E4D3730" w14:textId="6918FF0A" w:rsidR="00262CA6" w:rsidRDefault="00262CA6">
          <w:pPr>
            <w:pStyle w:val="TOC2"/>
            <w:tabs>
              <w:tab w:val="right" w:leader="dot" w:pos="9016"/>
            </w:tabs>
            <w:rPr>
              <w:noProof/>
            </w:rPr>
          </w:pPr>
          <w:hyperlink w:anchor="_Toc167016824" w:history="1">
            <w:r w:rsidRPr="00B67C53">
              <w:rPr>
                <w:rStyle w:val="Hyperlink"/>
                <w:rFonts w:ascii="Arial" w:hAnsi="Arial" w:cs="Arial"/>
                <w:noProof/>
                <w:lang w:val="en-GB"/>
              </w:rPr>
              <w:t>Cultural and Situational Considerations</w:t>
            </w:r>
            <w:r>
              <w:rPr>
                <w:noProof/>
                <w:webHidden/>
              </w:rPr>
              <w:tab/>
            </w:r>
            <w:r>
              <w:rPr>
                <w:noProof/>
                <w:webHidden/>
              </w:rPr>
              <w:fldChar w:fldCharType="begin"/>
            </w:r>
            <w:r>
              <w:rPr>
                <w:noProof/>
                <w:webHidden/>
              </w:rPr>
              <w:instrText xml:space="preserve"> PAGEREF _Toc167016824 \h </w:instrText>
            </w:r>
            <w:r>
              <w:rPr>
                <w:noProof/>
                <w:webHidden/>
              </w:rPr>
            </w:r>
            <w:r>
              <w:rPr>
                <w:noProof/>
                <w:webHidden/>
              </w:rPr>
              <w:fldChar w:fldCharType="separate"/>
            </w:r>
            <w:r>
              <w:rPr>
                <w:noProof/>
                <w:webHidden/>
              </w:rPr>
              <w:t>12</w:t>
            </w:r>
            <w:r>
              <w:rPr>
                <w:noProof/>
                <w:webHidden/>
              </w:rPr>
              <w:fldChar w:fldCharType="end"/>
            </w:r>
          </w:hyperlink>
        </w:p>
        <w:p w14:paraId="434AE921" w14:textId="52CB3B1A" w:rsidR="00262CA6" w:rsidRDefault="00262CA6">
          <w:pPr>
            <w:pStyle w:val="TOC1"/>
            <w:tabs>
              <w:tab w:val="right" w:leader="dot" w:pos="9016"/>
            </w:tabs>
            <w:rPr>
              <w:noProof/>
            </w:rPr>
          </w:pPr>
          <w:hyperlink w:anchor="_Toc167016825" w:history="1">
            <w:r w:rsidRPr="00B67C53">
              <w:rPr>
                <w:rStyle w:val="Hyperlink"/>
                <w:rFonts w:ascii="Arial" w:hAnsi="Arial" w:cs="Arial"/>
                <w:noProof/>
                <w:lang w:val="en-GB"/>
              </w:rPr>
              <w:t>Reference List</w:t>
            </w:r>
            <w:r>
              <w:rPr>
                <w:noProof/>
                <w:webHidden/>
              </w:rPr>
              <w:tab/>
            </w:r>
            <w:r>
              <w:rPr>
                <w:noProof/>
                <w:webHidden/>
              </w:rPr>
              <w:fldChar w:fldCharType="begin"/>
            </w:r>
            <w:r>
              <w:rPr>
                <w:noProof/>
                <w:webHidden/>
              </w:rPr>
              <w:instrText xml:space="preserve"> PAGEREF _Toc167016825 \h </w:instrText>
            </w:r>
            <w:r>
              <w:rPr>
                <w:noProof/>
                <w:webHidden/>
              </w:rPr>
            </w:r>
            <w:r>
              <w:rPr>
                <w:noProof/>
                <w:webHidden/>
              </w:rPr>
              <w:fldChar w:fldCharType="separate"/>
            </w:r>
            <w:r>
              <w:rPr>
                <w:noProof/>
                <w:webHidden/>
              </w:rPr>
              <w:t>14</w:t>
            </w:r>
            <w:r>
              <w:rPr>
                <w:noProof/>
                <w:webHidden/>
              </w:rPr>
              <w:fldChar w:fldCharType="end"/>
            </w:r>
          </w:hyperlink>
        </w:p>
        <w:p w14:paraId="00277160" w14:textId="59A72B83" w:rsidR="00262CA6" w:rsidRDefault="00262CA6">
          <w:r>
            <w:rPr>
              <w:b/>
              <w:bCs/>
              <w:noProof/>
            </w:rPr>
            <w:fldChar w:fldCharType="end"/>
          </w:r>
        </w:p>
      </w:sdtContent>
    </w:sdt>
    <w:p w14:paraId="35F9950E" w14:textId="77777777" w:rsidR="00262CA6" w:rsidRDefault="00262CA6" w:rsidP="00262CA6">
      <w:pPr>
        <w:spacing w:line="360" w:lineRule="auto"/>
        <w:rPr>
          <w:rFonts w:ascii="Arial" w:hAnsi="Arial" w:cs="Arial"/>
          <w:lang w:val="en-GB"/>
        </w:rPr>
      </w:pPr>
    </w:p>
    <w:p w14:paraId="377409C0" w14:textId="77777777" w:rsidR="00262CA6" w:rsidRDefault="00262CA6" w:rsidP="00262CA6">
      <w:pPr>
        <w:spacing w:line="360" w:lineRule="auto"/>
        <w:rPr>
          <w:rFonts w:ascii="Arial" w:hAnsi="Arial" w:cs="Arial"/>
          <w:lang w:val="en-GB"/>
        </w:rPr>
      </w:pPr>
    </w:p>
    <w:p w14:paraId="10324256" w14:textId="77777777" w:rsidR="00262CA6" w:rsidRDefault="00262CA6" w:rsidP="00262CA6">
      <w:pPr>
        <w:spacing w:line="360" w:lineRule="auto"/>
        <w:rPr>
          <w:rFonts w:ascii="Arial" w:hAnsi="Arial" w:cs="Arial"/>
          <w:lang w:val="en-GB"/>
        </w:rPr>
      </w:pPr>
    </w:p>
    <w:p w14:paraId="1485EF75" w14:textId="77777777" w:rsidR="00262CA6" w:rsidRDefault="00262CA6" w:rsidP="00262CA6">
      <w:pPr>
        <w:spacing w:line="360" w:lineRule="auto"/>
        <w:rPr>
          <w:rFonts w:ascii="Arial" w:hAnsi="Arial" w:cs="Arial"/>
          <w:lang w:val="en-GB"/>
        </w:rPr>
      </w:pPr>
    </w:p>
    <w:p w14:paraId="5D21E322" w14:textId="77777777" w:rsidR="00262CA6" w:rsidRDefault="00262CA6" w:rsidP="00262CA6">
      <w:pPr>
        <w:spacing w:line="360" w:lineRule="auto"/>
        <w:rPr>
          <w:rFonts w:ascii="Arial" w:hAnsi="Arial" w:cs="Arial"/>
          <w:lang w:val="en-GB"/>
        </w:rPr>
      </w:pPr>
    </w:p>
    <w:p w14:paraId="13BD492F" w14:textId="77777777" w:rsidR="00262CA6" w:rsidRDefault="00262CA6" w:rsidP="00262CA6">
      <w:pPr>
        <w:spacing w:line="360" w:lineRule="auto"/>
        <w:rPr>
          <w:rFonts w:ascii="Arial" w:hAnsi="Arial" w:cs="Arial"/>
          <w:lang w:val="en-GB"/>
        </w:rPr>
      </w:pPr>
    </w:p>
    <w:p w14:paraId="0AD23EFA" w14:textId="77777777" w:rsidR="00262CA6" w:rsidRDefault="00262CA6" w:rsidP="00262CA6">
      <w:pPr>
        <w:spacing w:line="360" w:lineRule="auto"/>
        <w:rPr>
          <w:rFonts w:ascii="Arial" w:hAnsi="Arial" w:cs="Arial"/>
          <w:lang w:val="en-GB"/>
        </w:rPr>
      </w:pPr>
    </w:p>
    <w:p w14:paraId="12D97B7C" w14:textId="77777777" w:rsidR="00262CA6" w:rsidRDefault="00262CA6" w:rsidP="00262CA6">
      <w:pPr>
        <w:spacing w:line="360" w:lineRule="auto"/>
        <w:rPr>
          <w:rFonts w:ascii="Arial" w:hAnsi="Arial" w:cs="Arial"/>
          <w:lang w:val="en-GB"/>
        </w:rPr>
      </w:pPr>
    </w:p>
    <w:p w14:paraId="5DD2BE30" w14:textId="77777777" w:rsidR="00262CA6" w:rsidRDefault="00262CA6" w:rsidP="00262CA6">
      <w:pPr>
        <w:spacing w:line="360" w:lineRule="auto"/>
        <w:rPr>
          <w:rFonts w:ascii="Arial" w:hAnsi="Arial" w:cs="Arial"/>
          <w:lang w:val="en-GB"/>
        </w:rPr>
      </w:pPr>
    </w:p>
    <w:p w14:paraId="614CBF14" w14:textId="77777777" w:rsidR="00262CA6" w:rsidRDefault="00262CA6" w:rsidP="00262CA6">
      <w:pPr>
        <w:spacing w:line="360" w:lineRule="auto"/>
        <w:rPr>
          <w:rFonts w:ascii="Arial" w:hAnsi="Arial" w:cs="Arial"/>
          <w:lang w:val="en-GB"/>
        </w:rPr>
      </w:pPr>
    </w:p>
    <w:p w14:paraId="1170EFF5" w14:textId="77777777" w:rsidR="00262CA6" w:rsidRPr="00262CA6" w:rsidRDefault="00262CA6" w:rsidP="00262CA6">
      <w:pPr>
        <w:spacing w:line="360" w:lineRule="auto"/>
        <w:rPr>
          <w:rFonts w:ascii="Arial" w:hAnsi="Arial" w:cs="Arial"/>
          <w:lang w:val="en-GB"/>
        </w:rPr>
      </w:pPr>
    </w:p>
    <w:p w14:paraId="6DA823F3" w14:textId="7D71AD3E" w:rsidR="00697037" w:rsidRPr="00262CA6" w:rsidRDefault="00EA0743" w:rsidP="00262CA6">
      <w:pPr>
        <w:pStyle w:val="Heading1"/>
        <w:spacing w:line="360" w:lineRule="auto"/>
        <w:rPr>
          <w:rFonts w:ascii="Arial" w:hAnsi="Arial" w:cs="Arial"/>
          <w:sz w:val="24"/>
          <w:szCs w:val="24"/>
          <w:lang w:val="en-GB"/>
        </w:rPr>
      </w:pPr>
      <w:bookmarkStart w:id="0" w:name="_Toc167016815"/>
      <w:r w:rsidRPr="00262CA6">
        <w:rPr>
          <w:rFonts w:ascii="Arial" w:hAnsi="Arial" w:cs="Arial"/>
          <w:sz w:val="24"/>
          <w:szCs w:val="24"/>
          <w:lang w:val="en-GB"/>
        </w:rPr>
        <w:lastRenderedPageBreak/>
        <w:t>Introduction</w:t>
      </w:r>
      <w:bookmarkEnd w:id="0"/>
    </w:p>
    <w:p w14:paraId="466345E4" w14:textId="77777777" w:rsidR="00EA0743" w:rsidRPr="00262CA6" w:rsidRDefault="00EA0743" w:rsidP="00262CA6">
      <w:pPr>
        <w:spacing w:line="360" w:lineRule="auto"/>
        <w:rPr>
          <w:rFonts w:ascii="Arial" w:hAnsi="Arial" w:cs="Arial"/>
          <w:lang w:val="en-GB"/>
        </w:rPr>
      </w:pPr>
    </w:p>
    <w:p w14:paraId="01D278D2" w14:textId="77777777" w:rsidR="00EA0743" w:rsidRPr="00262CA6" w:rsidRDefault="00EA0743" w:rsidP="00262CA6">
      <w:pPr>
        <w:spacing w:line="360" w:lineRule="auto"/>
        <w:ind w:firstLine="720"/>
        <w:rPr>
          <w:rFonts w:ascii="Arial" w:hAnsi="Arial" w:cs="Arial"/>
          <w:lang w:val="en-GB"/>
        </w:rPr>
      </w:pPr>
      <w:r w:rsidRPr="00262CA6">
        <w:rPr>
          <w:rFonts w:ascii="Arial" w:hAnsi="Arial" w:cs="Arial"/>
          <w:lang w:val="en-GB"/>
        </w:rPr>
        <w:t>The Future of Dining Experience Expo is an innovative and immersive event set to revolutionize the hospitality sector by exploring the intersection of technology and culinary innovation. This expo has been carefully chosen to address the growing demand for insights and advancements in the dining industry, particularly concerning how technology is reshaping the dining experience. Located in the vibrant city of Birmingham, UK, known for its diverse culinary scene and cultural richness, the expo promises to be a hub of creativity, collaboration, and inspiration.</w:t>
      </w:r>
    </w:p>
    <w:p w14:paraId="0271D1DB" w14:textId="77777777" w:rsidR="00EA0743" w:rsidRPr="00262CA6" w:rsidRDefault="00EA0743" w:rsidP="00262CA6">
      <w:pPr>
        <w:spacing w:line="360" w:lineRule="auto"/>
        <w:ind w:firstLine="720"/>
        <w:rPr>
          <w:rFonts w:ascii="Arial" w:hAnsi="Arial" w:cs="Arial"/>
          <w:lang w:val="en-GB"/>
        </w:rPr>
      </w:pPr>
      <w:r w:rsidRPr="00262CA6">
        <w:rPr>
          <w:rFonts w:ascii="Arial" w:hAnsi="Arial" w:cs="Arial"/>
          <w:lang w:val="en-GB"/>
        </w:rPr>
        <w:t>Birmingham's status as a culinary destination, coupled with its reputation as a hub for technological innovation, makes it the perfect location for such an event. With its multicultural population and thriving hospitality sector, Birmingham offers a dynamic backdrop for exploring the future of dining, providing attendees with a unique opportunity to engage with cutting-edge technologies, culinary trends, and industry experts. Through interactive exhibits, live demonstrations, and insightful presentations, the Future of Dining Experience Expo aims to showcase the limitless possibilities and transformative potential of technology within the realm of hospitality.</w:t>
      </w:r>
    </w:p>
    <w:p w14:paraId="633793BC" w14:textId="77777777" w:rsidR="00697037" w:rsidRPr="00262CA6" w:rsidRDefault="00697037" w:rsidP="00262CA6">
      <w:pPr>
        <w:spacing w:line="360" w:lineRule="auto"/>
        <w:rPr>
          <w:rFonts w:ascii="Arial" w:hAnsi="Arial" w:cs="Arial"/>
          <w:lang w:val="en-GB"/>
        </w:rPr>
      </w:pPr>
    </w:p>
    <w:p w14:paraId="1CD4FEC9" w14:textId="6219A1A3" w:rsidR="00697037" w:rsidRPr="00262CA6" w:rsidRDefault="00697037" w:rsidP="00262CA6">
      <w:pPr>
        <w:pStyle w:val="Heading1"/>
        <w:spacing w:line="360" w:lineRule="auto"/>
        <w:rPr>
          <w:rFonts w:ascii="Arial" w:hAnsi="Arial" w:cs="Arial"/>
          <w:sz w:val="24"/>
          <w:szCs w:val="24"/>
          <w:lang w:val="en-GB"/>
        </w:rPr>
      </w:pPr>
      <w:bookmarkStart w:id="1" w:name="_Toc167016816"/>
      <w:r w:rsidRPr="00262CA6">
        <w:rPr>
          <w:rFonts w:ascii="Arial" w:hAnsi="Arial" w:cs="Arial"/>
          <w:sz w:val="24"/>
          <w:szCs w:val="24"/>
          <w:lang w:val="en-GB"/>
        </w:rPr>
        <w:t>The Event Cycle</w:t>
      </w:r>
      <w:bookmarkEnd w:id="1"/>
      <w:r w:rsidRPr="00262CA6">
        <w:rPr>
          <w:rFonts w:ascii="Arial" w:hAnsi="Arial" w:cs="Arial"/>
          <w:sz w:val="24"/>
          <w:szCs w:val="24"/>
          <w:lang w:val="en-GB"/>
        </w:rPr>
        <w:t xml:space="preserve"> </w:t>
      </w:r>
    </w:p>
    <w:p w14:paraId="3459A6CA" w14:textId="77777777" w:rsidR="0053389E" w:rsidRPr="00262CA6" w:rsidRDefault="0053389E" w:rsidP="00262CA6">
      <w:pPr>
        <w:spacing w:line="360" w:lineRule="auto"/>
        <w:rPr>
          <w:rFonts w:ascii="Arial" w:hAnsi="Arial" w:cs="Arial"/>
          <w:lang w:val="en-GB"/>
        </w:rPr>
      </w:pPr>
    </w:p>
    <w:p w14:paraId="16B9EAA0" w14:textId="77777777" w:rsidR="0053389E" w:rsidRPr="0053389E" w:rsidRDefault="0053389E" w:rsidP="00262CA6">
      <w:pPr>
        <w:spacing w:line="360" w:lineRule="auto"/>
        <w:ind w:firstLine="720"/>
        <w:rPr>
          <w:rFonts w:ascii="Arial" w:hAnsi="Arial" w:cs="Arial"/>
          <w:lang w:val="en-GB" w:eastAsia="en-GB"/>
        </w:rPr>
      </w:pPr>
      <w:r w:rsidRPr="0053389E">
        <w:rPr>
          <w:rFonts w:ascii="Arial" w:hAnsi="Arial" w:cs="Arial"/>
          <w:lang w:val="en-GB" w:eastAsia="en-GB"/>
        </w:rPr>
        <w:t>The Event Cycle, also known as the Event Management Cycle, is a conceptual framework used to guide the strategic planning and delivery of events. It consists of several interconnected stages, each essential for the successful execution of an event. The stages typically include conceptualization, planning, implementation, and evaluation (</w:t>
      </w:r>
      <w:proofErr w:type="spellStart"/>
      <w:r w:rsidRPr="0053389E">
        <w:rPr>
          <w:rFonts w:ascii="Arial" w:hAnsi="Arial" w:cs="Arial"/>
          <w:lang w:val="en-GB" w:eastAsia="en-GB"/>
        </w:rPr>
        <w:t>Bowdin</w:t>
      </w:r>
      <w:proofErr w:type="spellEnd"/>
      <w:r w:rsidRPr="0053389E">
        <w:rPr>
          <w:rFonts w:ascii="Arial" w:hAnsi="Arial" w:cs="Arial"/>
          <w:lang w:val="en-GB" w:eastAsia="en-GB"/>
        </w:rPr>
        <w:t xml:space="preserve"> et al., 2016).</w:t>
      </w:r>
    </w:p>
    <w:p w14:paraId="756AB4FE" w14:textId="77777777" w:rsidR="0053389E" w:rsidRPr="0053389E" w:rsidRDefault="0053389E" w:rsidP="00262CA6">
      <w:pPr>
        <w:spacing w:line="360" w:lineRule="auto"/>
        <w:ind w:firstLine="720"/>
        <w:rPr>
          <w:rFonts w:ascii="Arial" w:hAnsi="Arial" w:cs="Arial"/>
          <w:lang w:val="en-GB" w:eastAsia="en-GB"/>
        </w:rPr>
      </w:pPr>
      <w:r w:rsidRPr="0053389E">
        <w:rPr>
          <w:rFonts w:ascii="Arial" w:hAnsi="Arial" w:cs="Arial"/>
          <w:lang w:val="en-GB" w:eastAsia="en-GB"/>
        </w:rPr>
        <w:t>In the context of the proposed Future of Dining Experience Expo in Birmingham, UK, the Event Cycle serves as a roadmap for navigating the complexities of event management and ensuring a seamless and impactful delivery.</w:t>
      </w:r>
    </w:p>
    <w:p w14:paraId="19AE6F4F" w14:textId="77777777" w:rsidR="0053389E" w:rsidRPr="00262CA6" w:rsidRDefault="0053389E" w:rsidP="00262CA6">
      <w:pPr>
        <w:pStyle w:val="ListParagraph"/>
        <w:numPr>
          <w:ilvl w:val="0"/>
          <w:numId w:val="22"/>
        </w:numPr>
        <w:spacing w:line="360" w:lineRule="auto"/>
        <w:rPr>
          <w:rFonts w:ascii="Arial" w:hAnsi="Arial" w:cs="Arial"/>
          <w:lang w:val="en-GB" w:eastAsia="en-GB"/>
        </w:rPr>
      </w:pPr>
      <w:r w:rsidRPr="00262CA6">
        <w:rPr>
          <w:rFonts w:ascii="Arial" w:hAnsi="Arial" w:cs="Arial"/>
          <w:lang w:val="en-GB" w:eastAsia="en-GB"/>
        </w:rPr>
        <w:t xml:space="preserve">Conceptualization: This initial stage involves defining the purpose, objectives, and target audience of the expo. Event planners must clearly articulate the event's unique selling proposition (USP) and identify key stakeholders, including exhibitors, sponsors, and attendees. Additionally, consideration should be given to the event theme ("Technology and Innovation within the </w:t>
      </w:r>
      <w:r w:rsidRPr="00262CA6">
        <w:rPr>
          <w:rFonts w:ascii="Arial" w:hAnsi="Arial" w:cs="Arial"/>
          <w:lang w:val="en-GB" w:eastAsia="en-GB"/>
        </w:rPr>
        <w:lastRenderedPageBreak/>
        <w:t>Hospitality Sector"), ensuring alignment with industry trends and audience interests (</w:t>
      </w:r>
      <w:proofErr w:type="spellStart"/>
      <w:r w:rsidRPr="00262CA6">
        <w:rPr>
          <w:rFonts w:ascii="Arial" w:hAnsi="Arial" w:cs="Arial"/>
          <w:lang w:val="en-GB" w:eastAsia="en-GB"/>
        </w:rPr>
        <w:t>Bladen</w:t>
      </w:r>
      <w:proofErr w:type="spellEnd"/>
      <w:r w:rsidRPr="00262CA6">
        <w:rPr>
          <w:rFonts w:ascii="Arial" w:hAnsi="Arial" w:cs="Arial"/>
          <w:lang w:val="en-GB" w:eastAsia="en-GB"/>
        </w:rPr>
        <w:t xml:space="preserve"> et al., 2012).</w:t>
      </w:r>
    </w:p>
    <w:p w14:paraId="53F0E711" w14:textId="77777777" w:rsidR="0053389E" w:rsidRPr="00262CA6" w:rsidRDefault="0053389E" w:rsidP="00262CA6">
      <w:pPr>
        <w:pStyle w:val="ListParagraph"/>
        <w:numPr>
          <w:ilvl w:val="0"/>
          <w:numId w:val="22"/>
        </w:numPr>
        <w:spacing w:line="360" w:lineRule="auto"/>
        <w:rPr>
          <w:rFonts w:ascii="Arial" w:hAnsi="Arial" w:cs="Arial"/>
          <w:lang w:val="en-GB" w:eastAsia="en-GB"/>
        </w:rPr>
      </w:pPr>
      <w:r w:rsidRPr="00262CA6">
        <w:rPr>
          <w:rFonts w:ascii="Arial" w:hAnsi="Arial" w:cs="Arial"/>
          <w:lang w:val="en-GB" w:eastAsia="en-GB"/>
        </w:rPr>
        <w:t>Planning: The planning stage entails developing a comprehensive strategy and action plan to bring the event concept to fruition. This includes securing a suitable venue, negotiating contracts with vendors and suppliers, designing promotional campaigns, and establishing a budget and timeline. Attention to detail is crucial, with careful consideration given to logistics, technology requirements, and risk management strategies (Shone &amp; Parry, 2010).</w:t>
      </w:r>
    </w:p>
    <w:p w14:paraId="5BDD47F2" w14:textId="77777777" w:rsidR="0053389E" w:rsidRPr="00262CA6" w:rsidRDefault="0053389E" w:rsidP="00262CA6">
      <w:pPr>
        <w:pStyle w:val="ListParagraph"/>
        <w:numPr>
          <w:ilvl w:val="0"/>
          <w:numId w:val="22"/>
        </w:numPr>
        <w:spacing w:line="360" w:lineRule="auto"/>
        <w:rPr>
          <w:rFonts w:ascii="Arial" w:hAnsi="Arial" w:cs="Arial"/>
          <w:lang w:val="en-GB" w:eastAsia="en-GB"/>
        </w:rPr>
      </w:pPr>
      <w:r w:rsidRPr="00262CA6">
        <w:rPr>
          <w:rFonts w:ascii="Arial" w:hAnsi="Arial" w:cs="Arial"/>
          <w:lang w:val="en-GB" w:eastAsia="en-GB"/>
        </w:rPr>
        <w:t>Implementation: With the groundwork laid in the planning stage, the focus shifts to executing the event plan effectively. This involves coordinating all aspects of event logistics, including set-up and signage, registration and check-in procedures, exhibitor and sponsor management, and on-site operations. Clear communication and delegation of responsibilities are essential for ensuring smooth execution and addressing any unforeseen challenges in real-time (</w:t>
      </w:r>
      <w:proofErr w:type="spellStart"/>
      <w:r w:rsidRPr="00262CA6">
        <w:rPr>
          <w:rFonts w:ascii="Arial" w:hAnsi="Arial" w:cs="Arial"/>
          <w:lang w:val="en-GB" w:eastAsia="en-GB"/>
        </w:rPr>
        <w:t>Bowdin</w:t>
      </w:r>
      <w:proofErr w:type="spellEnd"/>
      <w:r w:rsidRPr="00262CA6">
        <w:rPr>
          <w:rFonts w:ascii="Arial" w:hAnsi="Arial" w:cs="Arial"/>
          <w:lang w:val="en-GB" w:eastAsia="en-GB"/>
        </w:rPr>
        <w:t xml:space="preserve"> et al., 2016).</w:t>
      </w:r>
    </w:p>
    <w:p w14:paraId="59E45AE9" w14:textId="31B59E3D" w:rsidR="0053389E" w:rsidRPr="00262CA6" w:rsidRDefault="0053389E" w:rsidP="00262CA6">
      <w:pPr>
        <w:pStyle w:val="ListParagraph"/>
        <w:numPr>
          <w:ilvl w:val="0"/>
          <w:numId w:val="22"/>
        </w:numPr>
        <w:spacing w:line="360" w:lineRule="auto"/>
        <w:rPr>
          <w:rFonts w:ascii="Arial" w:hAnsi="Arial" w:cs="Arial"/>
          <w:lang w:val="en-GB" w:eastAsia="en-GB"/>
        </w:rPr>
      </w:pPr>
      <w:r w:rsidRPr="00262CA6">
        <w:rPr>
          <w:rFonts w:ascii="Arial" w:hAnsi="Arial" w:cs="Arial"/>
          <w:lang w:val="en-GB" w:eastAsia="en-GB"/>
        </w:rPr>
        <w:t xml:space="preserve">Evaluation: The final stage of the Event Cycle involves assessing the success of the expo against predefined objectives and performance metrics. This includes gathering feedback from exhibitors, sponsors, and attendees through surveys, interviews, and social media analysis. By </w:t>
      </w:r>
      <w:r w:rsidR="003E71FF" w:rsidRPr="00262CA6">
        <w:rPr>
          <w:rFonts w:ascii="Arial" w:hAnsi="Arial" w:cs="Arial"/>
          <w:lang w:val="en-GB" w:eastAsia="en-GB"/>
        </w:rPr>
        <w:t>analysing</w:t>
      </w:r>
      <w:r w:rsidRPr="00262CA6">
        <w:rPr>
          <w:rFonts w:ascii="Arial" w:hAnsi="Arial" w:cs="Arial"/>
          <w:lang w:val="en-GB" w:eastAsia="en-GB"/>
        </w:rPr>
        <w:t xml:space="preserve"> key performance indicators (KPIs) such as attendance numbers, revenue generation, and participant satisfaction, event planners can identify strengths, areas for improvement, and lessons learned to inform future event planning efforts (Goldblatt, 2014).</w:t>
      </w:r>
    </w:p>
    <w:p w14:paraId="03B57C1C" w14:textId="77777777" w:rsidR="0053389E" w:rsidRPr="00262CA6" w:rsidRDefault="0053389E" w:rsidP="00262CA6">
      <w:pPr>
        <w:spacing w:line="360" w:lineRule="auto"/>
        <w:rPr>
          <w:rFonts w:ascii="Arial" w:hAnsi="Arial" w:cs="Arial"/>
          <w:lang w:val="en-GB"/>
        </w:rPr>
      </w:pPr>
    </w:p>
    <w:p w14:paraId="323F2EE6" w14:textId="25FA8760" w:rsidR="00697037" w:rsidRPr="00262CA6" w:rsidRDefault="00697037" w:rsidP="00262CA6">
      <w:pPr>
        <w:pStyle w:val="Heading1"/>
        <w:spacing w:line="360" w:lineRule="auto"/>
        <w:rPr>
          <w:rFonts w:ascii="Arial" w:hAnsi="Arial" w:cs="Arial"/>
          <w:sz w:val="24"/>
          <w:szCs w:val="24"/>
        </w:rPr>
      </w:pPr>
      <w:bookmarkStart w:id="2" w:name="_Toc167016817"/>
      <w:r w:rsidRPr="00262CA6">
        <w:rPr>
          <w:rFonts w:ascii="Arial" w:hAnsi="Arial" w:cs="Arial"/>
          <w:sz w:val="24"/>
          <w:szCs w:val="24"/>
        </w:rPr>
        <w:t>Event Concept</w:t>
      </w:r>
      <w:bookmarkEnd w:id="2"/>
    </w:p>
    <w:p w14:paraId="4211E214" w14:textId="77777777" w:rsidR="0053389E" w:rsidRPr="00262CA6" w:rsidRDefault="0053389E" w:rsidP="00262CA6">
      <w:pPr>
        <w:spacing w:line="360" w:lineRule="auto"/>
        <w:rPr>
          <w:rFonts w:ascii="Arial" w:hAnsi="Arial" w:cs="Arial"/>
          <w:lang w:val="en-GB"/>
        </w:rPr>
      </w:pPr>
    </w:p>
    <w:p w14:paraId="6C64DBD4" w14:textId="77777777" w:rsidR="0053389E" w:rsidRPr="0053389E" w:rsidRDefault="0053389E" w:rsidP="00262CA6">
      <w:pPr>
        <w:spacing w:line="360" w:lineRule="auto"/>
        <w:ind w:firstLine="720"/>
        <w:rPr>
          <w:rFonts w:ascii="Arial" w:hAnsi="Arial" w:cs="Arial"/>
          <w:lang w:val="en-GB" w:eastAsia="en-GB"/>
        </w:rPr>
      </w:pPr>
      <w:r w:rsidRPr="0053389E">
        <w:rPr>
          <w:rFonts w:ascii="Arial" w:hAnsi="Arial" w:cs="Arial"/>
          <w:lang w:val="en-GB" w:eastAsia="en-GB"/>
        </w:rPr>
        <w:t>The Future of Dining Experience Expo in Birmingham, UK, promises to be an immersive and enlightening event that explores the cutting-edge intersection of technology and innovation within the hospitality sector. Attendees can expect a dynamic program featuring interactive exhibits, engaging presentations, live demonstrations, and networking opportunities designed to inspire, educate, and connect industry professionals, technology providers, and food enthusiasts.</w:t>
      </w:r>
    </w:p>
    <w:p w14:paraId="65E071D6" w14:textId="77777777" w:rsidR="003E71FF" w:rsidRPr="00262CA6" w:rsidRDefault="003E71FF" w:rsidP="00262CA6">
      <w:pPr>
        <w:spacing w:line="360" w:lineRule="auto"/>
        <w:rPr>
          <w:rFonts w:ascii="Arial" w:hAnsi="Arial" w:cs="Arial"/>
          <w:lang w:val="en-GB" w:eastAsia="en-GB"/>
        </w:rPr>
      </w:pPr>
    </w:p>
    <w:p w14:paraId="74525590" w14:textId="1F890062" w:rsidR="0053389E" w:rsidRPr="0053389E" w:rsidRDefault="0053389E" w:rsidP="00262CA6">
      <w:pPr>
        <w:spacing w:line="360" w:lineRule="auto"/>
        <w:rPr>
          <w:rFonts w:ascii="Arial" w:hAnsi="Arial" w:cs="Arial"/>
          <w:lang w:val="en-GB" w:eastAsia="en-GB"/>
        </w:rPr>
      </w:pPr>
      <w:r w:rsidRPr="0053389E">
        <w:rPr>
          <w:rFonts w:ascii="Arial" w:hAnsi="Arial" w:cs="Arial"/>
          <w:lang w:val="en-GB" w:eastAsia="en-GB"/>
        </w:rPr>
        <w:lastRenderedPageBreak/>
        <w:t>Event Concept: The Future of Dining Experience Expo aims to showcase the latest advancements and trends shaping the future of dining, with a particular focus on how technology is revolutionizing the hospitality industry. The expo will feature exhibitors showcasing innovative products and services, keynote speeches from industry experts, live cooking demonstrations, panel discussions, and interactive workshops covering a wide range of topics, from AI-driven culinary experiences to sustainable food practices and digital guest engagement solutions.</w:t>
      </w:r>
    </w:p>
    <w:p w14:paraId="2843980A" w14:textId="77777777" w:rsidR="003E71FF" w:rsidRPr="00262CA6" w:rsidRDefault="003E71FF" w:rsidP="00262CA6">
      <w:pPr>
        <w:spacing w:line="360" w:lineRule="auto"/>
        <w:rPr>
          <w:rFonts w:ascii="Arial" w:hAnsi="Arial" w:cs="Arial"/>
          <w:lang w:val="en-GB" w:eastAsia="en-GB"/>
        </w:rPr>
      </w:pPr>
    </w:p>
    <w:p w14:paraId="15A977C4" w14:textId="6E7C0E75" w:rsidR="0053389E" w:rsidRPr="00262CA6" w:rsidRDefault="0053389E" w:rsidP="00262CA6">
      <w:pPr>
        <w:pStyle w:val="Heading2"/>
        <w:spacing w:line="360" w:lineRule="auto"/>
        <w:rPr>
          <w:rFonts w:ascii="Arial" w:hAnsi="Arial" w:cs="Arial"/>
          <w:sz w:val="24"/>
          <w:szCs w:val="24"/>
          <w:lang w:val="en-GB" w:eastAsia="en-GB"/>
        </w:rPr>
      </w:pPr>
      <w:bookmarkStart w:id="3" w:name="_Toc167016818"/>
      <w:r w:rsidRPr="00262CA6">
        <w:rPr>
          <w:rFonts w:ascii="Arial" w:hAnsi="Arial" w:cs="Arial"/>
          <w:sz w:val="24"/>
          <w:szCs w:val="24"/>
          <w:lang w:val="en-GB" w:eastAsia="en-GB"/>
        </w:rPr>
        <w:t>Itinerary:</w:t>
      </w:r>
      <w:bookmarkEnd w:id="3"/>
    </w:p>
    <w:p w14:paraId="216456D3" w14:textId="77777777" w:rsidR="0053389E" w:rsidRPr="00262CA6" w:rsidRDefault="0053389E" w:rsidP="00262CA6">
      <w:pPr>
        <w:pStyle w:val="ListParagraph"/>
        <w:numPr>
          <w:ilvl w:val="0"/>
          <w:numId w:val="23"/>
        </w:numPr>
        <w:spacing w:line="360" w:lineRule="auto"/>
        <w:rPr>
          <w:rFonts w:ascii="Arial" w:hAnsi="Arial" w:cs="Arial"/>
          <w:lang w:val="en-GB" w:eastAsia="en-GB"/>
        </w:rPr>
      </w:pPr>
      <w:r w:rsidRPr="00262CA6">
        <w:rPr>
          <w:rFonts w:ascii="Arial" w:hAnsi="Arial" w:cs="Arial"/>
          <w:lang w:val="en-GB" w:eastAsia="en-GB"/>
        </w:rPr>
        <w:t>Morning Session (9:00 am - 12:00 pm):</w:t>
      </w:r>
    </w:p>
    <w:p w14:paraId="21638E1B" w14:textId="77777777" w:rsidR="0053389E" w:rsidRPr="00262CA6" w:rsidRDefault="0053389E" w:rsidP="00262CA6">
      <w:pPr>
        <w:pStyle w:val="ListParagraph"/>
        <w:numPr>
          <w:ilvl w:val="0"/>
          <w:numId w:val="24"/>
        </w:numPr>
        <w:spacing w:line="360" w:lineRule="auto"/>
        <w:rPr>
          <w:rFonts w:ascii="Arial" w:hAnsi="Arial" w:cs="Arial"/>
          <w:lang w:val="en-GB" w:eastAsia="en-GB"/>
        </w:rPr>
      </w:pPr>
      <w:r w:rsidRPr="00262CA6">
        <w:rPr>
          <w:rFonts w:ascii="Arial" w:hAnsi="Arial" w:cs="Arial"/>
          <w:lang w:val="en-GB" w:eastAsia="en-GB"/>
        </w:rPr>
        <w:t>Registration and Welcome Reception: Delegates are greeted with a warm welcome and receive event materials, including badges and program schedules.</w:t>
      </w:r>
    </w:p>
    <w:p w14:paraId="034F7728" w14:textId="77777777" w:rsidR="0053389E" w:rsidRPr="00262CA6" w:rsidRDefault="0053389E" w:rsidP="00262CA6">
      <w:pPr>
        <w:pStyle w:val="ListParagraph"/>
        <w:numPr>
          <w:ilvl w:val="0"/>
          <w:numId w:val="24"/>
        </w:numPr>
        <w:spacing w:line="360" w:lineRule="auto"/>
        <w:rPr>
          <w:rFonts w:ascii="Arial" w:hAnsi="Arial" w:cs="Arial"/>
          <w:lang w:val="en-GB" w:eastAsia="en-GB"/>
        </w:rPr>
      </w:pPr>
      <w:r w:rsidRPr="00262CA6">
        <w:rPr>
          <w:rFonts w:ascii="Arial" w:hAnsi="Arial" w:cs="Arial"/>
          <w:lang w:val="en-GB" w:eastAsia="en-GB"/>
        </w:rPr>
        <w:t>Keynote Address: A prominent industry leader delivers an inspiring keynote speech on the future of dining and the role of technology in shaping hospitality experiences.</w:t>
      </w:r>
    </w:p>
    <w:p w14:paraId="1A9AE8BD" w14:textId="77777777" w:rsidR="0053389E" w:rsidRPr="00262CA6" w:rsidRDefault="0053389E" w:rsidP="00262CA6">
      <w:pPr>
        <w:pStyle w:val="ListParagraph"/>
        <w:numPr>
          <w:ilvl w:val="0"/>
          <w:numId w:val="24"/>
        </w:numPr>
        <w:spacing w:line="360" w:lineRule="auto"/>
        <w:rPr>
          <w:rFonts w:ascii="Arial" w:hAnsi="Arial" w:cs="Arial"/>
          <w:lang w:val="en-GB" w:eastAsia="en-GB"/>
        </w:rPr>
      </w:pPr>
      <w:r w:rsidRPr="00262CA6">
        <w:rPr>
          <w:rFonts w:ascii="Arial" w:hAnsi="Arial" w:cs="Arial"/>
          <w:lang w:val="en-GB" w:eastAsia="en-GB"/>
        </w:rPr>
        <w:t>Exhibit Hall Opens: Attendees explore the expo floor, visiting booths from leading technology providers, culinary innovators, and hospitality businesses showcasing their latest products and services.</w:t>
      </w:r>
    </w:p>
    <w:p w14:paraId="43DF5EC6" w14:textId="77777777" w:rsidR="0053389E" w:rsidRPr="00262CA6" w:rsidRDefault="0053389E" w:rsidP="00262CA6">
      <w:pPr>
        <w:pStyle w:val="ListParagraph"/>
        <w:numPr>
          <w:ilvl w:val="0"/>
          <w:numId w:val="24"/>
        </w:numPr>
        <w:spacing w:line="360" w:lineRule="auto"/>
        <w:rPr>
          <w:rFonts w:ascii="Arial" w:hAnsi="Arial" w:cs="Arial"/>
          <w:lang w:val="en-GB" w:eastAsia="en-GB"/>
        </w:rPr>
      </w:pPr>
      <w:r w:rsidRPr="00262CA6">
        <w:rPr>
          <w:rFonts w:ascii="Arial" w:hAnsi="Arial" w:cs="Arial"/>
          <w:lang w:val="en-GB" w:eastAsia="en-GB"/>
        </w:rPr>
        <w:t>Networking Break: Delegates mingle and network with exhibitors, sponsors, and fellow attendees, exchanging ideas and forging connections.</w:t>
      </w:r>
    </w:p>
    <w:p w14:paraId="6B43A0AD" w14:textId="77777777" w:rsidR="0053389E" w:rsidRPr="00262CA6" w:rsidRDefault="0053389E" w:rsidP="00262CA6">
      <w:pPr>
        <w:pStyle w:val="ListParagraph"/>
        <w:numPr>
          <w:ilvl w:val="0"/>
          <w:numId w:val="23"/>
        </w:numPr>
        <w:spacing w:line="360" w:lineRule="auto"/>
        <w:rPr>
          <w:rFonts w:ascii="Arial" w:hAnsi="Arial" w:cs="Arial"/>
          <w:lang w:val="en-GB" w:eastAsia="en-GB"/>
        </w:rPr>
      </w:pPr>
      <w:r w:rsidRPr="00262CA6">
        <w:rPr>
          <w:rFonts w:ascii="Arial" w:hAnsi="Arial" w:cs="Arial"/>
          <w:lang w:val="en-GB" w:eastAsia="en-GB"/>
        </w:rPr>
        <w:t>Midday Session (12:00 pm - 2:00 pm):</w:t>
      </w:r>
    </w:p>
    <w:p w14:paraId="1C780962" w14:textId="77777777" w:rsidR="0053389E" w:rsidRPr="00262CA6" w:rsidRDefault="0053389E" w:rsidP="00262CA6">
      <w:pPr>
        <w:pStyle w:val="ListParagraph"/>
        <w:numPr>
          <w:ilvl w:val="0"/>
          <w:numId w:val="25"/>
        </w:numPr>
        <w:spacing w:line="360" w:lineRule="auto"/>
        <w:rPr>
          <w:rFonts w:ascii="Arial" w:hAnsi="Arial" w:cs="Arial"/>
          <w:lang w:val="en-GB" w:eastAsia="en-GB"/>
        </w:rPr>
      </w:pPr>
      <w:r w:rsidRPr="00262CA6">
        <w:rPr>
          <w:rFonts w:ascii="Arial" w:hAnsi="Arial" w:cs="Arial"/>
          <w:lang w:val="en-GB" w:eastAsia="en-GB"/>
        </w:rPr>
        <w:t>Tech Talks and Panel Discussions: Concurrent sessions feature thought-provoking presentations and panel discussions on emerging trends and technologies in the hospitality industry. Topics include AI-powered restaurant management systems, augmented reality dining experiences, and sustainable food solutions.</w:t>
      </w:r>
    </w:p>
    <w:p w14:paraId="440CA3E2" w14:textId="77777777" w:rsidR="0053389E" w:rsidRPr="00262CA6" w:rsidRDefault="0053389E" w:rsidP="00262CA6">
      <w:pPr>
        <w:pStyle w:val="ListParagraph"/>
        <w:numPr>
          <w:ilvl w:val="0"/>
          <w:numId w:val="25"/>
        </w:numPr>
        <w:spacing w:line="360" w:lineRule="auto"/>
        <w:rPr>
          <w:rFonts w:ascii="Arial" w:hAnsi="Arial" w:cs="Arial"/>
          <w:lang w:val="en-GB" w:eastAsia="en-GB"/>
        </w:rPr>
      </w:pPr>
      <w:r w:rsidRPr="00262CA6">
        <w:rPr>
          <w:rFonts w:ascii="Arial" w:hAnsi="Arial" w:cs="Arial"/>
          <w:lang w:val="en-GB" w:eastAsia="en-GB"/>
        </w:rPr>
        <w:t>Culinary Demonstrations: Renowned chefs demonstrate innovative cooking techniques and showcase signature dishes infused with technology, delighting attendees with interactive culinary experiences.</w:t>
      </w:r>
    </w:p>
    <w:p w14:paraId="33F7E02E" w14:textId="77777777" w:rsidR="0053389E" w:rsidRPr="00262CA6" w:rsidRDefault="0053389E" w:rsidP="00262CA6">
      <w:pPr>
        <w:pStyle w:val="ListParagraph"/>
        <w:numPr>
          <w:ilvl w:val="0"/>
          <w:numId w:val="23"/>
        </w:numPr>
        <w:spacing w:line="360" w:lineRule="auto"/>
        <w:rPr>
          <w:rFonts w:ascii="Arial" w:hAnsi="Arial" w:cs="Arial"/>
          <w:lang w:val="en-GB" w:eastAsia="en-GB"/>
        </w:rPr>
      </w:pPr>
      <w:r w:rsidRPr="00262CA6">
        <w:rPr>
          <w:rFonts w:ascii="Arial" w:hAnsi="Arial" w:cs="Arial"/>
          <w:lang w:val="en-GB" w:eastAsia="en-GB"/>
        </w:rPr>
        <w:t>Afternoon Session (2:00 pm - 5:00 pm):</w:t>
      </w:r>
    </w:p>
    <w:p w14:paraId="47601EB3" w14:textId="77777777" w:rsidR="0053389E" w:rsidRPr="00262CA6" w:rsidRDefault="0053389E" w:rsidP="00262CA6">
      <w:pPr>
        <w:pStyle w:val="ListParagraph"/>
        <w:numPr>
          <w:ilvl w:val="0"/>
          <w:numId w:val="23"/>
        </w:numPr>
        <w:spacing w:line="360" w:lineRule="auto"/>
        <w:rPr>
          <w:rFonts w:ascii="Arial" w:hAnsi="Arial" w:cs="Arial"/>
          <w:lang w:val="en-GB" w:eastAsia="en-GB"/>
        </w:rPr>
      </w:pPr>
      <w:r w:rsidRPr="00262CA6">
        <w:rPr>
          <w:rFonts w:ascii="Arial" w:hAnsi="Arial" w:cs="Arial"/>
          <w:lang w:val="en-GB" w:eastAsia="en-GB"/>
        </w:rPr>
        <w:lastRenderedPageBreak/>
        <w:t>Workshops and Masterclasses: Hands-on workshops and masterclasses offer practical insights and skills training in areas such as food photography, mixology, and digital marketing for restaurants.</w:t>
      </w:r>
    </w:p>
    <w:p w14:paraId="4D8698A3" w14:textId="35309542" w:rsidR="0053389E" w:rsidRPr="00262CA6" w:rsidRDefault="0053389E" w:rsidP="00262CA6">
      <w:pPr>
        <w:pStyle w:val="ListParagraph"/>
        <w:numPr>
          <w:ilvl w:val="0"/>
          <w:numId w:val="23"/>
        </w:numPr>
        <w:spacing w:line="360" w:lineRule="auto"/>
        <w:rPr>
          <w:rFonts w:ascii="Arial" w:hAnsi="Arial" w:cs="Arial"/>
          <w:lang w:val="en-GB" w:eastAsia="en-GB"/>
        </w:rPr>
      </w:pPr>
      <w:r w:rsidRPr="00262CA6">
        <w:rPr>
          <w:rFonts w:ascii="Arial" w:hAnsi="Arial" w:cs="Arial"/>
          <w:lang w:val="en-GB" w:eastAsia="en-GB"/>
        </w:rPr>
        <w:t xml:space="preserve">Innovation Showcase: A curated showcase highlights </w:t>
      </w:r>
      <w:r w:rsidR="003E71FF" w:rsidRPr="00262CA6">
        <w:rPr>
          <w:rFonts w:ascii="Arial" w:hAnsi="Arial" w:cs="Arial"/>
          <w:lang w:val="en-GB" w:eastAsia="en-GB"/>
        </w:rPr>
        <w:t>ground-breaking</w:t>
      </w:r>
      <w:r w:rsidRPr="00262CA6">
        <w:rPr>
          <w:rFonts w:ascii="Arial" w:hAnsi="Arial" w:cs="Arial"/>
          <w:lang w:val="en-GB" w:eastAsia="en-GB"/>
        </w:rPr>
        <w:t xml:space="preserve"> </w:t>
      </w:r>
      <w:r w:rsidR="003E71FF" w:rsidRPr="00262CA6">
        <w:rPr>
          <w:rFonts w:ascii="Arial" w:hAnsi="Arial" w:cs="Arial"/>
          <w:lang w:val="en-GB" w:eastAsia="en-GB"/>
        </w:rPr>
        <w:t>start-ups</w:t>
      </w:r>
      <w:r w:rsidRPr="00262CA6">
        <w:rPr>
          <w:rFonts w:ascii="Arial" w:hAnsi="Arial" w:cs="Arial"/>
          <w:lang w:val="en-GB" w:eastAsia="en-GB"/>
        </w:rPr>
        <w:t xml:space="preserve"> and disruptors in the food</w:t>
      </w:r>
      <w:r w:rsidR="003E71FF" w:rsidRPr="00262CA6">
        <w:rPr>
          <w:rFonts w:ascii="Arial" w:hAnsi="Arial" w:cs="Arial"/>
          <w:lang w:val="en-GB" w:eastAsia="en-GB"/>
        </w:rPr>
        <w:t xml:space="preserve"> </w:t>
      </w:r>
      <w:r w:rsidRPr="00262CA6">
        <w:rPr>
          <w:rFonts w:ascii="Arial" w:hAnsi="Arial" w:cs="Arial"/>
          <w:lang w:val="en-GB" w:eastAsia="en-GB"/>
        </w:rPr>
        <w:t>tech and hospitality space, giving attendees a glimpse into the future of dining.</w:t>
      </w:r>
    </w:p>
    <w:p w14:paraId="3F9A765D" w14:textId="77777777" w:rsidR="0053389E" w:rsidRPr="00262CA6" w:rsidRDefault="0053389E" w:rsidP="00262CA6">
      <w:pPr>
        <w:pStyle w:val="ListParagraph"/>
        <w:numPr>
          <w:ilvl w:val="0"/>
          <w:numId w:val="23"/>
        </w:numPr>
        <w:spacing w:line="360" w:lineRule="auto"/>
        <w:rPr>
          <w:rFonts w:ascii="Arial" w:hAnsi="Arial" w:cs="Arial"/>
          <w:lang w:val="en-GB" w:eastAsia="en-GB"/>
        </w:rPr>
      </w:pPr>
      <w:r w:rsidRPr="00262CA6">
        <w:rPr>
          <w:rFonts w:ascii="Arial" w:hAnsi="Arial" w:cs="Arial"/>
          <w:lang w:val="en-GB" w:eastAsia="en-GB"/>
        </w:rPr>
        <w:t>Closing Remarks and Networking Reception: The event concludes with closing remarks from organizers, followed by a networking reception where attendees can unwind, exchange contacts, and discuss key takeaways from the day's events.</w:t>
      </w:r>
    </w:p>
    <w:p w14:paraId="7B7D0985" w14:textId="77777777" w:rsidR="0053389E" w:rsidRPr="00262CA6" w:rsidRDefault="0053389E" w:rsidP="00262CA6">
      <w:pPr>
        <w:pStyle w:val="NormalWeb"/>
        <w:spacing w:line="360" w:lineRule="auto"/>
        <w:rPr>
          <w:rFonts w:ascii="Arial" w:hAnsi="Arial" w:cs="Arial"/>
          <w:b/>
          <w:bCs/>
          <w:lang w:val="en-GB"/>
        </w:rPr>
      </w:pPr>
    </w:p>
    <w:p w14:paraId="3CF70B24" w14:textId="39B790D3" w:rsidR="00697037" w:rsidRPr="00262CA6" w:rsidRDefault="00697037" w:rsidP="00262CA6">
      <w:pPr>
        <w:pStyle w:val="Heading1"/>
        <w:spacing w:line="360" w:lineRule="auto"/>
        <w:rPr>
          <w:rFonts w:ascii="Arial" w:hAnsi="Arial" w:cs="Arial"/>
          <w:sz w:val="24"/>
          <w:szCs w:val="24"/>
          <w:lang w:val="en-GB"/>
        </w:rPr>
      </w:pPr>
      <w:bookmarkStart w:id="4" w:name="_Toc167016819"/>
      <w:r w:rsidRPr="00262CA6">
        <w:rPr>
          <w:rFonts w:ascii="Arial" w:hAnsi="Arial" w:cs="Arial"/>
          <w:sz w:val="24"/>
          <w:szCs w:val="24"/>
          <w:lang w:val="en-GB"/>
        </w:rPr>
        <w:t>Aim and Objectives</w:t>
      </w:r>
      <w:bookmarkEnd w:id="4"/>
      <w:r w:rsidRPr="00262CA6">
        <w:rPr>
          <w:rFonts w:ascii="Arial" w:hAnsi="Arial" w:cs="Arial"/>
          <w:sz w:val="24"/>
          <w:szCs w:val="24"/>
          <w:lang w:val="en-GB"/>
        </w:rPr>
        <w:t xml:space="preserve"> </w:t>
      </w:r>
    </w:p>
    <w:p w14:paraId="3196BA5D" w14:textId="77777777" w:rsidR="003E71FF" w:rsidRPr="00262CA6" w:rsidRDefault="003E71FF" w:rsidP="00262CA6">
      <w:pPr>
        <w:spacing w:line="360" w:lineRule="auto"/>
        <w:rPr>
          <w:rFonts w:ascii="Arial" w:hAnsi="Arial" w:cs="Arial"/>
          <w:lang w:val="en-GB"/>
        </w:rPr>
      </w:pPr>
    </w:p>
    <w:p w14:paraId="120BC884" w14:textId="77777777" w:rsidR="0053389E" w:rsidRPr="0053389E" w:rsidRDefault="0053389E" w:rsidP="00262CA6">
      <w:pPr>
        <w:spacing w:line="360" w:lineRule="auto"/>
        <w:ind w:firstLine="720"/>
        <w:rPr>
          <w:rFonts w:ascii="Arial" w:hAnsi="Arial" w:cs="Arial"/>
          <w:lang w:val="en-GB" w:eastAsia="en-GB"/>
        </w:rPr>
      </w:pPr>
      <w:r w:rsidRPr="0053389E">
        <w:rPr>
          <w:rFonts w:ascii="Arial" w:hAnsi="Arial" w:cs="Arial"/>
          <w:lang w:val="en-GB" w:eastAsia="en-GB"/>
        </w:rPr>
        <w:t>The overarching aim of the Future of Dining Experience Expo in Birmingham, UK, is to serve as a premier platform for showcasing and exploring the transformative role of technology and innovation within the hospitality sector. This aim aligns with the broader mission of the event industry, which emphasizes the importance of creating engaging and impactful experiences for attendees (</w:t>
      </w:r>
      <w:proofErr w:type="spellStart"/>
      <w:r w:rsidRPr="0053389E">
        <w:rPr>
          <w:rFonts w:ascii="Arial" w:hAnsi="Arial" w:cs="Arial"/>
          <w:lang w:val="en-GB" w:eastAsia="en-GB"/>
        </w:rPr>
        <w:t>Bladen</w:t>
      </w:r>
      <w:proofErr w:type="spellEnd"/>
      <w:r w:rsidRPr="0053389E">
        <w:rPr>
          <w:rFonts w:ascii="Arial" w:hAnsi="Arial" w:cs="Arial"/>
          <w:lang w:val="en-GB" w:eastAsia="en-GB"/>
        </w:rPr>
        <w:t xml:space="preserve"> et al., 2012).</w:t>
      </w:r>
    </w:p>
    <w:p w14:paraId="65D0CF4D" w14:textId="77777777" w:rsidR="003E71FF" w:rsidRPr="00262CA6" w:rsidRDefault="003E71FF" w:rsidP="00262CA6">
      <w:pPr>
        <w:spacing w:line="360" w:lineRule="auto"/>
        <w:rPr>
          <w:rFonts w:ascii="Arial" w:hAnsi="Arial" w:cs="Arial"/>
          <w:lang w:val="en-GB" w:eastAsia="en-GB"/>
        </w:rPr>
      </w:pPr>
    </w:p>
    <w:p w14:paraId="691825AD" w14:textId="7E783D33" w:rsidR="0053389E" w:rsidRPr="00262CA6" w:rsidRDefault="0053389E" w:rsidP="00262CA6">
      <w:pPr>
        <w:pStyle w:val="Heading2"/>
        <w:spacing w:line="360" w:lineRule="auto"/>
        <w:rPr>
          <w:rFonts w:ascii="Arial" w:hAnsi="Arial" w:cs="Arial"/>
          <w:sz w:val="24"/>
          <w:szCs w:val="24"/>
          <w:lang w:val="en-GB" w:eastAsia="en-GB"/>
        </w:rPr>
      </w:pPr>
      <w:bookmarkStart w:id="5" w:name="_Toc167016820"/>
      <w:r w:rsidRPr="00262CA6">
        <w:rPr>
          <w:rFonts w:ascii="Arial" w:hAnsi="Arial" w:cs="Arial"/>
          <w:sz w:val="24"/>
          <w:szCs w:val="24"/>
          <w:lang w:val="en-GB" w:eastAsia="en-GB"/>
        </w:rPr>
        <w:t>SMART Objectives:</w:t>
      </w:r>
      <w:bookmarkEnd w:id="5"/>
    </w:p>
    <w:p w14:paraId="4D036D42" w14:textId="77777777" w:rsidR="003E71FF" w:rsidRPr="00262CA6" w:rsidRDefault="003E71FF" w:rsidP="00262CA6">
      <w:pPr>
        <w:spacing w:line="360" w:lineRule="auto"/>
        <w:rPr>
          <w:rFonts w:ascii="Arial" w:hAnsi="Arial" w:cs="Arial"/>
          <w:lang w:val="en-GB" w:eastAsia="en-GB"/>
        </w:rPr>
      </w:pPr>
    </w:p>
    <w:p w14:paraId="5E6A40C0" w14:textId="52A2DCF4" w:rsidR="0053389E" w:rsidRPr="0053389E" w:rsidRDefault="0053389E" w:rsidP="00262CA6">
      <w:pPr>
        <w:spacing w:line="360" w:lineRule="auto"/>
        <w:rPr>
          <w:rFonts w:ascii="Arial" w:hAnsi="Arial" w:cs="Arial"/>
          <w:lang w:val="en-GB" w:eastAsia="en-GB"/>
        </w:rPr>
      </w:pPr>
      <w:r w:rsidRPr="0053389E">
        <w:rPr>
          <w:rFonts w:ascii="Arial" w:hAnsi="Arial" w:cs="Arial"/>
          <w:lang w:val="en-GB" w:eastAsia="en-GB"/>
        </w:rPr>
        <w:t>Objective 1:</w:t>
      </w:r>
    </w:p>
    <w:p w14:paraId="2D42FCF6" w14:textId="77777777" w:rsidR="0053389E" w:rsidRPr="00262CA6" w:rsidRDefault="0053389E" w:rsidP="00262CA6">
      <w:pPr>
        <w:pStyle w:val="ListParagraph"/>
        <w:numPr>
          <w:ilvl w:val="0"/>
          <w:numId w:val="26"/>
        </w:numPr>
        <w:spacing w:line="360" w:lineRule="auto"/>
        <w:rPr>
          <w:rFonts w:ascii="Arial" w:hAnsi="Arial" w:cs="Arial"/>
          <w:lang w:val="en-GB" w:eastAsia="en-GB"/>
        </w:rPr>
      </w:pPr>
      <w:r w:rsidRPr="00262CA6">
        <w:rPr>
          <w:rFonts w:ascii="Arial" w:hAnsi="Arial" w:cs="Arial"/>
          <w:lang w:val="en-GB" w:eastAsia="en-GB"/>
        </w:rPr>
        <w:t>Specific: Increase attendee engagement and interaction with exhibitors by 20% compared to previous industry expos.</w:t>
      </w:r>
    </w:p>
    <w:p w14:paraId="7DEF42D4" w14:textId="77777777" w:rsidR="0053389E" w:rsidRPr="00262CA6" w:rsidRDefault="0053389E" w:rsidP="00262CA6">
      <w:pPr>
        <w:pStyle w:val="ListParagraph"/>
        <w:numPr>
          <w:ilvl w:val="0"/>
          <w:numId w:val="26"/>
        </w:numPr>
        <w:spacing w:line="360" w:lineRule="auto"/>
        <w:rPr>
          <w:rFonts w:ascii="Arial" w:hAnsi="Arial" w:cs="Arial"/>
          <w:lang w:val="en-GB" w:eastAsia="en-GB"/>
        </w:rPr>
      </w:pPr>
      <w:r w:rsidRPr="00262CA6">
        <w:rPr>
          <w:rFonts w:ascii="Arial" w:hAnsi="Arial" w:cs="Arial"/>
          <w:lang w:val="en-GB" w:eastAsia="en-GB"/>
        </w:rPr>
        <w:t>Measurable: Drawing from best practices in event engagement measurement (</w:t>
      </w:r>
      <w:proofErr w:type="spellStart"/>
      <w:r w:rsidRPr="00262CA6">
        <w:rPr>
          <w:rFonts w:ascii="Arial" w:hAnsi="Arial" w:cs="Arial"/>
          <w:lang w:val="en-GB" w:eastAsia="en-GB"/>
        </w:rPr>
        <w:t>Bowdin</w:t>
      </w:r>
      <w:proofErr w:type="spellEnd"/>
      <w:r w:rsidRPr="00262CA6">
        <w:rPr>
          <w:rFonts w:ascii="Arial" w:hAnsi="Arial" w:cs="Arial"/>
          <w:lang w:val="en-GB" w:eastAsia="en-GB"/>
        </w:rPr>
        <w:t xml:space="preserve"> et al., 2016), track the number of attendee interactions at exhibitor booths, networking sessions, and interactive displays using event engagement metrics and surveys.</w:t>
      </w:r>
    </w:p>
    <w:p w14:paraId="5EE3BA92" w14:textId="77777777" w:rsidR="0053389E" w:rsidRPr="00262CA6" w:rsidRDefault="0053389E" w:rsidP="00262CA6">
      <w:pPr>
        <w:pStyle w:val="ListParagraph"/>
        <w:numPr>
          <w:ilvl w:val="0"/>
          <w:numId w:val="26"/>
        </w:numPr>
        <w:spacing w:line="360" w:lineRule="auto"/>
        <w:rPr>
          <w:rFonts w:ascii="Arial" w:hAnsi="Arial" w:cs="Arial"/>
          <w:lang w:val="en-GB" w:eastAsia="en-GB"/>
        </w:rPr>
      </w:pPr>
      <w:r w:rsidRPr="00262CA6">
        <w:rPr>
          <w:rFonts w:ascii="Arial" w:hAnsi="Arial" w:cs="Arial"/>
          <w:lang w:val="en-GB" w:eastAsia="en-GB"/>
        </w:rPr>
        <w:t xml:space="preserve">Achievable: Leveraging insights from previous events (Shone &amp; Parry, 2010), implement targeted marketing campaigns to attract a diverse audience of </w:t>
      </w:r>
      <w:r w:rsidRPr="00262CA6">
        <w:rPr>
          <w:rFonts w:ascii="Arial" w:hAnsi="Arial" w:cs="Arial"/>
          <w:lang w:val="en-GB" w:eastAsia="en-GB"/>
        </w:rPr>
        <w:lastRenderedPageBreak/>
        <w:t>industry professionals, technology enthusiasts, and food enthusiasts interested in exploring the future of dining.</w:t>
      </w:r>
    </w:p>
    <w:p w14:paraId="6179611B" w14:textId="77777777" w:rsidR="0053389E" w:rsidRPr="00262CA6" w:rsidRDefault="0053389E" w:rsidP="00262CA6">
      <w:pPr>
        <w:pStyle w:val="ListParagraph"/>
        <w:numPr>
          <w:ilvl w:val="0"/>
          <w:numId w:val="26"/>
        </w:numPr>
        <w:spacing w:line="360" w:lineRule="auto"/>
        <w:rPr>
          <w:rFonts w:ascii="Arial" w:hAnsi="Arial" w:cs="Arial"/>
          <w:lang w:val="en-GB" w:eastAsia="en-GB"/>
        </w:rPr>
      </w:pPr>
      <w:r w:rsidRPr="00262CA6">
        <w:rPr>
          <w:rFonts w:ascii="Arial" w:hAnsi="Arial" w:cs="Arial"/>
          <w:lang w:val="en-GB" w:eastAsia="en-GB"/>
        </w:rPr>
        <w:t>Relevant: Consistent with the principles of attendee-focused event design (Goldblatt, 2014), enhance the attendee experience by curating engaging exhibits, interactive demonstrations, and informative sessions that showcase the latest advancements in hospitality technology and innovation.</w:t>
      </w:r>
    </w:p>
    <w:p w14:paraId="088F427F" w14:textId="77777777" w:rsidR="0053389E" w:rsidRPr="00262CA6" w:rsidRDefault="0053389E" w:rsidP="00262CA6">
      <w:pPr>
        <w:pStyle w:val="ListParagraph"/>
        <w:numPr>
          <w:ilvl w:val="0"/>
          <w:numId w:val="26"/>
        </w:numPr>
        <w:spacing w:line="360" w:lineRule="auto"/>
        <w:rPr>
          <w:rFonts w:ascii="Arial" w:hAnsi="Arial" w:cs="Arial"/>
          <w:lang w:val="en-GB" w:eastAsia="en-GB"/>
        </w:rPr>
      </w:pPr>
      <w:r w:rsidRPr="00262CA6">
        <w:rPr>
          <w:rFonts w:ascii="Arial" w:hAnsi="Arial" w:cs="Arial"/>
          <w:lang w:val="en-GB" w:eastAsia="en-GB"/>
        </w:rPr>
        <w:t>Time-bound: In line with event evaluation practices (</w:t>
      </w:r>
      <w:proofErr w:type="spellStart"/>
      <w:r w:rsidRPr="00262CA6">
        <w:rPr>
          <w:rFonts w:ascii="Arial" w:hAnsi="Arial" w:cs="Arial"/>
          <w:lang w:val="en-GB" w:eastAsia="en-GB"/>
        </w:rPr>
        <w:t>Bladen</w:t>
      </w:r>
      <w:proofErr w:type="spellEnd"/>
      <w:r w:rsidRPr="00262CA6">
        <w:rPr>
          <w:rFonts w:ascii="Arial" w:hAnsi="Arial" w:cs="Arial"/>
          <w:lang w:val="en-GB" w:eastAsia="en-GB"/>
        </w:rPr>
        <w:t xml:space="preserve"> et al., 2012), evaluate attendee engagement levels through real-time feedback and post-event surveys, comparing results to benchmark targets within three months of the expo.</w:t>
      </w:r>
    </w:p>
    <w:p w14:paraId="5A51AC32" w14:textId="77777777" w:rsidR="003E71FF" w:rsidRPr="00262CA6" w:rsidRDefault="003E71FF" w:rsidP="00262CA6">
      <w:pPr>
        <w:spacing w:line="360" w:lineRule="auto"/>
        <w:rPr>
          <w:rFonts w:ascii="Arial" w:hAnsi="Arial" w:cs="Arial"/>
          <w:lang w:val="en-GB" w:eastAsia="en-GB"/>
        </w:rPr>
      </w:pPr>
    </w:p>
    <w:p w14:paraId="7AF6B502" w14:textId="062F2957" w:rsidR="0053389E" w:rsidRPr="0053389E" w:rsidRDefault="0053389E" w:rsidP="00262CA6">
      <w:pPr>
        <w:spacing w:line="360" w:lineRule="auto"/>
        <w:rPr>
          <w:rFonts w:ascii="Arial" w:hAnsi="Arial" w:cs="Arial"/>
          <w:lang w:val="en-GB" w:eastAsia="en-GB"/>
        </w:rPr>
      </w:pPr>
      <w:r w:rsidRPr="0053389E">
        <w:rPr>
          <w:rFonts w:ascii="Arial" w:hAnsi="Arial" w:cs="Arial"/>
          <w:lang w:val="en-GB" w:eastAsia="en-GB"/>
        </w:rPr>
        <w:t>Objective 2:</w:t>
      </w:r>
    </w:p>
    <w:p w14:paraId="658B1ABD" w14:textId="77777777" w:rsidR="0053389E" w:rsidRPr="00262CA6" w:rsidRDefault="0053389E" w:rsidP="00262CA6">
      <w:pPr>
        <w:pStyle w:val="ListParagraph"/>
        <w:numPr>
          <w:ilvl w:val="0"/>
          <w:numId w:val="27"/>
        </w:numPr>
        <w:spacing w:line="360" w:lineRule="auto"/>
        <w:rPr>
          <w:rFonts w:ascii="Arial" w:hAnsi="Arial" w:cs="Arial"/>
          <w:lang w:val="en-GB" w:eastAsia="en-GB"/>
        </w:rPr>
      </w:pPr>
      <w:r w:rsidRPr="00262CA6">
        <w:rPr>
          <w:rFonts w:ascii="Arial" w:hAnsi="Arial" w:cs="Arial"/>
          <w:lang w:val="en-GB" w:eastAsia="en-GB"/>
        </w:rPr>
        <w:t>Specific: Facilitate meaningful networking opportunities for industry professionals, fostering collaboration and knowledge-sharing.</w:t>
      </w:r>
    </w:p>
    <w:p w14:paraId="248DBF2B" w14:textId="77777777" w:rsidR="0053389E" w:rsidRPr="00262CA6" w:rsidRDefault="0053389E" w:rsidP="00262CA6">
      <w:pPr>
        <w:pStyle w:val="ListParagraph"/>
        <w:numPr>
          <w:ilvl w:val="0"/>
          <w:numId w:val="27"/>
        </w:numPr>
        <w:spacing w:line="360" w:lineRule="auto"/>
        <w:rPr>
          <w:rFonts w:ascii="Arial" w:hAnsi="Arial" w:cs="Arial"/>
          <w:lang w:val="en-GB" w:eastAsia="en-GB"/>
        </w:rPr>
      </w:pPr>
      <w:r w:rsidRPr="00262CA6">
        <w:rPr>
          <w:rFonts w:ascii="Arial" w:hAnsi="Arial" w:cs="Arial"/>
          <w:lang w:val="en-GB" w:eastAsia="en-GB"/>
        </w:rPr>
        <w:t>Measurable: Drawing on theories of networking effectiveness (</w:t>
      </w:r>
      <w:proofErr w:type="spellStart"/>
      <w:r w:rsidRPr="00262CA6">
        <w:rPr>
          <w:rFonts w:ascii="Arial" w:hAnsi="Arial" w:cs="Arial"/>
          <w:lang w:val="en-GB" w:eastAsia="en-GB"/>
        </w:rPr>
        <w:t>Bowdin</w:t>
      </w:r>
      <w:proofErr w:type="spellEnd"/>
      <w:r w:rsidRPr="00262CA6">
        <w:rPr>
          <w:rFonts w:ascii="Arial" w:hAnsi="Arial" w:cs="Arial"/>
          <w:lang w:val="en-GB" w:eastAsia="en-GB"/>
        </w:rPr>
        <w:t xml:space="preserve"> et al., 2016), assess the number of new industry connections made and partnerships formed during the expo, as well as the quality of engagement through post-event surveys.</w:t>
      </w:r>
    </w:p>
    <w:p w14:paraId="6CEBADC9" w14:textId="77777777" w:rsidR="0053389E" w:rsidRPr="00262CA6" w:rsidRDefault="0053389E" w:rsidP="00262CA6">
      <w:pPr>
        <w:pStyle w:val="ListParagraph"/>
        <w:numPr>
          <w:ilvl w:val="0"/>
          <w:numId w:val="27"/>
        </w:numPr>
        <w:spacing w:line="360" w:lineRule="auto"/>
        <w:rPr>
          <w:rFonts w:ascii="Arial" w:hAnsi="Arial" w:cs="Arial"/>
          <w:lang w:val="en-GB" w:eastAsia="en-GB"/>
        </w:rPr>
      </w:pPr>
      <w:r w:rsidRPr="00262CA6">
        <w:rPr>
          <w:rFonts w:ascii="Arial" w:hAnsi="Arial" w:cs="Arial"/>
          <w:lang w:val="en-GB" w:eastAsia="en-GB"/>
        </w:rPr>
        <w:t>Achievable: Building on strategies for effective networking (Shone &amp; Parry, 2010), designate dedicated networking areas and schedule structured networking sessions, roundtable discussions, and meet-and-greet opportunities with industry experts and thought leaders.</w:t>
      </w:r>
    </w:p>
    <w:p w14:paraId="2876D7B4" w14:textId="77777777" w:rsidR="0053389E" w:rsidRPr="00262CA6" w:rsidRDefault="0053389E" w:rsidP="00262CA6">
      <w:pPr>
        <w:pStyle w:val="ListParagraph"/>
        <w:numPr>
          <w:ilvl w:val="0"/>
          <w:numId w:val="27"/>
        </w:numPr>
        <w:spacing w:line="360" w:lineRule="auto"/>
        <w:rPr>
          <w:rFonts w:ascii="Arial" w:hAnsi="Arial" w:cs="Arial"/>
          <w:lang w:val="en-GB" w:eastAsia="en-GB"/>
        </w:rPr>
      </w:pPr>
      <w:r w:rsidRPr="00262CA6">
        <w:rPr>
          <w:rFonts w:ascii="Arial" w:hAnsi="Arial" w:cs="Arial"/>
          <w:lang w:val="en-GB" w:eastAsia="en-GB"/>
        </w:rPr>
        <w:t>Relevant: Consistent with the objectives of professional networking events (</w:t>
      </w:r>
      <w:proofErr w:type="spellStart"/>
      <w:r w:rsidRPr="00262CA6">
        <w:rPr>
          <w:rFonts w:ascii="Arial" w:hAnsi="Arial" w:cs="Arial"/>
          <w:lang w:val="en-GB" w:eastAsia="en-GB"/>
        </w:rPr>
        <w:t>Bladen</w:t>
      </w:r>
      <w:proofErr w:type="spellEnd"/>
      <w:r w:rsidRPr="00262CA6">
        <w:rPr>
          <w:rFonts w:ascii="Arial" w:hAnsi="Arial" w:cs="Arial"/>
          <w:lang w:val="en-GB" w:eastAsia="en-GB"/>
        </w:rPr>
        <w:t xml:space="preserve"> et al., 2012), empower attendees to expand their professional networks, exchange insights, and explore potential collaborations that drive innovation and growth within the hospitality sector.</w:t>
      </w:r>
    </w:p>
    <w:p w14:paraId="723DEC94" w14:textId="77777777" w:rsidR="0053389E" w:rsidRPr="00262CA6" w:rsidRDefault="0053389E" w:rsidP="00262CA6">
      <w:pPr>
        <w:pStyle w:val="ListParagraph"/>
        <w:numPr>
          <w:ilvl w:val="0"/>
          <w:numId w:val="27"/>
        </w:numPr>
        <w:spacing w:line="360" w:lineRule="auto"/>
        <w:rPr>
          <w:rFonts w:ascii="Arial" w:hAnsi="Arial" w:cs="Arial"/>
          <w:lang w:val="en-GB" w:eastAsia="en-GB"/>
        </w:rPr>
      </w:pPr>
      <w:r w:rsidRPr="00262CA6">
        <w:rPr>
          <w:rFonts w:ascii="Arial" w:hAnsi="Arial" w:cs="Arial"/>
          <w:lang w:val="en-GB" w:eastAsia="en-GB"/>
        </w:rPr>
        <w:t>Time-bound: Utilizing post-event evaluation techniques (</w:t>
      </w:r>
      <w:proofErr w:type="spellStart"/>
      <w:r w:rsidRPr="00262CA6">
        <w:rPr>
          <w:rFonts w:ascii="Arial" w:hAnsi="Arial" w:cs="Arial"/>
          <w:lang w:val="en-GB" w:eastAsia="en-GB"/>
        </w:rPr>
        <w:t>Bowdin</w:t>
      </w:r>
      <w:proofErr w:type="spellEnd"/>
      <w:r w:rsidRPr="00262CA6">
        <w:rPr>
          <w:rFonts w:ascii="Arial" w:hAnsi="Arial" w:cs="Arial"/>
          <w:lang w:val="en-GB" w:eastAsia="en-GB"/>
        </w:rPr>
        <w:t xml:space="preserve"> et al., 2016), monitor networking outcomes and partnership developments in the months following the expo, tracking the progression of connections made and collaborations initiated.</w:t>
      </w:r>
    </w:p>
    <w:p w14:paraId="728309D1" w14:textId="77777777" w:rsidR="003E71FF" w:rsidRPr="00262CA6" w:rsidRDefault="003E71FF" w:rsidP="00262CA6">
      <w:pPr>
        <w:spacing w:line="360" w:lineRule="auto"/>
        <w:rPr>
          <w:rFonts w:ascii="Arial" w:hAnsi="Arial" w:cs="Arial"/>
          <w:lang w:val="en-GB" w:eastAsia="en-GB"/>
        </w:rPr>
      </w:pPr>
    </w:p>
    <w:p w14:paraId="4CA9E1F3" w14:textId="1C61E460" w:rsidR="0053389E" w:rsidRPr="0053389E" w:rsidRDefault="0053389E" w:rsidP="00262CA6">
      <w:pPr>
        <w:spacing w:line="360" w:lineRule="auto"/>
        <w:rPr>
          <w:rFonts w:ascii="Arial" w:hAnsi="Arial" w:cs="Arial"/>
          <w:lang w:val="en-GB" w:eastAsia="en-GB"/>
        </w:rPr>
      </w:pPr>
      <w:r w:rsidRPr="0053389E">
        <w:rPr>
          <w:rFonts w:ascii="Arial" w:hAnsi="Arial" w:cs="Arial"/>
          <w:lang w:val="en-GB" w:eastAsia="en-GB"/>
        </w:rPr>
        <w:t>Objective 3:</w:t>
      </w:r>
    </w:p>
    <w:p w14:paraId="2C4E0E9B" w14:textId="77777777" w:rsidR="0053389E" w:rsidRPr="00262CA6" w:rsidRDefault="0053389E" w:rsidP="00262CA6">
      <w:pPr>
        <w:pStyle w:val="ListParagraph"/>
        <w:numPr>
          <w:ilvl w:val="0"/>
          <w:numId w:val="28"/>
        </w:numPr>
        <w:spacing w:line="360" w:lineRule="auto"/>
        <w:rPr>
          <w:rFonts w:ascii="Arial" w:hAnsi="Arial" w:cs="Arial"/>
          <w:lang w:val="en-GB" w:eastAsia="en-GB"/>
        </w:rPr>
      </w:pPr>
      <w:r w:rsidRPr="00262CA6">
        <w:rPr>
          <w:rFonts w:ascii="Arial" w:hAnsi="Arial" w:cs="Arial"/>
          <w:lang w:val="en-GB" w:eastAsia="en-GB"/>
        </w:rPr>
        <w:lastRenderedPageBreak/>
        <w:t>Specific: Raise awareness and drive adoption of innovative technologies and sustainable practices within the hospitality industry.</w:t>
      </w:r>
    </w:p>
    <w:p w14:paraId="4993164B" w14:textId="28D75AB2" w:rsidR="0053389E" w:rsidRPr="00262CA6" w:rsidRDefault="0053389E" w:rsidP="00262CA6">
      <w:pPr>
        <w:pStyle w:val="ListParagraph"/>
        <w:numPr>
          <w:ilvl w:val="0"/>
          <w:numId w:val="28"/>
        </w:numPr>
        <w:spacing w:line="360" w:lineRule="auto"/>
        <w:rPr>
          <w:rFonts w:ascii="Arial" w:hAnsi="Arial" w:cs="Arial"/>
          <w:lang w:val="en-GB" w:eastAsia="en-GB"/>
        </w:rPr>
      </w:pPr>
      <w:r w:rsidRPr="00262CA6">
        <w:rPr>
          <w:rFonts w:ascii="Arial" w:hAnsi="Arial" w:cs="Arial"/>
          <w:lang w:val="en-GB" w:eastAsia="en-GB"/>
        </w:rPr>
        <w:t xml:space="preserve">Measurable: In accordance with models of </w:t>
      </w:r>
      <w:r w:rsidR="003E71FF" w:rsidRPr="00262CA6">
        <w:rPr>
          <w:rFonts w:ascii="Arial" w:hAnsi="Arial" w:cs="Arial"/>
          <w:lang w:val="en-GB" w:eastAsia="en-GB"/>
        </w:rPr>
        <w:t>behaviour</w:t>
      </w:r>
      <w:r w:rsidRPr="00262CA6">
        <w:rPr>
          <w:rFonts w:ascii="Arial" w:hAnsi="Arial" w:cs="Arial"/>
          <w:lang w:val="en-GB" w:eastAsia="en-GB"/>
        </w:rPr>
        <w:t xml:space="preserve"> change (Goldblatt, 2014), evaluate attendee knowledge and perception of emerging technologies and sustainability initiatives through pre-event surveys and post-event assessments.</w:t>
      </w:r>
    </w:p>
    <w:p w14:paraId="2ACB07C0" w14:textId="77777777" w:rsidR="0053389E" w:rsidRPr="00262CA6" w:rsidRDefault="0053389E" w:rsidP="00262CA6">
      <w:pPr>
        <w:pStyle w:val="ListParagraph"/>
        <w:numPr>
          <w:ilvl w:val="0"/>
          <w:numId w:val="28"/>
        </w:numPr>
        <w:spacing w:line="360" w:lineRule="auto"/>
        <w:rPr>
          <w:rFonts w:ascii="Arial" w:hAnsi="Arial" w:cs="Arial"/>
          <w:lang w:val="en-GB" w:eastAsia="en-GB"/>
        </w:rPr>
      </w:pPr>
      <w:r w:rsidRPr="00262CA6">
        <w:rPr>
          <w:rFonts w:ascii="Arial" w:hAnsi="Arial" w:cs="Arial"/>
          <w:lang w:val="en-GB" w:eastAsia="en-GB"/>
        </w:rPr>
        <w:t>Achievable: Drawing from case studies and best practices (</w:t>
      </w:r>
      <w:proofErr w:type="spellStart"/>
      <w:r w:rsidRPr="00262CA6">
        <w:rPr>
          <w:rFonts w:ascii="Arial" w:hAnsi="Arial" w:cs="Arial"/>
          <w:lang w:val="en-GB" w:eastAsia="en-GB"/>
        </w:rPr>
        <w:t>Bladen</w:t>
      </w:r>
      <w:proofErr w:type="spellEnd"/>
      <w:r w:rsidRPr="00262CA6">
        <w:rPr>
          <w:rFonts w:ascii="Arial" w:hAnsi="Arial" w:cs="Arial"/>
          <w:lang w:val="en-GB" w:eastAsia="en-GB"/>
        </w:rPr>
        <w:t xml:space="preserve"> et al., 2012), curate educational sessions, expert panels, and case studies that highlight successful implementations of technology-driven solutions and eco-friendly practices in hospitality operations.</w:t>
      </w:r>
    </w:p>
    <w:p w14:paraId="49F515AF" w14:textId="77777777" w:rsidR="0053389E" w:rsidRPr="00262CA6" w:rsidRDefault="0053389E" w:rsidP="00262CA6">
      <w:pPr>
        <w:pStyle w:val="ListParagraph"/>
        <w:numPr>
          <w:ilvl w:val="0"/>
          <w:numId w:val="28"/>
        </w:numPr>
        <w:spacing w:line="360" w:lineRule="auto"/>
        <w:rPr>
          <w:rFonts w:ascii="Arial" w:hAnsi="Arial" w:cs="Arial"/>
          <w:lang w:val="en-GB" w:eastAsia="en-GB"/>
        </w:rPr>
      </w:pPr>
      <w:r w:rsidRPr="00262CA6">
        <w:rPr>
          <w:rFonts w:ascii="Arial" w:hAnsi="Arial" w:cs="Arial"/>
          <w:lang w:val="en-GB" w:eastAsia="en-GB"/>
        </w:rPr>
        <w:t>Relevant: Aligned with the goals of sustainability-focused events (</w:t>
      </w:r>
      <w:proofErr w:type="spellStart"/>
      <w:r w:rsidRPr="00262CA6">
        <w:rPr>
          <w:rFonts w:ascii="Arial" w:hAnsi="Arial" w:cs="Arial"/>
          <w:lang w:val="en-GB" w:eastAsia="en-GB"/>
        </w:rPr>
        <w:t>Bowdin</w:t>
      </w:r>
      <w:proofErr w:type="spellEnd"/>
      <w:r w:rsidRPr="00262CA6">
        <w:rPr>
          <w:rFonts w:ascii="Arial" w:hAnsi="Arial" w:cs="Arial"/>
          <w:lang w:val="en-GB" w:eastAsia="en-GB"/>
        </w:rPr>
        <w:t xml:space="preserve"> et al., 2016), empower industry stakeholders to embrace innovation and sustainability as key drivers of competitive advantage, profitability, and guest satisfaction.</w:t>
      </w:r>
    </w:p>
    <w:p w14:paraId="5A4DB89C" w14:textId="1FE8B2E5" w:rsidR="0053389E" w:rsidRPr="00262CA6" w:rsidRDefault="0053389E" w:rsidP="00262CA6">
      <w:pPr>
        <w:pStyle w:val="ListParagraph"/>
        <w:numPr>
          <w:ilvl w:val="0"/>
          <w:numId w:val="28"/>
        </w:numPr>
        <w:spacing w:line="360" w:lineRule="auto"/>
        <w:rPr>
          <w:rFonts w:ascii="Arial" w:hAnsi="Arial" w:cs="Arial"/>
          <w:lang w:val="en-GB" w:eastAsia="en-GB"/>
        </w:rPr>
      </w:pPr>
      <w:r w:rsidRPr="00262CA6">
        <w:rPr>
          <w:rFonts w:ascii="Arial" w:hAnsi="Arial" w:cs="Arial"/>
          <w:lang w:val="en-GB" w:eastAsia="en-GB"/>
        </w:rPr>
        <w:t xml:space="preserve">Time-bound: Applying principles of long-term impact assessment (Shone &amp; Parry, 2010), measure changes in attendee attitudes and </w:t>
      </w:r>
      <w:r w:rsidR="003E71FF" w:rsidRPr="00262CA6">
        <w:rPr>
          <w:rFonts w:ascii="Arial" w:hAnsi="Arial" w:cs="Arial"/>
          <w:lang w:val="en-GB" w:eastAsia="en-GB"/>
        </w:rPr>
        <w:t>behaviours</w:t>
      </w:r>
      <w:r w:rsidRPr="00262CA6">
        <w:rPr>
          <w:rFonts w:ascii="Arial" w:hAnsi="Arial" w:cs="Arial"/>
          <w:lang w:val="en-GB" w:eastAsia="en-GB"/>
        </w:rPr>
        <w:t xml:space="preserve"> towards technology adoption and sustainability practices six months after the expo, tracking the implementation of new initiatives and technologies within participating organizations.</w:t>
      </w:r>
    </w:p>
    <w:p w14:paraId="1A2C949A" w14:textId="77777777" w:rsidR="0053389E" w:rsidRPr="00262CA6" w:rsidRDefault="0053389E" w:rsidP="00262CA6">
      <w:pPr>
        <w:spacing w:line="360" w:lineRule="auto"/>
        <w:rPr>
          <w:rFonts w:ascii="Arial" w:hAnsi="Arial" w:cs="Arial"/>
          <w:lang w:val="en-GB"/>
        </w:rPr>
      </w:pPr>
    </w:p>
    <w:p w14:paraId="6C7338E5" w14:textId="466636C8" w:rsidR="00697037" w:rsidRPr="00262CA6" w:rsidRDefault="00697037" w:rsidP="00262CA6">
      <w:pPr>
        <w:pStyle w:val="Heading1"/>
        <w:spacing w:line="360" w:lineRule="auto"/>
        <w:rPr>
          <w:rFonts w:ascii="Arial" w:hAnsi="Arial" w:cs="Arial"/>
          <w:sz w:val="24"/>
          <w:szCs w:val="24"/>
          <w:lang w:val="en-GB"/>
        </w:rPr>
      </w:pPr>
      <w:bookmarkStart w:id="6" w:name="_Toc167016821"/>
      <w:r w:rsidRPr="00262CA6">
        <w:rPr>
          <w:rFonts w:ascii="Arial" w:hAnsi="Arial" w:cs="Arial"/>
          <w:sz w:val="24"/>
          <w:szCs w:val="24"/>
          <w:lang w:val="en-GB"/>
        </w:rPr>
        <w:t>Event Operations</w:t>
      </w:r>
      <w:bookmarkEnd w:id="6"/>
      <w:r w:rsidRPr="00262CA6">
        <w:rPr>
          <w:rFonts w:ascii="Arial" w:hAnsi="Arial" w:cs="Arial"/>
          <w:sz w:val="24"/>
          <w:szCs w:val="24"/>
          <w:lang w:val="en-GB"/>
        </w:rPr>
        <w:t xml:space="preserve"> </w:t>
      </w:r>
    </w:p>
    <w:p w14:paraId="66EAA3EB" w14:textId="77777777" w:rsidR="003E71FF" w:rsidRPr="00262CA6" w:rsidRDefault="003E71FF" w:rsidP="00262CA6">
      <w:pPr>
        <w:spacing w:line="360" w:lineRule="auto"/>
        <w:rPr>
          <w:rFonts w:ascii="Arial" w:hAnsi="Arial" w:cs="Arial"/>
          <w:lang w:val="en-GB"/>
        </w:rPr>
      </w:pPr>
    </w:p>
    <w:p w14:paraId="06CC32AB" w14:textId="77777777" w:rsidR="00EA0743" w:rsidRPr="00EA0743" w:rsidRDefault="00EA0743" w:rsidP="00262CA6">
      <w:pPr>
        <w:spacing w:line="360" w:lineRule="auto"/>
        <w:ind w:firstLine="720"/>
        <w:rPr>
          <w:rFonts w:ascii="Arial" w:hAnsi="Arial" w:cs="Arial"/>
          <w:lang w:val="en-GB" w:eastAsia="en-GB"/>
        </w:rPr>
      </w:pPr>
      <w:r w:rsidRPr="00EA0743">
        <w:rPr>
          <w:rFonts w:ascii="Arial" w:hAnsi="Arial" w:cs="Arial"/>
          <w:lang w:val="en-GB" w:eastAsia="en-GB"/>
        </w:rPr>
        <w:t>Event operations for the Future of Dining Experience Expo in Birmingham, UK, will require a diverse set of skills and resources to ensure the seamless planning, execution, and evaluation of the event. Drawing on established event management principles and best practices, event organizers must assemble a capable team and allocate necessary resources to effectively manage all operational aspects of the expo (</w:t>
      </w:r>
      <w:proofErr w:type="spellStart"/>
      <w:r w:rsidRPr="00EA0743">
        <w:rPr>
          <w:rFonts w:ascii="Arial" w:hAnsi="Arial" w:cs="Arial"/>
          <w:lang w:val="en-GB" w:eastAsia="en-GB"/>
        </w:rPr>
        <w:t>Bowdin</w:t>
      </w:r>
      <w:proofErr w:type="spellEnd"/>
      <w:r w:rsidRPr="00EA0743">
        <w:rPr>
          <w:rFonts w:ascii="Arial" w:hAnsi="Arial" w:cs="Arial"/>
          <w:lang w:val="en-GB" w:eastAsia="en-GB"/>
        </w:rPr>
        <w:t xml:space="preserve"> et al., 2016).</w:t>
      </w:r>
    </w:p>
    <w:p w14:paraId="463A136A" w14:textId="77777777" w:rsidR="003E71FF" w:rsidRPr="00262CA6" w:rsidRDefault="003E71FF" w:rsidP="00262CA6">
      <w:pPr>
        <w:spacing w:line="360" w:lineRule="auto"/>
        <w:rPr>
          <w:rFonts w:ascii="Arial" w:hAnsi="Arial" w:cs="Arial"/>
          <w:lang w:val="en-GB" w:eastAsia="en-GB"/>
        </w:rPr>
      </w:pPr>
    </w:p>
    <w:p w14:paraId="62C08AC8" w14:textId="529F5985" w:rsidR="00EA0743" w:rsidRPr="00EA0743" w:rsidRDefault="00EA0743" w:rsidP="00262CA6">
      <w:pPr>
        <w:spacing w:line="360" w:lineRule="auto"/>
        <w:rPr>
          <w:rFonts w:ascii="Arial" w:hAnsi="Arial" w:cs="Arial"/>
          <w:lang w:val="en-GB" w:eastAsia="en-GB"/>
        </w:rPr>
      </w:pPr>
      <w:r w:rsidRPr="00EA0743">
        <w:rPr>
          <w:rFonts w:ascii="Arial" w:hAnsi="Arial" w:cs="Arial"/>
          <w:lang w:val="en-GB" w:eastAsia="en-GB"/>
        </w:rPr>
        <w:t>Skills Required:</w:t>
      </w:r>
    </w:p>
    <w:p w14:paraId="0F99117F" w14:textId="2454E080" w:rsidR="00EA0743" w:rsidRPr="00262CA6" w:rsidRDefault="00EA0743" w:rsidP="00262CA6">
      <w:pPr>
        <w:pStyle w:val="ListParagraph"/>
        <w:numPr>
          <w:ilvl w:val="0"/>
          <w:numId w:val="29"/>
        </w:numPr>
        <w:spacing w:line="360" w:lineRule="auto"/>
        <w:rPr>
          <w:rFonts w:ascii="Arial" w:hAnsi="Arial" w:cs="Arial"/>
          <w:lang w:val="en-GB" w:eastAsia="en-GB"/>
        </w:rPr>
      </w:pPr>
      <w:r w:rsidRPr="00262CA6">
        <w:rPr>
          <w:rFonts w:ascii="Arial" w:hAnsi="Arial" w:cs="Arial"/>
          <w:lang w:val="en-GB" w:eastAsia="en-GB"/>
        </w:rPr>
        <w:t xml:space="preserve">Project Management: Strong project management skills are essential for overseeing the entire event lifecycle, from initial planning and budgeting to on-site coordination and post-event evaluation </w:t>
      </w:r>
      <w:r w:rsidR="002052E3" w:rsidRPr="00262CA6">
        <w:rPr>
          <w:rFonts w:ascii="Arial" w:hAnsi="Arial" w:cs="Arial"/>
          <w:color w:val="0D0D0D"/>
          <w:shd w:val="clear" w:color="auto" w:fill="FFFFFF"/>
        </w:rPr>
        <w:t>(Harrison, 2014).</w:t>
      </w:r>
    </w:p>
    <w:p w14:paraId="7E40EBC2" w14:textId="65E1D85E" w:rsidR="00EA0743" w:rsidRPr="00262CA6" w:rsidRDefault="00EA0743" w:rsidP="00262CA6">
      <w:pPr>
        <w:pStyle w:val="ListParagraph"/>
        <w:numPr>
          <w:ilvl w:val="0"/>
          <w:numId w:val="29"/>
        </w:numPr>
        <w:spacing w:line="360" w:lineRule="auto"/>
        <w:rPr>
          <w:rFonts w:ascii="Arial" w:hAnsi="Arial" w:cs="Arial"/>
          <w:lang w:val="en-GB" w:eastAsia="en-GB"/>
        </w:rPr>
      </w:pPr>
      <w:r w:rsidRPr="00262CA6">
        <w:rPr>
          <w:rFonts w:ascii="Arial" w:hAnsi="Arial" w:cs="Arial"/>
          <w:lang w:val="en-GB" w:eastAsia="en-GB"/>
        </w:rPr>
        <w:lastRenderedPageBreak/>
        <w:t xml:space="preserve">Communication: Effective communication skills are critical for liaising with stakeholders, negotiating contracts, and coordinating with vendors and suppliers throughout the event planning process </w:t>
      </w:r>
      <w:r w:rsidR="002052E3" w:rsidRPr="00262CA6">
        <w:rPr>
          <w:rFonts w:ascii="Arial" w:hAnsi="Arial" w:cs="Arial"/>
          <w:color w:val="0D0D0D"/>
          <w:shd w:val="clear" w:color="auto" w:fill="FFFFFF"/>
        </w:rPr>
        <w:t>(Ferdinand, 2019).</w:t>
      </w:r>
    </w:p>
    <w:p w14:paraId="1BA15B47" w14:textId="77777777" w:rsidR="00EA0743" w:rsidRPr="00262CA6" w:rsidRDefault="00EA0743" w:rsidP="00262CA6">
      <w:pPr>
        <w:pStyle w:val="ListParagraph"/>
        <w:numPr>
          <w:ilvl w:val="0"/>
          <w:numId w:val="29"/>
        </w:numPr>
        <w:spacing w:line="360" w:lineRule="auto"/>
        <w:rPr>
          <w:rFonts w:ascii="Arial" w:hAnsi="Arial" w:cs="Arial"/>
          <w:lang w:val="en-GB" w:eastAsia="en-GB"/>
        </w:rPr>
      </w:pPr>
      <w:r w:rsidRPr="00262CA6">
        <w:rPr>
          <w:rFonts w:ascii="Arial" w:hAnsi="Arial" w:cs="Arial"/>
          <w:lang w:val="en-GB" w:eastAsia="en-GB"/>
        </w:rPr>
        <w:t>Problem-Solving: The ability to identify and address challenges in real-time is crucial for ensuring the smooth operation of the event and mitigating any issues that may arise during planning or execution (Goldblatt, 2014).</w:t>
      </w:r>
    </w:p>
    <w:p w14:paraId="1837788E" w14:textId="03A9490B" w:rsidR="00EA0743" w:rsidRPr="00262CA6" w:rsidRDefault="00EA0743" w:rsidP="00262CA6">
      <w:pPr>
        <w:pStyle w:val="ListParagraph"/>
        <w:numPr>
          <w:ilvl w:val="0"/>
          <w:numId w:val="29"/>
        </w:numPr>
        <w:spacing w:line="360" w:lineRule="auto"/>
        <w:rPr>
          <w:rFonts w:ascii="Arial" w:hAnsi="Arial" w:cs="Arial"/>
          <w:lang w:val="en-GB" w:eastAsia="en-GB"/>
        </w:rPr>
      </w:pPr>
      <w:r w:rsidRPr="00262CA6">
        <w:rPr>
          <w:rFonts w:ascii="Arial" w:hAnsi="Arial" w:cs="Arial"/>
          <w:lang w:val="en-GB" w:eastAsia="en-GB"/>
        </w:rPr>
        <w:t xml:space="preserve">Attention to Detail: Meticulous attention to detail is necessary for managing multiple tasks, timelines, and deadlines, ensuring that all logistical and operational elements are executed flawlessly </w:t>
      </w:r>
      <w:r w:rsidR="002052E3" w:rsidRPr="00262CA6">
        <w:rPr>
          <w:rFonts w:ascii="Arial" w:hAnsi="Arial" w:cs="Arial"/>
          <w:color w:val="0D0D0D"/>
          <w:shd w:val="clear" w:color="auto" w:fill="FFFFFF"/>
        </w:rPr>
        <w:t>(Catherwood, 2016).</w:t>
      </w:r>
    </w:p>
    <w:p w14:paraId="2318972F" w14:textId="720217EE" w:rsidR="00EA0743" w:rsidRPr="00262CA6" w:rsidRDefault="00EA0743" w:rsidP="00262CA6">
      <w:pPr>
        <w:pStyle w:val="ListParagraph"/>
        <w:numPr>
          <w:ilvl w:val="0"/>
          <w:numId w:val="29"/>
        </w:numPr>
        <w:spacing w:line="360" w:lineRule="auto"/>
        <w:rPr>
          <w:rFonts w:ascii="Arial" w:hAnsi="Arial" w:cs="Arial"/>
          <w:lang w:val="en-GB" w:eastAsia="en-GB"/>
        </w:rPr>
      </w:pPr>
      <w:r w:rsidRPr="00262CA6">
        <w:rPr>
          <w:rFonts w:ascii="Arial" w:hAnsi="Arial" w:cs="Arial"/>
          <w:lang w:val="en-GB" w:eastAsia="en-GB"/>
        </w:rPr>
        <w:t xml:space="preserve">Flexibility and Adaptability: Events are inherently dynamic, and the ability to adapt to changing circumstances and unexpected developments is essential for successful event operations </w:t>
      </w:r>
      <w:r w:rsidR="002052E3" w:rsidRPr="00262CA6">
        <w:rPr>
          <w:rFonts w:ascii="Arial" w:hAnsi="Arial" w:cs="Arial"/>
          <w:color w:val="0D0D0D"/>
          <w:shd w:val="clear" w:color="auto" w:fill="FFFFFF"/>
        </w:rPr>
        <w:t>(Watt &amp; Getz, 2005).</w:t>
      </w:r>
    </w:p>
    <w:p w14:paraId="4A8E6DCC" w14:textId="77777777" w:rsidR="003E71FF" w:rsidRPr="00262CA6" w:rsidRDefault="003E71FF" w:rsidP="00262CA6">
      <w:pPr>
        <w:spacing w:line="360" w:lineRule="auto"/>
        <w:rPr>
          <w:rFonts w:ascii="Arial" w:hAnsi="Arial" w:cs="Arial"/>
          <w:lang w:val="en-GB" w:eastAsia="en-GB"/>
        </w:rPr>
      </w:pPr>
    </w:p>
    <w:p w14:paraId="016CB760" w14:textId="7320C0B9" w:rsidR="00EA0743" w:rsidRPr="00EA0743" w:rsidRDefault="00EA0743" w:rsidP="00262CA6">
      <w:pPr>
        <w:spacing w:line="360" w:lineRule="auto"/>
        <w:rPr>
          <w:rFonts w:ascii="Arial" w:hAnsi="Arial" w:cs="Arial"/>
          <w:lang w:val="en-GB" w:eastAsia="en-GB"/>
        </w:rPr>
      </w:pPr>
      <w:r w:rsidRPr="00EA0743">
        <w:rPr>
          <w:rFonts w:ascii="Arial" w:hAnsi="Arial" w:cs="Arial"/>
          <w:lang w:val="en-GB" w:eastAsia="en-GB"/>
        </w:rPr>
        <w:t>Resources Required:</w:t>
      </w:r>
    </w:p>
    <w:p w14:paraId="42C3946C" w14:textId="77777777" w:rsidR="00EA0743" w:rsidRPr="00262CA6" w:rsidRDefault="00EA0743" w:rsidP="00262CA6">
      <w:pPr>
        <w:pStyle w:val="ListParagraph"/>
        <w:numPr>
          <w:ilvl w:val="0"/>
          <w:numId w:val="30"/>
        </w:numPr>
        <w:spacing w:line="360" w:lineRule="auto"/>
        <w:rPr>
          <w:rFonts w:ascii="Arial" w:hAnsi="Arial" w:cs="Arial"/>
          <w:lang w:val="en-GB" w:eastAsia="en-GB"/>
        </w:rPr>
      </w:pPr>
      <w:r w:rsidRPr="00262CA6">
        <w:rPr>
          <w:rFonts w:ascii="Arial" w:hAnsi="Arial" w:cs="Arial"/>
          <w:lang w:val="en-GB" w:eastAsia="en-GB"/>
        </w:rPr>
        <w:t>Human Resources: A dedicated team of event professionals with expertise in project management, marketing, logistics, and technical support is indispensable for coordinating all aspects of event operations (</w:t>
      </w:r>
      <w:proofErr w:type="spellStart"/>
      <w:r w:rsidRPr="00262CA6">
        <w:rPr>
          <w:rFonts w:ascii="Arial" w:hAnsi="Arial" w:cs="Arial"/>
          <w:lang w:val="en-GB" w:eastAsia="en-GB"/>
        </w:rPr>
        <w:t>Bladen</w:t>
      </w:r>
      <w:proofErr w:type="spellEnd"/>
      <w:r w:rsidRPr="00262CA6">
        <w:rPr>
          <w:rFonts w:ascii="Arial" w:hAnsi="Arial" w:cs="Arial"/>
          <w:lang w:val="en-GB" w:eastAsia="en-GB"/>
        </w:rPr>
        <w:t xml:space="preserve"> et al., 2012).</w:t>
      </w:r>
    </w:p>
    <w:p w14:paraId="6421D610" w14:textId="77777777" w:rsidR="00EA0743" w:rsidRPr="00262CA6" w:rsidRDefault="00EA0743" w:rsidP="00262CA6">
      <w:pPr>
        <w:pStyle w:val="ListParagraph"/>
        <w:numPr>
          <w:ilvl w:val="0"/>
          <w:numId w:val="30"/>
        </w:numPr>
        <w:spacing w:line="360" w:lineRule="auto"/>
        <w:rPr>
          <w:rFonts w:ascii="Arial" w:hAnsi="Arial" w:cs="Arial"/>
          <w:lang w:val="en-GB" w:eastAsia="en-GB"/>
        </w:rPr>
      </w:pPr>
      <w:r w:rsidRPr="00262CA6">
        <w:rPr>
          <w:rFonts w:ascii="Arial" w:hAnsi="Arial" w:cs="Arial"/>
          <w:lang w:val="en-GB" w:eastAsia="en-GB"/>
        </w:rPr>
        <w:t xml:space="preserve">Financial Resources: Sufficient funding is necessary to cover expenses such as venue rental, </w:t>
      </w:r>
      <w:proofErr w:type="gramStart"/>
      <w:r w:rsidRPr="00262CA6">
        <w:rPr>
          <w:rFonts w:ascii="Arial" w:hAnsi="Arial" w:cs="Arial"/>
          <w:lang w:val="en-GB" w:eastAsia="en-GB"/>
        </w:rPr>
        <w:t>marketing</w:t>
      </w:r>
      <w:proofErr w:type="gramEnd"/>
      <w:r w:rsidRPr="00262CA6">
        <w:rPr>
          <w:rFonts w:ascii="Arial" w:hAnsi="Arial" w:cs="Arial"/>
          <w:lang w:val="en-GB" w:eastAsia="en-GB"/>
        </w:rPr>
        <w:t xml:space="preserve"> and promotion, staffing costs, technology and equipment, logistics, and hospitality (</w:t>
      </w:r>
      <w:proofErr w:type="spellStart"/>
      <w:r w:rsidRPr="00262CA6">
        <w:rPr>
          <w:rFonts w:ascii="Arial" w:hAnsi="Arial" w:cs="Arial"/>
          <w:lang w:val="en-GB" w:eastAsia="en-GB"/>
        </w:rPr>
        <w:t>Bowdin</w:t>
      </w:r>
      <w:proofErr w:type="spellEnd"/>
      <w:r w:rsidRPr="00262CA6">
        <w:rPr>
          <w:rFonts w:ascii="Arial" w:hAnsi="Arial" w:cs="Arial"/>
          <w:lang w:val="en-GB" w:eastAsia="en-GB"/>
        </w:rPr>
        <w:t xml:space="preserve"> et al., 2016).</w:t>
      </w:r>
    </w:p>
    <w:p w14:paraId="011E1F86" w14:textId="60494908" w:rsidR="00EA0743" w:rsidRPr="00262CA6" w:rsidRDefault="00EA0743" w:rsidP="00262CA6">
      <w:pPr>
        <w:pStyle w:val="ListParagraph"/>
        <w:numPr>
          <w:ilvl w:val="0"/>
          <w:numId w:val="30"/>
        </w:numPr>
        <w:spacing w:line="360" w:lineRule="auto"/>
        <w:rPr>
          <w:rFonts w:ascii="Arial" w:hAnsi="Arial" w:cs="Arial"/>
          <w:lang w:val="en-GB" w:eastAsia="en-GB"/>
        </w:rPr>
      </w:pPr>
      <w:r w:rsidRPr="00262CA6">
        <w:rPr>
          <w:rFonts w:ascii="Arial" w:hAnsi="Arial" w:cs="Arial"/>
          <w:lang w:val="en-GB" w:eastAsia="en-GB"/>
        </w:rPr>
        <w:t xml:space="preserve">Technological Resources: Access to technology and equipment, including </w:t>
      </w:r>
      <w:r w:rsidR="003E71FF" w:rsidRPr="00262CA6">
        <w:rPr>
          <w:rFonts w:ascii="Arial" w:hAnsi="Arial" w:cs="Arial"/>
          <w:lang w:val="en-GB" w:eastAsia="en-GB"/>
        </w:rPr>
        <w:t>audio-visual</w:t>
      </w:r>
      <w:r w:rsidRPr="00262CA6">
        <w:rPr>
          <w:rFonts w:ascii="Arial" w:hAnsi="Arial" w:cs="Arial"/>
          <w:lang w:val="en-GB" w:eastAsia="en-GB"/>
        </w:rPr>
        <w:t xml:space="preserve"> systems, computers, tablets, and event management software, is essential for powering interactive exhibits, presentations, and registration processes (Goldblatt, 2014).</w:t>
      </w:r>
    </w:p>
    <w:p w14:paraId="7BAC06E2" w14:textId="77777777" w:rsidR="00EA0743" w:rsidRPr="00262CA6" w:rsidRDefault="00EA0743" w:rsidP="00262CA6">
      <w:pPr>
        <w:pStyle w:val="ListParagraph"/>
        <w:numPr>
          <w:ilvl w:val="0"/>
          <w:numId w:val="30"/>
        </w:numPr>
        <w:spacing w:line="360" w:lineRule="auto"/>
        <w:rPr>
          <w:rFonts w:ascii="Arial" w:hAnsi="Arial" w:cs="Arial"/>
          <w:lang w:val="en-GB" w:eastAsia="en-GB"/>
        </w:rPr>
      </w:pPr>
      <w:r w:rsidRPr="00262CA6">
        <w:rPr>
          <w:rFonts w:ascii="Arial" w:hAnsi="Arial" w:cs="Arial"/>
          <w:lang w:val="en-GB" w:eastAsia="en-GB"/>
        </w:rPr>
        <w:t>Venue and Facilities: Securing a suitable venue with adequate space, amenities, and technical capabilities is crucial for accommodating exhibitors, attendees, and event activities (Shone &amp; Parry, 2010).</w:t>
      </w:r>
    </w:p>
    <w:p w14:paraId="1190F694" w14:textId="77777777" w:rsidR="00EA0743" w:rsidRPr="00262CA6" w:rsidRDefault="00EA0743" w:rsidP="00262CA6">
      <w:pPr>
        <w:pStyle w:val="ListParagraph"/>
        <w:numPr>
          <w:ilvl w:val="0"/>
          <w:numId w:val="30"/>
        </w:numPr>
        <w:spacing w:line="360" w:lineRule="auto"/>
        <w:rPr>
          <w:rFonts w:ascii="Arial" w:hAnsi="Arial" w:cs="Arial"/>
          <w:lang w:val="en-GB" w:eastAsia="en-GB"/>
        </w:rPr>
      </w:pPr>
      <w:r w:rsidRPr="00262CA6">
        <w:rPr>
          <w:rFonts w:ascii="Arial" w:hAnsi="Arial" w:cs="Arial"/>
          <w:lang w:val="en-GB" w:eastAsia="en-GB"/>
        </w:rPr>
        <w:t>Networking and Partnerships: Building relationships with industry partners, sponsors, and suppliers can provide valuable resources, expertise, and support for event operations (</w:t>
      </w:r>
      <w:proofErr w:type="spellStart"/>
      <w:r w:rsidRPr="00262CA6">
        <w:rPr>
          <w:rFonts w:ascii="Arial" w:hAnsi="Arial" w:cs="Arial"/>
          <w:lang w:val="en-GB" w:eastAsia="en-GB"/>
        </w:rPr>
        <w:t>Bladen</w:t>
      </w:r>
      <w:proofErr w:type="spellEnd"/>
      <w:r w:rsidRPr="00262CA6">
        <w:rPr>
          <w:rFonts w:ascii="Arial" w:hAnsi="Arial" w:cs="Arial"/>
          <w:lang w:val="en-GB" w:eastAsia="en-GB"/>
        </w:rPr>
        <w:t xml:space="preserve"> et al., 2012).</w:t>
      </w:r>
    </w:p>
    <w:p w14:paraId="5067924C" w14:textId="77777777" w:rsidR="003E71FF" w:rsidRPr="00262CA6" w:rsidRDefault="003E71FF" w:rsidP="00262CA6">
      <w:pPr>
        <w:spacing w:line="360" w:lineRule="auto"/>
        <w:rPr>
          <w:rFonts w:ascii="Arial" w:hAnsi="Arial" w:cs="Arial"/>
          <w:lang w:val="en-GB"/>
        </w:rPr>
      </w:pPr>
    </w:p>
    <w:p w14:paraId="1B5A9AB6" w14:textId="09385A73" w:rsidR="00697037" w:rsidRPr="00262CA6" w:rsidRDefault="00697037" w:rsidP="00262CA6">
      <w:pPr>
        <w:pStyle w:val="Heading1"/>
        <w:spacing w:line="360" w:lineRule="auto"/>
        <w:rPr>
          <w:rFonts w:ascii="Arial" w:hAnsi="Arial" w:cs="Arial"/>
          <w:sz w:val="24"/>
          <w:szCs w:val="24"/>
          <w:lang w:val="en-GB"/>
        </w:rPr>
      </w:pPr>
      <w:bookmarkStart w:id="7" w:name="_Toc167016822"/>
      <w:r w:rsidRPr="00262CA6">
        <w:rPr>
          <w:rFonts w:ascii="Arial" w:hAnsi="Arial" w:cs="Arial"/>
          <w:sz w:val="24"/>
          <w:szCs w:val="24"/>
          <w:lang w:val="en-GB"/>
        </w:rPr>
        <w:lastRenderedPageBreak/>
        <w:t>Event Budget</w:t>
      </w:r>
      <w:bookmarkEnd w:id="7"/>
    </w:p>
    <w:p w14:paraId="1BEF9E85" w14:textId="77777777" w:rsidR="003E71FF" w:rsidRPr="00262CA6" w:rsidRDefault="003E71FF" w:rsidP="00262CA6">
      <w:pPr>
        <w:spacing w:line="360" w:lineRule="auto"/>
        <w:rPr>
          <w:rFonts w:ascii="Arial" w:hAnsi="Arial" w:cs="Arial"/>
          <w:lang w:val="en-GB"/>
        </w:rPr>
      </w:pPr>
    </w:p>
    <w:p w14:paraId="02F5BC1E" w14:textId="77777777" w:rsidR="00EA0743" w:rsidRPr="00EA0743" w:rsidRDefault="00EA0743" w:rsidP="00262CA6">
      <w:pPr>
        <w:spacing w:line="360" w:lineRule="auto"/>
        <w:ind w:firstLine="720"/>
        <w:rPr>
          <w:rFonts w:ascii="Arial" w:hAnsi="Arial" w:cs="Arial"/>
          <w:lang w:val="en-GB" w:eastAsia="en-GB"/>
        </w:rPr>
      </w:pPr>
      <w:r w:rsidRPr="00EA0743">
        <w:rPr>
          <w:rFonts w:ascii="Arial" w:hAnsi="Arial" w:cs="Arial"/>
          <w:lang w:val="en-GB" w:eastAsia="en-GB"/>
        </w:rPr>
        <w:t>The event budget for the Future of Dining Experience Expo in Birmingham, UK, is a critical component of the overall planning process, requiring careful consideration of income and expenditure to ensure financial viability and success. A brief breakdown of income and expenditure, along with an explanation of costs, funding sources, and income generation, is essential for effective budget management (</w:t>
      </w:r>
      <w:proofErr w:type="spellStart"/>
      <w:r w:rsidRPr="00EA0743">
        <w:rPr>
          <w:rFonts w:ascii="Arial" w:hAnsi="Arial" w:cs="Arial"/>
          <w:lang w:val="en-GB" w:eastAsia="en-GB"/>
        </w:rPr>
        <w:t>Bowdin</w:t>
      </w:r>
      <w:proofErr w:type="spellEnd"/>
      <w:r w:rsidRPr="00EA0743">
        <w:rPr>
          <w:rFonts w:ascii="Arial" w:hAnsi="Arial" w:cs="Arial"/>
          <w:lang w:val="en-GB" w:eastAsia="en-GB"/>
        </w:rPr>
        <w:t xml:space="preserve"> et al., 2016).</w:t>
      </w:r>
    </w:p>
    <w:p w14:paraId="05FCD0B3" w14:textId="77777777" w:rsidR="003E71FF" w:rsidRPr="00262CA6" w:rsidRDefault="003E71FF" w:rsidP="00262CA6">
      <w:pPr>
        <w:spacing w:line="360" w:lineRule="auto"/>
        <w:rPr>
          <w:rFonts w:ascii="Arial" w:hAnsi="Arial" w:cs="Arial"/>
          <w:lang w:val="en-GB" w:eastAsia="en-GB"/>
        </w:rPr>
      </w:pPr>
    </w:p>
    <w:p w14:paraId="283E7FCD" w14:textId="52A102FF" w:rsidR="00EA0743" w:rsidRPr="00EA0743" w:rsidRDefault="00EA0743" w:rsidP="00262CA6">
      <w:pPr>
        <w:spacing w:line="360" w:lineRule="auto"/>
        <w:rPr>
          <w:rFonts w:ascii="Arial" w:hAnsi="Arial" w:cs="Arial"/>
          <w:lang w:val="en-GB" w:eastAsia="en-GB"/>
        </w:rPr>
      </w:pPr>
      <w:r w:rsidRPr="00EA0743">
        <w:rPr>
          <w:rFonts w:ascii="Arial" w:hAnsi="Arial" w:cs="Arial"/>
          <w:lang w:val="en-GB" w:eastAsia="en-GB"/>
        </w:rPr>
        <w:t>Income:</w:t>
      </w:r>
    </w:p>
    <w:p w14:paraId="00B99819" w14:textId="77777777" w:rsidR="00EA0743" w:rsidRPr="00262CA6" w:rsidRDefault="00EA0743" w:rsidP="00262CA6">
      <w:pPr>
        <w:pStyle w:val="ListParagraph"/>
        <w:numPr>
          <w:ilvl w:val="0"/>
          <w:numId w:val="31"/>
        </w:numPr>
        <w:spacing w:line="360" w:lineRule="auto"/>
        <w:rPr>
          <w:rFonts w:ascii="Arial" w:hAnsi="Arial" w:cs="Arial"/>
          <w:lang w:val="en-GB" w:eastAsia="en-GB"/>
        </w:rPr>
      </w:pPr>
      <w:r w:rsidRPr="00262CA6">
        <w:rPr>
          <w:rFonts w:ascii="Arial" w:hAnsi="Arial" w:cs="Arial"/>
          <w:lang w:val="en-GB" w:eastAsia="en-GB"/>
        </w:rPr>
        <w:t>Exhibitor Fees: Revenue generated from exhibitor fees and booth rentals constitute a significant portion of the event's income. Exhibitors pay a fee to showcase their products and services at the expo, contributing to overall revenue generation (Shone &amp; Parry, 2010).</w:t>
      </w:r>
    </w:p>
    <w:p w14:paraId="6B0C992C" w14:textId="77777777" w:rsidR="00EA0743" w:rsidRPr="00262CA6" w:rsidRDefault="00EA0743" w:rsidP="00262CA6">
      <w:pPr>
        <w:pStyle w:val="ListParagraph"/>
        <w:numPr>
          <w:ilvl w:val="0"/>
          <w:numId w:val="31"/>
        </w:numPr>
        <w:spacing w:line="360" w:lineRule="auto"/>
        <w:rPr>
          <w:rFonts w:ascii="Arial" w:hAnsi="Arial" w:cs="Arial"/>
          <w:lang w:val="en-GB" w:eastAsia="en-GB"/>
        </w:rPr>
      </w:pPr>
      <w:r w:rsidRPr="00262CA6">
        <w:rPr>
          <w:rFonts w:ascii="Arial" w:hAnsi="Arial" w:cs="Arial"/>
          <w:lang w:val="en-GB" w:eastAsia="en-GB"/>
        </w:rPr>
        <w:t>Attendee Ticket Sales: Income from ticket sales to attendees is another essential revenue stream. Attendees purchase tickets to access the expo, participate in sessions, and engage with exhibitors and speakers (</w:t>
      </w:r>
      <w:proofErr w:type="spellStart"/>
      <w:r w:rsidRPr="00262CA6">
        <w:rPr>
          <w:rFonts w:ascii="Arial" w:hAnsi="Arial" w:cs="Arial"/>
          <w:lang w:val="en-GB" w:eastAsia="en-GB"/>
        </w:rPr>
        <w:t>Bladen</w:t>
      </w:r>
      <w:proofErr w:type="spellEnd"/>
      <w:r w:rsidRPr="00262CA6">
        <w:rPr>
          <w:rFonts w:ascii="Arial" w:hAnsi="Arial" w:cs="Arial"/>
          <w:lang w:val="en-GB" w:eastAsia="en-GB"/>
        </w:rPr>
        <w:t xml:space="preserve"> et al., 2012).</w:t>
      </w:r>
    </w:p>
    <w:p w14:paraId="5D5D1FA0" w14:textId="77777777" w:rsidR="00EA0743" w:rsidRPr="00262CA6" w:rsidRDefault="00EA0743" w:rsidP="00262CA6">
      <w:pPr>
        <w:pStyle w:val="ListParagraph"/>
        <w:numPr>
          <w:ilvl w:val="0"/>
          <w:numId w:val="31"/>
        </w:numPr>
        <w:spacing w:line="360" w:lineRule="auto"/>
        <w:rPr>
          <w:rFonts w:ascii="Arial" w:hAnsi="Arial" w:cs="Arial"/>
          <w:lang w:val="en-GB" w:eastAsia="en-GB"/>
        </w:rPr>
      </w:pPr>
      <w:r w:rsidRPr="00262CA6">
        <w:rPr>
          <w:rFonts w:ascii="Arial" w:hAnsi="Arial" w:cs="Arial"/>
          <w:lang w:val="en-GB" w:eastAsia="en-GB"/>
        </w:rPr>
        <w:t>Sponsorship Contributions: Corporate sponsors and partners provide financial support in exchange for branding exposure, marketing opportunities, and other benefits. Sponsorship contributions help offset event costs and contribute to overall revenue (Goldblatt, 2014).</w:t>
      </w:r>
    </w:p>
    <w:p w14:paraId="58931F0E" w14:textId="77777777" w:rsidR="00EA0743" w:rsidRPr="00262CA6" w:rsidRDefault="00EA0743" w:rsidP="00262CA6">
      <w:pPr>
        <w:pStyle w:val="ListParagraph"/>
        <w:numPr>
          <w:ilvl w:val="0"/>
          <w:numId w:val="31"/>
        </w:numPr>
        <w:spacing w:line="360" w:lineRule="auto"/>
        <w:rPr>
          <w:rFonts w:ascii="Arial" w:hAnsi="Arial" w:cs="Arial"/>
          <w:lang w:val="en-GB" w:eastAsia="en-GB"/>
        </w:rPr>
      </w:pPr>
      <w:r w:rsidRPr="00262CA6">
        <w:rPr>
          <w:rFonts w:ascii="Arial" w:hAnsi="Arial" w:cs="Arial"/>
          <w:lang w:val="en-GB" w:eastAsia="en-GB"/>
        </w:rPr>
        <w:t>Merchandise Sales: Revenue from the sale of merchandise, promotional items, and souvenirs at the expo adds to the event's income. Branded merchandise or tech gadgets related to the event theme can attract additional revenue (</w:t>
      </w:r>
      <w:proofErr w:type="spellStart"/>
      <w:r w:rsidRPr="00262CA6">
        <w:rPr>
          <w:rFonts w:ascii="Arial" w:hAnsi="Arial" w:cs="Arial"/>
          <w:lang w:val="en-GB" w:eastAsia="en-GB"/>
        </w:rPr>
        <w:t>Bowdin</w:t>
      </w:r>
      <w:proofErr w:type="spellEnd"/>
      <w:r w:rsidRPr="00262CA6">
        <w:rPr>
          <w:rFonts w:ascii="Arial" w:hAnsi="Arial" w:cs="Arial"/>
          <w:lang w:val="en-GB" w:eastAsia="en-GB"/>
        </w:rPr>
        <w:t xml:space="preserve"> et al., 2016).</w:t>
      </w:r>
    </w:p>
    <w:p w14:paraId="2970E8CF" w14:textId="77777777" w:rsidR="003E71FF" w:rsidRPr="00262CA6" w:rsidRDefault="003E71FF" w:rsidP="00262CA6">
      <w:pPr>
        <w:spacing w:line="360" w:lineRule="auto"/>
        <w:rPr>
          <w:rFonts w:ascii="Arial" w:hAnsi="Arial" w:cs="Arial"/>
          <w:lang w:val="en-GB" w:eastAsia="en-GB"/>
        </w:rPr>
      </w:pPr>
    </w:p>
    <w:p w14:paraId="1F1B4570" w14:textId="3FEAB00E" w:rsidR="00EA0743" w:rsidRPr="00EA0743" w:rsidRDefault="00EA0743" w:rsidP="00262CA6">
      <w:pPr>
        <w:spacing w:line="360" w:lineRule="auto"/>
        <w:rPr>
          <w:rFonts w:ascii="Arial" w:hAnsi="Arial" w:cs="Arial"/>
          <w:lang w:val="en-GB" w:eastAsia="en-GB"/>
        </w:rPr>
      </w:pPr>
      <w:r w:rsidRPr="00EA0743">
        <w:rPr>
          <w:rFonts w:ascii="Arial" w:hAnsi="Arial" w:cs="Arial"/>
          <w:lang w:val="en-GB" w:eastAsia="en-GB"/>
        </w:rPr>
        <w:t>Expenditure:</w:t>
      </w:r>
    </w:p>
    <w:p w14:paraId="74439BFF" w14:textId="77777777" w:rsidR="00EA0743" w:rsidRPr="00262CA6" w:rsidRDefault="00EA0743" w:rsidP="00262CA6">
      <w:pPr>
        <w:pStyle w:val="ListParagraph"/>
        <w:numPr>
          <w:ilvl w:val="0"/>
          <w:numId w:val="32"/>
        </w:numPr>
        <w:spacing w:line="360" w:lineRule="auto"/>
        <w:rPr>
          <w:rFonts w:ascii="Arial" w:hAnsi="Arial" w:cs="Arial"/>
          <w:lang w:val="en-GB" w:eastAsia="en-GB"/>
        </w:rPr>
      </w:pPr>
      <w:r w:rsidRPr="00262CA6">
        <w:rPr>
          <w:rFonts w:ascii="Arial" w:hAnsi="Arial" w:cs="Arial"/>
          <w:lang w:val="en-GB" w:eastAsia="en-GB"/>
        </w:rPr>
        <w:t>Venue Rental: The cost of securing a suitable venue for the expo is a significant expenditure. Factors such as location, size, amenities, and technical capabilities influence venue selection and cost (Shone &amp; Parry, 2010).</w:t>
      </w:r>
    </w:p>
    <w:p w14:paraId="60C47C52" w14:textId="77777777" w:rsidR="00EA0743" w:rsidRPr="00262CA6" w:rsidRDefault="00EA0743" w:rsidP="00262CA6">
      <w:pPr>
        <w:pStyle w:val="ListParagraph"/>
        <w:numPr>
          <w:ilvl w:val="0"/>
          <w:numId w:val="32"/>
        </w:numPr>
        <w:spacing w:line="360" w:lineRule="auto"/>
        <w:rPr>
          <w:rFonts w:ascii="Arial" w:hAnsi="Arial" w:cs="Arial"/>
          <w:lang w:val="en-GB" w:eastAsia="en-GB"/>
        </w:rPr>
      </w:pPr>
      <w:r w:rsidRPr="00262CA6">
        <w:rPr>
          <w:rFonts w:ascii="Arial" w:hAnsi="Arial" w:cs="Arial"/>
          <w:lang w:val="en-GB" w:eastAsia="en-GB"/>
        </w:rPr>
        <w:lastRenderedPageBreak/>
        <w:t>Marketing and Promotion: Expenses related to advertising, digital marketing campaigns, printing promotional materials, and public relations efforts contribute to marketing and promotion costs (</w:t>
      </w:r>
      <w:proofErr w:type="spellStart"/>
      <w:r w:rsidRPr="00262CA6">
        <w:rPr>
          <w:rFonts w:ascii="Arial" w:hAnsi="Arial" w:cs="Arial"/>
          <w:lang w:val="en-GB" w:eastAsia="en-GB"/>
        </w:rPr>
        <w:t>Bladen</w:t>
      </w:r>
      <w:proofErr w:type="spellEnd"/>
      <w:r w:rsidRPr="00262CA6">
        <w:rPr>
          <w:rFonts w:ascii="Arial" w:hAnsi="Arial" w:cs="Arial"/>
          <w:lang w:val="en-GB" w:eastAsia="en-GB"/>
        </w:rPr>
        <w:t xml:space="preserve"> et al., 2012).</w:t>
      </w:r>
    </w:p>
    <w:p w14:paraId="6CE24B33" w14:textId="77777777" w:rsidR="00EA0743" w:rsidRPr="00262CA6" w:rsidRDefault="00EA0743" w:rsidP="00262CA6">
      <w:pPr>
        <w:pStyle w:val="ListParagraph"/>
        <w:numPr>
          <w:ilvl w:val="0"/>
          <w:numId w:val="32"/>
        </w:numPr>
        <w:spacing w:line="360" w:lineRule="auto"/>
        <w:rPr>
          <w:rFonts w:ascii="Arial" w:hAnsi="Arial" w:cs="Arial"/>
          <w:lang w:val="en-GB" w:eastAsia="en-GB"/>
        </w:rPr>
      </w:pPr>
      <w:r w:rsidRPr="00262CA6">
        <w:rPr>
          <w:rFonts w:ascii="Arial" w:hAnsi="Arial" w:cs="Arial"/>
          <w:lang w:val="en-GB" w:eastAsia="en-GB"/>
        </w:rPr>
        <w:t>Staffing: Salaries or wages for event organizers, project managers, administrative staff, and temporary workers hired to assist with on-site operations constitute staffing costs (Goldblatt, 2014).</w:t>
      </w:r>
    </w:p>
    <w:p w14:paraId="406BD592" w14:textId="483FA1FA" w:rsidR="00EA0743" w:rsidRPr="00262CA6" w:rsidRDefault="00EA0743" w:rsidP="00262CA6">
      <w:pPr>
        <w:pStyle w:val="ListParagraph"/>
        <w:numPr>
          <w:ilvl w:val="0"/>
          <w:numId w:val="32"/>
        </w:numPr>
        <w:spacing w:line="360" w:lineRule="auto"/>
        <w:rPr>
          <w:rFonts w:ascii="Arial" w:hAnsi="Arial" w:cs="Arial"/>
          <w:lang w:val="en-GB" w:eastAsia="en-GB"/>
        </w:rPr>
      </w:pPr>
      <w:r w:rsidRPr="00262CA6">
        <w:rPr>
          <w:rFonts w:ascii="Arial" w:hAnsi="Arial" w:cs="Arial"/>
          <w:lang w:val="en-GB" w:eastAsia="en-GB"/>
        </w:rPr>
        <w:t xml:space="preserve">Technology and Equipment: Costs associated with renting or purchasing </w:t>
      </w:r>
      <w:r w:rsidR="003E71FF" w:rsidRPr="00262CA6">
        <w:rPr>
          <w:rFonts w:ascii="Arial" w:hAnsi="Arial" w:cs="Arial"/>
          <w:lang w:val="en-GB" w:eastAsia="en-GB"/>
        </w:rPr>
        <w:t>audio-visual</w:t>
      </w:r>
      <w:r w:rsidRPr="00262CA6">
        <w:rPr>
          <w:rFonts w:ascii="Arial" w:hAnsi="Arial" w:cs="Arial"/>
          <w:lang w:val="en-GB" w:eastAsia="en-GB"/>
        </w:rPr>
        <w:t xml:space="preserve"> equipment, computers, tablets, and networking equipment for interactive exhibits and presentations are included in technology and equipment expenses (</w:t>
      </w:r>
      <w:proofErr w:type="spellStart"/>
      <w:r w:rsidRPr="00262CA6">
        <w:rPr>
          <w:rFonts w:ascii="Arial" w:hAnsi="Arial" w:cs="Arial"/>
          <w:lang w:val="en-GB" w:eastAsia="en-GB"/>
        </w:rPr>
        <w:t>Bowdin</w:t>
      </w:r>
      <w:proofErr w:type="spellEnd"/>
      <w:r w:rsidRPr="00262CA6">
        <w:rPr>
          <w:rFonts w:ascii="Arial" w:hAnsi="Arial" w:cs="Arial"/>
          <w:lang w:val="en-GB" w:eastAsia="en-GB"/>
        </w:rPr>
        <w:t xml:space="preserve"> et al., 2016).</w:t>
      </w:r>
    </w:p>
    <w:p w14:paraId="6C4EAA75" w14:textId="77777777" w:rsidR="003E71FF" w:rsidRPr="00262CA6" w:rsidRDefault="003E71FF" w:rsidP="00262CA6">
      <w:pPr>
        <w:spacing w:line="360" w:lineRule="auto"/>
        <w:rPr>
          <w:rFonts w:ascii="Arial" w:hAnsi="Arial" w:cs="Arial"/>
          <w:lang w:val="en-GB" w:eastAsia="en-GB"/>
        </w:rPr>
      </w:pPr>
    </w:p>
    <w:p w14:paraId="03ED0734" w14:textId="4017CE35" w:rsidR="00EA0743" w:rsidRPr="00EA0743" w:rsidRDefault="00EA0743" w:rsidP="00262CA6">
      <w:pPr>
        <w:spacing w:line="360" w:lineRule="auto"/>
        <w:rPr>
          <w:rFonts w:ascii="Arial" w:hAnsi="Arial" w:cs="Arial"/>
          <w:lang w:val="en-GB" w:eastAsia="en-GB"/>
        </w:rPr>
      </w:pPr>
      <w:r w:rsidRPr="00EA0743">
        <w:rPr>
          <w:rFonts w:ascii="Arial" w:hAnsi="Arial" w:cs="Arial"/>
          <w:lang w:val="en-GB" w:eastAsia="en-GB"/>
        </w:rPr>
        <w:t>Funding Sources:</w:t>
      </w:r>
    </w:p>
    <w:p w14:paraId="47BCC424" w14:textId="04C0CE62" w:rsidR="00EA0743" w:rsidRPr="00262CA6" w:rsidRDefault="00EA0743" w:rsidP="00262CA6">
      <w:pPr>
        <w:spacing w:line="360" w:lineRule="auto"/>
        <w:ind w:firstLine="720"/>
        <w:rPr>
          <w:rFonts w:ascii="Arial" w:hAnsi="Arial" w:cs="Arial"/>
          <w:lang w:val="en-GB" w:eastAsia="en-GB"/>
        </w:rPr>
      </w:pPr>
      <w:r w:rsidRPr="00262CA6">
        <w:rPr>
          <w:rFonts w:ascii="Arial" w:hAnsi="Arial" w:cs="Arial"/>
          <w:lang w:val="en-GB" w:eastAsia="en-GB"/>
        </w:rPr>
        <w:t>Funding for the expo may come from various sources, including exhibitor fees, ticket sales, sponsorship contributions, and merchandise sales. Additionally, partnerships with industry associations, government agencies, and corporate sponsors can provide financial support and resources to offset event costs (Shone &amp; Parry, 2010).</w:t>
      </w:r>
    </w:p>
    <w:p w14:paraId="31067353" w14:textId="77777777" w:rsidR="00262CA6" w:rsidRDefault="00262CA6" w:rsidP="00262CA6">
      <w:pPr>
        <w:pStyle w:val="Heading1"/>
        <w:spacing w:line="360" w:lineRule="auto"/>
        <w:rPr>
          <w:rFonts w:ascii="Arial" w:hAnsi="Arial" w:cs="Arial"/>
          <w:sz w:val="24"/>
          <w:szCs w:val="24"/>
          <w:lang w:val="en-GB"/>
        </w:rPr>
      </w:pPr>
      <w:bookmarkStart w:id="8" w:name="_Toc167016823"/>
    </w:p>
    <w:p w14:paraId="7DEDF2C8" w14:textId="1F84498D" w:rsidR="00697037" w:rsidRPr="00262CA6" w:rsidRDefault="00697037" w:rsidP="00262CA6">
      <w:pPr>
        <w:pStyle w:val="Heading1"/>
        <w:spacing w:line="360" w:lineRule="auto"/>
        <w:rPr>
          <w:rFonts w:ascii="Arial" w:hAnsi="Arial" w:cs="Arial"/>
          <w:sz w:val="24"/>
          <w:szCs w:val="24"/>
          <w:lang w:val="en-GB"/>
        </w:rPr>
      </w:pPr>
      <w:r w:rsidRPr="00262CA6">
        <w:rPr>
          <w:rFonts w:ascii="Arial" w:hAnsi="Arial" w:cs="Arial"/>
          <w:sz w:val="24"/>
          <w:szCs w:val="24"/>
          <w:lang w:val="en-GB"/>
        </w:rPr>
        <w:t>Industry Trends / Issues / Impacts</w:t>
      </w:r>
      <w:bookmarkEnd w:id="8"/>
      <w:r w:rsidRPr="00262CA6">
        <w:rPr>
          <w:rFonts w:ascii="Arial" w:hAnsi="Arial" w:cs="Arial"/>
          <w:sz w:val="24"/>
          <w:szCs w:val="24"/>
          <w:lang w:val="en-GB"/>
        </w:rPr>
        <w:t xml:space="preserve"> </w:t>
      </w:r>
    </w:p>
    <w:p w14:paraId="6287AB20" w14:textId="77777777" w:rsidR="003E71FF" w:rsidRPr="00262CA6" w:rsidRDefault="003E71FF" w:rsidP="00262CA6">
      <w:pPr>
        <w:spacing w:line="360" w:lineRule="auto"/>
        <w:rPr>
          <w:rFonts w:ascii="Arial" w:hAnsi="Arial" w:cs="Arial"/>
        </w:rPr>
      </w:pPr>
    </w:p>
    <w:p w14:paraId="499A4B72" w14:textId="1E3E3C7F" w:rsidR="00EA0743" w:rsidRPr="00EA0743" w:rsidRDefault="00EA0743" w:rsidP="00262CA6">
      <w:pPr>
        <w:spacing w:line="360" w:lineRule="auto"/>
        <w:ind w:firstLine="720"/>
        <w:rPr>
          <w:rFonts w:ascii="Arial" w:hAnsi="Arial" w:cs="Arial"/>
          <w:lang w:val="en-GB"/>
        </w:rPr>
      </w:pPr>
      <w:r w:rsidRPr="00EA0743">
        <w:rPr>
          <w:rFonts w:ascii="Arial" w:hAnsi="Arial" w:cs="Arial"/>
          <w:lang w:val="en-GB" w:eastAsia="en-GB"/>
        </w:rPr>
        <w:t xml:space="preserve">The meetings and events industry </w:t>
      </w:r>
      <w:r w:rsidR="003E71FF" w:rsidRPr="00262CA6">
        <w:rPr>
          <w:rFonts w:ascii="Arial" w:hAnsi="Arial" w:cs="Arial"/>
          <w:lang w:val="en-GB" w:eastAsia="en-GB"/>
        </w:rPr>
        <w:t>are</w:t>
      </w:r>
      <w:r w:rsidRPr="00EA0743">
        <w:rPr>
          <w:rFonts w:ascii="Arial" w:hAnsi="Arial" w:cs="Arial"/>
          <w:lang w:val="en-GB" w:eastAsia="en-GB"/>
        </w:rPr>
        <w:t xml:space="preserve"> continually evolving, influenced by a variety of trends, issues, and impacts that shape the landscape in which events operate. Understanding these trends and their potential impacts is crucial for event organizers to effectively plan and execute successful events like the Future of Dining Experience Expo in Birmingham, UK</w:t>
      </w:r>
      <w:r w:rsidR="00262CA6" w:rsidRPr="00262CA6">
        <w:rPr>
          <w:rFonts w:ascii="Arial" w:hAnsi="Arial" w:cs="Arial"/>
          <w:lang w:val="en-GB" w:eastAsia="en-GB"/>
        </w:rPr>
        <w:t xml:space="preserve"> </w:t>
      </w:r>
      <w:r w:rsidR="00262CA6" w:rsidRPr="00262CA6">
        <w:rPr>
          <w:rFonts w:ascii="Arial" w:hAnsi="Arial" w:cs="Arial"/>
          <w:color w:val="0D0D0D"/>
          <w:shd w:val="clear" w:color="auto" w:fill="FFFFFF"/>
        </w:rPr>
        <w:t>(Getz, 2012).</w:t>
      </w:r>
    </w:p>
    <w:p w14:paraId="43CEAF62" w14:textId="77777777" w:rsidR="003E71FF" w:rsidRPr="00262CA6" w:rsidRDefault="003E71FF" w:rsidP="00262CA6">
      <w:pPr>
        <w:spacing w:line="360" w:lineRule="auto"/>
        <w:rPr>
          <w:rFonts w:ascii="Arial" w:hAnsi="Arial" w:cs="Arial"/>
          <w:lang w:val="en-GB" w:eastAsia="en-GB"/>
        </w:rPr>
      </w:pPr>
    </w:p>
    <w:p w14:paraId="3F4D3B5E" w14:textId="643797FD" w:rsidR="00EA0743" w:rsidRPr="00EA0743" w:rsidRDefault="00EA0743" w:rsidP="00262CA6">
      <w:pPr>
        <w:spacing w:line="360" w:lineRule="auto"/>
        <w:rPr>
          <w:rFonts w:ascii="Arial" w:hAnsi="Arial" w:cs="Arial"/>
          <w:lang w:val="en-GB" w:eastAsia="en-GB"/>
        </w:rPr>
      </w:pPr>
      <w:r w:rsidRPr="00EA0743">
        <w:rPr>
          <w:rFonts w:ascii="Arial" w:hAnsi="Arial" w:cs="Arial"/>
          <w:lang w:val="en-GB" w:eastAsia="en-GB"/>
        </w:rPr>
        <w:t>Industry Trends:</w:t>
      </w:r>
    </w:p>
    <w:p w14:paraId="646E0C23" w14:textId="457B4485" w:rsidR="00262CA6" w:rsidRPr="00262CA6" w:rsidRDefault="00EA0743" w:rsidP="00262CA6">
      <w:pPr>
        <w:pStyle w:val="ListParagraph"/>
        <w:numPr>
          <w:ilvl w:val="0"/>
          <w:numId w:val="33"/>
        </w:numPr>
        <w:spacing w:line="360" w:lineRule="auto"/>
        <w:rPr>
          <w:rFonts w:ascii="Arial" w:hAnsi="Arial" w:cs="Arial"/>
          <w:lang w:val="en-GB" w:eastAsia="en-GB"/>
        </w:rPr>
      </w:pPr>
      <w:r w:rsidRPr="00262CA6">
        <w:rPr>
          <w:rFonts w:ascii="Arial" w:hAnsi="Arial" w:cs="Arial"/>
          <w:lang w:val="en-GB" w:eastAsia="en-GB"/>
        </w:rPr>
        <w:t xml:space="preserve">Digital Transformation: The rapid advancement of technology has transformed the way events are planned, executed, and experienced. From virtual and hybrid event formats to event management software and digital marketing strategies, technology plays a central role in enhancing attendee engagement and streamlining event operations </w:t>
      </w:r>
      <w:r w:rsidR="00262CA6" w:rsidRPr="00262CA6">
        <w:rPr>
          <w:rFonts w:ascii="Arial" w:hAnsi="Arial" w:cs="Arial"/>
          <w:color w:val="0D0D0D"/>
          <w:shd w:val="clear" w:color="auto" w:fill="FFFFFF"/>
        </w:rPr>
        <w:t xml:space="preserve">(Stephens, 2016). </w:t>
      </w:r>
    </w:p>
    <w:p w14:paraId="2E353DC7" w14:textId="3BB4964C" w:rsidR="00EA0743" w:rsidRPr="00262CA6" w:rsidRDefault="00EA0743" w:rsidP="00262CA6">
      <w:pPr>
        <w:pStyle w:val="ListParagraph"/>
        <w:numPr>
          <w:ilvl w:val="0"/>
          <w:numId w:val="33"/>
        </w:numPr>
        <w:spacing w:line="360" w:lineRule="auto"/>
        <w:rPr>
          <w:rFonts w:ascii="Arial" w:hAnsi="Arial" w:cs="Arial"/>
          <w:lang w:val="en-GB" w:eastAsia="en-GB"/>
        </w:rPr>
      </w:pPr>
      <w:r w:rsidRPr="00262CA6">
        <w:rPr>
          <w:rFonts w:ascii="Arial" w:hAnsi="Arial" w:cs="Arial"/>
          <w:lang w:val="en-GB" w:eastAsia="en-GB"/>
        </w:rPr>
        <w:lastRenderedPageBreak/>
        <w:t xml:space="preserve">Sustainability: Increasing awareness of environmental issues has led to a growing emphasis on sustainability in the events industry. Sustainable event practices, such as reducing carbon emissions, minimizing waste, and sourcing locally produced goods, are becoming increasingly important considerations for event organizers and attendees alike </w:t>
      </w:r>
      <w:r w:rsidR="00262CA6" w:rsidRPr="00262CA6">
        <w:rPr>
          <w:rFonts w:ascii="Arial" w:hAnsi="Arial" w:cs="Arial"/>
          <w:color w:val="0D0D0D"/>
          <w:shd w:val="clear" w:color="auto" w:fill="FFFFFF"/>
        </w:rPr>
        <w:t>(Walters, 2016).</w:t>
      </w:r>
    </w:p>
    <w:p w14:paraId="4B8FBE5A" w14:textId="3C432480" w:rsidR="00EA0743" w:rsidRPr="00262CA6" w:rsidRDefault="00EA0743" w:rsidP="00262CA6">
      <w:pPr>
        <w:pStyle w:val="ListParagraph"/>
        <w:numPr>
          <w:ilvl w:val="0"/>
          <w:numId w:val="33"/>
        </w:numPr>
        <w:spacing w:line="360" w:lineRule="auto"/>
        <w:rPr>
          <w:rFonts w:ascii="Arial" w:hAnsi="Arial" w:cs="Arial"/>
          <w:lang w:val="en-GB" w:eastAsia="en-GB"/>
        </w:rPr>
      </w:pPr>
      <w:r w:rsidRPr="00262CA6">
        <w:rPr>
          <w:rFonts w:ascii="Arial" w:hAnsi="Arial" w:cs="Arial"/>
          <w:lang w:val="en-GB" w:eastAsia="en-GB"/>
        </w:rPr>
        <w:t xml:space="preserve">Personalization: Attendees are seeking more personalized and tailored event experiences. Event organizers are leveraging data analytics and attendee insights to customize content, networking opportunities, and promotional activities to meet the individual preferences and interests of attendees </w:t>
      </w:r>
      <w:r w:rsidR="00262CA6" w:rsidRPr="00262CA6">
        <w:rPr>
          <w:rFonts w:ascii="Arial" w:hAnsi="Arial" w:cs="Arial"/>
          <w:color w:val="0D0D0D"/>
          <w:shd w:val="clear" w:color="auto" w:fill="FFFFFF"/>
        </w:rPr>
        <w:t>(Sobel, 2017).</w:t>
      </w:r>
    </w:p>
    <w:p w14:paraId="64867256" w14:textId="77777777" w:rsidR="00EA0743" w:rsidRPr="00262CA6" w:rsidRDefault="00EA0743" w:rsidP="00262CA6">
      <w:pPr>
        <w:pStyle w:val="ListParagraph"/>
        <w:numPr>
          <w:ilvl w:val="0"/>
          <w:numId w:val="33"/>
        </w:numPr>
        <w:spacing w:line="360" w:lineRule="auto"/>
        <w:rPr>
          <w:rFonts w:ascii="Arial" w:hAnsi="Arial" w:cs="Arial"/>
          <w:lang w:val="en-GB" w:eastAsia="en-GB"/>
        </w:rPr>
      </w:pPr>
      <w:r w:rsidRPr="00262CA6">
        <w:rPr>
          <w:rFonts w:ascii="Arial" w:hAnsi="Arial" w:cs="Arial"/>
          <w:lang w:val="en-GB" w:eastAsia="en-GB"/>
        </w:rPr>
        <w:t>Industry Issues:</w:t>
      </w:r>
    </w:p>
    <w:p w14:paraId="14DD3FCF" w14:textId="01FBBF3E" w:rsidR="00EA0743" w:rsidRPr="00262CA6" w:rsidRDefault="00EA0743" w:rsidP="00262CA6">
      <w:pPr>
        <w:pStyle w:val="ListParagraph"/>
        <w:numPr>
          <w:ilvl w:val="0"/>
          <w:numId w:val="33"/>
        </w:numPr>
        <w:spacing w:line="360" w:lineRule="auto"/>
        <w:rPr>
          <w:rFonts w:ascii="Arial" w:hAnsi="Arial" w:cs="Arial"/>
          <w:lang w:val="en-GB" w:eastAsia="en-GB"/>
        </w:rPr>
      </w:pPr>
      <w:r w:rsidRPr="00262CA6">
        <w:rPr>
          <w:rFonts w:ascii="Arial" w:hAnsi="Arial" w:cs="Arial"/>
          <w:lang w:val="en-GB" w:eastAsia="en-GB"/>
        </w:rPr>
        <w:t xml:space="preserve">Health and Safety Concerns: The COVID-19 pandemic has brought health and safety concerns to the forefront of event planning. Event organizers must implement robust health and safety protocols, such as social distancing measures, sanitation stations, and vaccination requirements, to ensure the safety of attendees and staff </w:t>
      </w:r>
      <w:r w:rsidR="00262CA6" w:rsidRPr="00262CA6">
        <w:rPr>
          <w:rFonts w:ascii="Arial" w:hAnsi="Arial" w:cs="Arial"/>
          <w:color w:val="0D0D0D"/>
          <w:shd w:val="clear" w:color="auto" w:fill="FFFFFF"/>
        </w:rPr>
        <w:t>(Rogers, 2020)</w:t>
      </w:r>
      <w:r w:rsidRPr="00262CA6">
        <w:rPr>
          <w:rFonts w:ascii="Arial" w:hAnsi="Arial" w:cs="Arial"/>
          <w:lang w:val="en-GB" w:eastAsia="en-GB"/>
        </w:rPr>
        <w:t>.</w:t>
      </w:r>
    </w:p>
    <w:p w14:paraId="06E5B7A1" w14:textId="0B257327" w:rsidR="00EA0743" w:rsidRPr="00262CA6" w:rsidRDefault="00EA0743" w:rsidP="00262CA6">
      <w:pPr>
        <w:pStyle w:val="ListParagraph"/>
        <w:numPr>
          <w:ilvl w:val="0"/>
          <w:numId w:val="33"/>
        </w:numPr>
        <w:spacing w:line="360" w:lineRule="auto"/>
        <w:rPr>
          <w:rFonts w:ascii="Arial" w:hAnsi="Arial" w:cs="Arial"/>
          <w:lang w:val="en-GB" w:eastAsia="en-GB"/>
        </w:rPr>
      </w:pPr>
      <w:r w:rsidRPr="00262CA6">
        <w:rPr>
          <w:rFonts w:ascii="Arial" w:hAnsi="Arial" w:cs="Arial"/>
          <w:lang w:val="en-GB" w:eastAsia="en-GB"/>
        </w:rPr>
        <w:t xml:space="preserve">Budget Constraints: Economic uncertainties and budget constraints pose challenges for event organizers in securing funding, attracting sponsors, and managing event expenses. Creativity and resourcefulness are essential for navigating budget limitations while delivering high-quality event experiences </w:t>
      </w:r>
      <w:r w:rsidR="00262CA6" w:rsidRPr="00262CA6">
        <w:rPr>
          <w:rFonts w:ascii="Arial" w:hAnsi="Arial" w:cs="Arial"/>
          <w:color w:val="0D0D0D"/>
          <w:shd w:val="clear" w:color="auto" w:fill="FFFFFF"/>
        </w:rPr>
        <w:t>(Williams, 2019).</w:t>
      </w:r>
    </w:p>
    <w:p w14:paraId="7A4CC7C4" w14:textId="77777777" w:rsidR="003E71FF" w:rsidRPr="00262CA6" w:rsidRDefault="003E71FF" w:rsidP="00262CA6">
      <w:pPr>
        <w:spacing w:line="360" w:lineRule="auto"/>
        <w:rPr>
          <w:rFonts w:ascii="Arial" w:hAnsi="Arial" w:cs="Arial"/>
          <w:lang w:val="en-GB" w:eastAsia="en-GB"/>
        </w:rPr>
      </w:pPr>
    </w:p>
    <w:p w14:paraId="35C23D48" w14:textId="0B6D4716" w:rsidR="00EA0743" w:rsidRPr="00EA0743" w:rsidRDefault="00EA0743" w:rsidP="00262CA6">
      <w:pPr>
        <w:spacing w:line="360" w:lineRule="auto"/>
        <w:rPr>
          <w:rFonts w:ascii="Arial" w:hAnsi="Arial" w:cs="Arial"/>
          <w:lang w:val="en-GB" w:eastAsia="en-GB"/>
        </w:rPr>
      </w:pPr>
      <w:r w:rsidRPr="00EA0743">
        <w:rPr>
          <w:rFonts w:ascii="Arial" w:hAnsi="Arial" w:cs="Arial"/>
          <w:lang w:val="en-GB" w:eastAsia="en-GB"/>
        </w:rPr>
        <w:t>Industry Impacts:</w:t>
      </w:r>
    </w:p>
    <w:p w14:paraId="77B5C9EC" w14:textId="77777777" w:rsidR="00EA0743" w:rsidRPr="00262CA6" w:rsidRDefault="00EA0743" w:rsidP="00262CA6">
      <w:pPr>
        <w:pStyle w:val="ListParagraph"/>
        <w:numPr>
          <w:ilvl w:val="0"/>
          <w:numId w:val="34"/>
        </w:numPr>
        <w:spacing w:line="360" w:lineRule="auto"/>
        <w:rPr>
          <w:rFonts w:ascii="Arial" w:hAnsi="Arial" w:cs="Arial"/>
          <w:lang w:val="en-GB" w:eastAsia="en-GB"/>
        </w:rPr>
      </w:pPr>
      <w:r w:rsidRPr="00262CA6">
        <w:rPr>
          <w:rFonts w:ascii="Arial" w:hAnsi="Arial" w:cs="Arial"/>
          <w:lang w:val="en-GB" w:eastAsia="en-GB"/>
        </w:rPr>
        <w:t>Economic Impact: The events industry contributes significantly to the economy through job creation, tourism, and business opportunities. Events like the Future of Dining Experience Expo have the potential to drive economic growth, stimulate local businesses, and showcase the city of Birmingham as a hub for innovation and hospitality (</w:t>
      </w:r>
      <w:proofErr w:type="spellStart"/>
      <w:r w:rsidRPr="00262CA6">
        <w:rPr>
          <w:rFonts w:ascii="Arial" w:hAnsi="Arial" w:cs="Arial"/>
          <w:lang w:val="en-GB" w:eastAsia="en-GB"/>
        </w:rPr>
        <w:t>Bowdin</w:t>
      </w:r>
      <w:proofErr w:type="spellEnd"/>
      <w:r w:rsidRPr="00262CA6">
        <w:rPr>
          <w:rFonts w:ascii="Arial" w:hAnsi="Arial" w:cs="Arial"/>
          <w:lang w:val="en-GB" w:eastAsia="en-GB"/>
        </w:rPr>
        <w:t xml:space="preserve"> et al., 2016).</w:t>
      </w:r>
    </w:p>
    <w:p w14:paraId="1410499D" w14:textId="77777777" w:rsidR="00EA0743" w:rsidRPr="00262CA6" w:rsidRDefault="00EA0743" w:rsidP="00262CA6">
      <w:pPr>
        <w:pStyle w:val="ListParagraph"/>
        <w:numPr>
          <w:ilvl w:val="0"/>
          <w:numId w:val="34"/>
        </w:numPr>
        <w:spacing w:line="360" w:lineRule="auto"/>
        <w:rPr>
          <w:rFonts w:ascii="Arial" w:hAnsi="Arial" w:cs="Arial"/>
          <w:lang w:val="en-GB" w:eastAsia="en-GB"/>
        </w:rPr>
      </w:pPr>
      <w:r w:rsidRPr="00262CA6">
        <w:rPr>
          <w:rFonts w:ascii="Arial" w:hAnsi="Arial" w:cs="Arial"/>
          <w:lang w:val="en-GB" w:eastAsia="en-GB"/>
        </w:rPr>
        <w:t>Social and Cultural Impact: Events play a vital role in bringing people together, fostering connections, and celebrating diversity. The Future of Dining Experience Expo provides a platform for cross-cultural exchange, knowledge-sharing, and collaboration among industry professionals, technology providers, and food enthusiasts (Goldblatt, 2014).</w:t>
      </w:r>
    </w:p>
    <w:p w14:paraId="733B392D" w14:textId="77777777" w:rsidR="003E71FF" w:rsidRPr="00262CA6" w:rsidRDefault="003E71FF" w:rsidP="00262CA6">
      <w:pPr>
        <w:spacing w:line="360" w:lineRule="auto"/>
        <w:rPr>
          <w:rFonts w:ascii="Arial" w:hAnsi="Arial" w:cs="Arial"/>
          <w:lang w:val="en-GB" w:eastAsia="en-GB"/>
        </w:rPr>
      </w:pPr>
    </w:p>
    <w:p w14:paraId="2C87EB7A" w14:textId="4F022931" w:rsidR="00697037" w:rsidRPr="00262CA6" w:rsidRDefault="00697037" w:rsidP="00262CA6">
      <w:pPr>
        <w:pStyle w:val="Heading2"/>
        <w:spacing w:line="360" w:lineRule="auto"/>
        <w:rPr>
          <w:rFonts w:ascii="Arial" w:hAnsi="Arial" w:cs="Arial"/>
          <w:sz w:val="24"/>
          <w:szCs w:val="24"/>
          <w:lang w:val="en-GB"/>
        </w:rPr>
      </w:pPr>
      <w:bookmarkStart w:id="9" w:name="_Toc167016824"/>
      <w:r w:rsidRPr="00262CA6">
        <w:rPr>
          <w:rFonts w:ascii="Arial" w:hAnsi="Arial" w:cs="Arial"/>
          <w:sz w:val="24"/>
          <w:szCs w:val="24"/>
          <w:lang w:val="en-GB"/>
        </w:rPr>
        <w:lastRenderedPageBreak/>
        <w:t>Cultural and Situational Considerations</w:t>
      </w:r>
      <w:bookmarkEnd w:id="9"/>
      <w:r w:rsidRPr="00262CA6">
        <w:rPr>
          <w:rFonts w:ascii="Arial" w:hAnsi="Arial" w:cs="Arial"/>
          <w:sz w:val="24"/>
          <w:szCs w:val="24"/>
          <w:lang w:val="en-GB"/>
        </w:rPr>
        <w:t xml:space="preserve"> </w:t>
      </w:r>
    </w:p>
    <w:p w14:paraId="65CE017C" w14:textId="77777777" w:rsidR="002052E3" w:rsidRPr="00262CA6" w:rsidRDefault="002052E3" w:rsidP="00262CA6">
      <w:pPr>
        <w:spacing w:line="360" w:lineRule="auto"/>
        <w:rPr>
          <w:rFonts w:ascii="Arial" w:hAnsi="Arial" w:cs="Arial"/>
          <w:lang w:val="en-GB" w:eastAsia="en-GB"/>
        </w:rPr>
      </w:pPr>
    </w:p>
    <w:p w14:paraId="4480E5DE" w14:textId="563FB9F6" w:rsidR="00EA0743" w:rsidRPr="00EA0743" w:rsidRDefault="00EA0743" w:rsidP="00262CA6">
      <w:pPr>
        <w:spacing w:line="360" w:lineRule="auto"/>
        <w:ind w:firstLine="720"/>
        <w:rPr>
          <w:rFonts w:ascii="Arial" w:hAnsi="Arial" w:cs="Arial"/>
          <w:lang w:val="en-GB" w:eastAsia="en-GB"/>
        </w:rPr>
      </w:pPr>
      <w:r w:rsidRPr="00EA0743">
        <w:rPr>
          <w:rFonts w:ascii="Arial" w:hAnsi="Arial" w:cs="Arial"/>
          <w:lang w:val="en-GB" w:eastAsia="en-GB"/>
        </w:rPr>
        <w:t>Cultural and situational considerations profoundly influence the planning and execution of events like the Future of Dining Experience Expo in Birmingham, UK. Understanding and accommodating these factors is crucial for creating an inclusive and engaging experience that resonates with attendees from diverse backgrounds (Getz, 2012).</w:t>
      </w:r>
    </w:p>
    <w:p w14:paraId="3E35CFEB" w14:textId="77777777" w:rsidR="002052E3" w:rsidRPr="00262CA6" w:rsidRDefault="002052E3" w:rsidP="00262CA6">
      <w:pPr>
        <w:spacing w:line="360" w:lineRule="auto"/>
        <w:rPr>
          <w:rFonts w:ascii="Arial" w:hAnsi="Arial" w:cs="Arial"/>
          <w:lang w:val="en-GB" w:eastAsia="en-GB"/>
        </w:rPr>
      </w:pPr>
    </w:p>
    <w:p w14:paraId="1FFF50C4" w14:textId="09BD4CBE" w:rsidR="00EA0743" w:rsidRPr="00EA0743" w:rsidRDefault="00EA0743" w:rsidP="00262CA6">
      <w:pPr>
        <w:spacing w:line="360" w:lineRule="auto"/>
        <w:rPr>
          <w:rFonts w:ascii="Arial" w:hAnsi="Arial" w:cs="Arial"/>
          <w:lang w:val="en-GB" w:eastAsia="en-GB"/>
        </w:rPr>
      </w:pPr>
      <w:r w:rsidRPr="00EA0743">
        <w:rPr>
          <w:rFonts w:ascii="Arial" w:hAnsi="Arial" w:cs="Arial"/>
          <w:lang w:val="en-GB" w:eastAsia="en-GB"/>
        </w:rPr>
        <w:t>Cultural Considerations:</w:t>
      </w:r>
    </w:p>
    <w:p w14:paraId="20CA2C46" w14:textId="77777777" w:rsidR="00EA0743" w:rsidRPr="00262CA6" w:rsidRDefault="00EA0743" w:rsidP="00262CA6">
      <w:pPr>
        <w:pStyle w:val="ListParagraph"/>
        <w:numPr>
          <w:ilvl w:val="0"/>
          <w:numId w:val="35"/>
        </w:numPr>
        <w:spacing w:line="360" w:lineRule="auto"/>
        <w:rPr>
          <w:rFonts w:ascii="Arial" w:hAnsi="Arial" w:cs="Arial"/>
          <w:lang w:val="en-GB" w:eastAsia="en-GB"/>
        </w:rPr>
      </w:pPr>
      <w:r w:rsidRPr="00262CA6">
        <w:rPr>
          <w:rFonts w:ascii="Arial" w:hAnsi="Arial" w:cs="Arial"/>
          <w:lang w:val="en-GB" w:eastAsia="en-GB"/>
        </w:rPr>
        <w:t>Cultural Sensitivity: Birmingham boasts a rich tapestry of cultural diversity, with a significant population representing various ethnicities, religions, and traditions. Event organizers must demonstrate cultural sensitivity by incorporating elements that reflect and celebrate this diversity, ensuring that the expo is inclusive and welcoming to all attendees (Silvers, 2010).</w:t>
      </w:r>
    </w:p>
    <w:p w14:paraId="07112E55" w14:textId="19E12A2D" w:rsidR="00EA0743" w:rsidRPr="00262CA6" w:rsidRDefault="00EA0743" w:rsidP="00262CA6">
      <w:pPr>
        <w:pStyle w:val="ListParagraph"/>
        <w:numPr>
          <w:ilvl w:val="0"/>
          <w:numId w:val="35"/>
        </w:numPr>
        <w:spacing w:line="360" w:lineRule="auto"/>
        <w:rPr>
          <w:rFonts w:ascii="Arial" w:hAnsi="Arial" w:cs="Arial"/>
          <w:lang w:val="en-GB" w:eastAsia="en-GB"/>
        </w:rPr>
      </w:pPr>
      <w:r w:rsidRPr="00262CA6">
        <w:rPr>
          <w:rFonts w:ascii="Arial" w:hAnsi="Arial" w:cs="Arial"/>
          <w:lang w:val="en-GB" w:eastAsia="en-GB"/>
        </w:rPr>
        <w:t xml:space="preserve">Culinary Diversity: The city's culinary landscape reflects its multicultural population, offering a plethora of cuisines and </w:t>
      </w:r>
      <w:r w:rsidR="002052E3" w:rsidRPr="00262CA6">
        <w:rPr>
          <w:rFonts w:ascii="Arial" w:hAnsi="Arial" w:cs="Arial"/>
          <w:lang w:val="en-GB" w:eastAsia="en-GB"/>
        </w:rPr>
        <w:t>flavours</w:t>
      </w:r>
      <w:r w:rsidRPr="00262CA6">
        <w:rPr>
          <w:rFonts w:ascii="Arial" w:hAnsi="Arial" w:cs="Arial"/>
          <w:lang w:val="en-GB" w:eastAsia="en-GB"/>
        </w:rPr>
        <w:t xml:space="preserve"> from around the world. The expo presents an opportunity to showcase this culinary diversity and highlight innovative culinary experiences that draw inspiration from different cultural traditions (Richards &amp; Palmer, 2010).</w:t>
      </w:r>
    </w:p>
    <w:p w14:paraId="3AF0733E" w14:textId="77777777" w:rsidR="002052E3" w:rsidRPr="00262CA6" w:rsidRDefault="002052E3" w:rsidP="00262CA6">
      <w:pPr>
        <w:spacing w:line="360" w:lineRule="auto"/>
        <w:rPr>
          <w:rFonts w:ascii="Arial" w:hAnsi="Arial" w:cs="Arial"/>
          <w:lang w:val="en-GB" w:eastAsia="en-GB"/>
        </w:rPr>
      </w:pPr>
    </w:p>
    <w:p w14:paraId="392B2F7F" w14:textId="6E1BC8BA" w:rsidR="00EA0743" w:rsidRPr="00EA0743" w:rsidRDefault="00EA0743" w:rsidP="00262CA6">
      <w:pPr>
        <w:spacing w:line="360" w:lineRule="auto"/>
        <w:rPr>
          <w:rFonts w:ascii="Arial" w:hAnsi="Arial" w:cs="Arial"/>
          <w:lang w:val="en-GB" w:eastAsia="en-GB"/>
        </w:rPr>
      </w:pPr>
      <w:r w:rsidRPr="00EA0743">
        <w:rPr>
          <w:rFonts w:ascii="Arial" w:hAnsi="Arial" w:cs="Arial"/>
          <w:lang w:val="en-GB" w:eastAsia="en-GB"/>
        </w:rPr>
        <w:t>Situational Considerations:</w:t>
      </w:r>
    </w:p>
    <w:p w14:paraId="48C9F2F4" w14:textId="77777777" w:rsidR="00EA0743" w:rsidRPr="00262CA6" w:rsidRDefault="00EA0743" w:rsidP="00262CA6">
      <w:pPr>
        <w:pStyle w:val="ListParagraph"/>
        <w:numPr>
          <w:ilvl w:val="0"/>
          <w:numId w:val="36"/>
        </w:numPr>
        <w:spacing w:line="360" w:lineRule="auto"/>
        <w:rPr>
          <w:rFonts w:ascii="Arial" w:hAnsi="Arial" w:cs="Arial"/>
          <w:lang w:val="en-GB" w:eastAsia="en-GB"/>
        </w:rPr>
      </w:pPr>
      <w:r w:rsidRPr="00262CA6">
        <w:rPr>
          <w:rFonts w:ascii="Arial" w:hAnsi="Arial" w:cs="Arial"/>
          <w:lang w:val="en-GB" w:eastAsia="en-GB"/>
        </w:rPr>
        <w:t>Local Regulations: Event organizers must navigate local regulations and policies governing events, including permits, licensing requirements, and health and safety regulations. Adhering to these regulations is essential for ensuring the legality and smooth operation of the expo (Goldblatt, 2014).</w:t>
      </w:r>
    </w:p>
    <w:p w14:paraId="067A4FFD" w14:textId="77777777" w:rsidR="00EA0743" w:rsidRPr="00262CA6" w:rsidRDefault="00EA0743" w:rsidP="00262CA6">
      <w:pPr>
        <w:pStyle w:val="ListParagraph"/>
        <w:numPr>
          <w:ilvl w:val="0"/>
          <w:numId w:val="36"/>
        </w:numPr>
        <w:spacing w:line="360" w:lineRule="auto"/>
        <w:rPr>
          <w:rFonts w:ascii="Arial" w:hAnsi="Arial" w:cs="Arial"/>
          <w:lang w:val="en-GB" w:eastAsia="en-GB"/>
        </w:rPr>
      </w:pPr>
      <w:r w:rsidRPr="00262CA6">
        <w:rPr>
          <w:rFonts w:ascii="Arial" w:hAnsi="Arial" w:cs="Arial"/>
          <w:lang w:val="en-GB" w:eastAsia="en-GB"/>
        </w:rPr>
        <w:t>Economic Climate: Economic factors, such as unemployment rates, disposable income levels, and consumer spending habits, can impact attendee participation and sponsorship opportunities. Event organizers must monitor economic trends and adjust their strategies accordingly to optimize attendance and revenue generation (Getz, 2012).</w:t>
      </w:r>
    </w:p>
    <w:p w14:paraId="6BEF5886" w14:textId="77777777" w:rsidR="002052E3" w:rsidRPr="00262CA6" w:rsidRDefault="002052E3" w:rsidP="00262CA6">
      <w:pPr>
        <w:spacing w:line="360" w:lineRule="auto"/>
        <w:rPr>
          <w:rFonts w:ascii="Arial" w:hAnsi="Arial" w:cs="Arial"/>
          <w:lang w:val="en-GB" w:eastAsia="en-GB"/>
        </w:rPr>
      </w:pPr>
    </w:p>
    <w:p w14:paraId="1D5B4C1E" w14:textId="3B70A825" w:rsidR="00EA0743" w:rsidRPr="00EA0743" w:rsidRDefault="00EA0743" w:rsidP="00262CA6">
      <w:pPr>
        <w:spacing w:line="360" w:lineRule="auto"/>
        <w:rPr>
          <w:rFonts w:ascii="Arial" w:hAnsi="Arial" w:cs="Arial"/>
          <w:lang w:val="en-GB" w:eastAsia="en-GB"/>
        </w:rPr>
      </w:pPr>
      <w:r w:rsidRPr="00EA0743">
        <w:rPr>
          <w:rFonts w:ascii="Arial" w:hAnsi="Arial" w:cs="Arial"/>
          <w:lang w:val="en-GB" w:eastAsia="en-GB"/>
        </w:rPr>
        <w:t>Importance of Consideration:</w:t>
      </w:r>
    </w:p>
    <w:p w14:paraId="5283DF02" w14:textId="77777777" w:rsidR="00EA0743" w:rsidRPr="00262CA6" w:rsidRDefault="00EA0743" w:rsidP="00262CA6">
      <w:pPr>
        <w:pStyle w:val="ListParagraph"/>
        <w:numPr>
          <w:ilvl w:val="0"/>
          <w:numId w:val="37"/>
        </w:numPr>
        <w:spacing w:line="360" w:lineRule="auto"/>
        <w:rPr>
          <w:rFonts w:ascii="Arial" w:hAnsi="Arial" w:cs="Arial"/>
          <w:lang w:val="en-GB" w:eastAsia="en-GB"/>
        </w:rPr>
      </w:pPr>
      <w:r w:rsidRPr="00262CA6">
        <w:rPr>
          <w:rFonts w:ascii="Arial" w:hAnsi="Arial" w:cs="Arial"/>
          <w:lang w:val="en-GB" w:eastAsia="en-GB"/>
        </w:rPr>
        <w:t>Considering cultural and situational factors is critical for several reasons:</w:t>
      </w:r>
    </w:p>
    <w:p w14:paraId="280F2DD7" w14:textId="77777777" w:rsidR="00EA0743" w:rsidRPr="00262CA6" w:rsidRDefault="00EA0743" w:rsidP="00262CA6">
      <w:pPr>
        <w:pStyle w:val="ListParagraph"/>
        <w:numPr>
          <w:ilvl w:val="0"/>
          <w:numId w:val="37"/>
        </w:numPr>
        <w:spacing w:line="360" w:lineRule="auto"/>
        <w:rPr>
          <w:rFonts w:ascii="Arial" w:hAnsi="Arial" w:cs="Arial"/>
          <w:lang w:val="en-GB" w:eastAsia="en-GB"/>
        </w:rPr>
      </w:pPr>
      <w:r w:rsidRPr="00262CA6">
        <w:rPr>
          <w:rFonts w:ascii="Arial" w:hAnsi="Arial" w:cs="Arial"/>
          <w:lang w:val="en-GB" w:eastAsia="en-GB"/>
        </w:rPr>
        <w:lastRenderedPageBreak/>
        <w:t>Enhanced Engagement: Tailoring the expo to resonate with attendees' cultural preferences and interests enhances engagement and fosters a sense of connection and belonging among participants (Richards &amp; Palmer, 2010).</w:t>
      </w:r>
    </w:p>
    <w:p w14:paraId="695E49F9" w14:textId="77777777" w:rsidR="00EA0743" w:rsidRPr="00262CA6" w:rsidRDefault="00EA0743" w:rsidP="00262CA6">
      <w:pPr>
        <w:pStyle w:val="ListParagraph"/>
        <w:numPr>
          <w:ilvl w:val="0"/>
          <w:numId w:val="37"/>
        </w:numPr>
        <w:spacing w:line="360" w:lineRule="auto"/>
        <w:rPr>
          <w:rFonts w:ascii="Arial" w:hAnsi="Arial" w:cs="Arial"/>
          <w:lang w:val="en-GB" w:eastAsia="en-GB"/>
        </w:rPr>
      </w:pPr>
      <w:r w:rsidRPr="00262CA6">
        <w:rPr>
          <w:rFonts w:ascii="Arial" w:hAnsi="Arial" w:cs="Arial"/>
          <w:lang w:val="en-GB" w:eastAsia="en-GB"/>
        </w:rPr>
        <w:t>Respectful Representation: Demonstrating respect for cultural diversity and traditions through thoughtful programming and representation helps build trust and credibility with attendees and stakeholders (Silvers, 2010).</w:t>
      </w:r>
    </w:p>
    <w:p w14:paraId="6148D07D" w14:textId="77777777" w:rsidR="00EA0743" w:rsidRPr="00262CA6" w:rsidRDefault="00EA0743" w:rsidP="00262CA6">
      <w:pPr>
        <w:pStyle w:val="ListParagraph"/>
        <w:numPr>
          <w:ilvl w:val="0"/>
          <w:numId w:val="37"/>
        </w:numPr>
        <w:spacing w:line="360" w:lineRule="auto"/>
        <w:rPr>
          <w:rFonts w:ascii="Arial" w:hAnsi="Arial" w:cs="Arial"/>
          <w:lang w:val="en-GB" w:eastAsia="en-GB"/>
        </w:rPr>
      </w:pPr>
      <w:r w:rsidRPr="00262CA6">
        <w:rPr>
          <w:rFonts w:ascii="Arial" w:hAnsi="Arial" w:cs="Arial"/>
          <w:lang w:val="en-GB" w:eastAsia="en-GB"/>
        </w:rPr>
        <w:t>Legal Compliance: Adhering to local regulations and policies not only ensures the legality of the event but also mitigates the risk of fines, penalties, or legal challenges associated with non-compliance (Goldblatt, 2014).</w:t>
      </w:r>
    </w:p>
    <w:p w14:paraId="2CC43558" w14:textId="77777777" w:rsidR="00697037" w:rsidRDefault="00697037" w:rsidP="00262CA6">
      <w:pPr>
        <w:spacing w:line="360" w:lineRule="auto"/>
        <w:rPr>
          <w:rFonts w:ascii="Arial" w:hAnsi="Arial" w:cs="Arial"/>
          <w:lang w:val="en-GB" w:eastAsia="en-GB"/>
        </w:rPr>
      </w:pPr>
    </w:p>
    <w:p w14:paraId="7E54DDB3" w14:textId="77777777" w:rsidR="00262CA6" w:rsidRDefault="00262CA6" w:rsidP="00262CA6">
      <w:pPr>
        <w:spacing w:line="360" w:lineRule="auto"/>
        <w:rPr>
          <w:rFonts w:ascii="Arial" w:hAnsi="Arial" w:cs="Arial"/>
          <w:lang w:val="en-GB" w:eastAsia="en-GB"/>
        </w:rPr>
      </w:pPr>
    </w:p>
    <w:p w14:paraId="1E3C4314" w14:textId="77777777" w:rsidR="00262CA6" w:rsidRDefault="00262CA6" w:rsidP="00262CA6">
      <w:pPr>
        <w:spacing w:line="360" w:lineRule="auto"/>
        <w:rPr>
          <w:rFonts w:ascii="Arial" w:hAnsi="Arial" w:cs="Arial"/>
          <w:lang w:val="en-GB" w:eastAsia="en-GB"/>
        </w:rPr>
      </w:pPr>
    </w:p>
    <w:p w14:paraId="7CD12707" w14:textId="77777777" w:rsidR="00262CA6" w:rsidRDefault="00262CA6" w:rsidP="00262CA6">
      <w:pPr>
        <w:spacing w:line="360" w:lineRule="auto"/>
        <w:rPr>
          <w:rFonts w:ascii="Arial" w:hAnsi="Arial" w:cs="Arial"/>
          <w:lang w:val="en-GB" w:eastAsia="en-GB"/>
        </w:rPr>
      </w:pPr>
    </w:p>
    <w:p w14:paraId="007D7F3E" w14:textId="77777777" w:rsidR="002052E3" w:rsidRDefault="002052E3" w:rsidP="00262CA6">
      <w:pPr>
        <w:pStyle w:val="Heading1"/>
        <w:spacing w:line="360" w:lineRule="auto"/>
        <w:rPr>
          <w:rFonts w:ascii="Arial" w:hAnsi="Arial" w:cs="Arial"/>
          <w:sz w:val="24"/>
          <w:szCs w:val="24"/>
          <w:lang w:val="en-GB"/>
        </w:rPr>
      </w:pPr>
    </w:p>
    <w:p w14:paraId="4A29A611" w14:textId="77777777" w:rsidR="00262CA6" w:rsidRDefault="00262CA6" w:rsidP="00262CA6">
      <w:pPr>
        <w:rPr>
          <w:lang w:val="en-GB"/>
        </w:rPr>
      </w:pPr>
    </w:p>
    <w:p w14:paraId="0D9A88A9" w14:textId="77777777" w:rsidR="00262CA6" w:rsidRDefault="00262CA6" w:rsidP="00262CA6">
      <w:pPr>
        <w:rPr>
          <w:lang w:val="en-GB"/>
        </w:rPr>
      </w:pPr>
    </w:p>
    <w:p w14:paraId="5D2B89D1" w14:textId="77777777" w:rsidR="00262CA6" w:rsidRDefault="00262CA6" w:rsidP="00262CA6">
      <w:pPr>
        <w:rPr>
          <w:lang w:val="en-GB"/>
        </w:rPr>
      </w:pPr>
    </w:p>
    <w:p w14:paraId="0B305DC6" w14:textId="77777777" w:rsidR="00262CA6" w:rsidRDefault="00262CA6" w:rsidP="00262CA6">
      <w:pPr>
        <w:rPr>
          <w:lang w:val="en-GB"/>
        </w:rPr>
      </w:pPr>
    </w:p>
    <w:p w14:paraId="2698944C" w14:textId="77777777" w:rsidR="00262CA6" w:rsidRDefault="00262CA6" w:rsidP="00262CA6">
      <w:pPr>
        <w:rPr>
          <w:lang w:val="en-GB"/>
        </w:rPr>
      </w:pPr>
    </w:p>
    <w:p w14:paraId="67C31036" w14:textId="77777777" w:rsidR="00262CA6" w:rsidRDefault="00262CA6" w:rsidP="00262CA6">
      <w:pPr>
        <w:rPr>
          <w:lang w:val="en-GB"/>
        </w:rPr>
      </w:pPr>
    </w:p>
    <w:p w14:paraId="7A829FA3" w14:textId="77777777" w:rsidR="00262CA6" w:rsidRDefault="00262CA6" w:rsidP="00262CA6">
      <w:pPr>
        <w:rPr>
          <w:lang w:val="en-GB"/>
        </w:rPr>
      </w:pPr>
    </w:p>
    <w:p w14:paraId="43996FDD" w14:textId="77777777" w:rsidR="00262CA6" w:rsidRDefault="00262CA6" w:rsidP="00262CA6">
      <w:pPr>
        <w:rPr>
          <w:lang w:val="en-GB"/>
        </w:rPr>
      </w:pPr>
    </w:p>
    <w:p w14:paraId="799E0391" w14:textId="77777777" w:rsidR="00262CA6" w:rsidRDefault="00262CA6" w:rsidP="00262CA6">
      <w:pPr>
        <w:rPr>
          <w:lang w:val="en-GB"/>
        </w:rPr>
      </w:pPr>
    </w:p>
    <w:p w14:paraId="00703956" w14:textId="77777777" w:rsidR="00262CA6" w:rsidRDefault="00262CA6" w:rsidP="00262CA6">
      <w:pPr>
        <w:rPr>
          <w:lang w:val="en-GB"/>
        </w:rPr>
      </w:pPr>
    </w:p>
    <w:p w14:paraId="763AA26C" w14:textId="77777777" w:rsidR="00262CA6" w:rsidRDefault="00262CA6" w:rsidP="00262CA6">
      <w:pPr>
        <w:rPr>
          <w:lang w:val="en-GB"/>
        </w:rPr>
      </w:pPr>
    </w:p>
    <w:p w14:paraId="452121C3" w14:textId="77777777" w:rsidR="00262CA6" w:rsidRDefault="00262CA6" w:rsidP="00262CA6">
      <w:pPr>
        <w:rPr>
          <w:lang w:val="en-GB"/>
        </w:rPr>
      </w:pPr>
    </w:p>
    <w:p w14:paraId="1413B108" w14:textId="77777777" w:rsidR="00262CA6" w:rsidRDefault="00262CA6" w:rsidP="00262CA6">
      <w:pPr>
        <w:rPr>
          <w:lang w:val="en-GB"/>
        </w:rPr>
      </w:pPr>
    </w:p>
    <w:p w14:paraId="5D2114BE" w14:textId="77777777" w:rsidR="00262CA6" w:rsidRDefault="00262CA6" w:rsidP="00262CA6">
      <w:pPr>
        <w:rPr>
          <w:lang w:val="en-GB"/>
        </w:rPr>
      </w:pPr>
    </w:p>
    <w:p w14:paraId="16831B23" w14:textId="77777777" w:rsidR="00262CA6" w:rsidRDefault="00262CA6" w:rsidP="00262CA6">
      <w:pPr>
        <w:rPr>
          <w:lang w:val="en-GB"/>
        </w:rPr>
      </w:pPr>
    </w:p>
    <w:p w14:paraId="3613F59B" w14:textId="77777777" w:rsidR="00262CA6" w:rsidRDefault="00262CA6" w:rsidP="00262CA6">
      <w:pPr>
        <w:rPr>
          <w:lang w:val="en-GB"/>
        </w:rPr>
      </w:pPr>
    </w:p>
    <w:p w14:paraId="4C25A1D5" w14:textId="77777777" w:rsidR="00262CA6" w:rsidRDefault="00262CA6" w:rsidP="00262CA6">
      <w:pPr>
        <w:rPr>
          <w:lang w:val="en-GB"/>
        </w:rPr>
      </w:pPr>
    </w:p>
    <w:p w14:paraId="52243750" w14:textId="77777777" w:rsidR="00262CA6" w:rsidRDefault="00262CA6" w:rsidP="00262CA6">
      <w:pPr>
        <w:rPr>
          <w:lang w:val="en-GB"/>
        </w:rPr>
      </w:pPr>
    </w:p>
    <w:p w14:paraId="69B81D6C" w14:textId="77777777" w:rsidR="00262CA6" w:rsidRDefault="00262CA6" w:rsidP="00262CA6">
      <w:pPr>
        <w:rPr>
          <w:lang w:val="en-GB"/>
        </w:rPr>
      </w:pPr>
    </w:p>
    <w:p w14:paraId="567C4DFA" w14:textId="77777777" w:rsidR="00262CA6" w:rsidRDefault="00262CA6" w:rsidP="00262CA6">
      <w:pPr>
        <w:rPr>
          <w:lang w:val="en-GB"/>
        </w:rPr>
      </w:pPr>
    </w:p>
    <w:p w14:paraId="16ACE851" w14:textId="77777777" w:rsidR="00262CA6" w:rsidRDefault="00262CA6" w:rsidP="00262CA6">
      <w:pPr>
        <w:rPr>
          <w:lang w:val="en-GB"/>
        </w:rPr>
      </w:pPr>
    </w:p>
    <w:p w14:paraId="2FBE58B2" w14:textId="77777777" w:rsidR="00262CA6" w:rsidRPr="00262CA6" w:rsidRDefault="00262CA6" w:rsidP="00262CA6">
      <w:pPr>
        <w:rPr>
          <w:lang w:val="en-GB"/>
        </w:rPr>
      </w:pPr>
    </w:p>
    <w:p w14:paraId="07372E0C" w14:textId="77777777" w:rsidR="00262CA6" w:rsidRDefault="00262CA6" w:rsidP="00262CA6">
      <w:pPr>
        <w:rPr>
          <w:lang w:val="en-GB"/>
        </w:rPr>
      </w:pPr>
    </w:p>
    <w:p w14:paraId="4ED0AD35" w14:textId="77777777" w:rsidR="00262CA6" w:rsidRPr="00262CA6" w:rsidRDefault="00262CA6" w:rsidP="00262CA6">
      <w:pPr>
        <w:rPr>
          <w:lang w:val="en-GB"/>
        </w:rPr>
      </w:pPr>
    </w:p>
    <w:p w14:paraId="756174DE" w14:textId="5C31E07A" w:rsidR="00697037" w:rsidRPr="00262CA6" w:rsidRDefault="00697037" w:rsidP="00262CA6">
      <w:pPr>
        <w:pStyle w:val="Heading1"/>
        <w:spacing w:line="360" w:lineRule="auto"/>
        <w:rPr>
          <w:rFonts w:ascii="Arial" w:hAnsi="Arial" w:cs="Arial"/>
          <w:sz w:val="24"/>
          <w:szCs w:val="24"/>
          <w:lang w:val="en-GB"/>
        </w:rPr>
      </w:pPr>
      <w:bookmarkStart w:id="10" w:name="_Toc167016825"/>
      <w:r w:rsidRPr="00262CA6">
        <w:rPr>
          <w:rFonts w:ascii="Arial" w:hAnsi="Arial" w:cs="Arial"/>
          <w:sz w:val="24"/>
          <w:szCs w:val="24"/>
          <w:lang w:val="en-GB"/>
        </w:rPr>
        <w:lastRenderedPageBreak/>
        <w:t>Reference List</w:t>
      </w:r>
      <w:bookmarkEnd w:id="10"/>
      <w:r w:rsidRPr="00262CA6">
        <w:rPr>
          <w:rFonts w:ascii="Arial" w:hAnsi="Arial" w:cs="Arial"/>
          <w:sz w:val="24"/>
          <w:szCs w:val="24"/>
          <w:lang w:val="en-GB"/>
        </w:rPr>
        <w:t xml:space="preserve"> </w:t>
      </w:r>
    </w:p>
    <w:p w14:paraId="64578083" w14:textId="77777777" w:rsidR="002052E3" w:rsidRPr="00262CA6" w:rsidRDefault="002052E3" w:rsidP="00262CA6">
      <w:pPr>
        <w:spacing w:line="360" w:lineRule="auto"/>
        <w:rPr>
          <w:rFonts w:ascii="Arial" w:hAnsi="Arial" w:cs="Arial"/>
          <w:lang w:val="en-GB"/>
        </w:rPr>
      </w:pPr>
    </w:p>
    <w:p w14:paraId="0BDC52CD" w14:textId="77777777" w:rsidR="002052E3" w:rsidRPr="00262CA6" w:rsidRDefault="002052E3" w:rsidP="00262CA6">
      <w:pPr>
        <w:spacing w:line="360" w:lineRule="auto"/>
        <w:rPr>
          <w:rFonts w:ascii="Arial" w:hAnsi="Arial" w:cs="Arial"/>
          <w:lang w:val="en-GB" w:eastAsia="en-GB"/>
        </w:rPr>
      </w:pPr>
      <w:proofErr w:type="spellStart"/>
      <w:r w:rsidRPr="00262CA6">
        <w:rPr>
          <w:rFonts w:ascii="Arial" w:hAnsi="Arial" w:cs="Arial"/>
          <w:lang w:val="en-GB" w:eastAsia="en-GB"/>
        </w:rPr>
        <w:t>Bladen</w:t>
      </w:r>
      <w:proofErr w:type="spellEnd"/>
      <w:r w:rsidRPr="00262CA6">
        <w:rPr>
          <w:rFonts w:ascii="Arial" w:hAnsi="Arial" w:cs="Arial"/>
          <w:lang w:val="en-GB" w:eastAsia="en-GB"/>
        </w:rPr>
        <w:t xml:space="preserve">, C., </w:t>
      </w:r>
      <w:proofErr w:type="spellStart"/>
      <w:r w:rsidRPr="00262CA6">
        <w:rPr>
          <w:rFonts w:ascii="Arial" w:hAnsi="Arial" w:cs="Arial"/>
          <w:lang w:val="en-GB" w:eastAsia="en-GB"/>
        </w:rPr>
        <w:t>Kennell</w:t>
      </w:r>
      <w:proofErr w:type="spellEnd"/>
      <w:r w:rsidRPr="00262CA6">
        <w:rPr>
          <w:rFonts w:ascii="Arial" w:hAnsi="Arial" w:cs="Arial"/>
          <w:lang w:val="en-GB" w:eastAsia="en-GB"/>
        </w:rPr>
        <w:t xml:space="preserve">, J., </w:t>
      </w:r>
      <w:proofErr w:type="spellStart"/>
      <w:r w:rsidRPr="00262CA6">
        <w:rPr>
          <w:rFonts w:ascii="Arial" w:hAnsi="Arial" w:cs="Arial"/>
          <w:lang w:val="en-GB" w:eastAsia="en-GB"/>
        </w:rPr>
        <w:t>Abson</w:t>
      </w:r>
      <w:proofErr w:type="spellEnd"/>
      <w:r w:rsidRPr="00262CA6">
        <w:rPr>
          <w:rFonts w:ascii="Arial" w:hAnsi="Arial" w:cs="Arial"/>
          <w:lang w:val="en-GB" w:eastAsia="en-GB"/>
        </w:rPr>
        <w:t>, E., Wilde, N., &amp; Ferrari, E. (2012). Events management: An introduction. Routledge.</w:t>
      </w:r>
    </w:p>
    <w:p w14:paraId="2E5BEEB9" w14:textId="77777777" w:rsidR="002052E3" w:rsidRPr="00262CA6" w:rsidRDefault="002052E3" w:rsidP="00262CA6">
      <w:pPr>
        <w:spacing w:line="360" w:lineRule="auto"/>
        <w:rPr>
          <w:rFonts w:ascii="Arial" w:hAnsi="Arial" w:cs="Arial"/>
          <w:lang w:val="en-GB" w:eastAsia="en-GB"/>
        </w:rPr>
      </w:pPr>
    </w:p>
    <w:p w14:paraId="7BF5A624" w14:textId="77777777" w:rsidR="00EA0743" w:rsidRPr="00262CA6" w:rsidRDefault="00EA0743" w:rsidP="00262CA6">
      <w:pPr>
        <w:spacing w:line="360" w:lineRule="auto"/>
        <w:rPr>
          <w:rFonts w:ascii="Arial" w:hAnsi="Arial" w:cs="Arial"/>
          <w:lang w:val="en-GB" w:eastAsia="en-GB"/>
        </w:rPr>
      </w:pPr>
      <w:proofErr w:type="spellStart"/>
      <w:r w:rsidRPr="00262CA6">
        <w:rPr>
          <w:rFonts w:ascii="Arial" w:hAnsi="Arial" w:cs="Arial"/>
          <w:lang w:val="en-GB" w:eastAsia="en-GB"/>
        </w:rPr>
        <w:t>Bowdin</w:t>
      </w:r>
      <w:proofErr w:type="spellEnd"/>
      <w:r w:rsidRPr="00262CA6">
        <w:rPr>
          <w:rFonts w:ascii="Arial" w:hAnsi="Arial" w:cs="Arial"/>
          <w:lang w:val="en-GB" w:eastAsia="en-GB"/>
        </w:rPr>
        <w:t>, G., Allen, J., O'Toole, W., Harris, R., &amp; McDonnell, I. (2016). Events management. Routledge.</w:t>
      </w:r>
    </w:p>
    <w:p w14:paraId="364782CB" w14:textId="77777777" w:rsidR="002052E3" w:rsidRPr="00262CA6" w:rsidRDefault="002052E3" w:rsidP="00262CA6">
      <w:pPr>
        <w:spacing w:line="360" w:lineRule="auto"/>
        <w:rPr>
          <w:rFonts w:ascii="Arial" w:hAnsi="Arial" w:cs="Arial"/>
          <w:lang w:val="en-GB" w:eastAsia="en-GB"/>
        </w:rPr>
      </w:pPr>
    </w:p>
    <w:p w14:paraId="2E7228B5" w14:textId="77777777" w:rsidR="002052E3" w:rsidRPr="00262CA6" w:rsidRDefault="002052E3" w:rsidP="00262CA6">
      <w:pPr>
        <w:spacing w:line="360" w:lineRule="auto"/>
        <w:rPr>
          <w:rFonts w:ascii="Arial" w:hAnsi="Arial" w:cs="Arial"/>
          <w:lang w:eastAsia="en-GB"/>
        </w:rPr>
      </w:pPr>
      <w:r w:rsidRPr="002052E3">
        <w:rPr>
          <w:rFonts w:ascii="Arial" w:hAnsi="Arial" w:cs="Arial"/>
          <w:lang w:eastAsia="en-GB"/>
        </w:rPr>
        <w:t>Catherwood, D. (2016). The principles of logistics management. Routledge.</w:t>
      </w:r>
    </w:p>
    <w:p w14:paraId="4C7D9792" w14:textId="77777777" w:rsidR="002052E3" w:rsidRPr="002052E3" w:rsidRDefault="002052E3" w:rsidP="00262CA6">
      <w:pPr>
        <w:spacing w:line="360" w:lineRule="auto"/>
        <w:rPr>
          <w:rFonts w:ascii="Arial" w:hAnsi="Arial" w:cs="Arial"/>
          <w:lang w:eastAsia="en-GB"/>
        </w:rPr>
      </w:pPr>
    </w:p>
    <w:p w14:paraId="6C9061F9" w14:textId="77777777" w:rsidR="002052E3" w:rsidRPr="00262CA6" w:rsidRDefault="002052E3" w:rsidP="00262CA6">
      <w:pPr>
        <w:spacing w:line="360" w:lineRule="auto"/>
        <w:rPr>
          <w:rFonts w:ascii="Arial" w:hAnsi="Arial" w:cs="Arial"/>
          <w:lang w:eastAsia="en-GB"/>
        </w:rPr>
      </w:pPr>
      <w:r w:rsidRPr="002052E3">
        <w:rPr>
          <w:rFonts w:ascii="Arial" w:hAnsi="Arial" w:cs="Arial"/>
          <w:lang w:eastAsia="en-GB"/>
        </w:rPr>
        <w:t>Ferdinand, N. (2019). Event tech trends: What’s next in event technology. Eventbrite.</w:t>
      </w:r>
    </w:p>
    <w:p w14:paraId="0E566C39" w14:textId="77777777" w:rsidR="002052E3" w:rsidRPr="002052E3" w:rsidRDefault="002052E3" w:rsidP="00262CA6">
      <w:pPr>
        <w:spacing w:line="360" w:lineRule="auto"/>
        <w:rPr>
          <w:rFonts w:ascii="Arial" w:hAnsi="Arial" w:cs="Arial"/>
          <w:lang w:eastAsia="en-GB"/>
        </w:rPr>
      </w:pPr>
    </w:p>
    <w:p w14:paraId="5B0D23AC" w14:textId="77777777" w:rsidR="002052E3" w:rsidRPr="00262CA6" w:rsidRDefault="002052E3" w:rsidP="00262CA6">
      <w:pPr>
        <w:spacing w:line="360" w:lineRule="auto"/>
        <w:rPr>
          <w:rFonts w:ascii="Arial" w:hAnsi="Arial" w:cs="Arial"/>
        </w:rPr>
      </w:pPr>
      <w:r w:rsidRPr="00EA0743">
        <w:rPr>
          <w:rFonts w:ascii="Arial" w:hAnsi="Arial" w:cs="Arial"/>
          <w:lang w:val="en-GB" w:eastAsia="en-GB"/>
        </w:rPr>
        <w:t>Getz, D. (2012). Event studies: Theory, research, and policy for planned events. Routledge.</w:t>
      </w:r>
    </w:p>
    <w:p w14:paraId="777877D5" w14:textId="77777777" w:rsidR="002052E3" w:rsidRPr="00EA0743" w:rsidRDefault="002052E3" w:rsidP="00262CA6">
      <w:pPr>
        <w:spacing w:line="360" w:lineRule="auto"/>
        <w:rPr>
          <w:rFonts w:ascii="Arial" w:hAnsi="Arial" w:cs="Arial"/>
          <w:lang w:val="en-GB" w:eastAsia="en-GB"/>
        </w:rPr>
      </w:pPr>
    </w:p>
    <w:p w14:paraId="32CD5E87" w14:textId="77777777" w:rsidR="00EA0743" w:rsidRPr="00262CA6" w:rsidRDefault="00EA0743" w:rsidP="00262CA6">
      <w:pPr>
        <w:spacing w:line="360" w:lineRule="auto"/>
        <w:rPr>
          <w:rFonts w:ascii="Arial" w:hAnsi="Arial" w:cs="Arial"/>
          <w:lang w:val="en-GB" w:eastAsia="en-GB"/>
        </w:rPr>
      </w:pPr>
      <w:r w:rsidRPr="00262CA6">
        <w:rPr>
          <w:rFonts w:ascii="Arial" w:hAnsi="Arial" w:cs="Arial"/>
          <w:lang w:val="en-GB" w:eastAsia="en-GB"/>
        </w:rPr>
        <w:t>Goldblatt, J. (2014). Special events: The roots and wings of celebration. John Wiley &amp; Sons.</w:t>
      </w:r>
    </w:p>
    <w:p w14:paraId="03F443E8" w14:textId="77777777" w:rsidR="002052E3" w:rsidRPr="00262CA6" w:rsidRDefault="002052E3" w:rsidP="00262CA6">
      <w:pPr>
        <w:spacing w:line="360" w:lineRule="auto"/>
        <w:rPr>
          <w:rFonts w:ascii="Arial" w:hAnsi="Arial" w:cs="Arial"/>
          <w:lang w:val="en-GB" w:eastAsia="en-GB"/>
        </w:rPr>
      </w:pPr>
    </w:p>
    <w:p w14:paraId="0B755F59" w14:textId="77777777" w:rsidR="002052E3" w:rsidRPr="00262CA6" w:rsidRDefault="002052E3" w:rsidP="00262CA6">
      <w:pPr>
        <w:spacing w:line="360" w:lineRule="auto"/>
        <w:rPr>
          <w:rFonts w:ascii="Arial" w:hAnsi="Arial" w:cs="Arial"/>
          <w:lang w:eastAsia="en-GB"/>
        </w:rPr>
      </w:pPr>
      <w:r w:rsidRPr="002052E3">
        <w:rPr>
          <w:rFonts w:ascii="Arial" w:hAnsi="Arial" w:cs="Arial"/>
          <w:lang w:eastAsia="en-GB"/>
        </w:rPr>
        <w:t>Harrison, R. (2014). Strategic project management: Contemporary issues and strategies for developing economies. Routledge.</w:t>
      </w:r>
    </w:p>
    <w:p w14:paraId="2DD889D6" w14:textId="77777777" w:rsidR="00262CA6" w:rsidRPr="002052E3" w:rsidRDefault="00262CA6" w:rsidP="00262CA6">
      <w:pPr>
        <w:spacing w:line="360" w:lineRule="auto"/>
        <w:rPr>
          <w:rFonts w:ascii="Arial" w:hAnsi="Arial" w:cs="Arial"/>
          <w:lang w:eastAsia="en-GB"/>
        </w:rPr>
      </w:pPr>
    </w:p>
    <w:p w14:paraId="7379B019" w14:textId="77777777" w:rsidR="00262CA6" w:rsidRPr="00262CA6" w:rsidRDefault="00262CA6" w:rsidP="00262CA6">
      <w:pPr>
        <w:spacing w:line="360" w:lineRule="auto"/>
        <w:rPr>
          <w:rFonts w:ascii="Arial" w:hAnsi="Arial" w:cs="Arial"/>
          <w:lang w:eastAsia="en-GB"/>
        </w:rPr>
      </w:pPr>
      <w:r w:rsidRPr="00262CA6">
        <w:rPr>
          <w:rFonts w:ascii="Arial" w:hAnsi="Arial" w:cs="Arial"/>
          <w:lang w:eastAsia="en-GB"/>
        </w:rPr>
        <w:t>Rogers, T. (2020). Event Safety and Security: Planning and Management. John Wiley &amp; Sons.</w:t>
      </w:r>
    </w:p>
    <w:p w14:paraId="6357E2DD" w14:textId="77777777" w:rsidR="00262CA6" w:rsidRPr="00262CA6" w:rsidRDefault="00262CA6" w:rsidP="00262CA6">
      <w:pPr>
        <w:spacing w:line="360" w:lineRule="auto"/>
        <w:rPr>
          <w:rFonts w:ascii="Arial" w:hAnsi="Arial" w:cs="Arial"/>
          <w:lang w:eastAsia="en-GB"/>
        </w:rPr>
      </w:pPr>
    </w:p>
    <w:p w14:paraId="6FE26E38" w14:textId="77777777" w:rsidR="00262CA6" w:rsidRPr="00262CA6" w:rsidRDefault="00262CA6" w:rsidP="00262CA6">
      <w:pPr>
        <w:spacing w:line="360" w:lineRule="auto"/>
        <w:rPr>
          <w:rFonts w:ascii="Arial" w:hAnsi="Arial" w:cs="Arial"/>
          <w:lang w:val="en-GB" w:eastAsia="en-GB"/>
        </w:rPr>
      </w:pPr>
      <w:r w:rsidRPr="00262CA6">
        <w:rPr>
          <w:rFonts w:ascii="Arial" w:hAnsi="Arial" w:cs="Arial"/>
          <w:lang w:val="en-GB" w:eastAsia="en-GB"/>
        </w:rPr>
        <w:t>Shone, A., &amp; Parry, B. (2010). Successful event management: A practical handbook. Cengage Learning EMEA.</w:t>
      </w:r>
    </w:p>
    <w:p w14:paraId="641CBC3C" w14:textId="77777777" w:rsidR="00262CA6" w:rsidRPr="00262CA6" w:rsidRDefault="00262CA6" w:rsidP="00262CA6">
      <w:pPr>
        <w:spacing w:line="360" w:lineRule="auto"/>
        <w:rPr>
          <w:rFonts w:ascii="Arial" w:hAnsi="Arial" w:cs="Arial"/>
          <w:lang w:val="en-GB" w:eastAsia="en-GB"/>
        </w:rPr>
      </w:pPr>
    </w:p>
    <w:p w14:paraId="0C058BF8" w14:textId="77777777" w:rsidR="00262CA6" w:rsidRPr="00262CA6" w:rsidRDefault="00262CA6" w:rsidP="00262CA6">
      <w:pPr>
        <w:spacing w:line="360" w:lineRule="auto"/>
        <w:rPr>
          <w:rFonts w:ascii="Arial" w:hAnsi="Arial" w:cs="Arial"/>
          <w:lang w:val="en-GB" w:eastAsia="en-GB"/>
        </w:rPr>
      </w:pPr>
      <w:r w:rsidRPr="00EA0743">
        <w:rPr>
          <w:rFonts w:ascii="Arial" w:hAnsi="Arial" w:cs="Arial"/>
          <w:lang w:val="en-GB" w:eastAsia="en-GB"/>
        </w:rPr>
        <w:t>Silvers, J. R. (2010). Cultural tourism: A strategic focus. Butterworth-Heinemann.</w:t>
      </w:r>
    </w:p>
    <w:p w14:paraId="764959AA" w14:textId="77777777" w:rsidR="00262CA6" w:rsidRPr="00262CA6" w:rsidRDefault="00262CA6" w:rsidP="00262CA6">
      <w:pPr>
        <w:spacing w:line="360" w:lineRule="auto"/>
        <w:rPr>
          <w:rFonts w:ascii="Arial" w:hAnsi="Arial" w:cs="Arial"/>
          <w:lang w:val="en-GB" w:eastAsia="en-GB"/>
        </w:rPr>
      </w:pPr>
    </w:p>
    <w:p w14:paraId="1E6591EA" w14:textId="77777777" w:rsidR="00262CA6" w:rsidRPr="00262CA6" w:rsidRDefault="00262CA6" w:rsidP="00262CA6">
      <w:pPr>
        <w:spacing w:line="360" w:lineRule="auto"/>
        <w:rPr>
          <w:rFonts w:ascii="Arial" w:hAnsi="Arial" w:cs="Arial"/>
          <w:lang w:eastAsia="en-GB"/>
        </w:rPr>
      </w:pPr>
      <w:r w:rsidRPr="00262CA6">
        <w:rPr>
          <w:rFonts w:ascii="Arial" w:hAnsi="Arial" w:cs="Arial"/>
          <w:lang w:eastAsia="en-GB"/>
        </w:rPr>
        <w:t>Sobel, K. (2017). The Business of Event Planning: Behind-the-Scenes Secrets of Successful Special Events. AMACOM.</w:t>
      </w:r>
    </w:p>
    <w:p w14:paraId="500CE92A" w14:textId="77777777" w:rsidR="00262CA6" w:rsidRPr="00262CA6" w:rsidRDefault="00262CA6" w:rsidP="00262CA6">
      <w:pPr>
        <w:spacing w:line="360" w:lineRule="auto"/>
        <w:rPr>
          <w:rFonts w:ascii="Arial" w:hAnsi="Arial" w:cs="Arial"/>
          <w:lang w:eastAsia="en-GB"/>
        </w:rPr>
      </w:pPr>
    </w:p>
    <w:p w14:paraId="399B87F6" w14:textId="77777777" w:rsidR="00262CA6" w:rsidRPr="00262CA6" w:rsidRDefault="00262CA6" w:rsidP="00262CA6">
      <w:pPr>
        <w:spacing w:line="360" w:lineRule="auto"/>
        <w:rPr>
          <w:rFonts w:ascii="Arial" w:hAnsi="Arial" w:cs="Arial"/>
          <w:lang w:eastAsia="en-GB"/>
        </w:rPr>
      </w:pPr>
      <w:r w:rsidRPr="00262CA6">
        <w:rPr>
          <w:rFonts w:ascii="Arial" w:hAnsi="Arial" w:cs="Arial"/>
          <w:lang w:eastAsia="en-GB"/>
        </w:rPr>
        <w:t>Stephens, J. (2016). The Rise of the Hybrid Event: Combining Physical and Virtual Events to Reach More People. Eventbrite.</w:t>
      </w:r>
    </w:p>
    <w:p w14:paraId="1CA9B6E4" w14:textId="77777777" w:rsidR="00262CA6" w:rsidRPr="00262CA6" w:rsidRDefault="00262CA6" w:rsidP="00262CA6">
      <w:pPr>
        <w:spacing w:line="360" w:lineRule="auto"/>
        <w:rPr>
          <w:rFonts w:ascii="Arial" w:hAnsi="Arial" w:cs="Arial"/>
          <w:lang w:eastAsia="en-GB"/>
        </w:rPr>
      </w:pPr>
    </w:p>
    <w:p w14:paraId="1EBBCCEC" w14:textId="77777777" w:rsidR="00262CA6" w:rsidRPr="00262CA6" w:rsidRDefault="00262CA6" w:rsidP="00262CA6">
      <w:pPr>
        <w:spacing w:line="360" w:lineRule="auto"/>
        <w:rPr>
          <w:rFonts w:ascii="Arial" w:hAnsi="Arial" w:cs="Arial"/>
          <w:lang w:eastAsia="en-GB"/>
        </w:rPr>
      </w:pPr>
      <w:r w:rsidRPr="00262CA6">
        <w:rPr>
          <w:rFonts w:ascii="Arial" w:hAnsi="Arial" w:cs="Arial"/>
          <w:lang w:eastAsia="en-GB"/>
        </w:rPr>
        <w:t>Walters, T. (2016). Sustainable Event Management: A Practical Guide. Routledge.</w:t>
      </w:r>
    </w:p>
    <w:p w14:paraId="08BC3679" w14:textId="77777777" w:rsidR="00262CA6" w:rsidRPr="00262CA6" w:rsidRDefault="00262CA6" w:rsidP="00262CA6">
      <w:pPr>
        <w:spacing w:line="360" w:lineRule="auto"/>
        <w:rPr>
          <w:rFonts w:ascii="Arial" w:hAnsi="Arial" w:cs="Arial"/>
          <w:lang w:eastAsia="en-GB"/>
        </w:rPr>
      </w:pPr>
    </w:p>
    <w:p w14:paraId="25B14A6F" w14:textId="35DA09F1" w:rsidR="00262CA6" w:rsidRPr="00262CA6" w:rsidRDefault="00262CA6" w:rsidP="00262CA6">
      <w:pPr>
        <w:spacing w:line="360" w:lineRule="auto"/>
        <w:rPr>
          <w:rFonts w:ascii="Arial" w:hAnsi="Arial" w:cs="Arial"/>
          <w:lang w:eastAsia="en-GB"/>
        </w:rPr>
      </w:pPr>
      <w:r w:rsidRPr="00262CA6">
        <w:rPr>
          <w:rFonts w:ascii="Arial" w:hAnsi="Arial" w:cs="Arial"/>
          <w:lang w:eastAsia="en-GB"/>
        </w:rPr>
        <w:t>Williams, S. (2019). Event Management and Sustainability. Routledge.</w:t>
      </w:r>
    </w:p>
    <w:p w14:paraId="349CF1B4" w14:textId="77777777" w:rsidR="002052E3" w:rsidRPr="00262CA6" w:rsidRDefault="002052E3" w:rsidP="00262CA6">
      <w:pPr>
        <w:spacing w:line="360" w:lineRule="auto"/>
        <w:rPr>
          <w:rFonts w:ascii="Arial" w:hAnsi="Arial" w:cs="Arial"/>
        </w:rPr>
      </w:pPr>
    </w:p>
    <w:p w14:paraId="1F754B46" w14:textId="3A1D10AC" w:rsidR="00BE0DE3" w:rsidRPr="00262CA6" w:rsidRDefault="002052E3" w:rsidP="00262CA6">
      <w:pPr>
        <w:spacing w:line="360" w:lineRule="auto"/>
        <w:rPr>
          <w:rFonts w:ascii="Arial" w:hAnsi="Arial" w:cs="Arial"/>
          <w:lang w:eastAsia="en-GB"/>
        </w:rPr>
      </w:pPr>
      <w:r w:rsidRPr="002052E3">
        <w:rPr>
          <w:rFonts w:ascii="Arial" w:hAnsi="Arial" w:cs="Arial"/>
          <w:lang w:eastAsia="en-GB"/>
        </w:rPr>
        <w:t>Watt, D. C., &amp; Getz, D. (2005). Event studies: Theory, research, and policy for planned events. Routledge.</w:t>
      </w:r>
    </w:p>
    <w:sectPr w:rsidR="00BE0DE3" w:rsidRPr="00262C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6782A"/>
    <w:multiLevelType w:val="hybridMultilevel"/>
    <w:tmpl w:val="5BDA1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243BB4"/>
    <w:multiLevelType w:val="multilevel"/>
    <w:tmpl w:val="738EB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A338AA"/>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24623D"/>
    <w:multiLevelType w:val="hybridMultilevel"/>
    <w:tmpl w:val="03227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C622B3"/>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114E1C"/>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8D6D0E"/>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C46AE7"/>
    <w:multiLevelType w:val="multilevel"/>
    <w:tmpl w:val="C1C2D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0133FA"/>
    <w:multiLevelType w:val="multilevel"/>
    <w:tmpl w:val="731C9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943BF1"/>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232BA1"/>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7F58B4"/>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A27E7E"/>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9653DF"/>
    <w:multiLevelType w:val="multilevel"/>
    <w:tmpl w:val="D0BEA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53266F"/>
    <w:multiLevelType w:val="hybridMultilevel"/>
    <w:tmpl w:val="7150AA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893429"/>
    <w:multiLevelType w:val="multilevel"/>
    <w:tmpl w:val="16C611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96C2803"/>
    <w:multiLevelType w:val="multilevel"/>
    <w:tmpl w:val="16C611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D94954"/>
    <w:multiLevelType w:val="hybridMultilevel"/>
    <w:tmpl w:val="CA141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9A6271"/>
    <w:multiLevelType w:val="multilevel"/>
    <w:tmpl w:val="A2E00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7F324C"/>
    <w:multiLevelType w:val="hybridMultilevel"/>
    <w:tmpl w:val="9368A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7E725C"/>
    <w:multiLevelType w:val="hybridMultilevel"/>
    <w:tmpl w:val="63BC8C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6E52AC"/>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4455F2"/>
    <w:multiLevelType w:val="hybridMultilevel"/>
    <w:tmpl w:val="C68A3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7F2AA2"/>
    <w:multiLevelType w:val="hybridMultilevel"/>
    <w:tmpl w:val="84EA7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DA4387"/>
    <w:multiLevelType w:val="hybridMultilevel"/>
    <w:tmpl w:val="8D2086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6E7FCF"/>
    <w:multiLevelType w:val="multilevel"/>
    <w:tmpl w:val="EDC8C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D230C1"/>
    <w:multiLevelType w:val="hybridMultilevel"/>
    <w:tmpl w:val="3028D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5B3EBC"/>
    <w:multiLevelType w:val="hybridMultilevel"/>
    <w:tmpl w:val="C554A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191A9B"/>
    <w:multiLevelType w:val="hybridMultilevel"/>
    <w:tmpl w:val="97CE34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BE252B"/>
    <w:multiLevelType w:val="multilevel"/>
    <w:tmpl w:val="5BECC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B10344"/>
    <w:multiLevelType w:val="hybridMultilevel"/>
    <w:tmpl w:val="0E063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7A2858"/>
    <w:multiLevelType w:val="hybridMultilevel"/>
    <w:tmpl w:val="D0A24D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BC3706"/>
    <w:multiLevelType w:val="hybridMultilevel"/>
    <w:tmpl w:val="9F74B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CC0963"/>
    <w:multiLevelType w:val="hybridMultilevel"/>
    <w:tmpl w:val="AA18D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6F0CC7"/>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DC03309"/>
    <w:multiLevelType w:val="multilevel"/>
    <w:tmpl w:val="2BD29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7C1E87"/>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AAF53DB"/>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CFF270A"/>
    <w:multiLevelType w:val="multilevel"/>
    <w:tmpl w:val="A6F8E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17354">
    <w:abstractNumId w:val="36"/>
  </w:num>
  <w:num w:numId="2" w16cid:durableId="444083011">
    <w:abstractNumId w:val="2"/>
  </w:num>
  <w:num w:numId="3" w16cid:durableId="1861164404">
    <w:abstractNumId w:val="38"/>
  </w:num>
  <w:num w:numId="4" w16cid:durableId="812328277">
    <w:abstractNumId w:val="15"/>
  </w:num>
  <w:num w:numId="5" w16cid:durableId="1692339619">
    <w:abstractNumId w:val="1"/>
  </w:num>
  <w:num w:numId="6" w16cid:durableId="1345401953">
    <w:abstractNumId w:val="16"/>
  </w:num>
  <w:num w:numId="7" w16cid:durableId="552153990">
    <w:abstractNumId w:val="25"/>
  </w:num>
  <w:num w:numId="8" w16cid:durableId="472678342">
    <w:abstractNumId w:val="37"/>
  </w:num>
  <w:num w:numId="9" w16cid:durableId="817379896">
    <w:abstractNumId w:val="9"/>
  </w:num>
  <w:num w:numId="10" w16cid:durableId="1121724324">
    <w:abstractNumId w:val="35"/>
  </w:num>
  <w:num w:numId="11" w16cid:durableId="1142111555">
    <w:abstractNumId w:val="4"/>
  </w:num>
  <w:num w:numId="12" w16cid:durableId="1708793270">
    <w:abstractNumId w:val="21"/>
  </w:num>
  <w:num w:numId="13" w16cid:durableId="231816770">
    <w:abstractNumId w:val="7"/>
  </w:num>
  <w:num w:numId="14" w16cid:durableId="470441561">
    <w:abstractNumId w:val="11"/>
  </w:num>
  <w:num w:numId="15" w16cid:durableId="1049650712">
    <w:abstractNumId w:val="5"/>
  </w:num>
  <w:num w:numId="16" w16cid:durableId="1626160943">
    <w:abstractNumId w:val="6"/>
  </w:num>
  <w:num w:numId="17" w16cid:durableId="840505445">
    <w:abstractNumId w:val="18"/>
  </w:num>
  <w:num w:numId="18" w16cid:durableId="508954431">
    <w:abstractNumId w:val="10"/>
  </w:num>
  <w:num w:numId="19" w16cid:durableId="641888802">
    <w:abstractNumId w:val="12"/>
  </w:num>
  <w:num w:numId="20" w16cid:durableId="1435899740">
    <w:abstractNumId w:val="34"/>
  </w:num>
  <w:num w:numId="21" w16cid:durableId="1561214505">
    <w:abstractNumId w:val="29"/>
  </w:num>
  <w:num w:numId="22" w16cid:durableId="1562254063">
    <w:abstractNumId w:val="32"/>
  </w:num>
  <w:num w:numId="23" w16cid:durableId="879781365">
    <w:abstractNumId w:val="20"/>
  </w:num>
  <w:num w:numId="24" w16cid:durableId="1006790744">
    <w:abstractNumId w:val="19"/>
  </w:num>
  <w:num w:numId="25" w16cid:durableId="1819104408">
    <w:abstractNumId w:val="3"/>
  </w:num>
  <w:num w:numId="26" w16cid:durableId="149373137">
    <w:abstractNumId w:val="26"/>
  </w:num>
  <w:num w:numId="27" w16cid:durableId="1683125304">
    <w:abstractNumId w:val="30"/>
  </w:num>
  <w:num w:numId="28" w16cid:durableId="668756633">
    <w:abstractNumId w:val="23"/>
  </w:num>
  <w:num w:numId="29" w16cid:durableId="342631178">
    <w:abstractNumId w:val="33"/>
  </w:num>
  <w:num w:numId="30" w16cid:durableId="43333457">
    <w:abstractNumId w:val="24"/>
  </w:num>
  <w:num w:numId="31" w16cid:durableId="5249447">
    <w:abstractNumId w:val="27"/>
  </w:num>
  <w:num w:numId="32" w16cid:durableId="1752970872">
    <w:abstractNumId w:val="22"/>
  </w:num>
  <w:num w:numId="33" w16cid:durableId="1054885394">
    <w:abstractNumId w:val="28"/>
  </w:num>
  <w:num w:numId="34" w16cid:durableId="1826428861">
    <w:abstractNumId w:val="31"/>
  </w:num>
  <w:num w:numId="35" w16cid:durableId="88963534">
    <w:abstractNumId w:val="14"/>
  </w:num>
  <w:num w:numId="36" w16cid:durableId="1044017629">
    <w:abstractNumId w:val="0"/>
  </w:num>
  <w:num w:numId="37" w16cid:durableId="78411565">
    <w:abstractNumId w:val="17"/>
  </w:num>
  <w:num w:numId="38" w16cid:durableId="445198933">
    <w:abstractNumId w:val="13"/>
  </w:num>
  <w:num w:numId="39" w16cid:durableId="128519126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037"/>
    <w:rsid w:val="002052E3"/>
    <w:rsid w:val="00262CA6"/>
    <w:rsid w:val="003E71FF"/>
    <w:rsid w:val="0053389E"/>
    <w:rsid w:val="00697037"/>
    <w:rsid w:val="00BE0DE3"/>
    <w:rsid w:val="00EA0743"/>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45E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074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71F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9703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3389E"/>
    <w:rPr>
      <w:b/>
      <w:bCs/>
    </w:rPr>
  </w:style>
  <w:style w:type="character" w:customStyle="1" w:styleId="Heading1Char">
    <w:name w:val="Heading 1 Char"/>
    <w:basedOn w:val="DefaultParagraphFont"/>
    <w:link w:val="Heading1"/>
    <w:uiPriority w:val="9"/>
    <w:rsid w:val="00EA074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A0743"/>
    <w:pPr>
      <w:ind w:left="720"/>
      <w:contextualSpacing/>
    </w:pPr>
  </w:style>
  <w:style w:type="character" w:customStyle="1" w:styleId="Heading2Char">
    <w:name w:val="Heading 2 Char"/>
    <w:basedOn w:val="DefaultParagraphFont"/>
    <w:link w:val="Heading2"/>
    <w:uiPriority w:val="9"/>
    <w:rsid w:val="003E71F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62CA6"/>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62CA6"/>
    <w:pPr>
      <w:spacing w:before="120"/>
    </w:pPr>
    <w:rPr>
      <w:rFonts w:cstheme="minorHAnsi"/>
      <w:b/>
      <w:bCs/>
      <w:i/>
      <w:iCs/>
    </w:rPr>
  </w:style>
  <w:style w:type="paragraph" w:styleId="TOC2">
    <w:name w:val="toc 2"/>
    <w:basedOn w:val="Normal"/>
    <w:next w:val="Normal"/>
    <w:autoRedefine/>
    <w:uiPriority w:val="39"/>
    <w:unhideWhenUsed/>
    <w:rsid w:val="00262CA6"/>
    <w:pPr>
      <w:spacing w:before="120"/>
      <w:ind w:left="240"/>
    </w:pPr>
    <w:rPr>
      <w:rFonts w:cstheme="minorHAnsi"/>
      <w:b/>
      <w:bCs/>
      <w:sz w:val="22"/>
      <w:szCs w:val="22"/>
    </w:rPr>
  </w:style>
  <w:style w:type="character" w:styleId="Hyperlink">
    <w:name w:val="Hyperlink"/>
    <w:basedOn w:val="DefaultParagraphFont"/>
    <w:uiPriority w:val="99"/>
    <w:unhideWhenUsed/>
    <w:rsid w:val="00262CA6"/>
    <w:rPr>
      <w:color w:val="0563C1" w:themeColor="hyperlink"/>
      <w:u w:val="single"/>
    </w:rPr>
  </w:style>
  <w:style w:type="paragraph" w:styleId="TOC3">
    <w:name w:val="toc 3"/>
    <w:basedOn w:val="Normal"/>
    <w:next w:val="Normal"/>
    <w:autoRedefine/>
    <w:uiPriority w:val="39"/>
    <w:semiHidden/>
    <w:unhideWhenUsed/>
    <w:rsid w:val="00262CA6"/>
    <w:pPr>
      <w:ind w:left="480"/>
    </w:pPr>
    <w:rPr>
      <w:rFonts w:cstheme="minorHAnsi"/>
      <w:sz w:val="20"/>
      <w:szCs w:val="20"/>
    </w:rPr>
  </w:style>
  <w:style w:type="paragraph" w:styleId="TOC4">
    <w:name w:val="toc 4"/>
    <w:basedOn w:val="Normal"/>
    <w:next w:val="Normal"/>
    <w:autoRedefine/>
    <w:uiPriority w:val="39"/>
    <w:semiHidden/>
    <w:unhideWhenUsed/>
    <w:rsid w:val="00262CA6"/>
    <w:pPr>
      <w:ind w:left="720"/>
    </w:pPr>
    <w:rPr>
      <w:rFonts w:cstheme="minorHAnsi"/>
      <w:sz w:val="20"/>
      <w:szCs w:val="20"/>
    </w:rPr>
  </w:style>
  <w:style w:type="paragraph" w:styleId="TOC5">
    <w:name w:val="toc 5"/>
    <w:basedOn w:val="Normal"/>
    <w:next w:val="Normal"/>
    <w:autoRedefine/>
    <w:uiPriority w:val="39"/>
    <w:semiHidden/>
    <w:unhideWhenUsed/>
    <w:rsid w:val="00262CA6"/>
    <w:pPr>
      <w:ind w:left="960"/>
    </w:pPr>
    <w:rPr>
      <w:rFonts w:cstheme="minorHAnsi"/>
      <w:sz w:val="20"/>
      <w:szCs w:val="20"/>
    </w:rPr>
  </w:style>
  <w:style w:type="paragraph" w:styleId="TOC6">
    <w:name w:val="toc 6"/>
    <w:basedOn w:val="Normal"/>
    <w:next w:val="Normal"/>
    <w:autoRedefine/>
    <w:uiPriority w:val="39"/>
    <w:semiHidden/>
    <w:unhideWhenUsed/>
    <w:rsid w:val="00262CA6"/>
    <w:pPr>
      <w:ind w:left="1200"/>
    </w:pPr>
    <w:rPr>
      <w:rFonts w:cstheme="minorHAnsi"/>
      <w:sz w:val="20"/>
      <w:szCs w:val="20"/>
    </w:rPr>
  </w:style>
  <w:style w:type="paragraph" w:styleId="TOC7">
    <w:name w:val="toc 7"/>
    <w:basedOn w:val="Normal"/>
    <w:next w:val="Normal"/>
    <w:autoRedefine/>
    <w:uiPriority w:val="39"/>
    <w:semiHidden/>
    <w:unhideWhenUsed/>
    <w:rsid w:val="00262CA6"/>
    <w:pPr>
      <w:ind w:left="1440"/>
    </w:pPr>
    <w:rPr>
      <w:rFonts w:cstheme="minorHAnsi"/>
      <w:sz w:val="20"/>
      <w:szCs w:val="20"/>
    </w:rPr>
  </w:style>
  <w:style w:type="paragraph" w:styleId="TOC8">
    <w:name w:val="toc 8"/>
    <w:basedOn w:val="Normal"/>
    <w:next w:val="Normal"/>
    <w:autoRedefine/>
    <w:uiPriority w:val="39"/>
    <w:semiHidden/>
    <w:unhideWhenUsed/>
    <w:rsid w:val="00262CA6"/>
    <w:pPr>
      <w:ind w:left="1680"/>
    </w:pPr>
    <w:rPr>
      <w:rFonts w:cstheme="minorHAnsi"/>
      <w:sz w:val="20"/>
      <w:szCs w:val="20"/>
    </w:rPr>
  </w:style>
  <w:style w:type="paragraph" w:styleId="TOC9">
    <w:name w:val="toc 9"/>
    <w:basedOn w:val="Normal"/>
    <w:next w:val="Normal"/>
    <w:autoRedefine/>
    <w:uiPriority w:val="39"/>
    <w:semiHidden/>
    <w:unhideWhenUsed/>
    <w:rsid w:val="00262CA6"/>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003382">
      <w:bodyDiv w:val="1"/>
      <w:marLeft w:val="0"/>
      <w:marRight w:val="0"/>
      <w:marTop w:val="0"/>
      <w:marBottom w:val="0"/>
      <w:divBdr>
        <w:top w:val="none" w:sz="0" w:space="0" w:color="auto"/>
        <w:left w:val="none" w:sz="0" w:space="0" w:color="auto"/>
        <w:bottom w:val="none" w:sz="0" w:space="0" w:color="auto"/>
        <w:right w:val="none" w:sz="0" w:space="0" w:color="auto"/>
      </w:divBdr>
    </w:div>
    <w:div w:id="393161942">
      <w:bodyDiv w:val="1"/>
      <w:marLeft w:val="0"/>
      <w:marRight w:val="0"/>
      <w:marTop w:val="0"/>
      <w:marBottom w:val="0"/>
      <w:divBdr>
        <w:top w:val="none" w:sz="0" w:space="0" w:color="auto"/>
        <w:left w:val="none" w:sz="0" w:space="0" w:color="auto"/>
        <w:bottom w:val="none" w:sz="0" w:space="0" w:color="auto"/>
        <w:right w:val="none" w:sz="0" w:space="0" w:color="auto"/>
      </w:divBdr>
    </w:div>
    <w:div w:id="927733175">
      <w:bodyDiv w:val="1"/>
      <w:marLeft w:val="0"/>
      <w:marRight w:val="0"/>
      <w:marTop w:val="0"/>
      <w:marBottom w:val="0"/>
      <w:divBdr>
        <w:top w:val="none" w:sz="0" w:space="0" w:color="auto"/>
        <w:left w:val="none" w:sz="0" w:space="0" w:color="auto"/>
        <w:bottom w:val="none" w:sz="0" w:space="0" w:color="auto"/>
        <w:right w:val="none" w:sz="0" w:space="0" w:color="auto"/>
      </w:divBdr>
    </w:div>
    <w:div w:id="1072199166">
      <w:bodyDiv w:val="1"/>
      <w:marLeft w:val="0"/>
      <w:marRight w:val="0"/>
      <w:marTop w:val="0"/>
      <w:marBottom w:val="0"/>
      <w:divBdr>
        <w:top w:val="none" w:sz="0" w:space="0" w:color="auto"/>
        <w:left w:val="none" w:sz="0" w:space="0" w:color="auto"/>
        <w:bottom w:val="none" w:sz="0" w:space="0" w:color="auto"/>
        <w:right w:val="none" w:sz="0" w:space="0" w:color="auto"/>
      </w:divBdr>
    </w:div>
    <w:div w:id="1208957671">
      <w:bodyDiv w:val="1"/>
      <w:marLeft w:val="0"/>
      <w:marRight w:val="0"/>
      <w:marTop w:val="0"/>
      <w:marBottom w:val="0"/>
      <w:divBdr>
        <w:top w:val="none" w:sz="0" w:space="0" w:color="auto"/>
        <w:left w:val="none" w:sz="0" w:space="0" w:color="auto"/>
        <w:bottom w:val="none" w:sz="0" w:space="0" w:color="auto"/>
        <w:right w:val="none" w:sz="0" w:space="0" w:color="auto"/>
      </w:divBdr>
    </w:div>
    <w:div w:id="1388917757">
      <w:bodyDiv w:val="1"/>
      <w:marLeft w:val="0"/>
      <w:marRight w:val="0"/>
      <w:marTop w:val="0"/>
      <w:marBottom w:val="0"/>
      <w:divBdr>
        <w:top w:val="none" w:sz="0" w:space="0" w:color="auto"/>
        <w:left w:val="none" w:sz="0" w:space="0" w:color="auto"/>
        <w:bottom w:val="none" w:sz="0" w:space="0" w:color="auto"/>
        <w:right w:val="none" w:sz="0" w:space="0" w:color="auto"/>
      </w:divBdr>
    </w:div>
    <w:div w:id="1399356028">
      <w:bodyDiv w:val="1"/>
      <w:marLeft w:val="0"/>
      <w:marRight w:val="0"/>
      <w:marTop w:val="0"/>
      <w:marBottom w:val="0"/>
      <w:divBdr>
        <w:top w:val="none" w:sz="0" w:space="0" w:color="auto"/>
        <w:left w:val="none" w:sz="0" w:space="0" w:color="auto"/>
        <w:bottom w:val="none" w:sz="0" w:space="0" w:color="auto"/>
        <w:right w:val="none" w:sz="0" w:space="0" w:color="auto"/>
      </w:divBdr>
      <w:divsChild>
        <w:div w:id="708575794">
          <w:marLeft w:val="0"/>
          <w:marRight w:val="0"/>
          <w:marTop w:val="0"/>
          <w:marBottom w:val="0"/>
          <w:divBdr>
            <w:top w:val="none" w:sz="0" w:space="0" w:color="auto"/>
            <w:left w:val="none" w:sz="0" w:space="0" w:color="auto"/>
            <w:bottom w:val="none" w:sz="0" w:space="0" w:color="auto"/>
            <w:right w:val="none" w:sz="0" w:space="0" w:color="auto"/>
          </w:divBdr>
          <w:divsChild>
            <w:div w:id="55518732">
              <w:marLeft w:val="0"/>
              <w:marRight w:val="0"/>
              <w:marTop w:val="0"/>
              <w:marBottom w:val="0"/>
              <w:divBdr>
                <w:top w:val="none" w:sz="0" w:space="0" w:color="auto"/>
                <w:left w:val="none" w:sz="0" w:space="0" w:color="auto"/>
                <w:bottom w:val="none" w:sz="0" w:space="0" w:color="auto"/>
                <w:right w:val="none" w:sz="0" w:space="0" w:color="auto"/>
              </w:divBdr>
              <w:divsChild>
                <w:div w:id="79520912">
                  <w:marLeft w:val="0"/>
                  <w:marRight w:val="0"/>
                  <w:marTop w:val="0"/>
                  <w:marBottom w:val="0"/>
                  <w:divBdr>
                    <w:top w:val="none" w:sz="0" w:space="0" w:color="auto"/>
                    <w:left w:val="none" w:sz="0" w:space="0" w:color="auto"/>
                    <w:bottom w:val="none" w:sz="0" w:space="0" w:color="auto"/>
                    <w:right w:val="none" w:sz="0" w:space="0" w:color="auto"/>
                  </w:divBdr>
                  <w:divsChild>
                    <w:div w:id="703479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079019">
      <w:bodyDiv w:val="1"/>
      <w:marLeft w:val="0"/>
      <w:marRight w:val="0"/>
      <w:marTop w:val="0"/>
      <w:marBottom w:val="0"/>
      <w:divBdr>
        <w:top w:val="none" w:sz="0" w:space="0" w:color="auto"/>
        <w:left w:val="none" w:sz="0" w:space="0" w:color="auto"/>
        <w:bottom w:val="none" w:sz="0" w:space="0" w:color="auto"/>
        <w:right w:val="none" w:sz="0" w:space="0" w:color="auto"/>
      </w:divBdr>
    </w:div>
    <w:div w:id="1619800139">
      <w:bodyDiv w:val="1"/>
      <w:marLeft w:val="0"/>
      <w:marRight w:val="0"/>
      <w:marTop w:val="0"/>
      <w:marBottom w:val="0"/>
      <w:divBdr>
        <w:top w:val="none" w:sz="0" w:space="0" w:color="auto"/>
        <w:left w:val="none" w:sz="0" w:space="0" w:color="auto"/>
        <w:bottom w:val="none" w:sz="0" w:space="0" w:color="auto"/>
        <w:right w:val="none" w:sz="0" w:space="0" w:color="auto"/>
      </w:divBdr>
      <w:divsChild>
        <w:div w:id="486939135">
          <w:marLeft w:val="0"/>
          <w:marRight w:val="0"/>
          <w:marTop w:val="0"/>
          <w:marBottom w:val="0"/>
          <w:divBdr>
            <w:top w:val="none" w:sz="0" w:space="0" w:color="auto"/>
            <w:left w:val="none" w:sz="0" w:space="0" w:color="auto"/>
            <w:bottom w:val="none" w:sz="0" w:space="0" w:color="auto"/>
            <w:right w:val="none" w:sz="0" w:space="0" w:color="auto"/>
          </w:divBdr>
          <w:divsChild>
            <w:div w:id="62220379">
              <w:marLeft w:val="0"/>
              <w:marRight w:val="0"/>
              <w:marTop w:val="0"/>
              <w:marBottom w:val="0"/>
              <w:divBdr>
                <w:top w:val="none" w:sz="0" w:space="0" w:color="auto"/>
                <w:left w:val="none" w:sz="0" w:space="0" w:color="auto"/>
                <w:bottom w:val="none" w:sz="0" w:space="0" w:color="auto"/>
                <w:right w:val="none" w:sz="0" w:space="0" w:color="auto"/>
              </w:divBdr>
              <w:divsChild>
                <w:div w:id="166431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909159">
      <w:bodyDiv w:val="1"/>
      <w:marLeft w:val="0"/>
      <w:marRight w:val="0"/>
      <w:marTop w:val="0"/>
      <w:marBottom w:val="0"/>
      <w:divBdr>
        <w:top w:val="none" w:sz="0" w:space="0" w:color="auto"/>
        <w:left w:val="none" w:sz="0" w:space="0" w:color="auto"/>
        <w:bottom w:val="none" w:sz="0" w:space="0" w:color="auto"/>
        <w:right w:val="none" w:sz="0" w:space="0" w:color="auto"/>
      </w:divBdr>
    </w:div>
    <w:div w:id="1774745477">
      <w:bodyDiv w:val="1"/>
      <w:marLeft w:val="0"/>
      <w:marRight w:val="0"/>
      <w:marTop w:val="0"/>
      <w:marBottom w:val="0"/>
      <w:divBdr>
        <w:top w:val="none" w:sz="0" w:space="0" w:color="auto"/>
        <w:left w:val="none" w:sz="0" w:space="0" w:color="auto"/>
        <w:bottom w:val="none" w:sz="0" w:space="0" w:color="auto"/>
        <w:right w:val="none" w:sz="0" w:space="0" w:color="auto"/>
      </w:divBdr>
    </w:div>
    <w:div w:id="1856112670">
      <w:bodyDiv w:val="1"/>
      <w:marLeft w:val="0"/>
      <w:marRight w:val="0"/>
      <w:marTop w:val="0"/>
      <w:marBottom w:val="0"/>
      <w:divBdr>
        <w:top w:val="none" w:sz="0" w:space="0" w:color="auto"/>
        <w:left w:val="none" w:sz="0" w:space="0" w:color="auto"/>
        <w:bottom w:val="none" w:sz="0" w:space="0" w:color="auto"/>
        <w:right w:val="none" w:sz="0" w:space="0" w:color="auto"/>
      </w:divBdr>
    </w:div>
    <w:div w:id="1955939419">
      <w:bodyDiv w:val="1"/>
      <w:marLeft w:val="0"/>
      <w:marRight w:val="0"/>
      <w:marTop w:val="0"/>
      <w:marBottom w:val="0"/>
      <w:divBdr>
        <w:top w:val="none" w:sz="0" w:space="0" w:color="auto"/>
        <w:left w:val="none" w:sz="0" w:space="0" w:color="auto"/>
        <w:bottom w:val="none" w:sz="0" w:space="0" w:color="auto"/>
        <w:right w:val="none" w:sz="0" w:space="0" w:color="auto"/>
      </w:divBdr>
      <w:divsChild>
        <w:div w:id="175003460">
          <w:marLeft w:val="0"/>
          <w:marRight w:val="0"/>
          <w:marTop w:val="0"/>
          <w:marBottom w:val="0"/>
          <w:divBdr>
            <w:top w:val="none" w:sz="0" w:space="0" w:color="auto"/>
            <w:left w:val="none" w:sz="0" w:space="0" w:color="auto"/>
            <w:bottom w:val="none" w:sz="0" w:space="0" w:color="auto"/>
            <w:right w:val="none" w:sz="0" w:space="0" w:color="auto"/>
          </w:divBdr>
          <w:divsChild>
            <w:div w:id="1852723699">
              <w:marLeft w:val="0"/>
              <w:marRight w:val="0"/>
              <w:marTop w:val="0"/>
              <w:marBottom w:val="0"/>
              <w:divBdr>
                <w:top w:val="none" w:sz="0" w:space="0" w:color="auto"/>
                <w:left w:val="none" w:sz="0" w:space="0" w:color="auto"/>
                <w:bottom w:val="none" w:sz="0" w:space="0" w:color="auto"/>
                <w:right w:val="none" w:sz="0" w:space="0" w:color="auto"/>
              </w:divBdr>
              <w:divsChild>
                <w:div w:id="1028530515">
                  <w:marLeft w:val="0"/>
                  <w:marRight w:val="0"/>
                  <w:marTop w:val="0"/>
                  <w:marBottom w:val="0"/>
                  <w:divBdr>
                    <w:top w:val="none" w:sz="0" w:space="0" w:color="auto"/>
                    <w:left w:val="none" w:sz="0" w:space="0" w:color="auto"/>
                    <w:bottom w:val="none" w:sz="0" w:space="0" w:color="auto"/>
                    <w:right w:val="none" w:sz="0" w:space="0" w:color="auto"/>
                  </w:divBdr>
                  <w:divsChild>
                    <w:div w:id="114832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6BAD0E-5A79-F74E-BF75-F88BB2E56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16</Pages>
  <Words>3226</Words>
  <Characters>21165</Characters>
  <Application>Microsoft Office Word</Application>
  <DocSecurity>0</DocSecurity>
  <Lines>604</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2024-05-19T09:12:00Z</dcterms:created>
  <dcterms:modified xsi:type="dcterms:W3CDTF">2024-05-19T10:16:00Z</dcterms:modified>
</cp:coreProperties>
</file>