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6E2F823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B328B4">
        <w:rPr>
          <w:rStyle w:val="Strong"/>
          <w:rFonts w:ascii="Arial" w:hAnsi="Arial" w:cs="Arial"/>
          <w:color w:val="1D2125"/>
          <w:sz w:val="32"/>
          <w:szCs w:val="32"/>
        </w:rPr>
        <w:t xml:space="preserve">     </w:t>
      </w:r>
      <w:r w:rsidR="00B328B4" w:rsidRPr="00B328B4">
        <w:rPr>
          <w:rStyle w:val="Strong"/>
          <w:rFonts w:ascii="Arial" w:hAnsi="Arial" w:cs="Arial"/>
          <w:color w:val="1D2125"/>
          <w:sz w:val="32"/>
          <w:szCs w:val="32"/>
        </w:rPr>
        <w:t>Michaela Demeterova</w:t>
      </w:r>
    </w:p>
    <w:p w14:paraId="227AC82E" w14:textId="4507252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328B4">
        <w:rPr>
          <w:rStyle w:val="Strong"/>
          <w:rFonts w:ascii="Arial" w:hAnsi="Arial" w:cs="Arial"/>
          <w:color w:val="1D2125"/>
          <w:sz w:val="32"/>
          <w:szCs w:val="32"/>
        </w:rPr>
        <w:t xml:space="preserve">            2312297</w:t>
      </w:r>
    </w:p>
    <w:p w14:paraId="5B5E64AD" w14:textId="058DB16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B328B4">
        <w:rPr>
          <w:rStyle w:val="Strong"/>
          <w:rFonts w:ascii="Arial" w:hAnsi="Arial" w:cs="Arial"/>
          <w:color w:val="1D2125"/>
          <w:sz w:val="32"/>
          <w:szCs w:val="32"/>
        </w:rPr>
        <w:t xml:space="preserve">         </w:t>
      </w:r>
      <w:r w:rsidR="00B328B4" w:rsidRPr="00B328B4">
        <w:rPr>
          <w:rFonts w:ascii="Arial" w:hAnsi="Arial" w:cs="Arial"/>
          <w:b/>
          <w:bCs/>
          <w:color w:val="1D2125"/>
          <w:sz w:val="32"/>
          <w:szCs w:val="32"/>
        </w:rPr>
        <w:t>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35E9E8E1" w14:textId="633C65B0" w:rsidR="008375B5" w:rsidRDefault="008375B5" w:rsidP="008375B5">
      <w:pPr>
        <w:pStyle w:val="NormalWeb"/>
        <w:spacing w:line="360" w:lineRule="auto"/>
        <w:rPr>
          <w:rFonts w:ascii="Arial" w:hAnsi="Arial" w:cs="Arial"/>
          <w:b/>
          <w:bCs/>
          <w:color w:val="000000"/>
          <w:sz w:val="28"/>
          <w:szCs w:val="28"/>
        </w:rPr>
      </w:pPr>
    </w:p>
    <w:p w14:paraId="2BE18C28" w14:textId="77777777" w:rsidR="003016FD" w:rsidRDefault="003016FD" w:rsidP="008375B5">
      <w:pPr>
        <w:pStyle w:val="NormalWeb"/>
        <w:spacing w:line="360" w:lineRule="auto"/>
        <w:rPr>
          <w:rFonts w:ascii="Arial" w:hAnsi="Arial" w:cs="Arial"/>
          <w:b/>
          <w:bCs/>
          <w:color w:val="000000"/>
          <w:sz w:val="28"/>
          <w:szCs w:val="28"/>
        </w:rPr>
      </w:pPr>
    </w:p>
    <w:p w14:paraId="294B5420" w14:textId="77777777" w:rsidR="003016FD" w:rsidRDefault="003016FD" w:rsidP="008375B5">
      <w:pPr>
        <w:pStyle w:val="NormalWeb"/>
        <w:spacing w:line="360" w:lineRule="auto"/>
        <w:rPr>
          <w:rFonts w:ascii="Arial" w:hAnsi="Arial" w:cs="Arial"/>
          <w:b/>
          <w:bCs/>
          <w:color w:val="000000"/>
          <w:sz w:val="28"/>
          <w:szCs w:val="28"/>
        </w:rPr>
      </w:pPr>
    </w:p>
    <w:p w14:paraId="41E1466A" w14:textId="77777777" w:rsidR="003016FD" w:rsidRPr="008375B5" w:rsidRDefault="003016FD" w:rsidP="008375B5">
      <w:pPr>
        <w:pStyle w:val="NormalWeb"/>
        <w:spacing w:line="360" w:lineRule="auto"/>
        <w:rPr>
          <w:rFonts w:ascii="Arial" w:hAnsi="Arial" w:cs="Arial"/>
          <w:b/>
          <w:bCs/>
          <w:color w:val="000000"/>
          <w:sz w:val="28"/>
          <w:szCs w:val="28"/>
        </w:rPr>
      </w:pPr>
    </w:p>
    <w:sdt>
      <w:sdtPr>
        <w:rPr>
          <w:rFonts w:asciiTheme="minorHAnsi" w:eastAsiaTheme="minorEastAsia" w:hAnsiTheme="minorHAnsi" w:cs="Times New Roman"/>
          <w:color w:val="auto"/>
          <w:sz w:val="22"/>
          <w:szCs w:val="22"/>
          <w:lang w:eastAsia="en-GB"/>
        </w:rPr>
        <w:id w:val="1599827294"/>
        <w:docPartObj>
          <w:docPartGallery w:val="Table of Contents"/>
          <w:docPartUnique/>
        </w:docPartObj>
      </w:sdtPr>
      <w:sdtEndPr>
        <w:rPr>
          <w:rFonts w:cstheme="minorBidi"/>
          <w:sz w:val="24"/>
          <w:szCs w:val="24"/>
          <w:lang w:eastAsia="zh-CN"/>
        </w:rPr>
      </w:sdtEndPr>
      <w:sdtContent>
        <w:p w14:paraId="4AE02823" w14:textId="151A7F36" w:rsidR="00B328B4" w:rsidRDefault="00B328B4">
          <w:pPr>
            <w:pStyle w:val="TOCHeading"/>
          </w:pPr>
          <w:r>
            <w:t>Table of Contents</w:t>
          </w:r>
        </w:p>
        <w:p w14:paraId="1470AB92" w14:textId="79B67B16" w:rsidR="00B328B4" w:rsidRDefault="00E8224F">
          <w:pPr>
            <w:pStyle w:val="TOC1"/>
          </w:pPr>
          <w:r w:rsidRPr="00E8224F">
            <w:rPr>
              <w:rFonts w:ascii="Arial" w:hAnsi="Arial" w:cs="Arial"/>
              <w:i/>
              <w:iCs/>
              <w:color w:val="0070C0"/>
              <w:sz w:val="24"/>
              <w:szCs w:val="24"/>
            </w:rPr>
            <w:t>Introduction: AI Skin Cancer Detection in the NHS.</w:t>
          </w:r>
          <w:r w:rsidRPr="00E8224F">
            <w:rPr>
              <w:rFonts w:ascii="Arial" w:hAnsi="Arial" w:cs="Arial"/>
              <w:b/>
              <w:bCs/>
              <w:i/>
              <w:iCs/>
              <w:color w:val="0070C0"/>
              <w:sz w:val="24"/>
              <w:szCs w:val="24"/>
            </w:rPr>
            <w:t xml:space="preserve"> </w:t>
          </w:r>
          <w:r w:rsidR="00B328B4">
            <w:ptab w:relativeTo="margin" w:alignment="right" w:leader="dot"/>
          </w:r>
          <w:r>
            <w:rPr>
              <w:b/>
              <w:bCs/>
            </w:rPr>
            <w:t>3</w:t>
          </w:r>
        </w:p>
        <w:p w14:paraId="4172C63F" w14:textId="4CAE5BDE" w:rsidR="00B328B4" w:rsidRDefault="004B77D6">
          <w:pPr>
            <w:pStyle w:val="TOC2"/>
            <w:ind w:left="216"/>
          </w:pPr>
          <w:r w:rsidRPr="004B77D6">
            <w:rPr>
              <w:rFonts w:ascii="Arial" w:hAnsi="Arial" w:cs="Arial"/>
              <w:i/>
              <w:iCs/>
              <w:color w:val="44709D" w:themeColor="accent3"/>
              <w:sz w:val="24"/>
              <w:szCs w:val="24"/>
            </w:rPr>
            <w:t>Impact on work force:</w:t>
          </w:r>
          <w:r w:rsidRPr="004B77D6">
            <w:rPr>
              <w:rFonts w:ascii="Arial" w:hAnsi="Arial" w:cs="Arial"/>
              <w:b/>
              <w:bCs/>
              <w:i/>
              <w:iCs/>
              <w:color w:val="44709D" w:themeColor="accent3"/>
              <w:sz w:val="24"/>
              <w:szCs w:val="24"/>
            </w:rPr>
            <w:t xml:space="preserve"> </w:t>
          </w:r>
          <w:r w:rsidR="00B328B4">
            <w:ptab w:relativeTo="margin" w:alignment="right" w:leader="dot"/>
          </w:r>
          <w:r>
            <w:t>4</w:t>
          </w:r>
        </w:p>
        <w:p w14:paraId="6B2C404B" w14:textId="63C21064" w:rsidR="00B328B4" w:rsidRDefault="004B77D6">
          <w:pPr>
            <w:pStyle w:val="TOC3"/>
            <w:ind w:left="446"/>
          </w:pPr>
          <w:r w:rsidRPr="004B77D6">
            <w:rPr>
              <w:rFonts w:ascii="Arial" w:hAnsi="Arial" w:cs="Arial"/>
              <w:color w:val="44709D" w:themeColor="accent3"/>
              <w:sz w:val="24"/>
              <w:szCs w:val="24"/>
            </w:rPr>
            <w:t>Impact on service delivery:</w:t>
          </w:r>
          <w:r w:rsidRPr="004B77D6">
            <w:rPr>
              <w:rFonts w:ascii="Arial" w:hAnsi="Arial" w:cs="Arial"/>
              <w:b/>
              <w:bCs/>
              <w:color w:val="44709D" w:themeColor="accent3"/>
              <w:sz w:val="24"/>
              <w:szCs w:val="24"/>
            </w:rPr>
            <w:t xml:space="preserve"> </w:t>
          </w:r>
          <w:r w:rsidR="00B328B4">
            <w:ptab w:relativeTo="margin" w:alignment="right" w:leader="dot"/>
          </w:r>
          <w:r>
            <w:t>5</w:t>
          </w:r>
        </w:p>
        <w:p w14:paraId="1BAB5C2F" w14:textId="41ED833B" w:rsidR="00B328B4" w:rsidRDefault="004B77D6">
          <w:pPr>
            <w:pStyle w:val="TOC1"/>
          </w:pPr>
          <w:r w:rsidRPr="004B77D6">
            <w:rPr>
              <w:rFonts w:ascii="Arial" w:hAnsi="Arial" w:cs="Arial"/>
              <w:color w:val="44709D" w:themeColor="accent3"/>
              <w:sz w:val="24"/>
              <w:szCs w:val="24"/>
            </w:rPr>
            <w:t>Impact on patients:</w:t>
          </w:r>
          <w:r w:rsidRPr="004B77D6">
            <w:rPr>
              <w:rFonts w:ascii="Arial" w:hAnsi="Arial" w:cs="Arial"/>
              <w:b/>
              <w:bCs/>
              <w:color w:val="44709D" w:themeColor="accent3"/>
              <w:sz w:val="24"/>
              <w:szCs w:val="24"/>
            </w:rPr>
            <w:t xml:space="preserve"> </w:t>
          </w:r>
          <w:r w:rsidR="00B328B4">
            <w:ptab w:relativeTo="margin" w:alignment="right" w:leader="dot"/>
          </w:r>
          <w:r>
            <w:rPr>
              <w:b/>
              <w:bCs/>
            </w:rPr>
            <w:t>6</w:t>
          </w:r>
        </w:p>
        <w:p w14:paraId="17FC2FF3" w14:textId="5C5490AA" w:rsidR="00B328B4" w:rsidRDefault="004B77D6">
          <w:pPr>
            <w:pStyle w:val="TOC2"/>
            <w:ind w:left="216"/>
          </w:pPr>
          <w:r w:rsidRPr="004B77D6">
            <w:rPr>
              <w:rFonts w:ascii="Arial" w:hAnsi="Arial" w:cs="Arial"/>
              <w:color w:val="44709D" w:themeColor="accent3"/>
              <w:sz w:val="24"/>
              <w:szCs w:val="24"/>
            </w:rPr>
            <w:t>Impact on community:</w:t>
          </w:r>
          <w:r w:rsidRPr="004B77D6">
            <w:rPr>
              <w:rFonts w:ascii="Arial" w:hAnsi="Arial" w:cs="Arial"/>
              <w:b/>
              <w:bCs/>
              <w:color w:val="44709D" w:themeColor="accent3"/>
              <w:sz w:val="24"/>
              <w:szCs w:val="24"/>
            </w:rPr>
            <w:t xml:space="preserve"> </w:t>
          </w:r>
          <w:r w:rsidR="00B328B4">
            <w:ptab w:relativeTo="margin" w:alignment="right" w:leader="dot"/>
          </w:r>
          <w:r>
            <w:t>7</w:t>
          </w:r>
        </w:p>
        <w:p w14:paraId="5F9F7707" w14:textId="4911A4E0" w:rsidR="004B77D6" w:rsidRDefault="004B77D6">
          <w:pPr>
            <w:pStyle w:val="TOC3"/>
            <w:ind w:left="446"/>
          </w:pPr>
          <w:r w:rsidRPr="004B77D6">
            <w:rPr>
              <w:rFonts w:ascii="Arial" w:hAnsi="Arial" w:cs="Arial"/>
              <w:color w:val="44709D" w:themeColor="accent3"/>
              <w:sz w:val="24"/>
              <w:szCs w:val="24"/>
            </w:rPr>
            <w:t xml:space="preserve">Conclusion: </w:t>
          </w:r>
          <w:r w:rsidR="00B328B4">
            <w:ptab w:relativeTo="margin" w:alignment="right" w:leader="dot"/>
          </w:r>
          <w:r>
            <w:t>8</w:t>
          </w:r>
          <w:r w:rsidR="006C3F0B">
            <w:t>,9</w:t>
          </w:r>
        </w:p>
        <w:p w14:paraId="40C82B95" w14:textId="2E391404" w:rsidR="00B328B4" w:rsidRPr="004B77D6" w:rsidRDefault="008F3059" w:rsidP="004B77D6">
          <w:pPr>
            <w:rPr>
              <w:lang w:eastAsia="en-GB"/>
            </w:rPr>
          </w:pPr>
          <w:r>
            <w:rPr>
              <w:rFonts w:ascii="Arial" w:hAnsi="Arial" w:cs="Arial"/>
              <w:color w:val="44709D" w:themeColor="accent3"/>
              <w:lang w:eastAsia="en-GB"/>
            </w:rPr>
            <w:t>References…</w:t>
          </w:r>
          <w:r w:rsidR="004B77D6">
            <w:t>………………………………………………………………………</w:t>
          </w:r>
          <w:r>
            <w:t>…...</w:t>
          </w:r>
          <w:r w:rsidR="006C3F0B">
            <w:t>10</w:t>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5CC59682" w14:textId="02F06FD6" w:rsidR="00A9474F" w:rsidRDefault="00040F97" w:rsidP="00867394">
      <w:pPr>
        <w:pStyle w:val="NormalWeb"/>
        <w:tabs>
          <w:tab w:val="center" w:pos="1648"/>
        </w:tabs>
        <w:spacing w:line="360" w:lineRule="auto"/>
        <w:rPr>
          <w:rFonts w:asciiTheme="minorHAnsi" w:hAnsiTheme="minorHAnsi" w:cs="Arial"/>
          <w:b/>
          <w:bCs/>
          <w:i/>
          <w:iCs/>
          <w:color w:val="000000"/>
          <w:sz w:val="36"/>
          <w:szCs w:val="36"/>
        </w:rPr>
      </w:pPr>
      <w:r>
        <w:rPr>
          <w:rFonts w:ascii="Arial" w:hAnsi="Arial" w:cs="Arial"/>
          <w:b/>
          <w:bCs/>
          <w:noProof/>
          <w:color w:val="000000"/>
        </w:rPr>
        <w:drawing>
          <wp:anchor distT="0" distB="0" distL="114300" distR="114300" simplePos="0" relativeHeight="251658240" behindDoc="0" locked="0" layoutInCell="1" allowOverlap="1" wp14:anchorId="10F98FFF" wp14:editId="42E84A65">
            <wp:simplePos x="914400" y="914400"/>
            <wp:positionH relativeFrom="column">
              <wp:align>left</wp:align>
            </wp:positionH>
            <wp:positionV relativeFrom="paragraph">
              <wp:align>top</wp:align>
            </wp:positionV>
            <wp:extent cx="3517900" cy="2333625"/>
            <wp:effectExtent l="0" t="0" r="6350" b="9525"/>
            <wp:wrapSquare wrapText="bothSides"/>
            <wp:docPr id="2126625522" name="Picture 1" descr="A person's hand touching a cell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625522" name="Picture 1" descr="A person's hand touching a cell phon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7900" cy="2333625"/>
                    </a:xfrm>
                    <a:prstGeom prst="rect">
                      <a:avLst/>
                    </a:prstGeom>
                  </pic:spPr>
                </pic:pic>
              </a:graphicData>
            </a:graphic>
          </wp:anchor>
        </w:drawing>
      </w:r>
      <w:r w:rsidRPr="006515B0">
        <w:rPr>
          <w:rFonts w:asciiTheme="minorHAnsi" w:hAnsiTheme="minorHAnsi" w:cs="Arial"/>
          <w:b/>
          <w:bCs/>
          <w:color w:val="000000"/>
        </w:rPr>
        <w:tab/>
      </w:r>
      <w:r w:rsidRPr="006515B0">
        <w:rPr>
          <w:rFonts w:asciiTheme="minorHAnsi" w:hAnsiTheme="minorHAnsi" w:cs="Arial"/>
          <w:color w:val="000000"/>
          <w:sz w:val="28"/>
          <w:szCs w:val="28"/>
        </w:rPr>
        <w:t xml:space="preserve"> </w:t>
      </w:r>
      <w:r w:rsidR="006515B0" w:rsidRPr="006515B0">
        <w:rPr>
          <w:rFonts w:asciiTheme="minorHAnsi" w:hAnsiTheme="minorHAnsi" w:cs="Arial"/>
          <w:b/>
          <w:bCs/>
          <w:i/>
          <w:iCs/>
          <w:color w:val="000000"/>
          <w:sz w:val="36"/>
          <w:szCs w:val="36"/>
        </w:rPr>
        <w:t>DERM in Practice: Advancing Skin Cancer Screening Through Deep Ensemble A</w:t>
      </w:r>
    </w:p>
    <w:p w14:paraId="227E6C36" w14:textId="77777777" w:rsidR="00867394" w:rsidRPr="00867394" w:rsidRDefault="00867394" w:rsidP="00867394">
      <w:pPr>
        <w:pStyle w:val="NormalWeb"/>
        <w:tabs>
          <w:tab w:val="center" w:pos="1648"/>
        </w:tabs>
        <w:spacing w:line="360" w:lineRule="auto"/>
        <w:rPr>
          <w:rFonts w:asciiTheme="minorHAnsi" w:hAnsiTheme="minorHAnsi" w:cs="Arial"/>
          <w:i/>
          <w:iCs/>
          <w:color w:val="000000"/>
          <w:sz w:val="36"/>
          <w:szCs w:val="36"/>
        </w:rPr>
      </w:pPr>
    </w:p>
    <w:p w14:paraId="1684315D" w14:textId="77777777" w:rsidR="00674520" w:rsidRDefault="00674520" w:rsidP="00BC4DB2">
      <w:pPr>
        <w:spacing w:line="360" w:lineRule="auto"/>
        <w:rPr>
          <w:rFonts w:ascii="Arial" w:hAnsi="Arial" w:cs="Arial"/>
          <w:b/>
          <w:bCs/>
          <w:i/>
          <w:iCs/>
          <w:color w:val="0070C0"/>
          <w:sz w:val="28"/>
          <w:szCs w:val="28"/>
        </w:rPr>
      </w:pPr>
    </w:p>
    <w:p w14:paraId="7ADE1062" w14:textId="2DA4635A" w:rsidR="000F20B7" w:rsidRDefault="002F4C56" w:rsidP="00BC4DB2">
      <w:pPr>
        <w:spacing w:line="360" w:lineRule="auto"/>
        <w:rPr>
          <w:rFonts w:ascii="Arial" w:hAnsi="Arial" w:cs="Arial"/>
          <w:i/>
          <w:iCs/>
          <w:color w:val="0070C0"/>
          <w:sz w:val="28"/>
          <w:szCs w:val="28"/>
        </w:rPr>
      </w:pPr>
      <w:r w:rsidRPr="002F4C56">
        <w:rPr>
          <w:rFonts w:ascii="Arial" w:hAnsi="Arial" w:cs="Arial"/>
          <w:b/>
          <w:bCs/>
          <w:i/>
          <w:iCs/>
          <w:color w:val="0070C0"/>
          <w:sz w:val="28"/>
          <w:szCs w:val="28"/>
        </w:rPr>
        <w:t>Introduction: AI Skin Cancer Detection in the NHS</w:t>
      </w:r>
      <w:r w:rsidR="000006CD">
        <w:rPr>
          <w:rFonts w:ascii="Arial" w:hAnsi="Arial" w:cs="Arial"/>
          <w:b/>
          <w:bCs/>
          <w:i/>
          <w:iCs/>
          <w:color w:val="0070C0"/>
          <w:sz w:val="28"/>
          <w:szCs w:val="28"/>
        </w:rPr>
        <w:t>.</w:t>
      </w:r>
    </w:p>
    <w:p w14:paraId="55967051" w14:textId="15FE3F85" w:rsidR="00DC7EBD" w:rsidRPr="00DC7EBD" w:rsidRDefault="00DC7EBD" w:rsidP="00DC7EBD">
      <w:pPr>
        <w:spacing w:line="360" w:lineRule="auto"/>
        <w:rPr>
          <w:rFonts w:ascii="Arial" w:hAnsi="Arial" w:cs="Arial"/>
          <w:sz w:val="22"/>
          <w:szCs w:val="22"/>
        </w:rPr>
      </w:pPr>
      <w:r w:rsidRPr="00DC7EBD">
        <w:rPr>
          <w:rFonts w:ascii="Arial" w:hAnsi="Arial" w:cs="Arial"/>
          <w:sz w:val="22"/>
          <w:szCs w:val="22"/>
        </w:rPr>
        <w:t>Skin cancer arises from the uncontrolled proliferation of abnormal skin cells, leading to tumour formation. The primary cause is prolonged exposure to ultraviolet (UV) radiation from the sun, although lifestyle factors also contribute (El Mertahi et al., 2025). According to the Global Cancer Observatory (WHO, 2024) and Cancer Research UK (2025), skin cancer remains a significant global public health concern, with over 1.5 million new cases of non</w:t>
      </w:r>
      <w:r w:rsidRPr="00DC7EBD">
        <w:rPr>
          <w:rFonts w:ascii="Arial" w:hAnsi="Arial" w:cs="Arial"/>
          <w:sz w:val="22"/>
          <w:szCs w:val="22"/>
        </w:rPr>
        <w:noBreakHyphen/>
        <w:t>melanoma skin cancer and approximately 330,000 cases of melanoma diagnosed worldwide each year, including around 17,600 new melanoma cases annually in the UK</w:t>
      </w:r>
      <w:r w:rsidR="003E718C">
        <w:rPr>
          <w:rFonts w:ascii="Arial" w:hAnsi="Arial" w:cs="Arial"/>
          <w:sz w:val="22"/>
          <w:szCs w:val="22"/>
        </w:rPr>
        <w:t xml:space="preserve"> </w:t>
      </w:r>
      <w:r w:rsidR="003E718C" w:rsidRPr="00DC7EBD">
        <w:rPr>
          <w:rFonts w:ascii="Arial" w:hAnsi="Arial" w:cs="Arial"/>
          <w:sz w:val="22"/>
          <w:szCs w:val="22"/>
        </w:rPr>
        <w:t>(El Mertahi et al., 2025).</w:t>
      </w:r>
    </w:p>
    <w:p w14:paraId="075FBD3A" w14:textId="77777777" w:rsidR="00DC7EBD" w:rsidRPr="00DC7EBD" w:rsidRDefault="00DC7EBD" w:rsidP="00DC7EBD">
      <w:pPr>
        <w:spacing w:line="360" w:lineRule="auto"/>
        <w:rPr>
          <w:rFonts w:ascii="Arial" w:hAnsi="Arial" w:cs="Arial"/>
          <w:sz w:val="22"/>
          <w:szCs w:val="22"/>
        </w:rPr>
      </w:pPr>
      <w:r w:rsidRPr="00DC7EBD">
        <w:rPr>
          <w:rFonts w:ascii="Arial" w:hAnsi="Arial" w:cs="Arial"/>
          <w:sz w:val="22"/>
          <w:szCs w:val="22"/>
        </w:rPr>
        <w:t>Recent advancements in artificial intelligence, especially deep learning, provide encouraging prospects to improve the precision and effectiveness of screening (El Mertahi et al., 2025). In response to this potential, NHS England formally endorsed the use of DERM (Deep Ensemble for Recognition of Malignancy), an AI</w:t>
      </w:r>
      <w:r w:rsidRPr="00DC7EBD">
        <w:rPr>
          <w:rFonts w:ascii="Arial" w:hAnsi="Arial" w:cs="Arial"/>
          <w:sz w:val="22"/>
          <w:szCs w:val="22"/>
        </w:rPr>
        <w:noBreakHyphen/>
        <w:t>based skin lesion analysis tool developed by Skin Analytics, following conditional approval by the National Institute for Health and Care Excellence (NICE, 2025).</w:t>
      </w:r>
    </w:p>
    <w:p w14:paraId="7EEB1FD3" w14:textId="28085032" w:rsidR="00DC7EBD" w:rsidRPr="00DC7EBD" w:rsidRDefault="00DC7EBD" w:rsidP="00DC7EBD">
      <w:pPr>
        <w:spacing w:line="360" w:lineRule="auto"/>
        <w:rPr>
          <w:rFonts w:ascii="Arial" w:hAnsi="Arial" w:cs="Arial"/>
          <w:sz w:val="22"/>
          <w:szCs w:val="22"/>
        </w:rPr>
      </w:pPr>
      <w:r w:rsidRPr="00DC7EBD">
        <w:rPr>
          <w:rFonts w:ascii="Arial" w:hAnsi="Arial" w:cs="Arial"/>
          <w:sz w:val="22"/>
          <w:szCs w:val="22"/>
        </w:rPr>
        <w:lastRenderedPageBreak/>
        <w:t>DERM is defined by NICE as an artificial intelligence technology designed to support the screening, triage, and assessment of suspected skin cancer lesions in adults. It works by analysing dermoscopic images to identify malignant features with high accuracy and is intended for use within teledermatology services (NICE, 2025). This definition highlights its role in reshaping diagnostic pathways and alleviating pressure on specialist services, while signalling growing confidence in AI’s potential to support early diagnosis</w:t>
      </w:r>
      <w:r w:rsidR="00336983">
        <w:rPr>
          <w:rFonts w:ascii="Arial" w:hAnsi="Arial" w:cs="Arial"/>
          <w:sz w:val="22"/>
          <w:szCs w:val="22"/>
        </w:rPr>
        <w:t xml:space="preserve"> </w:t>
      </w:r>
      <w:r w:rsidR="00336983" w:rsidRPr="00DC7EBD">
        <w:rPr>
          <w:rFonts w:ascii="Arial" w:hAnsi="Arial" w:cs="Arial"/>
          <w:sz w:val="22"/>
          <w:szCs w:val="22"/>
        </w:rPr>
        <w:t>(NICE, 2025).</w:t>
      </w:r>
    </w:p>
    <w:p w14:paraId="1D30E5FA" w14:textId="77777777" w:rsidR="00DC7EBD" w:rsidRPr="00DC7EBD" w:rsidRDefault="00DC7EBD" w:rsidP="00DC7EBD">
      <w:pPr>
        <w:spacing w:line="360" w:lineRule="auto"/>
        <w:rPr>
          <w:rFonts w:ascii="Arial" w:hAnsi="Arial" w:cs="Arial"/>
          <w:sz w:val="22"/>
          <w:szCs w:val="22"/>
        </w:rPr>
      </w:pPr>
      <w:r w:rsidRPr="00DC7EBD">
        <w:rPr>
          <w:rFonts w:ascii="Arial" w:hAnsi="Arial" w:cs="Arial"/>
          <w:sz w:val="22"/>
          <w:szCs w:val="22"/>
        </w:rPr>
        <w:t>In August 2024, NICE’s conditional approval of AI skin cancer detection systems within NHS services marked a significant milestone in policy and practice (NICE, 2025). This decision reflected not only institutional confidence in AI’s role but also the broader ambition to integrate digital technologies into frontline care. Among the emerging technologies in this field, DERM exemplifies this transformation as a deep learning architecture designed to analyse dermoscopic images and identify malignant skin lesions with high accuracy (NICE, 2025).</w:t>
      </w:r>
    </w:p>
    <w:p w14:paraId="1D897EAB" w14:textId="77777777" w:rsidR="0057189D" w:rsidRDefault="0057189D" w:rsidP="00DC7EBD">
      <w:pPr>
        <w:spacing w:line="360" w:lineRule="auto"/>
        <w:rPr>
          <w:rFonts w:ascii="Arial" w:hAnsi="Arial" w:cs="Arial"/>
          <w:sz w:val="22"/>
          <w:szCs w:val="22"/>
        </w:rPr>
      </w:pPr>
    </w:p>
    <w:p w14:paraId="1D1AC887" w14:textId="2508826C" w:rsidR="00A939E8" w:rsidRPr="00A939E8" w:rsidRDefault="00A939E8" w:rsidP="00A939E8">
      <w:pPr>
        <w:spacing w:line="360" w:lineRule="auto"/>
        <w:rPr>
          <w:rFonts w:ascii="Arial" w:hAnsi="Arial" w:cs="Arial"/>
          <w:b/>
          <w:bCs/>
          <w:color w:val="44709D" w:themeColor="accent3"/>
          <w:sz w:val="28"/>
          <w:szCs w:val="28"/>
        </w:rPr>
      </w:pPr>
      <w:r w:rsidRPr="00A939E8">
        <w:rPr>
          <w:rFonts w:ascii="Arial" w:hAnsi="Arial" w:cs="Arial"/>
          <w:b/>
          <w:bCs/>
          <w:color w:val="44709D" w:themeColor="accent3"/>
          <w:sz w:val="28"/>
          <w:szCs w:val="28"/>
        </w:rPr>
        <w:t>Impact on Workforce</w:t>
      </w:r>
      <w:r w:rsidR="00F961EA">
        <w:rPr>
          <w:rFonts w:ascii="Arial" w:hAnsi="Arial" w:cs="Arial"/>
          <w:b/>
          <w:bCs/>
          <w:color w:val="44709D" w:themeColor="accent3"/>
          <w:sz w:val="28"/>
          <w:szCs w:val="28"/>
        </w:rPr>
        <w:t>:</w:t>
      </w:r>
    </w:p>
    <w:p w14:paraId="278B9F23" w14:textId="66259F2D" w:rsidR="00A939E8" w:rsidRPr="00A939E8" w:rsidRDefault="00A939E8" w:rsidP="00A939E8">
      <w:pPr>
        <w:spacing w:line="360" w:lineRule="auto"/>
        <w:rPr>
          <w:rFonts w:ascii="Arial" w:hAnsi="Arial" w:cs="Arial"/>
          <w:sz w:val="22"/>
          <w:szCs w:val="22"/>
        </w:rPr>
      </w:pPr>
      <w:r w:rsidRPr="00A939E8">
        <w:rPr>
          <w:rFonts w:ascii="Arial" w:hAnsi="Arial" w:cs="Arial"/>
          <w:sz w:val="22"/>
          <w:szCs w:val="22"/>
        </w:rPr>
        <w:t xml:space="preserve">The deployment of DERM within NHS dermatology services represents a profound transformation in workforce dynamics. Dermatologists are no longer positioned solely as diagnosticians; instead, they are increasingly recast as algorithmic overseers, validating AI outputs and safeguarding patient safety. This reconfiguration demands new forms of digital literacy and governance skills, but it also risks reducing the relational and emotional labour that has traditionally defined clinical practice. If workforce value is reframed primarily through efficiency and throughput metrics, the human dimensions of care trust, empathy, and therapeutic </w:t>
      </w:r>
      <w:r w:rsidR="001460F6" w:rsidRPr="00A939E8">
        <w:rPr>
          <w:rFonts w:ascii="Arial" w:hAnsi="Arial" w:cs="Arial"/>
          <w:sz w:val="22"/>
          <w:szCs w:val="22"/>
        </w:rPr>
        <w:t xml:space="preserve">presence </w:t>
      </w:r>
      <w:r w:rsidR="001460F6">
        <w:rPr>
          <w:rFonts w:ascii="Arial" w:hAnsi="Arial" w:cs="Arial"/>
          <w:sz w:val="22"/>
          <w:szCs w:val="22"/>
        </w:rPr>
        <w:t>risk</w:t>
      </w:r>
      <w:r w:rsidRPr="00A939E8">
        <w:rPr>
          <w:rFonts w:ascii="Arial" w:hAnsi="Arial" w:cs="Arial"/>
          <w:sz w:val="22"/>
          <w:szCs w:val="22"/>
        </w:rPr>
        <w:t xml:space="preserve"> being sidelined (Abdulrahman and Trengove, 2025).</w:t>
      </w:r>
    </w:p>
    <w:p w14:paraId="3264CF1E" w14:textId="77777777" w:rsidR="00A939E8" w:rsidRPr="00A939E8" w:rsidRDefault="00A939E8" w:rsidP="00A939E8">
      <w:pPr>
        <w:spacing w:line="360" w:lineRule="auto"/>
        <w:rPr>
          <w:rFonts w:ascii="Arial" w:hAnsi="Arial" w:cs="Arial"/>
          <w:sz w:val="22"/>
          <w:szCs w:val="22"/>
        </w:rPr>
      </w:pPr>
      <w:r w:rsidRPr="00A939E8">
        <w:rPr>
          <w:rFonts w:ascii="Arial" w:hAnsi="Arial" w:cs="Arial"/>
          <w:sz w:val="22"/>
          <w:szCs w:val="22"/>
        </w:rPr>
        <w:t>The NICE recommendation of DERM underscores the urgency of developing competency frameworks that extend beyond technical proficiency. Clinicians must now interrogate algorithmic outputs, recognise bias, and apply trauma</w:t>
      </w:r>
      <w:r w:rsidRPr="00A939E8">
        <w:rPr>
          <w:rFonts w:ascii="Arial" w:hAnsi="Arial" w:cs="Arial"/>
          <w:sz w:val="22"/>
          <w:szCs w:val="22"/>
        </w:rPr>
        <w:noBreakHyphen/>
        <w:t>informed communication to sustain patient confidence in AI</w:t>
      </w:r>
      <w:r w:rsidRPr="00A939E8">
        <w:rPr>
          <w:rFonts w:ascii="Arial" w:hAnsi="Arial" w:cs="Arial"/>
          <w:sz w:val="22"/>
          <w:szCs w:val="22"/>
        </w:rPr>
        <w:noBreakHyphen/>
        <w:t>mediated consultations. These skills are not supplementary but essential if clinicians are to remain ethically accountable in a landscape where responsibility is increasingly shared between human and machine (NICE, 2025).</w:t>
      </w:r>
    </w:p>
    <w:p w14:paraId="606A7DB9" w14:textId="77777777" w:rsidR="00A939E8" w:rsidRPr="00A939E8" w:rsidRDefault="00A939E8" w:rsidP="00A939E8">
      <w:pPr>
        <w:spacing w:line="360" w:lineRule="auto"/>
        <w:rPr>
          <w:rFonts w:ascii="Arial" w:hAnsi="Arial" w:cs="Arial"/>
          <w:sz w:val="22"/>
          <w:szCs w:val="22"/>
        </w:rPr>
      </w:pPr>
      <w:r w:rsidRPr="00A939E8">
        <w:rPr>
          <w:rFonts w:ascii="Arial" w:hAnsi="Arial" w:cs="Arial"/>
          <w:sz w:val="22"/>
          <w:szCs w:val="22"/>
        </w:rPr>
        <w:t>The impact extends across the wider workforce. Administrative and diagnostic support staff are required to adapt to AI</w:t>
      </w:r>
      <w:r w:rsidRPr="00A939E8">
        <w:rPr>
          <w:rFonts w:ascii="Arial" w:hAnsi="Arial" w:cs="Arial"/>
          <w:sz w:val="22"/>
          <w:szCs w:val="22"/>
        </w:rPr>
        <w:noBreakHyphen/>
        <w:t xml:space="preserve">integrated workflows, manage dermoscopic imaging, and navigate evolving accountability structures. This redistribution of tasks risks creating a digitally stratified workforce, where those with advanced technical training gain authority </w:t>
      </w:r>
      <w:r w:rsidRPr="00A939E8">
        <w:rPr>
          <w:rFonts w:ascii="Arial" w:hAnsi="Arial" w:cs="Arial"/>
          <w:sz w:val="22"/>
          <w:szCs w:val="22"/>
        </w:rPr>
        <w:lastRenderedPageBreak/>
        <w:t>while others are relegated to peripheral roles without adequate recognition or support (Digital Health, 2023). Without robust training and ethical safeguards, such stratification could undermine morale and widen inequalities within the workforce itself.</w:t>
      </w:r>
    </w:p>
    <w:p w14:paraId="7C4D0428" w14:textId="77777777" w:rsidR="00785AB2" w:rsidRPr="00785AB2" w:rsidRDefault="00785AB2" w:rsidP="00785AB2">
      <w:pPr>
        <w:spacing w:line="360" w:lineRule="auto"/>
        <w:rPr>
          <w:rFonts w:ascii="Arial" w:hAnsi="Arial" w:cs="Arial"/>
          <w:sz w:val="22"/>
          <w:szCs w:val="22"/>
        </w:rPr>
      </w:pPr>
      <w:r w:rsidRPr="00785AB2">
        <w:rPr>
          <w:rFonts w:ascii="Arial" w:hAnsi="Arial" w:cs="Arial"/>
          <w:sz w:val="22"/>
          <w:szCs w:val="22"/>
        </w:rPr>
        <w:t>Equity concerns further intensify these pressures. The “human in the loop” safeguard for patients with Fitzpatrick skin types V and VI highlights the limitations of algorithmic generalisability and the persistent need for culturally competent oversight. Clinicians must act not only as validators of AI outputs but as custodians of fairness, ensuring that diverse patient populations are not excluded from innovation. This responsibility amplifies the ethical burden on the workforce, demanding vigilance, advocacy, and active participation in governance processes (Abdulrahman and Trengove, 2025).</w:t>
      </w:r>
    </w:p>
    <w:p w14:paraId="6C31DCBC" w14:textId="2281A4ED" w:rsidR="00A939E8" w:rsidRDefault="00785AB2" w:rsidP="00A939E8">
      <w:pPr>
        <w:spacing w:line="360" w:lineRule="auto"/>
        <w:rPr>
          <w:rFonts w:ascii="Arial" w:hAnsi="Arial" w:cs="Arial"/>
          <w:sz w:val="22"/>
          <w:szCs w:val="22"/>
        </w:rPr>
      </w:pPr>
      <w:r w:rsidRPr="00785AB2">
        <w:rPr>
          <w:rFonts w:ascii="Arial" w:hAnsi="Arial" w:cs="Arial"/>
          <w:sz w:val="22"/>
          <w:szCs w:val="22"/>
        </w:rPr>
        <w:t>Ultimately, DERM’s deployment does not simply enhance diagnostic accuracy; it redefines what it means to care, lead, and remain clinically present in an automated environment. The impact on workforce is multidimensional: it reshapes professional identity, redistributes power, and intensifies ethical responsibility. These shifts will determine whether the NHS workforce can adapt sustainably to digital transformation, or whether gaps in training, governance, and cultural sensitivity risk eroding resilience and undermining the very human values that sustain healthcare (Digital Health, 2023).</w:t>
      </w:r>
    </w:p>
    <w:p w14:paraId="2900C1F3" w14:textId="40921ED6" w:rsidR="002C62A4" w:rsidRPr="00A939E8" w:rsidRDefault="002C62A4" w:rsidP="00A939E8">
      <w:pPr>
        <w:spacing w:line="360" w:lineRule="auto"/>
        <w:rPr>
          <w:rFonts w:ascii="Arial" w:hAnsi="Arial" w:cs="Arial"/>
          <w:b/>
          <w:bCs/>
          <w:color w:val="0070C0"/>
          <w:sz w:val="28"/>
          <w:szCs w:val="28"/>
        </w:rPr>
      </w:pPr>
      <w:r w:rsidRPr="002C62A4">
        <w:rPr>
          <w:rFonts w:ascii="Arial" w:hAnsi="Arial" w:cs="Arial"/>
          <w:b/>
          <w:bCs/>
          <w:color w:val="0070C0"/>
          <w:sz w:val="28"/>
          <w:szCs w:val="28"/>
        </w:rPr>
        <w:t>Impact on Service Delivery</w:t>
      </w:r>
      <w:r w:rsidRPr="00350406">
        <w:rPr>
          <w:rFonts w:ascii="Arial" w:hAnsi="Arial" w:cs="Arial"/>
          <w:b/>
          <w:bCs/>
          <w:color w:val="0070C0"/>
          <w:sz w:val="28"/>
          <w:szCs w:val="28"/>
        </w:rPr>
        <w:t>:</w:t>
      </w:r>
    </w:p>
    <w:p w14:paraId="16B9FD62" w14:textId="0F454A14" w:rsidR="004329EA" w:rsidRPr="004329EA" w:rsidRDefault="004329EA" w:rsidP="004329EA">
      <w:pPr>
        <w:spacing w:line="360" w:lineRule="auto"/>
        <w:rPr>
          <w:rFonts w:ascii="Arial" w:hAnsi="Arial" w:cs="Arial"/>
          <w:sz w:val="22"/>
          <w:szCs w:val="22"/>
        </w:rPr>
      </w:pPr>
      <w:r w:rsidRPr="004329EA">
        <w:rPr>
          <w:rFonts w:ascii="Arial" w:hAnsi="Arial" w:cs="Arial"/>
          <w:sz w:val="22"/>
          <w:szCs w:val="22"/>
        </w:rPr>
        <w:t>The deployment of DERM within NHS urgent skin cancer pathways has fundamentally altered service delivery by decentralising diagnostic processes and shifting triage away from hospital</w:t>
      </w:r>
      <w:r w:rsidR="00B155EE">
        <w:rPr>
          <w:rFonts w:ascii="Arial" w:hAnsi="Arial" w:cs="Arial"/>
          <w:sz w:val="22"/>
          <w:szCs w:val="22"/>
        </w:rPr>
        <w:t xml:space="preserve"> </w:t>
      </w:r>
      <w:r w:rsidRPr="004329EA">
        <w:rPr>
          <w:rFonts w:ascii="Arial" w:hAnsi="Arial" w:cs="Arial"/>
          <w:sz w:val="22"/>
          <w:szCs w:val="22"/>
        </w:rPr>
        <w:t>based models. Patients referred by GPs now undergo dermoscopic imaging at AI</w:t>
      </w:r>
      <w:r w:rsidRPr="004329EA">
        <w:rPr>
          <w:rFonts w:ascii="Arial" w:hAnsi="Arial" w:cs="Arial"/>
          <w:sz w:val="22"/>
          <w:szCs w:val="22"/>
        </w:rPr>
        <w:noBreakHyphen/>
        <w:t>enabled teledermatology hubs, where DERM provides referral recommendations (Abdulrahman and Trengove, 2025). This reconfiguration has reduced waiting times, alleviated pressure on overstretched dermatology departments, and accelerated access to specialist review. The “human in the loop” safeguard, whereby dermatologists validate AI outputs, has proven effective in mitigating harm, with seven missed cancers identified through second reads between February 2022 and April 2023 (Abdulrahman and Trengove, 2025). These outcomes demonstrate that service delivery is not only faster but also safer when human oversight is embedded.</w:t>
      </w:r>
    </w:p>
    <w:p w14:paraId="0CF1C7E8" w14:textId="77777777" w:rsidR="00D23427" w:rsidRPr="00D23427" w:rsidRDefault="00D23427" w:rsidP="00D23427">
      <w:pPr>
        <w:spacing w:line="360" w:lineRule="auto"/>
        <w:rPr>
          <w:rFonts w:ascii="Arial" w:hAnsi="Arial" w:cs="Arial"/>
          <w:sz w:val="22"/>
          <w:szCs w:val="22"/>
        </w:rPr>
      </w:pPr>
      <w:r w:rsidRPr="00D23427">
        <w:rPr>
          <w:rFonts w:ascii="Arial" w:hAnsi="Arial" w:cs="Arial"/>
          <w:sz w:val="22"/>
          <w:szCs w:val="22"/>
        </w:rPr>
        <w:t xml:space="preserve">Nevertheless, the transformation of service delivery through DERM introduces new tensions for the workforce. The exclusion of acral lesions, more common in individuals with darker skin, from algorithmic assessment highlights the limitations of generalisability and the need for culturally competent oversight. For clinicians, this reinforces their role as custodians of fairness, requiring vigilance in identifying hidden exclusions and ensuring that equity is </w:t>
      </w:r>
      <w:r w:rsidRPr="00D23427">
        <w:rPr>
          <w:rFonts w:ascii="Arial" w:hAnsi="Arial" w:cs="Arial"/>
          <w:sz w:val="22"/>
          <w:szCs w:val="22"/>
        </w:rPr>
        <w:lastRenderedPageBreak/>
        <w:t>actively designed into practice. Such responsibilities intensify the ethical burden on the workforce, demanding new forms of accountability and governance (Abdulrahman and Trengove, 2025).</w:t>
      </w:r>
    </w:p>
    <w:p w14:paraId="328EBBF1" w14:textId="0A65EBD2" w:rsidR="00D23427" w:rsidRPr="00D23427" w:rsidRDefault="00D23427" w:rsidP="00D23427">
      <w:pPr>
        <w:spacing w:line="360" w:lineRule="auto"/>
        <w:rPr>
          <w:rFonts w:ascii="Arial" w:hAnsi="Arial" w:cs="Arial"/>
          <w:sz w:val="22"/>
          <w:szCs w:val="22"/>
        </w:rPr>
      </w:pPr>
      <w:r w:rsidRPr="00D23427">
        <w:rPr>
          <w:rFonts w:ascii="Arial" w:hAnsi="Arial" w:cs="Arial"/>
          <w:sz w:val="22"/>
          <w:szCs w:val="22"/>
        </w:rPr>
        <w:t>Financial pressures also reshape workforce dynamics. The costs of system integration, data storage, and clinical oversight pose barriers for NHS trusts, creating uneven adoption across regions. This unevenness directly affects staff, who must adapt to AI</w:t>
      </w:r>
      <w:r w:rsidRPr="00D23427">
        <w:rPr>
          <w:rFonts w:ascii="Arial" w:hAnsi="Arial" w:cs="Arial"/>
          <w:sz w:val="22"/>
          <w:szCs w:val="22"/>
        </w:rPr>
        <w:noBreakHyphen/>
        <w:t>enabled workflows in some settings while continuing with traditional processes in others. The resulting inconsistency risks stratifying the workforce itself, with technologically equipped teams gaining authority and efficiency while others are left behind. At the same time, the promise of efficiency demonstrated by a benefit</w:t>
      </w:r>
      <w:r w:rsidRPr="00D23427">
        <w:rPr>
          <w:rFonts w:ascii="Arial" w:hAnsi="Arial" w:cs="Arial"/>
          <w:sz w:val="22"/>
          <w:szCs w:val="22"/>
        </w:rPr>
        <w:noBreakHyphen/>
        <w:t xml:space="preserve">cost ratio (BCR) of 1.7, projected to rise to 2 with full </w:t>
      </w:r>
      <w:r w:rsidR="00103325" w:rsidRPr="00D23427">
        <w:rPr>
          <w:rFonts w:ascii="Arial" w:hAnsi="Arial" w:cs="Arial"/>
          <w:sz w:val="22"/>
          <w:szCs w:val="22"/>
        </w:rPr>
        <w:t>autonomy places</w:t>
      </w:r>
      <w:r w:rsidRPr="00D23427">
        <w:rPr>
          <w:rFonts w:ascii="Arial" w:hAnsi="Arial" w:cs="Arial"/>
          <w:sz w:val="22"/>
          <w:szCs w:val="22"/>
        </w:rPr>
        <w:t xml:space="preserve"> additional pressure on staff to deliver more with fewer resources, intensifying the demand for resilience and adaptability (Abdulrahman and Trengove, 2025).</w:t>
      </w:r>
    </w:p>
    <w:p w14:paraId="28CCC9EB" w14:textId="77777777" w:rsidR="00D23427" w:rsidRPr="00D23427" w:rsidRDefault="00D23427" w:rsidP="00D23427">
      <w:pPr>
        <w:spacing w:line="360" w:lineRule="auto"/>
        <w:rPr>
          <w:rFonts w:ascii="Arial" w:hAnsi="Arial" w:cs="Arial"/>
          <w:sz w:val="22"/>
          <w:szCs w:val="22"/>
        </w:rPr>
      </w:pPr>
      <w:r w:rsidRPr="00D23427">
        <w:rPr>
          <w:rFonts w:ascii="Arial" w:hAnsi="Arial" w:cs="Arial"/>
          <w:sz w:val="22"/>
          <w:szCs w:val="22"/>
        </w:rPr>
        <w:t>Ultimately, the impact of DERM on the workforce is multidimensional. It redefines professional identity, redistributes power across clinical and administrative hierarchies, and amplifies ethical responsibility. These shifts will determine whether the NHS workforce can adapt sustainably to digital transformation, or whether gaps in training, governance, and cultural sensitivity risk eroding resilience and undermining the human values that sustain professional practice (Digital Health, 2023).</w:t>
      </w:r>
    </w:p>
    <w:p w14:paraId="4C5F77AD" w14:textId="2D518D7E" w:rsidR="00613931" w:rsidRPr="00613931" w:rsidRDefault="00B75D12" w:rsidP="00613931">
      <w:pPr>
        <w:spacing w:line="360" w:lineRule="auto"/>
        <w:rPr>
          <w:rFonts w:ascii="Arial" w:hAnsi="Arial" w:cs="Arial"/>
          <w:b/>
          <w:bCs/>
          <w:color w:val="0070C0"/>
          <w:sz w:val="28"/>
          <w:szCs w:val="28"/>
        </w:rPr>
      </w:pPr>
      <w:r w:rsidRPr="00C83576">
        <w:rPr>
          <w:rFonts w:ascii="Arial" w:hAnsi="Arial" w:cs="Arial"/>
          <w:sz w:val="22"/>
          <w:szCs w:val="22"/>
        </w:rPr>
        <w:br/>
      </w:r>
      <w:r w:rsidR="00613931" w:rsidRPr="00613931">
        <w:rPr>
          <w:rFonts w:ascii="Arial" w:hAnsi="Arial" w:cs="Arial"/>
          <w:b/>
          <w:bCs/>
          <w:color w:val="0070C0"/>
          <w:sz w:val="28"/>
          <w:szCs w:val="28"/>
        </w:rPr>
        <w:t>Impact on Patients</w:t>
      </w:r>
      <w:r w:rsidR="00613931">
        <w:rPr>
          <w:rFonts w:ascii="Arial" w:hAnsi="Arial" w:cs="Arial"/>
          <w:b/>
          <w:bCs/>
          <w:color w:val="0070C0"/>
          <w:sz w:val="28"/>
          <w:szCs w:val="28"/>
        </w:rPr>
        <w:t>:</w:t>
      </w:r>
    </w:p>
    <w:p w14:paraId="314DF154" w14:textId="77777777" w:rsidR="00613931" w:rsidRPr="00613931" w:rsidRDefault="00613931" w:rsidP="00613931">
      <w:pPr>
        <w:spacing w:line="360" w:lineRule="auto"/>
        <w:rPr>
          <w:rFonts w:ascii="Arial" w:hAnsi="Arial" w:cs="Arial"/>
          <w:sz w:val="22"/>
          <w:szCs w:val="22"/>
        </w:rPr>
      </w:pPr>
      <w:r w:rsidRPr="00613931">
        <w:rPr>
          <w:rFonts w:ascii="Arial" w:hAnsi="Arial" w:cs="Arial"/>
          <w:sz w:val="22"/>
          <w:szCs w:val="22"/>
        </w:rPr>
        <w:t>The integration of AI technologies such as DERM into dermatology services presents a dual narrative of innovation and ethical complexity. On one hand, AI</w:t>
      </w:r>
      <w:r w:rsidRPr="00613931">
        <w:rPr>
          <w:rFonts w:ascii="Arial" w:hAnsi="Arial" w:cs="Arial"/>
          <w:sz w:val="22"/>
          <w:szCs w:val="22"/>
        </w:rPr>
        <w:noBreakHyphen/>
        <w:t>enabled triage can expedite access to care and reduce unnecessary referrals, potentially alleviating anxiety for patients with benign lesions (The Lancet Digital Health, 2024). On the other, this operational efficiency must be critically examined in terms of its relational and cultural implications. The automation of diagnostic pathways risks undermining the therapeutic alliance, particularly when patients engage with systems that lack transparency, emotional sensitivity, or cultural responsiveness. In contexts where reassurance, trauma</w:t>
      </w:r>
      <w:r w:rsidRPr="00613931">
        <w:rPr>
          <w:rFonts w:ascii="Arial" w:hAnsi="Arial" w:cs="Arial"/>
          <w:sz w:val="22"/>
          <w:szCs w:val="22"/>
        </w:rPr>
        <w:noBreakHyphen/>
        <w:t>informed dialogue, and identity</w:t>
      </w:r>
      <w:r w:rsidRPr="00613931">
        <w:rPr>
          <w:rFonts w:ascii="Arial" w:hAnsi="Arial" w:cs="Arial"/>
          <w:sz w:val="22"/>
          <w:szCs w:val="22"/>
        </w:rPr>
        <w:noBreakHyphen/>
        <w:t>sensitive care are essential, algorithmic decision</w:t>
      </w:r>
      <w:r w:rsidRPr="00613931">
        <w:rPr>
          <w:rFonts w:ascii="Arial" w:hAnsi="Arial" w:cs="Arial"/>
          <w:sz w:val="22"/>
          <w:szCs w:val="22"/>
        </w:rPr>
        <w:noBreakHyphen/>
        <w:t>making may feel alienating or even exclusionary (Zbrzezny and Krzywicki, 2025).</w:t>
      </w:r>
    </w:p>
    <w:p w14:paraId="16300467" w14:textId="77777777" w:rsidR="00613931" w:rsidRPr="00613931" w:rsidRDefault="00613931" w:rsidP="00613931">
      <w:pPr>
        <w:spacing w:line="360" w:lineRule="auto"/>
        <w:rPr>
          <w:rFonts w:ascii="Arial" w:hAnsi="Arial" w:cs="Arial"/>
          <w:sz w:val="22"/>
          <w:szCs w:val="22"/>
        </w:rPr>
      </w:pPr>
      <w:r w:rsidRPr="00613931">
        <w:rPr>
          <w:rFonts w:ascii="Arial" w:hAnsi="Arial" w:cs="Arial"/>
          <w:sz w:val="22"/>
          <w:szCs w:val="22"/>
        </w:rPr>
        <w:t xml:space="preserve">NICE’s mandate for clinician oversight in cases involving Fitzpatrick skin types V and VI highlights the limitations of current AI models in serving diverse populations. While this safeguard is ethically necessary, it also exposes a deeper structural issue: the underrepresentation of darker skin tones in training datasets and the implicit biases </w:t>
      </w:r>
      <w:r w:rsidRPr="00613931">
        <w:rPr>
          <w:rFonts w:ascii="Arial" w:hAnsi="Arial" w:cs="Arial"/>
          <w:sz w:val="22"/>
          <w:szCs w:val="22"/>
        </w:rPr>
        <w:lastRenderedPageBreak/>
        <w:t>embedded within algorithmic design (Skin Analytics, 2025). The requirement for human review is not merely a technical fix; it is a reminder that representational justice must be actively pursued rather than passively assumed. Transparent communication, informed consent, and inclusive deployment strategies are therefore not ancillary but fundamental to the ethical integration of AI (Skin Analytics, 2025).</w:t>
      </w:r>
    </w:p>
    <w:p w14:paraId="4B259193" w14:textId="77777777" w:rsidR="00613931" w:rsidRPr="00613931" w:rsidRDefault="00613931" w:rsidP="00613931">
      <w:pPr>
        <w:spacing w:line="360" w:lineRule="auto"/>
        <w:rPr>
          <w:rFonts w:ascii="Arial" w:hAnsi="Arial" w:cs="Arial"/>
          <w:sz w:val="22"/>
          <w:szCs w:val="22"/>
        </w:rPr>
      </w:pPr>
      <w:r w:rsidRPr="00613931">
        <w:rPr>
          <w:rFonts w:ascii="Arial" w:hAnsi="Arial" w:cs="Arial"/>
          <w:sz w:val="22"/>
          <w:szCs w:val="22"/>
        </w:rPr>
        <w:t>The impact on patients is therefore multidimensional. It is not confined to faster diagnosis or reduced referrals, but extends to how individuals experience care, trust institutions, and feel seen within clinical systems. Patients’ perceptions of AI in dermatology are shaped as much by the integrity of its implementation as by its clinical accuracy. Trust cannot be engineered through metrics alone; it must be cultivated through governance, inclusivity, and relational care. Without these safeguards, AI risks perpetuating the very disparities it aims to address, eroding dignity and undermining the legitimacy of innovation in healthcare (Skin Analytics, 2025).</w:t>
      </w:r>
    </w:p>
    <w:p w14:paraId="0CF17D27" w14:textId="06D5296B" w:rsidR="00CC772D" w:rsidRPr="0071161D" w:rsidRDefault="00C80D0F" w:rsidP="00CC772D">
      <w:pPr>
        <w:spacing w:line="360" w:lineRule="auto"/>
        <w:rPr>
          <w:rFonts w:ascii="Arial" w:hAnsi="Arial" w:cs="Arial"/>
          <w:color w:val="44709D" w:themeColor="accent3"/>
          <w:sz w:val="22"/>
          <w:szCs w:val="22"/>
        </w:rPr>
      </w:pPr>
      <w:r w:rsidRPr="0071161D">
        <w:rPr>
          <w:rFonts w:ascii="Arial" w:hAnsi="Arial" w:cs="Arial"/>
          <w:b/>
          <w:bCs/>
          <w:color w:val="44709D" w:themeColor="accent3"/>
          <w:sz w:val="28"/>
          <w:szCs w:val="28"/>
        </w:rPr>
        <w:t>Impact on community</w:t>
      </w:r>
      <w:r w:rsidR="0071161D" w:rsidRPr="0071161D">
        <w:rPr>
          <w:rFonts w:ascii="Arial" w:hAnsi="Arial" w:cs="Arial"/>
          <w:b/>
          <w:bCs/>
          <w:color w:val="44709D" w:themeColor="accent3"/>
          <w:sz w:val="28"/>
          <w:szCs w:val="28"/>
        </w:rPr>
        <w:t>:</w:t>
      </w:r>
    </w:p>
    <w:p w14:paraId="4F4FAE3F" w14:textId="2026916F" w:rsidR="00773E16" w:rsidRPr="00773E16" w:rsidRDefault="00773E16" w:rsidP="00773E16">
      <w:pPr>
        <w:spacing w:line="360" w:lineRule="auto"/>
        <w:rPr>
          <w:rFonts w:ascii="Arial" w:hAnsi="Arial" w:cs="Arial"/>
          <w:sz w:val="22"/>
          <w:szCs w:val="22"/>
        </w:rPr>
      </w:pPr>
      <w:r w:rsidRPr="00773E16">
        <w:rPr>
          <w:rFonts w:ascii="Arial" w:hAnsi="Arial" w:cs="Arial"/>
          <w:sz w:val="22"/>
          <w:szCs w:val="22"/>
        </w:rPr>
        <w:t xml:space="preserve">The integration of AI technologies such as DERM into dermatology services reshapes the collective landscape of care, extending beyond individual encounters to the wider social fabric. By decentralising diagnostic access through teledermatology hubs, DERM promises geographic convenience and reduced travel burdens, particularly for communities in remote or underserved areas (Skene et al., 2024). </w:t>
      </w:r>
      <w:r w:rsidR="001F189A" w:rsidRPr="00773E16">
        <w:rPr>
          <w:rFonts w:ascii="Arial" w:hAnsi="Arial" w:cs="Arial"/>
          <w:sz w:val="22"/>
          <w:szCs w:val="22"/>
        </w:rPr>
        <w:t>Nevertheless</w:t>
      </w:r>
      <w:r w:rsidR="001F189A">
        <w:rPr>
          <w:rFonts w:ascii="Arial" w:hAnsi="Arial" w:cs="Arial"/>
          <w:sz w:val="22"/>
          <w:szCs w:val="22"/>
        </w:rPr>
        <w:t>,</w:t>
      </w:r>
      <w:r w:rsidRPr="00773E16">
        <w:rPr>
          <w:rFonts w:ascii="Arial" w:hAnsi="Arial" w:cs="Arial"/>
          <w:sz w:val="22"/>
          <w:szCs w:val="22"/>
        </w:rPr>
        <w:t xml:space="preserve"> this spatial redistribution is unevenly realised. Communities without robust digital infrastructure, imaging capacity, or clinical oversight risk exclusion from AI</w:t>
      </w:r>
      <w:r w:rsidRPr="00773E16">
        <w:rPr>
          <w:rFonts w:ascii="Arial" w:hAnsi="Arial" w:cs="Arial"/>
          <w:sz w:val="22"/>
          <w:szCs w:val="22"/>
        </w:rPr>
        <w:noBreakHyphen/>
        <w:t>enabled pathways, reinforcing structural inequities under the guise of innovation. Accessibility, without investment in infrastructure, risks becoming a digitally mediated form of exclusion rather than empowerment (Skene et al., 2024).</w:t>
      </w:r>
    </w:p>
    <w:p w14:paraId="3EDC8A9E" w14:textId="77777777" w:rsidR="00773E16" w:rsidRPr="00773E16" w:rsidRDefault="00773E16" w:rsidP="00773E16">
      <w:pPr>
        <w:spacing w:line="360" w:lineRule="auto"/>
        <w:rPr>
          <w:rFonts w:ascii="Arial" w:hAnsi="Arial" w:cs="Arial"/>
          <w:sz w:val="22"/>
          <w:szCs w:val="22"/>
        </w:rPr>
      </w:pPr>
      <w:r w:rsidRPr="00773E16">
        <w:rPr>
          <w:rFonts w:ascii="Arial" w:hAnsi="Arial" w:cs="Arial"/>
          <w:sz w:val="22"/>
          <w:szCs w:val="22"/>
        </w:rPr>
        <w:t>The ripple effects extend to families and informal carers, whose contributions are often invisible within service design. While faster triage may ease logistical strain, the opacity of AI decision</w:t>
      </w:r>
      <w:r w:rsidRPr="00773E16">
        <w:rPr>
          <w:rFonts w:ascii="Arial" w:hAnsi="Arial" w:cs="Arial"/>
          <w:sz w:val="22"/>
          <w:szCs w:val="22"/>
        </w:rPr>
        <w:noBreakHyphen/>
        <w:t>making can generate uncertainty and emotional disconnection. In contexts where collective decision</w:t>
      </w:r>
      <w:r w:rsidRPr="00773E16">
        <w:rPr>
          <w:rFonts w:ascii="Arial" w:hAnsi="Arial" w:cs="Arial"/>
          <w:sz w:val="22"/>
          <w:szCs w:val="22"/>
        </w:rPr>
        <w:noBreakHyphen/>
        <w:t>making and intergenerational caregiving are central to health navigation, the absence of relational dialogue risks sidelining families and weakening cultural continuity (Skene et al., 2024).</w:t>
      </w:r>
    </w:p>
    <w:p w14:paraId="2DBEA02C" w14:textId="272B4E7B" w:rsidR="00773E16" w:rsidRPr="00773E16" w:rsidRDefault="00773E16" w:rsidP="00773E16">
      <w:pPr>
        <w:spacing w:line="360" w:lineRule="auto"/>
        <w:rPr>
          <w:rFonts w:ascii="Arial" w:hAnsi="Arial" w:cs="Arial"/>
          <w:sz w:val="22"/>
          <w:szCs w:val="22"/>
        </w:rPr>
      </w:pPr>
      <w:r w:rsidRPr="00773E16">
        <w:rPr>
          <w:rFonts w:ascii="Arial" w:hAnsi="Arial" w:cs="Arial"/>
          <w:sz w:val="22"/>
          <w:szCs w:val="22"/>
        </w:rPr>
        <w:t xml:space="preserve">From a public health perspective, DERM offers potential gains in early detection and system efficiency. </w:t>
      </w:r>
      <w:r w:rsidR="001F189A" w:rsidRPr="00773E16">
        <w:rPr>
          <w:rFonts w:ascii="Arial" w:hAnsi="Arial" w:cs="Arial"/>
          <w:sz w:val="22"/>
          <w:szCs w:val="22"/>
        </w:rPr>
        <w:t>However</w:t>
      </w:r>
      <w:r w:rsidR="001F189A">
        <w:rPr>
          <w:rFonts w:ascii="Arial" w:hAnsi="Arial" w:cs="Arial"/>
          <w:sz w:val="22"/>
          <w:szCs w:val="22"/>
        </w:rPr>
        <w:t>,</w:t>
      </w:r>
      <w:r w:rsidRPr="00773E16">
        <w:rPr>
          <w:rFonts w:ascii="Arial" w:hAnsi="Arial" w:cs="Arial"/>
          <w:sz w:val="22"/>
          <w:szCs w:val="22"/>
        </w:rPr>
        <w:t xml:space="preserve"> these benefits are contingent on community trust, digital literacy, and meaningful co</w:t>
      </w:r>
      <w:r w:rsidRPr="00773E16">
        <w:rPr>
          <w:rFonts w:ascii="Arial" w:hAnsi="Arial" w:cs="Arial"/>
          <w:sz w:val="22"/>
          <w:szCs w:val="22"/>
        </w:rPr>
        <w:noBreakHyphen/>
        <w:t xml:space="preserve">production. The absence of participatory </w:t>
      </w:r>
      <w:r w:rsidR="001F189A" w:rsidRPr="00773E16">
        <w:rPr>
          <w:rFonts w:ascii="Arial" w:hAnsi="Arial" w:cs="Arial"/>
          <w:sz w:val="22"/>
          <w:szCs w:val="22"/>
        </w:rPr>
        <w:t xml:space="preserve">frameworks </w:t>
      </w:r>
      <w:r w:rsidR="001F189A">
        <w:rPr>
          <w:rFonts w:ascii="Arial" w:hAnsi="Arial" w:cs="Arial"/>
          <w:sz w:val="22"/>
          <w:szCs w:val="22"/>
        </w:rPr>
        <w:t>where</w:t>
      </w:r>
      <w:r w:rsidRPr="00773E16">
        <w:rPr>
          <w:rFonts w:ascii="Arial" w:hAnsi="Arial" w:cs="Arial"/>
          <w:sz w:val="22"/>
          <w:szCs w:val="22"/>
        </w:rPr>
        <w:t xml:space="preserve"> patients, families, and community advocates actively shape the design and governance of AI tools  risks </w:t>
      </w:r>
      <w:r w:rsidRPr="00773E16">
        <w:rPr>
          <w:rFonts w:ascii="Arial" w:hAnsi="Arial" w:cs="Arial"/>
          <w:sz w:val="22"/>
          <w:szCs w:val="22"/>
        </w:rPr>
        <w:lastRenderedPageBreak/>
        <w:t>perpetuating top</w:t>
      </w:r>
      <w:r w:rsidRPr="00773E16">
        <w:rPr>
          <w:rFonts w:ascii="Arial" w:hAnsi="Arial" w:cs="Arial"/>
          <w:sz w:val="22"/>
          <w:szCs w:val="22"/>
        </w:rPr>
        <w:noBreakHyphen/>
        <w:t>down models of care that marginalise lived experience. Co</w:t>
      </w:r>
      <w:r w:rsidRPr="00773E16">
        <w:rPr>
          <w:rFonts w:ascii="Arial" w:hAnsi="Arial" w:cs="Arial"/>
          <w:sz w:val="22"/>
          <w:szCs w:val="22"/>
        </w:rPr>
        <w:noBreakHyphen/>
        <w:t>production is not a tokenistic gesture; it is an ethical imperative that anchors technological deployment in the realities of those it seeks to serve (Giansanti, 2023).</w:t>
      </w:r>
    </w:p>
    <w:p w14:paraId="05138A7C" w14:textId="6C7FB2D8" w:rsidR="00773E16" w:rsidRPr="00773E16" w:rsidRDefault="00103325" w:rsidP="00773E16">
      <w:pPr>
        <w:spacing w:line="360" w:lineRule="auto"/>
        <w:rPr>
          <w:rFonts w:ascii="Arial" w:hAnsi="Arial" w:cs="Arial"/>
          <w:sz w:val="22"/>
          <w:szCs w:val="22"/>
        </w:rPr>
      </w:pPr>
      <w:r w:rsidRPr="00773E16">
        <w:rPr>
          <w:rFonts w:ascii="Arial" w:hAnsi="Arial" w:cs="Arial"/>
          <w:sz w:val="22"/>
          <w:szCs w:val="22"/>
        </w:rPr>
        <w:t>At last</w:t>
      </w:r>
      <w:r w:rsidR="00773E16" w:rsidRPr="00773E16">
        <w:rPr>
          <w:rFonts w:ascii="Arial" w:hAnsi="Arial" w:cs="Arial"/>
          <w:sz w:val="22"/>
          <w:szCs w:val="22"/>
        </w:rPr>
        <w:t>, the impact of AI on communities must be measured not only by clinical metrics but by its capacity to honour relational, cultural, and geographic justice. Without this lens, innovation risks becoming extractive: efficient, scalable, but ethically hollow. True community impact requires that AI strengthens trust, sustains cultural safety, and embeds justice into the very fabric of care (Giansanti, 2023; Skene et al., 2024).</w:t>
      </w:r>
    </w:p>
    <w:p w14:paraId="6320E6DC" w14:textId="77777777" w:rsidR="00302163" w:rsidRDefault="00302163" w:rsidP="008375B5">
      <w:pPr>
        <w:spacing w:line="360" w:lineRule="auto"/>
        <w:rPr>
          <w:rFonts w:ascii="Arial" w:hAnsi="Arial" w:cs="Arial"/>
          <w:b/>
          <w:bCs/>
          <w:color w:val="44709D" w:themeColor="accent3"/>
          <w:sz w:val="28"/>
          <w:szCs w:val="28"/>
        </w:rPr>
      </w:pPr>
    </w:p>
    <w:p w14:paraId="0C5078D7" w14:textId="38BDC44F" w:rsidR="00C80D0F" w:rsidRPr="0071161D" w:rsidRDefault="00C80D0F" w:rsidP="008375B5">
      <w:pPr>
        <w:spacing w:line="360" w:lineRule="auto"/>
        <w:rPr>
          <w:rFonts w:ascii="Arial" w:hAnsi="Arial" w:cs="Arial"/>
          <w:b/>
          <w:bCs/>
          <w:color w:val="44709D" w:themeColor="accent3"/>
          <w:sz w:val="28"/>
          <w:szCs w:val="28"/>
        </w:rPr>
      </w:pPr>
      <w:r w:rsidRPr="0071161D">
        <w:rPr>
          <w:rFonts w:ascii="Arial" w:hAnsi="Arial" w:cs="Arial"/>
          <w:b/>
          <w:bCs/>
          <w:color w:val="44709D" w:themeColor="accent3"/>
          <w:sz w:val="28"/>
          <w:szCs w:val="28"/>
        </w:rPr>
        <w:t>Conclusion</w:t>
      </w:r>
      <w:r w:rsidR="0071161D">
        <w:rPr>
          <w:rFonts w:ascii="Arial" w:hAnsi="Arial" w:cs="Arial"/>
          <w:b/>
          <w:bCs/>
          <w:color w:val="44709D" w:themeColor="accent3"/>
          <w:sz w:val="28"/>
          <w:szCs w:val="28"/>
        </w:rPr>
        <w:t>:</w:t>
      </w:r>
    </w:p>
    <w:p w14:paraId="046E87F0" w14:textId="77777777" w:rsidR="001F189A" w:rsidRPr="001F189A" w:rsidRDefault="001F189A" w:rsidP="001F189A">
      <w:pPr>
        <w:spacing w:line="360" w:lineRule="auto"/>
        <w:rPr>
          <w:rFonts w:ascii="Arial" w:hAnsi="Arial" w:cs="Arial"/>
          <w:sz w:val="22"/>
          <w:szCs w:val="22"/>
        </w:rPr>
      </w:pPr>
      <w:r w:rsidRPr="001F189A">
        <w:rPr>
          <w:rFonts w:ascii="Arial" w:hAnsi="Arial" w:cs="Arial"/>
          <w:sz w:val="22"/>
          <w:szCs w:val="22"/>
        </w:rPr>
        <w:t>Integrating AI technologies such as DERM into dermatology services represents a transformative shift in workforce dynamics, patient experience, and community engagement. While the potential for improved efficiency, earlier detection, and reduced referral burden is clear, these benefits must be balanced against risks of algorithmic bias, relational erosion, and stratified access. The deployment of AI is not a neutral act; it is a socio</w:t>
      </w:r>
      <w:r w:rsidRPr="001F189A">
        <w:rPr>
          <w:rFonts w:ascii="Arial" w:hAnsi="Arial" w:cs="Arial"/>
          <w:sz w:val="22"/>
          <w:szCs w:val="22"/>
        </w:rPr>
        <w:noBreakHyphen/>
        <w:t>technical intervention that reconfigures power, responsibility, and the meaning of care.</w:t>
      </w:r>
    </w:p>
    <w:p w14:paraId="1F61A2EF" w14:textId="77777777" w:rsidR="001F189A" w:rsidRPr="001F189A" w:rsidRDefault="001F189A" w:rsidP="001F189A">
      <w:pPr>
        <w:spacing w:line="360" w:lineRule="auto"/>
        <w:rPr>
          <w:rFonts w:ascii="Arial" w:hAnsi="Arial" w:cs="Arial"/>
          <w:sz w:val="22"/>
          <w:szCs w:val="22"/>
        </w:rPr>
      </w:pPr>
      <w:r w:rsidRPr="001F189A">
        <w:rPr>
          <w:rFonts w:ascii="Arial" w:hAnsi="Arial" w:cs="Arial"/>
          <w:sz w:val="22"/>
          <w:szCs w:val="22"/>
        </w:rPr>
        <w:t>This report has underscored the ethical imperative for mitigated deployment strategies, particularly for patients with Fitzpatrick skin types V and VI. Safeguards such as mandatory clinician oversight, dataset enrichment with diverse skin tones, and bias monitoring dashboards with disaggregated performance metrics are essential to ensure that exclusion is not perpetuated under the guise of innovation.</w:t>
      </w:r>
    </w:p>
    <w:p w14:paraId="7FB46CC2" w14:textId="77777777" w:rsidR="001F189A" w:rsidRPr="001F189A" w:rsidRDefault="001F189A" w:rsidP="001F189A">
      <w:pPr>
        <w:spacing w:line="360" w:lineRule="auto"/>
        <w:rPr>
          <w:rFonts w:ascii="Arial" w:hAnsi="Arial" w:cs="Arial"/>
          <w:sz w:val="22"/>
          <w:szCs w:val="22"/>
        </w:rPr>
      </w:pPr>
      <w:r w:rsidRPr="001F189A">
        <w:rPr>
          <w:rFonts w:ascii="Arial" w:hAnsi="Arial" w:cs="Arial"/>
          <w:sz w:val="22"/>
          <w:szCs w:val="22"/>
        </w:rPr>
        <w:t>It has also examined the shifting roles of dermatologists and support staff, revealing the need for new competency frameworks. These must combine digital fluency (AI literacy and explainability), ethical reasoning (bias awareness and equity principles), and emotional literacy (trauma</w:t>
      </w:r>
      <w:r w:rsidRPr="001F189A">
        <w:rPr>
          <w:rFonts w:ascii="Arial" w:hAnsi="Arial" w:cs="Arial"/>
          <w:sz w:val="22"/>
          <w:szCs w:val="22"/>
        </w:rPr>
        <w:noBreakHyphen/>
        <w:t>informed communication and relational care). Training should prepare clinicians to collaborate across disciplines, integrating technical expertise with human</w:t>
      </w:r>
      <w:r w:rsidRPr="001F189A">
        <w:rPr>
          <w:rFonts w:ascii="Arial" w:hAnsi="Arial" w:cs="Arial"/>
          <w:sz w:val="22"/>
          <w:szCs w:val="22"/>
        </w:rPr>
        <w:noBreakHyphen/>
        <w:t>centred values.</w:t>
      </w:r>
    </w:p>
    <w:p w14:paraId="47BD48AF" w14:textId="77777777" w:rsidR="001F189A" w:rsidRPr="001F189A" w:rsidRDefault="001F189A" w:rsidP="001F189A">
      <w:pPr>
        <w:spacing w:line="360" w:lineRule="auto"/>
        <w:rPr>
          <w:rFonts w:ascii="Arial" w:hAnsi="Arial" w:cs="Arial"/>
          <w:sz w:val="22"/>
          <w:szCs w:val="22"/>
        </w:rPr>
      </w:pPr>
      <w:r w:rsidRPr="001F189A">
        <w:rPr>
          <w:rFonts w:ascii="Arial" w:hAnsi="Arial" w:cs="Arial"/>
          <w:sz w:val="22"/>
          <w:szCs w:val="22"/>
        </w:rPr>
        <w:t>At the community level, equity, transparency, and co</w:t>
      </w:r>
      <w:r w:rsidRPr="001F189A">
        <w:rPr>
          <w:rFonts w:ascii="Arial" w:hAnsi="Arial" w:cs="Arial"/>
          <w:sz w:val="22"/>
          <w:szCs w:val="22"/>
        </w:rPr>
        <w:noBreakHyphen/>
        <w:t>production must govern AI</w:t>
      </w:r>
      <w:r w:rsidRPr="001F189A">
        <w:rPr>
          <w:rFonts w:ascii="Arial" w:hAnsi="Arial" w:cs="Arial"/>
          <w:sz w:val="22"/>
          <w:szCs w:val="22"/>
        </w:rPr>
        <w:noBreakHyphen/>
        <w:t>enabled care. Inclusive design can be achieved through community advisory boards, participatory trials, and feedback loops that embed patient and carer voices into system updates. Transparent communication and equity audits are fundamental to accountability and trust.</w:t>
      </w:r>
    </w:p>
    <w:p w14:paraId="173C8976" w14:textId="251412FF" w:rsidR="002034C7" w:rsidRDefault="00103325" w:rsidP="00DF2D6B">
      <w:pPr>
        <w:spacing w:line="360" w:lineRule="auto"/>
        <w:rPr>
          <w:rFonts w:ascii="Arial" w:hAnsi="Arial" w:cs="Arial"/>
          <w:sz w:val="22"/>
          <w:szCs w:val="22"/>
        </w:rPr>
      </w:pPr>
      <w:r w:rsidRPr="001F189A">
        <w:rPr>
          <w:rFonts w:ascii="Arial" w:hAnsi="Arial" w:cs="Arial"/>
          <w:sz w:val="22"/>
          <w:szCs w:val="22"/>
        </w:rPr>
        <w:lastRenderedPageBreak/>
        <w:t>Eventually</w:t>
      </w:r>
      <w:r w:rsidR="001F189A" w:rsidRPr="001F189A">
        <w:rPr>
          <w:rFonts w:ascii="Arial" w:hAnsi="Arial" w:cs="Arial"/>
          <w:sz w:val="22"/>
          <w:szCs w:val="22"/>
        </w:rPr>
        <w:t xml:space="preserve">, the impact of AI on communities must be measured not only by clinical metrics but by its capacity to honour relational, cultural, and geographic justice. Without this lens, innovation risks becoming </w:t>
      </w:r>
      <w:r w:rsidRPr="001F189A">
        <w:rPr>
          <w:rFonts w:ascii="Arial" w:hAnsi="Arial" w:cs="Arial"/>
          <w:sz w:val="22"/>
          <w:szCs w:val="22"/>
        </w:rPr>
        <w:t>extractive efficient</w:t>
      </w:r>
      <w:r w:rsidR="001F189A" w:rsidRPr="001F189A">
        <w:rPr>
          <w:rFonts w:ascii="Arial" w:hAnsi="Arial" w:cs="Arial"/>
          <w:sz w:val="22"/>
          <w:szCs w:val="22"/>
        </w:rPr>
        <w:t xml:space="preserve"> and scalable, but ethically hollow. The ethical deployment of AI in dermatology demands intentionality, accountability, and inclusivity, ensuring that technologies like DERM become instruments of justice and empowerment rather than tools of exclusion</w:t>
      </w:r>
      <w:r w:rsidR="001F189A">
        <w:rPr>
          <w:rFonts w:ascii="Arial" w:hAnsi="Arial" w:cs="Arial"/>
          <w:sz w:val="22"/>
          <w:szCs w:val="22"/>
        </w:rPr>
        <w:t>.</w:t>
      </w:r>
    </w:p>
    <w:p w14:paraId="002F96D7" w14:textId="08723788" w:rsidR="00DF2D6B" w:rsidRPr="002034C7" w:rsidRDefault="00DF2D6B" w:rsidP="00DF2D6B">
      <w:pPr>
        <w:spacing w:line="360" w:lineRule="auto"/>
        <w:rPr>
          <w:rFonts w:ascii="Arial" w:hAnsi="Arial" w:cs="Arial"/>
          <w:i/>
          <w:iCs/>
          <w:color w:val="44709D" w:themeColor="accent3"/>
          <w:sz w:val="22"/>
          <w:szCs w:val="22"/>
        </w:rPr>
      </w:pPr>
      <w:r w:rsidRPr="002034C7">
        <w:rPr>
          <w:rFonts w:ascii="Arial" w:hAnsi="Arial" w:cs="Arial"/>
          <w:b/>
          <w:bCs/>
          <w:i/>
          <w:iCs/>
          <w:color w:val="44709D" w:themeColor="accent3"/>
          <w:sz w:val="22"/>
          <w:szCs w:val="22"/>
        </w:rPr>
        <w:t>Recommendations</w:t>
      </w:r>
      <w:r w:rsidR="002034C7" w:rsidRPr="002034C7">
        <w:rPr>
          <w:rFonts w:ascii="Arial" w:hAnsi="Arial" w:cs="Arial"/>
          <w:b/>
          <w:bCs/>
          <w:i/>
          <w:iCs/>
          <w:color w:val="44709D" w:themeColor="accent3"/>
          <w:sz w:val="22"/>
          <w:szCs w:val="22"/>
        </w:rPr>
        <w:t>:</w:t>
      </w:r>
    </w:p>
    <w:p w14:paraId="40D3C305" w14:textId="77777777" w:rsidR="006F619C" w:rsidRPr="006F619C" w:rsidRDefault="006F619C" w:rsidP="006F619C">
      <w:pPr>
        <w:spacing w:line="360" w:lineRule="auto"/>
        <w:rPr>
          <w:rFonts w:ascii="Arial" w:hAnsi="Arial" w:cs="Arial"/>
          <w:b/>
          <w:bCs/>
          <w:sz w:val="22"/>
          <w:szCs w:val="22"/>
        </w:rPr>
      </w:pPr>
      <w:r w:rsidRPr="006F619C">
        <w:rPr>
          <w:rFonts w:ascii="Arial" w:hAnsi="Arial" w:cs="Arial"/>
          <w:b/>
          <w:bCs/>
          <w:sz w:val="22"/>
          <w:szCs w:val="22"/>
        </w:rPr>
        <w:t>For Policymakers</w:t>
      </w:r>
    </w:p>
    <w:p w14:paraId="16ED5D97" w14:textId="77777777" w:rsidR="006F619C" w:rsidRPr="006F619C" w:rsidRDefault="006F619C" w:rsidP="006F619C">
      <w:pPr>
        <w:numPr>
          <w:ilvl w:val="0"/>
          <w:numId w:val="31"/>
        </w:numPr>
        <w:spacing w:line="360" w:lineRule="auto"/>
        <w:rPr>
          <w:rFonts w:ascii="Arial" w:hAnsi="Arial" w:cs="Arial"/>
          <w:sz w:val="22"/>
          <w:szCs w:val="22"/>
        </w:rPr>
      </w:pPr>
      <w:r w:rsidRPr="006F619C">
        <w:rPr>
          <w:rFonts w:ascii="Arial" w:hAnsi="Arial" w:cs="Arial"/>
          <w:sz w:val="22"/>
          <w:szCs w:val="22"/>
        </w:rPr>
        <w:t>Mandate equity audits for AI systems, with disaggregated reporting by skin type, ethnicity, and geography.</w:t>
      </w:r>
    </w:p>
    <w:p w14:paraId="2B2C1FA8" w14:textId="77777777" w:rsidR="006F619C" w:rsidRPr="006F619C" w:rsidRDefault="006F619C" w:rsidP="006F619C">
      <w:pPr>
        <w:numPr>
          <w:ilvl w:val="0"/>
          <w:numId w:val="31"/>
        </w:numPr>
        <w:spacing w:line="360" w:lineRule="auto"/>
        <w:rPr>
          <w:rFonts w:ascii="Arial" w:hAnsi="Arial" w:cs="Arial"/>
          <w:sz w:val="22"/>
          <w:szCs w:val="22"/>
        </w:rPr>
      </w:pPr>
      <w:r w:rsidRPr="006F619C">
        <w:rPr>
          <w:rFonts w:ascii="Arial" w:hAnsi="Arial" w:cs="Arial"/>
          <w:sz w:val="22"/>
          <w:szCs w:val="22"/>
        </w:rPr>
        <w:t>Fund digital infrastructure in deprived and rural regions to prevent exclusion from AI</w:t>
      </w:r>
      <w:r w:rsidRPr="006F619C">
        <w:rPr>
          <w:rFonts w:ascii="Arial" w:hAnsi="Arial" w:cs="Arial"/>
          <w:sz w:val="22"/>
          <w:szCs w:val="22"/>
        </w:rPr>
        <w:noBreakHyphen/>
        <w:t>enabled pathways.</w:t>
      </w:r>
    </w:p>
    <w:p w14:paraId="56C7338A" w14:textId="77777777" w:rsidR="006F619C" w:rsidRPr="006F619C" w:rsidRDefault="006F619C" w:rsidP="006F619C">
      <w:pPr>
        <w:numPr>
          <w:ilvl w:val="0"/>
          <w:numId w:val="31"/>
        </w:numPr>
        <w:spacing w:line="360" w:lineRule="auto"/>
        <w:rPr>
          <w:rFonts w:ascii="Arial" w:hAnsi="Arial" w:cs="Arial"/>
          <w:sz w:val="22"/>
          <w:szCs w:val="22"/>
        </w:rPr>
      </w:pPr>
      <w:r w:rsidRPr="006F619C">
        <w:rPr>
          <w:rFonts w:ascii="Arial" w:hAnsi="Arial" w:cs="Arial"/>
          <w:sz w:val="22"/>
          <w:szCs w:val="22"/>
        </w:rPr>
        <w:t>Establish regulatory frameworks requiring transparency in algorithmic design, validation, and deployment.</w:t>
      </w:r>
    </w:p>
    <w:p w14:paraId="33112839" w14:textId="77777777" w:rsidR="006F619C" w:rsidRPr="006F619C" w:rsidRDefault="006F619C" w:rsidP="006F619C">
      <w:pPr>
        <w:numPr>
          <w:ilvl w:val="0"/>
          <w:numId w:val="31"/>
        </w:numPr>
        <w:spacing w:line="360" w:lineRule="auto"/>
        <w:rPr>
          <w:rFonts w:ascii="Arial" w:hAnsi="Arial" w:cs="Arial"/>
          <w:sz w:val="22"/>
          <w:szCs w:val="22"/>
        </w:rPr>
      </w:pPr>
      <w:r w:rsidRPr="006F619C">
        <w:rPr>
          <w:rFonts w:ascii="Arial" w:hAnsi="Arial" w:cs="Arial"/>
          <w:sz w:val="22"/>
          <w:szCs w:val="22"/>
        </w:rPr>
        <w:t>Support community advisory boards so lived experience is embedded into governance structures.</w:t>
      </w:r>
    </w:p>
    <w:p w14:paraId="3440EC8C" w14:textId="77777777" w:rsidR="006F619C" w:rsidRPr="006F619C" w:rsidRDefault="006F619C" w:rsidP="006F619C">
      <w:pPr>
        <w:spacing w:line="360" w:lineRule="auto"/>
        <w:rPr>
          <w:rFonts w:ascii="Arial" w:hAnsi="Arial" w:cs="Arial"/>
          <w:b/>
          <w:bCs/>
          <w:sz w:val="22"/>
          <w:szCs w:val="22"/>
        </w:rPr>
      </w:pPr>
      <w:r w:rsidRPr="006F619C">
        <w:rPr>
          <w:rFonts w:ascii="Arial" w:hAnsi="Arial" w:cs="Arial"/>
          <w:b/>
          <w:bCs/>
          <w:sz w:val="22"/>
          <w:szCs w:val="22"/>
        </w:rPr>
        <w:t>For Developers</w:t>
      </w:r>
    </w:p>
    <w:p w14:paraId="39BF8888" w14:textId="77777777" w:rsidR="006F619C" w:rsidRPr="006F619C" w:rsidRDefault="006F619C" w:rsidP="006F619C">
      <w:pPr>
        <w:numPr>
          <w:ilvl w:val="0"/>
          <w:numId w:val="32"/>
        </w:numPr>
        <w:spacing w:line="360" w:lineRule="auto"/>
        <w:rPr>
          <w:rFonts w:ascii="Arial" w:hAnsi="Arial" w:cs="Arial"/>
          <w:sz w:val="22"/>
          <w:szCs w:val="22"/>
        </w:rPr>
      </w:pPr>
      <w:r w:rsidRPr="006F619C">
        <w:rPr>
          <w:rFonts w:ascii="Arial" w:hAnsi="Arial" w:cs="Arial"/>
          <w:sz w:val="22"/>
          <w:szCs w:val="22"/>
        </w:rPr>
        <w:t>Ensure diverse and representative training datasets, including Fitzpatrick skin types V and VI.</w:t>
      </w:r>
    </w:p>
    <w:p w14:paraId="03E5A2CD" w14:textId="77777777" w:rsidR="006F619C" w:rsidRPr="006F619C" w:rsidRDefault="006F619C" w:rsidP="006F619C">
      <w:pPr>
        <w:numPr>
          <w:ilvl w:val="0"/>
          <w:numId w:val="32"/>
        </w:numPr>
        <w:spacing w:line="360" w:lineRule="auto"/>
        <w:rPr>
          <w:rFonts w:ascii="Arial" w:hAnsi="Arial" w:cs="Arial"/>
          <w:sz w:val="22"/>
          <w:szCs w:val="22"/>
        </w:rPr>
      </w:pPr>
      <w:r w:rsidRPr="006F619C">
        <w:rPr>
          <w:rFonts w:ascii="Arial" w:hAnsi="Arial" w:cs="Arial"/>
          <w:sz w:val="22"/>
          <w:szCs w:val="22"/>
        </w:rPr>
        <w:t>Publish bias monitoring dashboards with performance metrics disaggregated by demographic variables.</w:t>
      </w:r>
    </w:p>
    <w:p w14:paraId="1BA33A56" w14:textId="77777777" w:rsidR="006F619C" w:rsidRPr="006F619C" w:rsidRDefault="006F619C" w:rsidP="006F619C">
      <w:pPr>
        <w:numPr>
          <w:ilvl w:val="0"/>
          <w:numId w:val="32"/>
        </w:numPr>
        <w:spacing w:line="360" w:lineRule="auto"/>
        <w:rPr>
          <w:rFonts w:ascii="Arial" w:hAnsi="Arial" w:cs="Arial"/>
          <w:sz w:val="22"/>
          <w:szCs w:val="22"/>
        </w:rPr>
      </w:pPr>
      <w:r w:rsidRPr="006F619C">
        <w:rPr>
          <w:rFonts w:ascii="Arial" w:hAnsi="Arial" w:cs="Arial"/>
          <w:sz w:val="22"/>
          <w:szCs w:val="22"/>
        </w:rPr>
        <w:t>Incorporate explainability features that allow clinicians and patients to understand AI outputs.</w:t>
      </w:r>
    </w:p>
    <w:p w14:paraId="6001C0FE" w14:textId="77777777" w:rsidR="006F619C" w:rsidRPr="006F619C" w:rsidRDefault="006F619C" w:rsidP="006F619C">
      <w:pPr>
        <w:numPr>
          <w:ilvl w:val="0"/>
          <w:numId w:val="32"/>
        </w:numPr>
        <w:spacing w:line="360" w:lineRule="auto"/>
        <w:rPr>
          <w:rFonts w:ascii="Arial" w:hAnsi="Arial" w:cs="Arial"/>
          <w:sz w:val="22"/>
          <w:szCs w:val="22"/>
        </w:rPr>
      </w:pPr>
      <w:r w:rsidRPr="006F619C">
        <w:rPr>
          <w:rFonts w:ascii="Arial" w:hAnsi="Arial" w:cs="Arial"/>
          <w:sz w:val="22"/>
          <w:szCs w:val="22"/>
        </w:rPr>
        <w:t>Engage in co</w:t>
      </w:r>
      <w:r w:rsidRPr="006F619C">
        <w:rPr>
          <w:rFonts w:ascii="Arial" w:hAnsi="Arial" w:cs="Arial"/>
          <w:sz w:val="22"/>
          <w:szCs w:val="22"/>
        </w:rPr>
        <w:noBreakHyphen/>
        <w:t>design processes with patients, families, and carers to align tools with cultural and relational needs.</w:t>
      </w:r>
    </w:p>
    <w:p w14:paraId="3E55C29D" w14:textId="77777777" w:rsidR="006F619C" w:rsidRPr="006F619C" w:rsidRDefault="006F619C" w:rsidP="006F619C">
      <w:pPr>
        <w:spacing w:line="360" w:lineRule="auto"/>
        <w:rPr>
          <w:rFonts w:ascii="Arial" w:hAnsi="Arial" w:cs="Arial"/>
          <w:b/>
          <w:bCs/>
          <w:sz w:val="22"/>
          <w:szCs w:val="22"/>
        </w:rPr>
      </w:pPr>
      <w:r w:rsidRPr="006F619C">
        <w:rPr>
          <w:rFonts w:ascii="Arial" w:hAnsi="Arial" w:cs="Arial"/>
          <w:b/>
          <w:bCs/>
          <w:sz w:val="22"/>
          <w:szCs w:val="22"/>
        </w:rPr>
        <w:t>For Healthcare Providers</w:t>
      </w:r>
    </w:p>
    <w:p w14:paraId="7B17E1EA" w14:textId="77777777" w:rsidR="006F619C" w:rsidRPr="006F619C" w:rsidRDefault="006F619C" w:rsidP="006F619C">
      <w:pPr>
        <w:numPr>
          <w:ilvl w:val="0"/>
          <w:numId w:val="33"/>
        </w:numPr>
        <w:spacing w:line="360" w:lineRule="auto"/>
        <w:rPr>
          <w:rFonts w:ascii="Arial" w:hAnsi="Arial" w:cs="Arial"/>
          <w:sz w:val="22"/>
          <w:szCs w:val="22"/>
        </w:rPr>
      </w:pPr>
      <w:r w:rsidRPr="006F619C">
        <w:rPr>
          <w:rFonts w:ascii="Arial" w:hAnsi="Arial" w:cs="Arial"/>
          <w:sz w:val="22"/>
          <w:szCs w:val="22"/>
        </w:rPr>
        <w:t>Embed collaborative production frameworks involving patients, families, and community advocates in service design.</w:t>
      </w:r>
    </w:p>
    <w:p w14:paraId="5E42C8E4" w14:textId="77777777" w:rsidR="006F619C" w:rsidRPr="006F619C" w:rsidRDefault="006F619C" w:rsidP="006F619C">
      <w:pPr>
        <w:numPr>
          <w:ilvl w:val="0"/>
          <w:numId w:val="33"/>
        </w:numPr>
        <w:spacing w:line="360" w:lineRule="auto"/>
        <w:rPr>
          <w:rFonts w:ascii="Arial" w:hAnsi="Arial" w:cs="Arial"/>
          <w:sz w:val="22"/>
          <w:szCs w:val="22"/>
        </w:rPr>
      </w:pPr>
      <w:r w:rsidRPr="006F619C">
        <w:rPr>
          <w:rFonts w:ascii="Arial" w:hAnsi="Arial" w:cs="Arial"/>
          <w:sz w:val="22"/>
          <w:szCs w:val="22"/>
        </w:rPr>
        <w:t>Invest in workforce training that balances technical competencies with relational and ethical skills.</w:t>
      </w:r>
    </w:p>
    <w:p w14:paraId="4321A879" w14:textId="77777777" w:rsidR="006F619C" w:rsidRPr="006F619C" w:rsidRDefault="006F619C" w:rsidP="006F619C">
      <w:pPr>
        <w:numPr>
          <w:ilvl w:val="0"/>
          <w:numId w:val="33"/>
        </w:numPr>
        <w:spacing w:line="360" w:lineRule="auto"/>
        <w:rPr>
          <w:rFonts w:ascii="Arial" w:hAnsi="Arial" w:cs="Arial"/>
          <w:sz w:val="22"/>
          <w:szCs w:val="22"/>
        </w:rPr>
      </w:pPr>
      <w:r w:rsidRPr="006F619C">
        <w:rPr>
          <w:rFonts w:ascii="Arial" w:hAnsi="Arial" w:cs="Arial"/>
          <w:sz w:val="22"/>
          <w:szCs w:val="22"/>
        </w:rPr>
        <w:lastRenderedPageBreak/>
        <w:t>Develop trauma</w:t>
      </w:r>
      <w:r w:rsidRPr="006F619C">
        <w:rPr>
          <w:rFonts w:ascii="Arial" w:hAnsi="Arial" w:cs="Arial"/>
          <w:sz w:val="22"/>
          <w:szCs w:val="22"/>
        </w:rPr>
        <w:noBreakHyphen/>
        <w:t>informed protocols for AI</w:t>
      </w:r>
      <w:r w:rsidRPr="006F619C">
        <w:rPr>
          <w:rFonts w:ascii="Arial" w:hAnsi="Arial" w:cs="Arial"/>
          <w:sz w:val="22"/>
          <w:szCs w:val="22"/>
        </w:rPr>
        <w:noBreakHyphen/>
        <w:t>mediated consultations to safeguard vulnerable populations.</w:t>
      </w:r>
    </w:p>
    <w:p w14:paraId="7D48F508" w14:textId="77777777" w:rsidR="006F619C" w:rsidRPr="006F619C" w:rsidRDefault="006F619C" w:rsidP="006F619C">
      <w:pPr>
        <w:numPr>
          <w:ilvl w:val="0"/>
          <w:numId w:val="33"/>
        </w:numPr>
        <w:spacing w:line="360" w:lineRule="auto"/>
        <w:rPr>
          <w:rFonts w:ascii="Arial" w:hAnsi="Arial" w:cs="Arial"/>
          <w:sz w:val="22"/>
          <w:szCs w:val="22"/>
        </w:rPr>
      </w:pPr>
      <w:r w:rsidRPr="006F619C">
        <w:rPr>
          <w:rFonts w:ascii="Arial" w:hAnsi="Arial" w:cs="Arial"/>
          <w:sz w:val="22"/>
          <w:szCs w:val="22"/>
        </w:rPr>
        <w:t>Monitor the longitudinal impact of AI deployment on patient trust, family engagement, and community health outcomes.</w:t>
      </w:r>
    </w:p>
    <w:p w14:paraId="5B3AA493" w14:textId="0C7F97A5" w:rsidR="0077045A" w:rsidRPr="0077045A" w:rsidRDefault="0077045A" w:rsidP="0077045A">
      <w:pPr>
        <w:spacing w:line="360" w:lineRule="auto"/>
        <w:rPr>
          <w:rFonts w:ascii="Arial" w:hAnsi="Arial" w:cs="Arial"/>
          <w:b/>
          <w:bCs/>
          <w:sz w:val="22"/>
          <w:szCs w:val="22"/>
        </w:rPr>
      </w:pPr>
    </w:p>
    <w:p w14:paraId="549D291F" w14:textId="77777777" w:rsidR="00DF2D6B" w:rsidRDefault="00DF2D6B" w:rsidP="008375B5">
      <w:pPr>
        <w:spacing w:line="360" w:lineRule="auto"/>
        <w:rPr>
          <w:rFonts w:ascii="Arial" w:hAnsi="Arial" w:cs="Arial"/>
          <w:sz w:val="22"/>
          <w:szCs w:val="22"/>
        </w:rPr>
      </w:pPr>
    </w:p>
    <w:p w14:paraId="6BE07008" w14:textId="77777777" w:rsidR="00711987" w:rsidRDefault="00711987" w:rsidP="008375B5">
      <w:pPr>
        <w:spacing w:line="360" w:lineRule="auto"/>
        <w:rPr>
          <w:rFonts w:ascii="Arial" w:hAnsi="Arial" w:cs="Arial"/>
          <w:b/>
          <w:bCs/>
          <w:sz w:val="28"/>
          <w:szCs w:val="28"/>
        </w:rPr>
      </w:pPr>
    </w:p>
    <w:p w14:paraId="63857A30" w14:textId="18360813" w:rsidR="008375B5" w:rsidRPr="00DF2D6B" w:rsidRDefault="008375B5" w:rsidP="008375B5">
      <w:pPr>
        <w:spacing w:line="360" w:lineRule="auto"/>
        <w:rPr>
          <w:rFonts w:ascii="Arial" w:hAnsi="Arial" w:cs="Arial"/>
          <w:sz w:val="22"/>
          <w:szCs w:val="22"/>
        </w:rPr>
      </w:pPr>
      <w:r>
        <w:rPr>
          <w:rFonts w:ascii="Arial" w:hAnsi="Arial" w:cs="Arial"/>
          <w:b/>
          <w:bCs/>
          <w:sz w:val="28"/>
          <w:szCs w:val="28"/>
        </w:rPr>
        <w:t>References</w:t>
      </w:r>
      <w:r w:rsidR="002A5BA3">
        <w:rPr>
          <w:rFonts w:ascii="Arial" w:hAnsi="Arial" w:cs="Arial"/>
          <w:b/>
          <w:bCs/>
          <w:sz w:val="28"/>
          <w:szCs w:val="28"/>
        </w:rPr>
        <w:t>:</w:t>
      </w:r>
    </w:p>
    <w:p w14:paraId="336F6DE2" w14:textId="77777777" w:rsidR="007A1A8C" w:rsidRPr="00410F1A" w:rsidRDefault="007A1A8C" w:rsidP="00A115B2">
      <w:pPr>
        <w:spacing w:line="360" w:lineRule="auto"/>
        <w:ind w:left="360"/>
        <w:rPr>
          <w:rFonts w:ascii="Arial" w:hAnsi="Arial" w:cs="Arial"/>
          <w:sz w:val="22"/>
          <w:szCs w:val="22"/>
        </w:rPr>
      </w:pPr>
    </w:p>
    <w:p w14:paraId="54D74999" w14:textId="1CB0B9ED" w:rsidR="007A1A8C" w:rsidRPr="00410F1A" w:rsidRDefault="007A1A8C" w:rsidP="007D2F48">
      <w:pPr>
        <w:pStyle w:val="ListParagraph"/>
        <w:numPr>
          <w:ilvl w:val="0"/>
          <w:numId w:val="22"/>
        </w:numPr>
        <w:spacing w:before="100" w:beforeAutospacing="1" w:after="100" w:afterAutospacing="1" w:line="360" w:lineRule="auto"/>
        <w:rPr>
          <w:rFonts w:ascii="Arial" w:eastAsia="Times New Roman" w:hAnsi="Arial" w:cs="Arial"/>
          <w:sz w:val="22"/>
          <w:szCs w:val="22"/>
          <w:lang w:eastAsia="en-GB"/>
        </w:rPr>
      </w:pPr>
      <w:r w:rsidRPr="00410F1A">
        <w:rPr>
          <w:rFonts w:ascii="Arial" w:eastAsia="Times New Roman" w:hAnsi="Arial" w:cs="Arial"/>
          <w:sz w:val="22"/>
          <w:szCs w:val="22"/>
          <w:lang w:eastAsia="en-GB"/>
        </w:rPr>
        <w:t xml:space="preserve">Abdulrahman, S. and Trengove, M., 2025. </w:t>
      </w:r>
      <w:r w:rsidRPr="00410F1A">
        <w:rPr>
          <w:rFonts w:ascii="Arial" w:eastAsia="Times New Roman" w:hAnsi="Arial" w:cs="Arial"/>
          <w:i/>
          <w:iCs/>
          <w:sz w:val="22"/>
          <w:szCs w:val="22"/>
          <w:lang w:eastAsia="en-GB"/>
        </w:rPr>
        <w:t>Mitigated deployment strategy for ethical AI in clinical settings</w:t>
      </w:r>
      <w:r w:rsidRPr="00410F1A">
        <w:rPr>
          <w:rFonts w:ascii="Arial" w:eastAsia="Times New Roman" w:hAnsi="Arial" w:cs="Arial"/>
          <w:sz w:val="22"/>
          <w:szCs w:val="22"/>
          <w:lang w:eastAsia="en-GB"/>
        </w:rPr>
        <w:t xml:space="preserve">. BMJ Health &amp; Care Informatics, 32(1). Available at: https://www.proquest.com/docview/3229680095/2AD1534ACBC74C86PQ/1?accountid=130472&amp;sourcetype=Scholarly%20Journals </w:t>
      </w:r>
      <w:r w:rsidR="00310817">
        <w:rPr>
          <w:rFonts w:ascii="Arial" w:eastAsia="Times New Roman" w:hAnsi="Arial" w:cs="Arial"/>
          <w:sz w:val="22"/>
          <w:szCs w:val="22"/>
          <w:lang w:eastAsia="en-GB"/>
        </w:rPr>
        <w:t>(</w:t>
      </w:r>
      <w:r w:rsidRPr="00410F1A">
        <w:rPr>
          <w:rFonts w:ascii="Arial" w:eastAsia="Times New Roman" w:hAnsi="Arial" w:cs="Arial"/>
          <w:sz w:val="22"/>
          <w:szCs w:val="22"/>
          <w:lang w:eastAsia="en-GB"/>
        </w:rPr>
        <w:t xml:space="preserve">Accessed 10 </w:t>
      </w:r>
      <w:r w:rsidR="00310817">
        <w:rPr>
          <w:rFonts w:ascii="Arial" w:eastAsia="Times New Roman" w:hAnsi="Arial" w:cs="Arial"/>
          <w:sz w:val="22"/>
          <w:szCs w:val="22"/>
          <w:lang w:eastAsia="en-GB"/>
        </w:rPr>
        <w:t>November</w:t>
      </w:r>
      <w:r w:rsidRPr="00410F1A">
        <w:rPr>
          <w:rFonts w:ascii="Arial" w:eastAsia="Times New Roman" w:hAnsi="Arial" w:cs="Arial"/>
          <w:sz w:val="22"/>
          <w:szCs w:val="22"/>
          <w:lang w:eastAsia="en-GB"/>
        </w:rPr>
        <w:t xml:space="preserve"> 2025</w:t>
      </w:r>
      <w:r w:rsidR="00310817">
        <w:rPr>
          <w:rFonts w:ascii="Arial" w:eastAsia="Times New Roman" w:hAnsi="Arial" w:cs="Arial"/>
          <w:sz w:val="22"/>
          <w:szCs w:val="22"/>
          <w:lang w:eastAsia="en-GB"/>
        </w:rPr>
        <w:t>).</w:t>
      </w:r>
    </w:p>
    <w:p w14:paraId="622F4BE5" w14:textId="3CD75168"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Cancer Research UK (2025). </w:t>
      </w:r>
      <w:r w:rsidRPr="00410F1A">
        <w:rPr>
          <w:rFonts w:ascii="Arial" w:hAnsi="Arial" w:cs="Arial"/>
          <w:i/>
          <w:iCs/>
          <w:sz w:val="22"/>
          <w:szCs w:val="22"/>
        </w:rPr>
        <w:t>Melanoma skin cancer statistics</w:t>
      </w:r>
      <w:r w:rsidRPr="00410F1A">
        <w:rPr>
          <w:rFonts w:ascii="Arial" w:hAnsi="Arial" w:cs="Arial"/>
          <w:sz w:val="22"/>
          <w:szCs w:val="22"/>
        </w:rPr>
        <w:t xml:space="preserve">. Available at: https://www.cancerresearchuk.org/health-professional/cancer-statistics/statistics-by-cancer-type/melanoma-skin-cancer (Accessed 3 </w:t>
      </w:r>
      <w:r w:rsidR="00310817">
        <w:rPr>
          <w:rFonts w:ascii="Arial" w:hAnsi="Arial" w:cs="Arial"/>
          <w:sz w:val="22"/>
          <w:szCs w:val="22"/>
        </w:rPr>
        <w:t>November</w:t>
      </w:r>
      <w:r w:rsidRPr="00410F1A">
        <w:rPr>
          <w:rFonts w:ascii="Arial" w:hAnsi="Arial" w:cs="Arial"/>
          <w:sz w:val="22"/>
          <w:szCs w:val="22"/>
        </w:rPr>
        <w:t xml:space="preserve"> 2025).</w:t>
      </w:r>
    </w:p>
    <w:p w14:paraId="4B7F7DD0" w14:textId="77777777"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eastAsia="Times New Roman" w:hAnsi="Arial" w:cs="Arial"/>
          <w:color w:val="000000"/>
          <w:sz w:val="22"/>
          <w:szCs w:val="22"/>
          <w:lang w:eastAsia="en-GB"/>
        </w:rPr>
        <w:t>Digital Health. (2023). </w:t>
      </w:r>
      <w:r w:rsidRPr="00410F1A">
        <w:rPr>
          <w:rFonts w:ascii="Arial" w:eastAsia="Times New Roman" w:hAnsi="Arial" w:cs="Arial"/>
          <w:i/>
          <w:iCs/>
          <w:color w:val="000000"/>
          <w:sz w:val="22"/>
          <w:szCs w:val="22"/>
          <w:lang w:eastAsia="en-GB"/>
        </w:rPr>
        <w:t>Skin Analytics’ DERM technology revolutionising skin cancer care</w:t>
      </w:r>
      <w:r w:rsidRPr="00410F1A">
        <w:rPr>
          <w:rFonts w:ascii="Arial" w:eastAsia="Times New Roman" w:hAnsi="Arial" w:cs="Arial"/>
          <w:color w:val="000000"/>
          <w:sz w:val="22"/>
          <w:szCs w:val="22"/>
          <w:lang w:eastAsia="en-GB"/>
        </w:rPr>
        <w:t xml:space="preserve">.Available at: https://www.digitalhealth.net/2023/06/skin-analytics-derm-technology-revolutionising-skin-cancer-care/ </w:t>
      </w:r>
      <w:r w:rsidRPr="00410F1A">
        <w:rPr>
          <w:rFonts w:ascii="Arial" w:hAnsi="Arial" w:cs="Arial"/>
          <w:sz w:val="22"/>
          <w:szCs w:val="22"/>
        </w:rPr>
        <w:t>(Accessed 10 November 2025).</w:t>
      </w:r>
    </w:p>
    <w:p w14:paraId="750A646F" w14:textId="673751A5"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‌El Mertahi, A., Ezzine, H., Douzi, S. and Douzi, K. (2025). AI-driven skin cancer detection from smartphone images: A hybrid model using ViT, adaptive thresholding, black-hat transformation, and XGBoost. </w:t>
      </w:r>
      <w:r w:rsidRPr="00410F1A">
        <w:rPr>
          <w:rFonts w:ascii="Arial" w:hAnsi="Arial" w:cs="Arial"/>
          <w:i/>
          <w:iCs/>
          <w:sz w:val="22"/>
          <w:szCs w:val="22"/>
        </w:rPr>
        <w:t>PloS one</w:t>
      </w:r>
      <w:r w:rsidRPr="00410F1A">
        <w:rPr>
          <w:rFonts w:ascii="Arial" w:hAnsi="Arial" w:cs="Arial"/>
          <w:sz w:val="22"/>
          <w:szCs w:val="22"/>
        </w:rPr>
        <w:t xml:space="preserve">, [online] 20(7), p.e0328402. doi:https://doi.org/10.1371/journal.pone.0328402 </w:t>
      </w:r>
      <w:r w:rsidR="00310817" w:rsidRPr="00410F1A">
        <w:rPr>
          <w:rFonts w:ascii="Arial" w:hAnsi="Arial" w:cs="Arial"/>
          <w:sz w:val="22"/>
          <w:szCs w:val="22"/>
        </w:rPr>
        <w:t>(15</w:t>
      </w:r>
      <w:r w:rsidRPr="00410F1A">
        <w:rPr>
          <w:rFonts w:ascii="Arial" w:hAnsi="Arial" w:cs="Arial"/>
          <w:sz w:val="22"/>
          <w:szCs w:val="22"/>
        </w:rPr>
        <w:t xml:space="preserve"> October 2025).</w:t>
      </w:r>
    </w:p>
    <w:p w14:paraId="2ABBE84B" w14:textId="636063EE" w:rsidR="007A1A8C" w:rsidRPr="000C4E90" w:rsidRDefault="007A1A8C" w:rsidP="000C4E90">
      <w:pPr>
        <w:pStyle w:val="ListParagraph"/>
        <w:numPr>
          <w:ilvl w:val="0"/>
          <w:numId w:val="22"/>
        </w:numPr>
        <w:spacing w:after="0" w:line="360" w:lineRule="atLeast"/>
        <w:rPr>
          <w:rFonts w:ascii="Arial" w:eastAsia="Times New Roman" w:hAnsi="Arial" w:cs="Arial"/>
          <w:color w:val="000000"/>
          <w:sz w:val="22"/>
          <w:szCs w:val="22"/>
          <w:lang w:eastAsia="en-GB"/>
        </w:rPr>
      </w:pPr>
      <w:r w:rsidRPr="000C4E90">
        <w:rPr>
          <w:rFonts w:ascii="Arial" w:eastAsia="Times New Roman" w:hAnsi="Arial" w:cs="Arial"/>
          <w:color w:val="000000"/>
          <w:sz w:val="22"/>
          <w:szCs w:val="22"/>
          <w:lang w:eastAsia="en-GB"/>
        </w:rPr>
        <w:t>Giansanti, D. (2023). The Artificial Intelligence in Teledermatology: A Narrative Review on Opportunities, Perspectives, and Bottlenecks. </w:t>
      </w:r>
      <w:r w:rsidRPr="000C4E90">
        <w:rPr>
          <w:rFonts w:ascii="Arial" w:eastAsia="Times New Roman" w:hAnsi="Arial" w:cs="Arial"/>
          <w:i/>
          <w:iCs/>
          <w:color w:val="000000"/>
          <w:sz w:val="22"/>
          <w:szCs w:val="22"/>
          <w:lang w:eastAsia="en-GB"/>
        </w:rPr>
        <w:t>International Journal of Environmental Research and Public Health</w:t>
      </w:r>
      <w:r w:rsidRPr="000C4E90">
        <w:rPr>
          <w:rFonts w:ascii="Arial" w:eastAsia="Times New Roman" w:hAnsi="Arial" w:cs="Arial"/>
          <w:color w:val="000000"/>
          <w:sz w:val="22"/>
          <w:szCs w:val="22"/>
          <w:lang w:eastAsia="en-GB"/>
        </w:rPr>
        <w:t>, [online] 20(10), p.5810. doi:https://doi.org/10.3390/ijerph20105810.</w:t>
      </w:r>
      <w:r w:rsidRPr="00966DB8">
        <w:rPr>
          <w:rFonts w:ascii="Arial" w:eastAsia="Times New Roman" w:hAnsi="Arial" w:cs="Arial"/>
          <w:sz w:val="22"/>
          <w:szCs w:val="22"/>
          <w:lang w:eastAsia="en-GB"/>
        </w:rPr>
        <w:t xml:space="preserve"> </w:t>
      </w:r>
      <w:r w:rsidR="00310817">
        <w:rPr>
          <w:rFonts w:ascii="Arial" w:eastAsia="Times New Roman" w:hAnsi="Arial" w:cs="Arial"/>
          <w:sz w:val="22"/>
          <w:szCs w:val="22"/>
          <w:lang w:eastAsia="en-GB"/>
        </w:rPr>
        <w:t>(</w:t>
      </w:r>
      <w:r w:rsidRPr="00410F1A">
        <w:rPr>
          <w:rFonts w:ascii="Arial" w:eastAsia="Times New Roman" w:hAnsi="Arial" w:cs="Arial"/>
          <w:sz w:val="22"/>
          <w:szCs w:val="22"/>
          <w:lang w:eastAsia="en-GB"/>
        </w:rPr>
        <w:t xml:space="preserve">Accessed 13 </w:t>
      </w:r>
      <w:r>
        <w:rPr>
          <w:rFonts w:ascii="Arial" w:eastAsia="Times New Roman" w:hAnsi="Arial" w:cs="Arial"/>
          <w:sz w:val="22"/>
          <w:szCs w:val="22"/>
          <w:lang w:eastAsia="en-GB"/>
        </w:rPr>
        <w:t>November</w:t>
      </w:r>
      <w:r w:rsidRPr="00410F1A">
        <w:rPr>
          <w:rFonts w:ascii="Arial" w:eastAsia="Times New Roman" w:hAnsi="Arial" w:cs="Arial"/>
          <w:sz w:val="22"/>
          <w:szCs w:val="22"/>
          <w:lang w:eastAsia="en-GB"/>
        </w:rPr>
        <w:t xml:space="preserve"> 2025.</w:t>
      </w:r>
    </w:p>
    <w:p w14:paraId="05CB435E" w14:textId="77777777"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International Agency for Research on Cancer (2024). </w:t>
      </w:r>
      <w:r w:rsidRPr="00410F1A">
        <w:rPr>
          <w:rFonts w:ascii="Arial" w:hAnsi="Arial" w:cs="Arial"/>
          <w:i/>
          <w:iCs/>
          <w:sz w:val="22"/>
          <w:szCs w:val="22"/>
        </w:rPr>
        <w:t>Melanoma of Skin – GLOBOCAN 2022 Fact Sheet</w:t>
      </w:r>
      <w:r w:rsidRPr="00410F1A">
        <w:rPr>
          <w:rFonts w:ascii="Arial" w:hAnsi="Arial" w:cs="Arial"/>
          <w:sz w:val="22"/>
          <w:szCs w:val="22"/>
        </w:rPr>
        <w:t>. World Health Organization. Available at: https://gco.iarc.who.int/media/globocan/factsheets/cancers/16-melanoma-of-skin-fact-sheet.pdf (Accessed 3 Nov. 2025).</w:t>
      </w:r>
    </w:p>
    <w:p w14:paraId="61E41083" w14:textId="77777777"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lastRenderedPageBreak/>
        <w:t xml:space="preserve">NICE website: The National Institute for Health and Care Excellence. (2025).   Available at: </w:t>
      </w:r>
      <w:hyperlink r:id="rId11" w:history="1">
        <w:r w:rsidRPr="00410F1A">
          <w:rPr>
            <w:rStyle w:val="Hyperlink"/>
            <w:rFonts w:ascii="Arial" w:hAnsi="Arial" w:cs="Arial"/>
            <w:color w:val="auto"/>
            <w:sz w:val="22"/>
            <w:szCs w:val="22"/>
          </w:rPr>
          <w:t>https://www.nice.org.uk/news/articles/ai-skin-cancer-detection-system-gets-green-light-for-conditional-nhs-use</w:t>
        </w:r>
      </w:hyperlink>
      <w:r w:rsidRPr="00410F1A">
        <w:rPr>
          <w:rFonts w:ascii="Arial" w:hAnsi="Arial" w:cs="Arial"/>
          <w:sz w:val="22"/>
          <w:szCs w:val="22"/>
        </w:rPr>
        <w:t xml:space="preserve"> ( 15 October 2025).</w:t>
      </w:r>
    </w:p>
    <w:p w14:paraId="055A679B" w14:textId="7F65975E"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PABDULRAHMAN, S. and TRENGOVE, M., 2025. Mitigated deployment strategy for ethical AI in clinical settings. </w:t>
      </w:r>
      <w:r w:rsidRPr="00410F1A">
        <w:rPr>
          <w:rFonts w:ascii="Arial" w:hAnsi="Arial" w:cs="Arial"/>
          <w:i/>
          <w:iCs/>
          <w:sz w:val="22"/>
          <w:szCs w:val="22"/>
        </w:rPr>
        <w:t>BMJ Health &amp; Care Informatics, </w:t>
      </w:r>
      <w:r w:rsidRPr="00410F1A">
        <w:rPr>
          <w:rFonts w:ascii="Arial" w:hAnsi="Arial" w:cs="Arial"/>
          <w:b/>
          <w:bCs/>
          <w:sz w:val="22"/>
          <w:szCs w:val="22"/>
        </w:rPr>
        <w:t>32</w:t>
      </w:r>
      <w:r w:rsidRPr="00410F1A">
        <w:rPr>
          <w:rFonts w:ascii="Arial" w:hAnsi="Arial" w:cs="Arial"/>
          <w:sz w:val="22"/>
          <w:szCs w:val="22"/>
        </w:rPr>
        <w:t>(1). proquest.com. (2025). </w:t>
      </w:r>
      <w:r w:rsidRPr="00410F1A">
        <w:rPr>
          <w:rFonts w:ascii="Arial" w:hAnsi="Arial" w:cs="Arial"/>
          <w:i/>
          <w:iCs/>
          <w:sz w:val="22"/>
          <w:szCs w:val="22"/>
        </w:rPr>
        <w:t>Redirecting</w:t>
      </w:r>
      <w:r w:rsidRPr="00410F1A">
        <w:rPr>
          <w:rFonts w:ascii="Arial" w:hAnsi="Arial" w:cs="Arial"/>
          <w:sz w:val="22"/>
          <w:szCs w:val="22"/>
        </w:rPr>
        <w:t xml:space="preserve">. Available at: https://www.proquest.com/docview/3229680095/2AD1534ACBC74C86PQ/1?accountid=130472&amp;sourcetype=Scholarly%20Journals (Accessed 3 </w:t>
      </w:r>
      <w:r>
        <w:rPr>
          <w:rFonts w:ascii="Arial" w:hAnsi="Arial" w:cs="Arial"/>
          <w:sz w:val="22"/>
          <w:szCs w:val="22"/>
        </w:rPr>
        <w:t>November</w:t>
      </w:r>
      <w:r w:rsidRPr="00410F1A">
        <w:rPr>
          <w:rFonts w:ascii="Arial" w:hAnsi="Arial" w:cs="Arial"/>
          <w:sz w:val="22"/>
          <w:szCs w:val="22"/>
        </w:rPr>
        <w:t xml:space="preserve"> 2025).</w:t>
      </w:r>
    </w:p>
    <w:p w14:paraId="78455C01" w14:textId="596FDC0E" w:rsidR="007A1A8C" w:rsidRPr="00410F1A" w:rsidRDefault="007A1A8C" w:rsidP="007D2F48">
      <w:pPr>
        <w:pStyle w:val="ListParagraph"/>
        <w:numPr>
          <w:ilvl w:val="0"/>
          <w:numId w:val="22"/>
        </w:numPr>
        <w:spacing w:before="100" w:beforeAutospacing="1" w:after="100" w:afterAutospacing="1" w:line="360" w:lineRule="auto"/>
        <w:rPr>
          <w:rFonts w:ascii="Arial" w:eastAsia="Times New Roman" w:hAnsi="Arial" w:cs="Arial"/>
          <w:sz w:val="22"/>
          <w:szCs w:val="22"/>
          <w:lang w:eastAsia="en-GB"/>
        </w:rPr>
      </w:pPr>
      <w:r w:rsidRPr="00410F1A">
        <w:rPr>
          <w:rFonts w:ascii="Arial" w:eastAsia="Times New Roman" w:hAnsi="Arial" w:cs="Arial"/>
          <w:sz w:val="22"/>
          <w:szCs w:val="22"/>
          <w:lang w:eastAsia="en-GB"/>
        </w:rPr>
        <w:t xml:space="preserve">Skene, S., Armes, J., Moschoyiannis, S., Sutton, K., Mendis, J., Jenkins, H., Sutton, S., Quentin, L., Demestihas, M-A. and Unity Insights, 2024. </w:t>
      </w:r>
      <w:r w:rsidRPr="00410F1A">
        <w:rPr>
          <w:rFonts w:ascii="Arial" w:eastAsia="Times New Roman" w:hAnsi="Arial" w:cs="Arial"/>
          <w:i/>
          <w:iCs/>
          <w:sz w:val="22"/>
          <w:szCs w:val="22"/>
          <w:lang w:eastAsia="en-GB"/>
        </w:rPr>
        <w:t>AI in Healthcare Award – Final Report: Skin Analytics (DERM).</w:t>
      </w:r>
      <w:r w:rsidRPr="00410F1A">
        <w:rPr>
          <w:rFonts w:ascii="Arial" w:eastAsia="Times New Roman" w:hAnsi="Arial" w:cs="Arial"/>
          <w:sz w:val="22"/>
          <w:szCs w:val="22"/>
          <w:lang w:eastAsia="en-GB"/>
        </w:rPr>
        <w:t xml:space="preserve"> University of Surrey. DOI: https://doi.org/10.15126/901081 </w:t>
      </w:r>
      <w:r>
        <w:rPr>
          <w:rFonts w:ascii="Arial" w:eastAsia="Times New Roman" w:hAnsi="Arial" w:cs="Arial"/>
          <w:sz w:val="22"/>
          <w:szCs w:val="22"/>
          <w:lang w:eastAsia="en-GB"/>
        </w:rPr>
        <w:t>(</w:t>
      </w:r>
      <w:r w:rsidRPr="00410F1A">
        <w:rPr>
          <w:rFonts w:ascii="Arial" w:eastAsia="Times New Roman" w:hAnsi="Arial" w:cs="Arial"/>
          <w:sz w:val="22"/>
          <w:szCs w:val="22"/>
          <w:lang w:eastAsia="en-GB"/>
        </w:rPr>
        <w:t xml:space="preserve">Accessed 13 </w:t>
      </w:r>
      <w:r>
        <w:rPr>
          <w:rFonts w:ascii="Arial" w:eastAsia="Times New Roman" w:hAnsi="Arial" w:cs="Arial"/>
          <w:sz w:val="22"/>
          <w:szCs w:val="22"/>
          <w:lang w:eastAsia="en-GB"/>
        </w:rPr>
        <w:t>November</w:t>
      </w:r>
      <w:r w:rsidRPr="00410F1A">
        <w:rPr>
          <w:rFonts w:ascii="Arial" w:eastAsia="Times New Roman" w:hAnsi="Arial" w:cs="Arial"/>
          <w:sz w:val="22"/>
          <w:szCs w:val="22"/>
          <w:lang w:eastAsia="en-GB"/>
        </w:rPr>
        <w:t xml:space="preserve"> 2025</w:t>
      </w:r>
      <w:r>
        <w:rPr>
          <w:rFonts w:ascii="Arial" w:eastAsia="Times New Roman" w:hAnsi="Arial" w:cs="Arial"/>
          <w:sz w:val="22"/>
          <w:szCs w:val="22"/>
          <w:lang w:eastAsia="en-GB"/>
        </w:rPr>
        <w:t>)</w:t>
      </w:r>
      <w:r w:rsidRPr="00410F1A">
        <w:rPr>
          <w:rFonts w:ascii="Arial" w:eastAsia="Times New Roman" w:hAnsi="Arial" w:cs="Arial"/>
          <w:sz w:val="22"/>
          <w:szCs w:val="22"/>
          <w:lang w:eastAsia="en-GB"/>
        </w:rPr>
        <w:t>.</w:t>
      </w:r>
    </w:p>
    <w:p w14:paraId="17E78322" w14:textId="4963EB88"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hAnsi="Arial" w:cs="Arial"/>
          <w:sz w:val="22"/>
          <w:szCs w:val="22"/>
        </w:rPr>
        <w:t xml:space="preserve">Skin Analytics (2024). </w:t>
      </w:r>
      <w:r w:rsidRPr="00410F1A">
        <w:rPr>
          <w:rFonts w:ascii="Arial" w:hAnsi="Arial" w:cs="Arial"/>
          <w:i/>
          <w:iCs/>
          <w:sz w:val="22"/>
          <w:szCs w:val="22"/>
        </w:rPr>
        <w:t>NICE recommends DERM for use in the NHS</w:t>
      </w:r>
      <w:r w:rsidRPr="00410F1A">
        <w:rPr>
          <w:rFonts w:ascii="Arial" w:hAnsi="Arial" w:cs="Arial"/>
          <w:sz w:val="22"/>
          <w:szCs w:val="22"/>
        </w:rPr>
        <w:t xml:space="preserve">. Available at: https://skin-analytics.com/news/regulatory-certification/nice-recommends-derm-nhs/ (Accessed 3 </w:t>
      </w:r>
      <w:r>
        <w:rPr>
          <w:rFonts w:ascii="Arial" w:hAnsi="Arial" w:cs="Arial"/>
          <w:sz w:val="22"/>
          <w:szCs w:val="22"/>
        </w:rPr>
        <w:t>November</w:t>
      </w:r>
      <w:r w:rsidRPr="00410F1A">
        <w:rPr>
          <w:rFonts w:ascii="Arial" w:hAnsi="Arial" w:cs="Arial"/>
          <w:sz w:val="22"/>
          <w:szCs w:val="22"/>
        </w:rPr>
        <w:t xml:space="preserve"> 2025).</w:t>
      </w:r>
    </w:p>
    <w:p w14:paraId="279E7111" w14:textId="77777777"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eastAsia="Times New Roman" w:hAnsi="Arial" w:cs="Arial"/>
          <w:color w:val="000000"/>
          <w:sz w:val="22"/>
          <w:szCs w:val="22"/>
          <w:lang w:eastAsia="en-GB"/>
        </w:rPr>
        <w:t>Skin Analytics. (2025). </w:t>
      </w:r>
      <w:r w:rsidRPr="00410F1A">
        <w:rPr>
          <w:rFonts w:ascii="Arial" w:eastAsia="Times New Roman" w:hAnsi="Arial" w:cs="Arial"/>
          <w:i/>
          <w:iCs/>
          <w:color w:val="000000"/>
          <w:sz w:val="22"/>
          <w:szCs w:val="22"/>
          <w:lang w:eastAsia="en-GB"/>
        </w:rPr>
        <w:t>NICE recommends DERM for early use within the NHS, while further evidence is gathered - Commentary from Neil Daly, Founder and CEO, Skin Analytics - Skin Analytics</w:t>
      </w:r>
      <w:r w:rsidRPr="00410F1A">
        <w:rPr>
          <w:rFonts w:ascii="Arial" w:eastAsia="Times New Roman" w:hAnsi="Arial" w:cs="Arial"/>
          <w:color w:val="000000"/>
          <w:sz w:val="22"/>
          <w:szCs w:val="22"/>
          <w:lang w:eastAsia="en-GB"/>
        </w:rPr>
        <w:t xml:space="preserve">. Available at: </w:t>
      </w:r>
      <w:hyperlink r:id="rId12" w:history="1">
        <w:r w:rsidRPr="00410F1A">
          <w:rPr>
            <w:rStyle w:val="Hyperlink"/>
            <w:rFonts w:ascii="Arial" w:eastAsia="Times New Roman" w:hAnsi="Arial" w:cs="Arial"/>
            <w:sz w:val="22"/>
            <w:szCs w:val="22"/>
            <w:lang w:eastAsia="en-GB"/>
          </w:rPr>
          <w:t>https://skin-analytics.com/news/regulatory-certification/nice-recommends-derm-nhs/</w:t>
        </w:r>
      </w:hyperlink>
      <w:r w:rsidRPr="00410F1A">
        <w:rPr>
          <w:rFonts w:ascii="Arial" w:eastAsia="Times New Roman" w:hAnsi="Arial" w:cs="Arial"/>
          <w:color w:val="000000"/>
          <w:sz w:val="22"/>
          <w:szCs w:val="22"/>
          <w:lang w:eastAsia="en-GB"/>
        </w:rPr>
        <w:t xml:space="preserve"> </w:t>
      </w:r>
      <w:r w:rsidRPr="00410F1A">
        <w:rPr>
          <w:rFonts w:ascii="Arial" w:hAnsi="Arial" w:cs="Arial"/>
          <w:sz w:val="22"/>
          <w:szCs w:val="22"/>
        </w:rPr>
        <w:t>(Accessed 3 November 2025).</w:t>
      </w:r>
    </w:p>
    <w:p w14:paraId="0464581F" w14:textId="30617246" w:rsidR="007A1A8C" w:rsidRPr="00410F1A" w:rsidRDefault="007A1A8C" w:rsidP="007D2F48">
      <w:pPr>
        <w:pStyle w:val="ListParagraph"/>
        <w:numPr>
          <w:ilvl w:val="0"/>
          <w:numId w:val="22"/>
        </w:numPr>
        <w:spacing w:line="360" w:lineRule="auto"/>
        <w:rPr>
          <w:rFonts w:ascii="Arial" w:hAnsi="Arial" w:cs="Arial"/>
          <w:sz w:val="22"/>
          <w:szCs w:val="22"/>
        </w:rPr>
      </w:pPr>
      <w:r w:rsidRPr="00410F1A">
        <w:rPr>
          <w:rFonts w:ascii="Arial" w:eastAsia="Times New Roman" w:hAnsi="Arial" w:cs="Arial"/>
          <w:color w:val="000000"/>
          <w:sz w:val="22"/>
          <w:szCs w:val="22"/>
          <w:lang w:eastAsia="en-GB"/>
        </w:rPr>
        <w:t>Zbrzezny, Agnieszka M and Krzywicki, T. (2025). Artificial Intelligence in Dermatology: A Review of Methods, Clinical Applications, and Perspectives. </w:t>
      </w:r>
      <w:r w:rsidRPr="00410F1A">
        <w:rPr>
          <w:rFonts w:ascii="Arial" w:eastAsia="Times New Roman" w:hAnsi="Arial" w:cs="Arial"/>
          <w:i/>
          <w:iCs/>
          <w:color w:val="000000"/>
          <w:sz w:val="22"/>
          <w:szCs w:val="22"/>
          <w:lang w:eastAsia="en-GB"/>
        </w:rPr>
        <w:t>Applied Sciences</w:t>
      </w:r>
      <w:r w:rsidRPr="00410F1A">
        <w:rPr>
          <w:rFonts w:ascii="Arial" w:eastAsia="Times New Roman" w:hAnsi="Arial" w:cs="Arial"/>
          <w:color w:val="000000"/>
          <w:sz w:val="22"/>
          <w:szCs w:val="22"/>
          <w:lang w:eastAsia="en-GB"/>
        </w:rPr>
        <w:t xml:space="preserve">, [online] 15(14), p.7856. doi:https://doi.org/10.3390/app15147856 </w:t>
      </w:r>
      <w:r w:rsidRPr="00410F1A">
        <w:rPr>
          <w:rFonts w:ascii="Arial" w:hAnsi="Arial" w:cs="Arial"/>
          <w:sz w:val="22"/>
          <w:szCs w:val="22"/>
        </w:rPr>
        <w:t xml:space="preserve">(Accessed 3 </w:t>
      </w:r>
      <w:r>
        <w:rPr>
          <w:rFonts w:ascii="Arial" w:hAnsi="Arial" w:cs="Arial"/>
          <w:sz w:val="22"/>
          <w:szCs w:val="22"/>
        </w:rPr>
        <w:t>November</w:t>
      </w:r>
      <w:r w:rsidRPr="00410F1A">
        <w:rPr>
          <w:rFonts w:ascii="Arial" w:hAnsi="Arial" w:cs="Arial"/>
          <w:sz w:val="22"/>
          <w:szCs w:val="22"/>
        </w:rPr>
        <w:t xml:space="preserve"> 2025).</w:t>
      </w:r>
    </w:p>
    <w:p w14:paraId="28CBD347" w14:textId="0E0D04DA" w:rsidR="00E50568" w:rsidRPr="000C4E90" w:rsidRDefault="00E50568" w:rsidP="000C4E90">
      <w:pPr>
        <w:pStyle w:val="ListParagraph"/>
        <w:spacing w:before="100" w:beforeAutospacing="1" w:after="100" w:afterAutospacing="1" w:line="240" w:lineRule="auto"/>
        <w:rPr>
          <w:rFonts w:ascii="Calibri" w:eastAsia="Times New Roman" w:hAnsi="Calibri" w:cs="Calibri"/>
          <w:color w:val="000000"/>
          <w:sz w:val="27"/>
          <w:szCs w:val="27"/>
          <w:lang w:eastAsia="en-GB"/>
        </w:rPr>
      </w:pPr>
    </w:p>
    <w:p w14:paraId="0BBA5D2C" w14:textId="57D88795" w:rsidR="00C86EC1" w:rsidRPr="00B771D2" w:rsidRDefault="00C86EC1" w:rsidP="00B771D2">
      <w:pPr>
        <w:spacing w:after="0" w:line="360" w:lineRule="atLeast"/>
        <w:rPr>
          <w:rFonts w:ascii="Calibri" w:eastAsia="Times New Roman" w:hAnsi="Calibri" w:cs="Calibri"/>
          <w:color w:val="000000"/>
          <w:sz w:val="27"/>
          <w:szCs w:val="27"/>
          <w:lang w:eastAsia="en-GB"/>
        </w:rPr>
      </w:pPr>
    </w:p>
    <w:p w14:paraId="4546FA00" w14:textId="7D3516D7" w:rsidR="00C86EC1" w:rsidRPr="00C86EC1" w:rsidRDefault="00C86EC1" w:rsidP="00C86EC1">
      <w:pPr>
        <w:pStyle w:val="ListParagraph"/>
        <w:spacing w:before="100" w:beforeAutospacing="1" w:after="100" w:afterAutospacing="1" w:line="240" w:lineRule="auto"/>
        <w:ind w:left="501"/>
        <w:rPr>
          <w:rFonts w:ascii="Calibri" w:eastAsia="Times New Roman" w:hAnsi="Calibri" w:cs="Calibri"/>
          <w:color w:val="000000"/>
          <w:sz w:val="27"/>
          <w:szCs w:val="27"/>
          <w:lang w:eastAsia="en-GB"/>
        </w:rPr>
      </w:pPr>
    </w:p>
    <w:p w14:paraId="335FCC63" w14:textId="77777777" w:rsidR="00AC76E3" w:rsidRPr="00246BB0" w:rsidRDefault="00AC76E3" w:rsidP="002513C0">
      <w:pPr>
        <w:spacing w:line="360" w:lineRule="auto"/>
        <w:rPr>
          <w:rFonts w:ascii="Arial" w:hAnsi="Arial" w:cs="Arial"/>
          <w:sz w:val="22"/>
          <w:szCs w:val="22"/>
        </w:rPr>
      </w:pPr>
    </w:p>
    <w:p w14:paraId="11C1AE96" w14:textId="77777777" w:rsidR="002513C0" w:rsidRPr="00246BB0" w:rsidRDefault="002513C0" w:rsidP="009D500F">
      <w:pPr>
        <w:spacing w:line="360" w:lineRule="auto"/>
        <w:rPr>
          <w:rFonts w:ascii="Arial" w:hAnsi="Arial" w:cs="Arial"/>
          <w:sz w:val="22"/>
          <w:szCs w:val="22"/>
        </w:rPr>
      </w:pPr>
    </w:p>
    <w:p w14:paraId="2B6FF7D6" w14:textId="77777777" w:rsidR="009D500F" w:rsidRPr="00246BB0" w:rsidRDefault="009D500F" w:rsidP="009D500F">
      <w:pPr>
        <w:spacing w:line="360" w:lineRule="auto"/>
        <w:rPr>
          <w:rFonts w:ascii="Arial" w:hAnsi="Arial" w:cs="Arial"/>
          <w:sz w:val="22"/>
          <w:szCs w:val="22"/>
        </w:rPr>
      </w:pPr>
      <w:r w:rsidRPr="00246BB0">
        <w:rPr>
          <w:rFonts w:ascii="Arial" w:hAnsi="Arial" w:cs="Arial"/>
          <w:sz w:val="22"/>
          <w:szCs w:val="22"/>
        </w:rPr>
        <w:t>‌</w:t>
      </w:r>
    </w:p>
    <w:p w14:paraId="5F928EDD" w14:textId="77777777" w:rsidR="009D500F" w:rsidRPr="00014332" w:rsidRDefault="009D500F" w:rsidP="00A03045">
      <w:pPr>
        <w:spacing w:line="360" w:lineRule="auto"/>
        <w:rPr>
          <w:rFonts w:ascii="Arial" w:hAnsi="Arial" w:cs="Arial"/>
          <w:sz w:val="22"/>
          <w:szCs w:val="22"/>
        </w:rPr>
      </w:pPr>
    </w:p>
    <w:p w14:paraId="07802B3B" w14:textId="2B2DE34C" w:rsidR="00A03045" w:rsidRPr="00A03045" w:rsidRDefault="00A03045" w:rsidP="00A03045">
      <w:pPr>
        <w:spacing w:line="360" w:lineRule="auto"/>
        <w:rPr>
          <w:rFonts w:ascii="Arial" w:hAnsi="Arial" w:cs="Arial"/>
          <w:sz w:val="22"/>
          <w:szCs w:val="22"/>
        </w:rPr>
      </w:pPr>
    </w:p>
    <w:p w14:paraId="5B0725DD" w14:textId="77777777" w:rsidR="00A03045" w:rsidRPr="00A03045" w:rsidRDefault="00A03045" w:rsidP="00A03045">
      <w:pPr>
        <w:spacing w:line="360" w:lineRule="auto"/>
        <w:rPr>
          <w:rFonts w:ascii="Arial" w:hAnsi="Arial" w:cs="Arial"/>
          <w:sz w:val="22"/>
          <w:szCs w:val="22"/>
        </w:rPr>
      </w:pPr>
      <w:r w:rsidRPr="00A03045">
        <w:rPr>
          <w:rFonts w:ascii="Arial" w:hAnsi="Arial" w:cs="Arial"/>
          <w:sz w:val="22"/>
          <w:szCs w:val="22"/>
        </w:rPr>
        <w:t>‌</w:t>
      </w:r>
    </w:p>
    <w:p w14:paraId="6AFC7D8B" w14:textId="3C44684D" w:rsidR="00014332" w:rsidRPr="00014332" w:rsidRDefault="00014332" w:rsidP="00014332">
      <w:pPr>
        <w:spacing w:line="360" w:lineRule="auto"/>
        <w:rPr>
          <w:rFonts w:ascii="Arial" w:hAnsi="Arial" w:cs="Arial"/>
          <w:sz w:val="22"/>
          <w:szCs w:val="22"/>
        </w:rPr>
      </w:pPr>
    </w:p>
    <w:p w14:paraId="068D946B" w14:textId="77777777" w:rsidR="00014332" w:rsidRPr="008375B5" w:rsidRDefault="00014332" w:rsidP="008375B5">
      <w:pPr>
        <w:spacing w:line="360" w:lineRule="auto"/>
        <w:rPr>
          <w:rFonts w:ascii="Arial" w:hAnsi="Arial" w:cs="Arial"/>
          <w:sz w:val="22"/>
          <w:szCs w:val="22"/>
        </w:rPr>
      </w:pPr>
    </w:p>
    <w:sectPr w:rsidR="00014332" w:rsidRPr="008375B5" w:rsidSect="008375B5">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F13C1" w14:textId="77777777" w:rsidR="004D63F7" w:rsidRDefault="004D63F7" w:rsidP="008375B5">
      <w:pPr>
        <w:spacing w:after="0" w:line="240" w:lineRule="auto"/>
      </w:pPr>
      <w:r>
        <w:separator/>
      </w:r>
    </w:p>
  </w:endnote>
  <w:endnote w:type="continuationSeparator" w:id="0">
    <w:p w14:paraId="6DE343ED" w14:textId="77777777" w:rsidR="004D63F7" w:rsidRDefault="004D63F7"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FZShuTi">
    <w:altName w:val="SimSun"/>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82ADD" w14:textId="77777777" w:rsidR="004D63F7" w:rsidRDefault="004D63F7" w:rsidP="008375B5">
      <w:pPr>
        <w:spacing w:after="0" w:line="240" w:lineRule="auto"/>
      </w:pPr>
      <w:r>
        <w:separator/>
      </w:r>
    </w:p>
  </w:footnote>
  <w:footnote w:type="continuationSeparator" w:id="0">
    <w:p w14:paraId="32968D28" w14:textId="77777777" w:rsidR="004D63F7" w:rsidRDefault="004D63F7"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268FC"/>
    <w:multiLevelType w:val="multilevel"/>
    <w:tmpl w:val="D144B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F3D07"/>
    <w:multiLevelType w:val="hybridMultilevel"/>
    <w:tmpl w:val="F4AE4276"/>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6"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B2072F"/>
    <w:multiLevelType w:val="hybridMultilevel"/>
    <w:tmpl w:val="87D8D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D709C"/>
    <w:multiLevelType w:val="hybridMultilevel"/>
    <w:tmpl w:val="B170B3FC"/>
    <w:lvl w:ilvl="0" w:tplc="0809000F">
      <w:start w:val="1"/>
      <w:numFmt w:val="decimal"/>
      <w:lvlText w:val="%1."/>
      <w:lvlJc w:val="left"/>
      <w:pPr>
        <w:ind w:left="861" w:hanging="360"/>
      </w:p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9" w15:restartNumberingAfterBreak="0">
    <w:nsid w:val="2492224A"/>
    <w:multiLevelType w:val="multilevel"/>
    <w:tmpl w:val="7380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477B12"/>
    <w:multiLevelType w:val="hybridMultilevel"/>
    <w:tmpl w:val="682A9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A563B"/>
    <w:multiLevelType w:val="multilevel"/>
    <w:tmpl w:val="C42C7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E16255"/>
    <w:multiLevelType w:val="hybridMultilevel"/>
    <w:tmpl w:val="295A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671ADB"/>
    <w:multiLevelType w:val="multilevel"/>
    <w:tmpl w:val="DF3A4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4D3DAB"/>
    <w:multiLevelType w:val="multilevel"/>
    <w:tmpl w:val="221C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8E6A0C"/>
    <w:multiLevelType w:val="multilevel"/>
    <w:tmpl w:val="24F64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F53C4D"/>
    <w:multiLevelType w:val="multilevel"/>
    <w:tmpl w:val="47CE0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421BBF"/>
    <w:multiLevelType w:val="hybridMultilevel"/>
    <w:tmpl w:val="2E5C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EA0EB1"/>
    <w:multiLevelType w:val="multilevel"/>
    <w:tmpl w:val="AB16F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434D1"/>
    <w:multiLevelType w:val="multilevel"/>
    <w:tmpl w:val="E1F8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3"/>
  </w:num>
  <w:num w:numId="2" w16cid:durableId="1722706951">
    <w:abstractNumId w:val="6"/>
  </w:num>
  <w:num w:numId="3" w16cid:durableId="335810324">
    <w:abstractNumId w:val="10"/>
  </w:num>
  <w:num w:numId="4" w16cid:durableId="808743765">
    <w:abstractNumId w:val="0"/>
  </w:num>
  <w:num w:numId="5" w16cid:durableId="1356345100">
    <w:abstractNumId w:val="1"/>
  </w:num>
  <w:num w:numId="6" w16cid:durableId="409356113">
    <w:abstractNumId w:val="11"/>
  </w:num>
  <w:num w:numId="7" w16cid:durableId="1013411307">
    <w:abstractNumId w:val="18"/>
  </w:num>
  <w:num w:numId="8" w16cid:durableId="704909136">
    <w:abstractNumId w:val="19"/>
  </w:num>
  <w:num w:numId="9" w16cid:durableId="1515725297">
    <w:abstractNumId w:val="2"/>
  </w:num>
  <w:num w:numId="10" w16cid:durableId="1110275949">
    <w:abstractNumId w:val="2"/>
  </w:num>
  <w:num w:numId="11" w16cid:durableId="1786347392">
    <w:abstractNumId w:val="2"/>
  </w:num>
  <w:num w:numId="12" w16cid:durableId="898707320">
    <w:abstractNumId w:val="2"/>
  </w:num>
  <w:num w:numId="13" w16cid:durableId="1548638492">
    <w:abstractNumId w:val="2"/>
  </w:num>
  <w:num w:numId="14" w16cid:durableId="43985828">
    <w:abstractNumId w:val="2"/>
  </w:num>
  <w:num w:numId="15" w16cid:durableId="212233604">
    <w:abstractNumId w:val="2"/>
  </w:num>
  <w:num w:numId="16" w16cid:durableId="109320011">
    <w:abstractNumId w:val="2"/>
  </w:num>
  <w:num w:numId="17" w16cid:durableId="2028024596">
    <w:abstractNumId w:val="2"/>
  </w:num>
  <w:num w:numId="18" w16cid:durableId="2079863714">
    <w:abstractNumId w:val="2"/>
  </w:num>
  <w:num w:numId="19" w16cid:durableId="862089510">
    <w:abstractNumId w:val="5"/>
  </w:num>
  <w:num w:numId="20" w16cid:durableId="624433435">
    <w:abstractNumId w:val="13"/>
  </w:num>
  <w:num w:numId="21" w16cid:durableId="632515478">
    <w:abstractNumId w:val="8"/>
  </w:num>
  <w:num w:numId="22" w16cid:durableId="1701205735">
    <w:abstractNumId w:val="7"/>
  </w:num>
  <w:num w:numId="23" w16cid:durableId="2125421304">
    <w:abstractNumId w:val="20"/>
  </w:num>
  <w:num w:numId="24" w16cid:durableId="1096439965">
    <w:abstractNumId w:val="9"/>
  </w:num>
  <w:num w:numId="25" w16cid:durableId="987242487">
    <w:abstractNumId w:val="17"/>
  </w:num>
  <w:num w:numId="26" w16cid:durableId="740905090">
    <w:abstractNumId w:val="14"/>
  </w:num>
  <w:num w:numId="27" w16cid:durableId="201405347">
    <w:abstractNumId w:val="12"/>
  </w:num>
  <w:num w:numId="28" w16cid:durableId="725107221">
    <w:abstractNumId w:val="21"/>
  </w:num>
  <w:num w:numId="29" w16cid:durableId="310984908">
    <w:abstractNumId w:val="4"/>
  </w:num>
  <w:num w:numId="30" w16cid:durableId="1676810738">
    <w:abstractNumId w:val="15"/>
  </w:num>
  <w:num w:numId="31" w16cid:durableId="1764260160">
    <w:abstractNumId w:val="16"/>
  </w:num>
  <w:num w:numId="32" w16cid:durableId="1272859118">
    <w:abstractNumId w:val="22"/>
  </w:num>
  <w:num w:numId="33" w16cid:durableId="81010078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06CD"/>
    <w:rsid w:val="00014332"/>
    <w:rsid w:val="000256BC"/>
    <w:rsid w:val="00033DED"/>
    <w:rsid w:val="00040F97"/>
    <w:rsid w:val="00065E1C"/>
    <w:rsid w:val="00067A0C"/>
    <w:rsid w:val="00067E90"/>
    <w:rsid w:val="00071BB4"/>
    <w:rsid w:val="000813D8"/>
    <w:rsid w:val="000A79B2"/>
    <w:rsid w:val="000C4E90"/>
    <w:rsid w:val="000F20B7"/>
    <w:rsid w:val="00103325"/>
    <w:rsid w:val="001061CA"/>
    <w:rsid w:val="001460F6"/>
    <w:rsid w:val="00154327"/>
    <w:rsid w:val="0019184E"/>
    <w:rsid w:val="00191FD7"/>
    <w:rsid w:val="0019283B"/>
    <w:rsid w:val="001A2416"/>
    <w:rsid w:val="001E4947"/>
    <w:rsid w:val="001F189A"/>
    <w:rsid w:val="002034C7"/>
    <w:rsid w:val="002266B8"/>
    <w:rsid w:val="00234D3D"/>
    <w:rsid w:val="00246BB0"/>
    <w:rsid w:val="002513C0"/>
    <w:rsid w:val="00254A32"/>
    <w:rsid w:val="00255D51"/>
    <w:rsid w:val="002737E8"/>
    <w:rsid w:val="002749D6"/>
    <w:rsid w:val="00276F74"/>
    <w:rsid w:val="002A5BA3"/>
    <w:rsid w:val="002C0D59"/>
    <w:rsid w:val="002C62A4"/>
    <w:rsid w:val="002C6A00"/>
    <w:rsid w:val="002D3436"/>
    <w:rsid w:val="002E3E89"/>
    <w:rsid w:val="002F4C56"/>
    <w:rsid w:val="003016FD"/>
    <w:rsid w:val="00302163"/>
    <w:rsid w:val="00306DF2"/>
    <w:rsid w:val="00310817"/>
    <w:rsid w:val="0032775C"/>
    <w:rsid w:val="00336983"/>
    <w:rsid w:val="00342EC3"/>
    <w:rsid w:val="00350406"/>
    <w:rsid w:val="003524B7"/>
    <w:rsid w:val="003725F9"/>
    <w:rsid w:val="00384AE5"/>
    <w:rsid w:val="003A5114"/>
    <w:rsid w:val="003D39E2"/>
    <w:rsid w:val="003E718C"/>
    <w:rsid w:val="003F4A7D"/>
    <w:rsid w:val="003F7A40"/>
    <w:rsid w:val="00401827"/>
    <w:rsid w:val="004042BC"/>
    <w:rsid w:val="00410F1A"/>
    <w:rsid w:val="004329EA"/>
    <w:rsid w:val="0043583A"/>
    <w:rsid w:val="00435EB1"/>
    <w:rsid w:val="004535C5"/>
    <w:rsid w:val="004676B2"/>
    <w:rsid w:val="00475D2C"/>
    <w:rsid w:val="00483445"/>
    <w:rsid w:val="004845EA"/>
    <w:rsid w:val="00487FE0"/>
    <w:rsid w:val="004A54A7"/>
    <w:rsid w:val="004B16F3"/>
    <w:rsid w:val="004B77D6"/>
    <w:rsid w:val="004D63F7"/>
    <w:rsid w:val="004E3DEC"/>
    <w:rsid w:val="00542C46"/>
    <w:rsid w:val="0056592A"/>
    <w:rsid w:val="00566DAF"/>
    <w:rsid w:val="0057189D"/>
    <w:rsid w:val="00575BFA"/>
    <w:rsid w:val="0058254B"/>
    <w:rsid w:val="005836A3"/>
    <w:rsid w:val="005D75ED"/>
    <w:rsid w:val="006006F9"/>
    <w:rsid w:val="00610C78"/>
    <w:rsid w:val="00613931"/>
    <w:rsid w:val="0062307E"/>
    <w:rsid w:val="00633A0F"/>
    <w:rsid w:val="006515B0"/>
    <w:rsid w:val="00662BB4"/>
    <w:rsid w:val="00665CE3"/>
    <w:rsid w:val="006664F9"/>
    <w:rsid w:val="00671EB8"/>
    <w:rsid w:val="00672512"/>
    <w:rsid w:val="00674520"/>
    <w:rsid w:val="00696D26"/>
    <w:rsid w:val="006C0F7C"/>
    <w:rsid w:val="006C147C"/>
    <w:rsid w:val="006C3F0B"/>
    <w:rsid w:val="006C42D4"/>
    <w:rsid w:val="006D3EB6"/>
    <w:rsid w:val="006F619C"/>
    <w:rsid w:val="006F7B6F"/>
    <w:rsid w:val="0071161D"/>
    <w:rsid w:val="00711987"/>
    <w:rsid w:val="007341E5"/>
    <w:rsid w:val="00740103"/>
    <w:rsid w:val="00747FB5"/>
    <w:rsid w:val="00762ACE"/>
    <w:rsid w:val="0077045A"/>
    <w:rsid w:val="00773E16"/>
    <w:rsid w:val="00785AB2"/>
    <w:rsid w:val="00791716"/>
    <w:rsid w:val="007A1A8C"/>
    <w:rsid w:val="007B0363"/>
    <w:rsid w:val="007B2904"/>
    <w:rsid w:val="007D2F48"/>
    <w:rsid w:val="007D71FB"/>
    <w:rsid w:val="007E60A5"/>
    <w:rsid w:val="008265EC"/>
    <w:rsid w:val="008375B5"/>
    <w:rsid w:val="008519A7"/>
    <w:rsid w:val="008624D3"/>
    <w:rsid w:val="00867394"/>
    <w:rsid w:val="00885FCD"/>
    <w:rsid w:val="00893FCF"/>
    <w:rsid w:val="008A63BF"/>
    <w:rsid w:val="008B3F37"/>
    <w:rsid w:val="008C6DEE"/>
    <w:rsid w:val="008D3A21"/>
    <w:rsid w:val="008E31E6"/>
    <w:rsid w:val="008F3059"/>
    <w:rsid w:val="008F517D"/>
    <w:rsid w:val="00914930"/>
    <w:rsid w:val="00927981"/>
    <w:rsid w:val="009334D8"/>
    <w:rsid w:val="00944A62"/>
    <w:rsid w:val="00966DB8"/>
    <w:rsid w:val="00980B6E"/>
    <w:rsid w:val="00987802"/>
    <w:rsid w:val="009934FA"/>
    <w:rsid w:val="009C578A"/>
    <w:rsid w:val="009D500F"/>
    <w:rsid w:val="00A03045"/>
    <w:rsid w:val="00A115B2"/>
    <w:rsid w:val="00A16F01"/>
    <w:rsid w:val="00A27173"/>
    <w:rsid w:val="00A4373F"/>
    <w:rsid w:val="00A462BF"/>
    <w:rsid w:val="00A552DB"/>
    <w:rsid w:val="00A5762D"/>
    <w:rsid w:val="00A66D1E"/>
    <w:rsid w:val="00A875D4"/>
    <w:rsid w:val="00A939E8"/>
    <w:rsid w:val="00A9474A"/>
    <w:rsid w:val="00A9474F"/>
    <w:rsid w:val="00AB62CD"/>
    <w:rsid w:val="00AC2DCE"/>
    <w:rsid w:val="00AC3FDE"/>
    <w:rsid w:val="00AC76E3"/>
    <w:rsid w:val="00B155EE"/>
    <w:rsid w:val="00B328B4"/>
    <w:rsid w:val="00B6599C"/>
    <w:rsid w:val="00B75D12"/>
    <w:rsid w:val="00B771D2"/>
    <w:rsid w:val="00B831A1"/>
    <w:rsid w:val="00B91CA0"/>
    <w:rsid w:val="00BC4DB2"/>
    <w:rsid w:val="00BC7E1E"/>
    <w:rsid w:val="00C03ED6"/>
    <w:rsid w:val="00C77339"/>
    <w:rsid w:val="00C80D0F"/>
    <w:rsid w:val="00C83576"/>
    <w:rsid w:val="00C86EC1"/>
    <w:rsid w:val="00CC772D"/>
    <w:rsid w:val="00CE4123"/>
    <w:rsid w:val="00CF5594"/>
    <w:rsid w:val="00D23427"/>
    <w:rsid w:val="00D23813"/>
    <w:rsid w:val="00D40915"/>
    <w:rsid w:val="00D86EE9"/>
    <w:rsid w:val="00DA666F"/>
    <w:rsid w:val="00DC7EBD"/>
    <w:rsid w:val="00DD1CFD"/>
    <w:rsid w:val="00DD28A0"/>
    <w:rsid w:val="00DF0C37"/>
    <w:rsid w:val="00DF2D6B"/>
    <w:rsid w:val="00E22F3A"/>
    <w:rsid w:val="00E40CE3"/>
    <w:rsid w:val="00E50568"/>
    <w:rsid w:val="00E51FC7"/>
    <w:rsid w:val="00E61F03"/>
    <w:rsid w:val="00E8224F"/>
    <w:rsid w:val="00E8743D"/>
    <w:rsid w:val="00E919C2"/>
    <w:rsid w:val="00EB0190"/>
    <w:rsid w:val="00EE4DBC"/>
    <w:rsid w:val="00EE729E"/>
    <w:rsid w:val="00F04896"/>
    <w:rsid w:val="00F8280E"/>
    <w:rsid w:val="00F961EA"/>
    <w:rsid w:val="00FA22FD"/>
    <w:rsid w:val="00FE79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740B749E-DACB-49E7-8E54-E338F0198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8B4"/>
  </w:style>
  <w:style w:type="paragraph" w:styleId="Heading1">
    <w:name w:val="heading 1"/>
    <w:basedOn w:val="Normal"/>
    <w:next w:val="Normal"/>
    <w:link w:val="Heading1Char"/>
    <w:uiPriority w:val="9"/>
    <w:qFormat/>
    <w:rsid w:val="00B328B4"/>
    <w:pPr>
      <w:keepNext/>
      <w:keepLines/>
      <w:spacing w:before="360" w:after="80"/>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328B4"/>
    <w:pPr>
      <w:keepNext/>
      <w:keepLines/>
      <w:spacing w:before="160" w:after="80"/>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B328B4"/>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B328B4"/>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B328B4"/>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B32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8B4"/>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328B4"/>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B328B4"/>
    <w:rPr>
      <w:rFonts w:eastAsiaTheme="majorEastAsia"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B328B4"/>
    <w:rPr>
      <w:rFonts w:eastAsiaTheme="majorEastAsia" w:cstheme="majorBidi"/>
      <w:i/>
      <w:iCs/>
      <w:color w:val="61721F" w:themeColor="accent1" w:themeShade="BF"/>
    </w:rPr>
  </w:style>
  <w:style w:type="character" w:customStyle="1" w:styleId="Heading5Char">
    <w:name w:val="Heading 5 Char"/>
    <w:basedOn w:val="DefaultParagraphFont"/>
    <w:link w:val="Heading5"/>
    <w:uiPriority w:val="9"/>
    <w:semiHidden/>
    <w:rsid w:val="00B328B4"/>
    <w:rPr>
      <w:rFonts w:eastAsiaTheme="majorEastAsia" w:cstheme="majorBidi"/>
      <w:color w:val="61721F" w:themeColor="accent1" w:themeShade="BF"/>
    </w:rPr>
  </w:style>
  <w:style w:type="character" w:customStyle="1" w:styleId="Heading6Char">
    <w:name w:val="Heading 6 Char"/>
    <w:basedOn w:val="DefaultParagraphFont"/>
    <w:link w:val="Heading6"/>
    <w:uiPriority w:val="9"/>
    <w:semiHidden/>
    <w:rsid w:val="00B32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8B4"/>
    <w:rPr>
      <w:rFonts w:eastAsiaTheme="majorEastAsia" w:cstheme="majorBidi"/>
      <w:color w:val="272727" w:themeColor="text1" w:themeTint="D8"/>
    </w:rPr>
  </w:style>
  <w:style w:type="paragraph" w:styleId="Title">
    <w:name w:val="Title"/>
    <w:basedOn w:val="Normal"/>
    <w:next w:val="Normal"/>
    <w:link w:val="TitleChar"/>
    <w:uiPriority w:val="10"/>
    <w:qFormat/>
    <w:rsid w:val="00B32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8B4"/>
    <w:pPr>
      <w:spacing w:before="160"/>
      <w:jc w:val="center"/>
    </w:pPr>
    <w:rPr>
      <w:i/>
      <w:iCs/>
      <w:color w:val="404040" w:themeColor="text1" w:themeTint="BF"/>
    </w:rPr>
  </w:style>
  <w:style w:type="character" w:customStyle="1" w:styleId="QuoteChar">
    <w:name w:val="Quote Char"/>
    <w:basedOn w:val="DefaultParagraphFont"/>
    <w:link w:val="Quote"/>
    <w:uiPriority w:val="29"/>
    <w:rsid w:val="00B328B4"/>
    <w:rPr>
      <w:i/>
      <w:iCs/>
      <w:color w:val="404040" w:themeColor="text1" w:themeTint="BF"/>
    </w:rPr>
  </w:style>
  <w:style w:type="paragraph" w:styleId="ListParagraph">
    <w:name w:val="List Paragraph"/>
    <w:basedOn w:val="Normal"/>
    <w:uiPriority w:val="34"/>
    <w:qFormat/>
    <w:rsid w:val="00B328B4"/>
    <w:pPr>
      <w:ind w:left="720"/>
      <w:contextualSpacing/>
    </w:pPr>
  </w:style>
  <w:style w:type="character" w:styleId="IntenseEmphasis">
    <w:name w:val="Intense Emphasis"/>
    <w:basedOn w:val="DefaultParagraphFont"/>
    <w:uiPriority w:val="21"/>
    <w:qFormat/>
    <w:rsid w:val="00B328B4"/>
    <w:rPr>
      <w:i/>
      <w:iCs/>
      <w:color w:val="61721F" w:themeColor="accent1" w:themeShade="BF"/>
    </w:rPr>
  </w:style>
  <w:style w:type="paragraph" w:styleId="IntenseQuote">
    <w:name w:val="Intense Quote"/>
    <w:basedOn w:val="Normal"/>
    <w:next w:val="Normal"/>
    <w:link w:val="IntenseQuoteChar"/>
    <w:uiPriority w:val="30"/>
    <w:qFormat/>
    <w:rsid w:val="00B328B4"/>
    <w:pPr>
      <w:pBdr>
        <w:top w:val="single" w:sz="4" w:space="10" w:color="61721F" w:themeColor="accent1" w:themeShade="BF"/>
        <w:bottom w:val="single" w:sz="4" w:space="10" w:color="61721F" w:themeColor="accent1" w:themeShade="BF"/>
      </w:pBdr>
      <w:spacing w:before="360" w:after="360"/>
      <w:ind w:left="864" w:right="864"/>
      <w:jc w:val="center"/>
    </w:pPr>
    <w:rPr>
      <w:i/>
      <w:iCs/>
      <w:color w:val="61721F" w:themeColor="accent1" w:themeShade="BF"/>
    </w:rPr>
  </w:style>
  <w:style w:type="character" w:customStyle="1" w:styleId="IntenseQuoteChar">
    <w:name w:val="Intense Quote Char"/>
    <w:basedOn w:val="DefaultParagraphFont"/>
    <w:link w:val="IntenseQuote"/>
    <w:uiPriority w:val="30"/>
    <w:rsid w:val="00B328B4"/>
    <w:rPr>
      <w:i/>
      <w:iCs/>
      <w:color w:val="61721F" w:themeColor="accent1" w:themeShade="BF"/>
    </w:rPr>
  </w:style>
  <w:style w:type="character" w:styleId="IntenseReference">
    <w:name w:val="Intense Reference"/>
    <w:basedOn w:val="DefaultParagraphFont"/>
    <w:uiPriority w:val="32"/>
    <w:qFormat/>
    <w:rsid w:val="00B328B4"/>
    <w:rPr>
      <w:b/>
      <w:bCs/>
      <w:smallCaps/>
      <w:color w:val="61721F" w:themeColor="accent1" w:themeShade="BF"/>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lang w:eastAsia="en-GB"/>
    </w:rPr>
  </w:style>
  <w:style w:type="character" w:customStyle="1" w:styleId="apple-converted-space">
    <w:name w:val="apple-converted-space"/>
    <w:basedOn w:val="DefaultParagraphFont"/>
    <w:rsid w:val="008375B5"/>
  </w:style>
  <w:style w:type="character" w:styleId="Strong">
    <w:name w:val="Strong"/>
    <w:basedOn w:val="DefaultParagraphFont"/>
    <w:uiPriority w:val="22"/>
    <w:qFormat/>
    <w:rsid w:val="00B328B4"/>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Caption">
    <w:name w:val="caption"/>
    <w:basedOn w:val="Normal"/>
    <w:next w:val="Normal"/>
    <w:uiPriority w:val="35"/>
    <w:semiHidden/>
    <w:unhideWhenUsed/>
    <w:qFormat/>
    <w:rsid w:val="00B328B4"/>
    <w:pPr>
      <w:spacing w:after="200" w:line="240" w:lineRule="auto"/>
    </w:pPr>
    <w:rPr>
      <w:i/>
      <w:iCs/>
      <w:color w:val="212121" w:themeColor="text2"/>
      <w:sz w:val="18"/>
      <w:szCs w:val="18"/>
    </w:rPr>
  </w:style>
  <w:style w:type="character" w:styleId="Emphasis">
    <w:name w:val="Emphasis"/>
    <w:basedOn w:val="DefaultParagraphFont"/>
    <w:uiPriority w:val="20"/>
    <w:qFormat/>
    <w:rsid w:val="00B328B4"/>
    <w:rPr>
      <w:i/>
      <w:iCs/>
    </w:rPr>
  </w:style>
  <w:style w:type="paragraph" w:styleId="NoSpacing">
    <w:name w:val="No Spacing"/>
    <w:uiPriority w:val="1"/>
    <w:qFormat/>
    <w:rsid w:val="00B328B4"/>
    <w:pPr>
      <w:spacing w:after="0" w:line="240" w:lineRule="auto"/>
    </w:pPr>
  </w:style>
  <w:style w:type="character" w:styleId="SubtleEmphasis">
    <w:name w:val="Subtle Emphasis"/>
    <w:basedOn w:val="DefaultParagraphFont"/>
    <w:uiPriority w:val="19"/>
    <w:qFormat/>
    <w:rsid w:val="00B328B4"/>
    <w:rPr>
      <w:i/>
      <w:iCs/>
      <w:color w:val="404040" w:themeColor="text1" w:themeTint="BF"/>
    </w:rPr>
  </w:style>
  <w:style w:type="character" w:styleId="SubtleReference">
    <w:name w:val="Subtle Reference"/>
    <w:basedOn w:val="DefaultParagraphFont"/>
    <w:uiPriority w:val="31"/>
    <w:qFormat/>
    <w:rsid w:val="00B328B4"/>
    <w:rPr>
      <w:smallCaps/>
      <w:color w:val="5A5A5A" w:themeColor="text1" w:themeTint="A5"/>
    </w:rPr>
  </w:style>
  <w:style w:type="character" w:styleId="BookTitle">
    <w:name w:val="Book Title"/>
    <w:basedOn w:val="DefaultParagraphFont"/>
    <w:uiPriority w:val="33"/>
    <w:qFormat/>
    <w:rsid w:val="00B328B4"/>
    <w:rPr>
      <w:b/>
      <w:bCs/>
      <w:i/>
      <w:iCs/>
      <w:spacing w:val="5"/>
    </w:rPr>
  </w:style>
  <w:style w:type="paragraph" w:styleId="TOCHeading">
    <w:name w:val="TOC Heading"/>
    <w:basedOn w:val="Heading1"/>
    <w:next w:val="Normal"/>
    <w:uiPriority w:val="39"/>
    <w:unhideWhenUsed/>
    <w:qFormat/>
    <w:rsid w:val="00B328B4"/>
    <w:pPr>
      <w:spacing w:before="240" w:after="0"/>
      <w:outlineLvl w:val="9"/>
    </w:pPr>
    <w:rPr>
      <w:sz w:val="32"/>
      <w:szCs w:val="32"/>
    </w:rPr>
  </w:style>
  <w:style w:type="paragraph" w:styleId="TOC2">
    <w:name w:val="toc 2"/>
    <w:basedOn w:val="Normal"/>
    <w:next w:val="Normal"/>
    <w:autoRedefine/>
    <w:uiPriority w:val="39"/>
    <w:unhideWhenUsed/>
    <w:rsid w:val="00B328B4"/>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B328B4"/>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B328B4"/>
    <w:pPr>
      <w:spacing w:after="100" w:line="259" w:lineRule="auto"/>
      <w:ind w:left="440"/>
    </w:pPr>
    <w:rPr>
      <w:rFonts w:cs="Times New Roman"/>
      <w:sz w:val="22"/>
      <w:szCs w:val="22"/>
      <w:lang w:eastAsia="en-GB"/>
    </w:rPr>
  </w:style>
  <w:style w:type="character" w:styleId="Hyperlink">
    <w:name w:val="Hyperlink"/>
    <w:basedOn w:val="DefaultParagraphFont"/>
    <w:uiPriority w:val="99"/>
    <w:unhideWhenUsed/>
    <w:rsid w:val="00BC4DB2"/>
    <w:rPr>
      <w:color w:val="A8BF4D" w:themeColor="hyperlink"/>
      <w:u w:val="single"/>
    </w:rPr>
  </w:style>
  <w:style w:type="character" w:styleId="UnresolvedMention">
    <w:name w:val="Unresolved Mention"/>
    <w:basedOn w:val="DefaultParagraphFont"/>
    <w:uiPriority w:val="99"/>
    <w:semiHidden/>
    <w:unhideWhenUsed/>
    <w:rsid w:val="00BC4D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kin-analytics.com/news/regulatory-certification/nice-recommends-derm-nh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news/articles/ai-skin-cancer-detection-system-gets-green-light-for-conditional-nhs-us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46A220-229A-48D9-80D9-F78ADD5ACA42}">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6FF38-2D1A-4640-9C56-B286E3DBD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4056</TotalTime>
  <Pages>12</Pages>
  <Words>3052</Words>
  <Characters>17398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20410</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Michaela Demeterova (2312297)</cp:lastModifiedBy>
  <cp:revision>37</cp:revision>
  <dcterms:created xsi:type="dcterms:W3CDTF">2024-10-07T16:23:00Z</dcterms:created>
  <dcterms:modified xsi:type="dcterms:W3CDTF">2025-11-17T12:27:00Z</dcterms:modified>
</cp:coreProperties>
</file>