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Medieval and Early Modern Garden in Britain: Enclosure and Transformation, c. 1200–1750</w:t>
      </w:r>
      <w:r w:rsidDel="00000000" w:rsidR="00000000" w:rsidRPr="00000000">
        <w:rPr>
          <w:rFonts w:ascii="Times New Roman" w:cs="Times New Roman" w:eastAsia="Times New Roman" w:hAnsi="Times New Roman"/>
          <w:sz w:val="24"/>
          <w:szCs w:val="24"/>
          <w:rtl w:val="0"/>
        </w:rPr>
        <w:t xml:space="preserve">, edited by Patricia Skinner and Theresa Tyers (London and New York: Routledge, 2018)</w:t>
      </w:r>
    </w:p>
    <w:p w:rsidR="00000000" w:rsidDel="00000000" w:rsidP="00000000" w:rsidRDefault="00000000" w:rsidRPr="00000000" w14:paraId="00000002">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addresses the subject of historical garden research with an emphasis on the cultural significance and uses of gardens in Britain, from the medieval period to the middle of the eighteenth century. In particular, the book focuses on ‘enclosure’ as it relates to gardens, both symbolically and physically, and on ‘transformation’, whether real or imagined. It includes essays from contributors with varying backgrounds and specializations in history as well as other fields such as archeology, gender studies, literature, and medicine. The authors address many different aspects of this broad subject, going beyond the utilitarian uses of sustenance gardening to explore the deeper cultural and social importance of gardens.</w:t>
      </w:r>
    </w:p>
    <w:p w:rsidR="00000000" w:rsidDel="00000000" w:rsidP="00000000" w:rsidRDefault="00000000" w:rsidRPr="00000000" w14:paraId="00000003">
      <w:pPr>
        <w:spacing w:before="240" w:lineRule="auto"/>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sz w:val="24"/>
          <w:szCs w:val="24"/>
          <w:rtl w:val="0"/>
        </w:rPr>
        <w:t xml:space="preserve">The book is separated into four thematic parts, each containing between two and three essays. In the Introduction it is stated that the contents of the book were intentionally arranged in a chronological order to follow cultural transitions during the selected era. This is a rather large span of time to cover in a small book such as this, and the essays do not seem to reflect such a cohesive narrative. The book ends with a chapter reflecting on the relevance of the historical uses of garden spaces to contemporary health studies.</w:t>
      </w:r>
      <w:r w:rsidDel="00000000" w:rsidR="00000000" w:rsidRPr="00000000">
        <w:rPr>
          <w:rtl w:val="0"/>
        </w:rPr>
      </w:r>
    </w:p>
    <w:p w:rsidR="00000000" w:rsidDel="00000000" w:rsidP="00000000" w:rsidRDefault="00000000" w:rsidRPr="00000000" w14:paraId="00000004">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first essay, ‘Gendered Spaces of Flourishing and the Medieval </w:t>
      </w:r>
      <w:r w:rsidDel="00000000" w:rsidR="00000000" w:rsidRPr="00000000">
        <w:rPr>
          <w:rFonts w:ascii="Times New Roman" w:cs="Times New Roman" w:eastAsia="Times New Roman" w:hAnsi="Times New Roman"/>
          <w:i w:val="1"/>
          <w:sz w:val="24"/>
          <w:szCs w:val="24"/>
          <w:rtl w:val="0"/>
        </w:rPr>
        <w:t xml:space="preserve">Hortus Conclusus</w:t>
      </w:r>
      <w:r w:rsidDel="00000000" w:rsidR="00000000" w:rsidRPr="00000000">
        <w:rPr>
          <w:rFonts w:ascii="Times New Roman" w:cs="Times New Roman" w:eastAsia="Times New Roman" w:hAnsi="Times New Roman"/>
          <w:sz w:val="24"/>
          <w:szCs w:val="24"/>
          <w:rtl w:val="0"/>
        </w:rPr>
        <w:t xml:space="preserve">’, Liz Herbert McAvoy traces the important image of the enclosed garden as a cultural symbol from the ancient Near East to northern Europe centuries later. She discusses how in the medieval imagination gardens were considered to be the natural domain of women. The unstable, unpredictable nature of gardens did not escape notice in popular imagery, and the enclosure was necessary to both contain and protect the nature dwelling within. The author examines how the enclosure has been interpreted as a semiotic representation of patriarchal authority and an outward embodiment of gendered power dynamics.</w:t>
      </w:r>
    </w:p>
    <w:p w:rsidR="00000000" w:rsidDel="00000000" w:rsidP="00000000" w:rsidRDefault="00000000" w:rsidRPr="00000000" w14:paraId="00000005">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author then goes on to challenge this view by demonstrating how some women who lived within these enclosed spaces acted as a destabilizing force in the traditional patriarchal imagery. Away from the typical masculine societal structure, the seclusion of the convent allowed these women the opportunity to reject the negative connotations of the garden as the abode of the ill-fated Eve, and to superimpose a new identity on it. Within the confines of their own space women created a new mystical language, in which they were able to look back to Eden and see it as a place of ‘flourishing’, where the feminine or ‘greening’ aspect of Christ and the garden’s fruitful abundance spilled out beyond its boundaries. To support her argument the author employs the writings of two female mystics living cloistered lives during the twelfth and thirteenth centuries, Gertrude of Helfta and Mechtild of Hackeborne.</w:t>
      </w:r>
    </w:p>
    <w:p w:rsidR="00000000" w:rsidDel="00000000" w:rsidP="00000000" w:rsidRDefault="00000000" w:rsidRPr="00000000" w14:paraId="00000006">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his essay, ‘Rills and Romance: Gardens at the Castles of Llywelyn ab Iorwerth and Edward I in Wales’. archaeologist Spencer Gavin Smith combines both Welsh and English written documentation with archaeological evidence to map out possible locations and features of royal gardens that were constructed in Wales during the twelfth and thirteenth centuries. Much of the gardens discussed were designed for either the wife of the Welsh prince, Llywelyn ab Iorwerth, or for the wife of Edward I, Eleanor of Castile. Using historical writing to gain insight along with evidence found during archaeological excavations, the author discusses possible social and political functions of these royal gardens and parks.</w:t>
      </w:r>
    </w:p>
    <w:p w:rsidR="00000000" w:rsidDel="00000000" w:rsidP="00000000" w:rsidRDefault="00000000" w:rsidRPr="00000000" w14:paraId="00000007">
      <w:pPr>
        <w:spacing w:before="240" w:lineRule="auto"/>
        <w:rPr>
          <w:rFonts w:ascii="Times New Roman" w:cs="Times New Roman" w:eastAsia="Times New Roman" w:hAnsi="Times New Roman"/>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24"/>
          <w:szCs w:val="24"/>
          <w:rtl w:val="0"/>
        </w:rPr>
        <w:t xml:space="preserve">A </w:t>
      </w:r>
      <w:r w:rsidDel="00000000" w:rsidR="00000000" w:rsidRPr="00000000">
        <w:rPr>
          <w:rFonts w:ascii="Times New Roman" w:cs="Times New Roman" w:eastAsia="Times New Roman" w:hAnsi="Times New Roman"/>
          <w:i w:val="1"/>
          <w:sz w:val="24"/>
          <w:szCs w:val="24"/>
          <w:rtl w:val="0"/>
        </w:rPr>
        <w:t xml:space="preserve">Delite</w:t>
      </w:r>
      <w:r w:rsidDel="00000000" w:rsidR="00000000" w:rsidRPr="00000000">
        <w:rPr>
          <w:rFonts w:ascii="Times New Roman" w:cs="Times New Roman" w:eastAsia="Times New Roman" w:hAnsi="Times New Roman"/>
          <w:sz w:val="24"/>
          <w:szCs w:val="24"/>
          <w:rtl w:val="0"/>
        </w:rPr>
        <w:t xml:space="preserve"> for the Senses: Three Healing Plants in Medieval Gardens, the Lily, the Rose, and the Woodland Strawberry’, contributed by Theresa Tyers, considers three garden plants as </w:t>
      </w:r>
      <w:r w:rsidDel="00000000" w:rsidR="00000000" w:rsidRPr="00000000">
        <w:rPr>
          <w:rFonts w:ascii="Times New Roman" w:cs="Times New Roman" w:eastAsia="Times New Roman" w:hAnsi="Times New Roman"/>
          <w:i w:val="1"/>
          <w:sz w:val="24"/>
          <w:szCs w:val="24"/>
          <w:rtl w:val="0"/>
        </w:rPr>
        <w:t xml:space="preserve">materia medica</w:t>
      </w:r>
      <w:r w:rsidDel="00000000" w:rsidR="00000000" w:rsidRPr="00000000">
        <w:rPr>
          <w:rFonts w:ascii="Times New Roman" w:cs="Times New Roman" w:eastAsia="Times New Roman" w:hAnsi="Times New Roman"/>
          <w:sz w:val="24"/>
          <w:szCs w:val="24"/>
          <w:rtl w:val="0"/>
        </w:rPr>
        <w:t xml:space="preserve">, challenging the misconception that these were used solely for aesthetic purposes. By examining vernacular texts from the twelfth to fourteenth centuries that cover issues of health and healing, she presents evidence that fragrant and sweet tasting plants were valued not just for pleasure, but also for their essential role in healing through the senses.</w:t>
      </w:r>
    </w:p>
    <w:p w:rsidR="00000000" w:rsidDel="00000000" w:rsidP="00000000" w:rsidRDefault="00000000" w:rsidRPr="00000000" w14:paraId="00000008">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chapter dealing with the more historical side of research on medieval gardens, ‘In Dock, Out Nettle: Negotiating Health Risks in the Early Modern Garden’ by Emily Cock, gives an account of how people learned ways to identify safe practices in the garden and how to improve the health and well-being through the use of plants. This chapter would also appeal to readers interested in the historic examples of occupational health and safety. The bulk of the rest of the book includes essays in a more literary context, before ending with a chapter on restoration projects, and lastly one on gardens in contemporary health practices.</w:t>
      </w:r>
    </w:p>
    <w:p w:rsidR="00000000" w:rsidDel="00000000" w:rsidP="00000000" w:rsidRDefault="00000000" w:rsidRPr="00000000" w14:paraId="00000009">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small collection of essays presents a wide range of perspectives on the history of gardens and gardening in Britain. The variety of disciplines contributing to this book demonstrates how far historical research can go to enrich our understanding in many different fields of study, beyond history. However, due to its diverse span of academic specialties, as a whole it may appeal more to readers who are specifically interested in garden research. This is likely the case often for subjects that are being approached by a variety of perspectives and academic backgrounds, and it does not undermine the quality of research or overall success. However, the book did seem a little disconnected, and that could have been avoided by covering a shorter time span. For readers looking for recent scholarship on the cultural and socioeconomic aspects of garden spaces and plants in a historical context, this volume is a welcome addition to a field of study which has been only slowly increasing since the later part of the twentieth century. The contributors in this volume show a familiarity with the relevant research published in the last three to four decades on historical gardens, and the book opens many avenues for further discussion and research.</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Diana Plaisance</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History and Historians</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University of Wales, Trinity Saint David</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