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b w:val="1"/>
          <w:bCs w:val="1"/>
          <w:u w:val="single"/>
        </w:rPr>
      </w:pPr>
      <w:r>
        <w:rPr>
          <w:b w:val="1"/>
          <w:bCs w:val="1"/>
          <w:u w:val="single"/>
          <w:rtl w:val="0"/>
          <w:lang w:val="en-US"/>
        </w:rPr>
        <w:t>Person Centred Planning, and Multi Agency Working</w:t>
      </w:r>
    </w:p>
    <w:p>
      <w:pPr>
        <w:pStyle w:val="Body"/>
        <w:jc w:val="center"/>
        <w:rPr>
          <w:b w:val="1"/>
          <w:bCs w:val="1"/>
          <w:u w:val="single"/>
        </w:rPr>
      </w:pPr>
    </w:p>
    <w:p>
      <w:pPr>
        <w:pStyle w:val="Body"/>
        <w:jc w:val="center"/>
        <w:rPr>
          <w:b w:val="1"/>
          <w:bCs w:val="1"/>
          <w:u w:val="single"/>
        </w:rPr>
      </w:pPr>
    </w:p>
    <w:p>
      <w:pPr>
        <w:pStyle w:val="Body"/>
        <w:jc w:val="left"/>
        <w:rPr>
          <w:u w:val="single"/>
        </w:rPr>
      </w:pPr>
      <w:r>
        <w:rPr>
          <w:u w:val="single"/>
          <w:rtl w:val="0"/>
          <w:lang w:val="en-US"/>
        </w:rPr>
        <w:t>An introduction to this portfolio</w:t>
      </w:r>
    </w:p>
    <w:p>
      <w:pPr>
        <w:pStyle w:val="Body"/>
        <w:jc w:val="left"/>
        <w:rPr>
          <w:u w:val="single"/>
        </w:rPr>
      </w:pPr>
    </w:p>
    <w:p>
      <w:pPr>
        <w:pStyle w:val="Body"/>
        <w:jc w:val="left"/>
      </w:pPr>
      <w:r>
        <w:rPr>
          <w:rtl w:val="0"/>
          <w:lang w:val="en-US"/>
        </w:rPr>
        <w:t>Enclosed in this portfolio is an analysis of what multiagency working is, how it works and why person centred planning can be used to effectively deliver the findings of a multi agency task force.</w:t>
      </w:r>
    </w:p>
    <w:p>
      <w:pPr>
        <w:pStyle w:val="Body"/>
        <w:jc w:val="left"/>
      </w:pPr>
      <w:r>
        <w:rPr>
          <w:rtl w:val="0"/>
          <w:lang w:val="en-US"/>
        </w:rPr>
        <w:t>There will be a period of defining what multiagency work is, demonstrating the various forms it can take, and the ways in which it may be applied,</w:t>
      </w:r>
    </w:p>
    <w:p>
      <w:pPr>
        <w:pStyle w:val="Body"/>
        <w:jc w:val="left"/>
      </w:pPr>
      <w:r>
        <w:rPr>
          <w:rtl w:val="0"/>
          <w:lang w:val="en-US"/>
        </w:rPr>
        <w:t>Naturally, with any approach designed to benefit or improve a person</w:t>
      </w:r>
      <w:r>
        <w:rPr>
          <w:rtl w:val="0"/>
          <w:lang w:val="en-US"/>
        </w:rPr>
        <w:t>’</w:t>
      </w:r>
      <w:r>
        <w:rPr>
          <w:rtl w:val="0"/>
          <w:lang w:val="en-US"/>
        </w:rPr>
        <w:t>s life, there are positive and negative aspects available. These will also be discussed and analysed within the portfolio.</w:t>
      </w:r>
    </w:p>
    <w:p>
      <w:pPr>
        <w:pStyle w:val="Body"/>
        <w:jc w:val="left"/>
      </w:pPr>
      <w:r>
        <w:rPr>
          <w:rtl w:val="0"/>
          <w:lang w:val="en-US"/>
        </w:rPr>
        <w:t>The portfolio will also open the doors to the world of MASH, and examine how this multiagency strategy is able to benefit children and young people.</w:t>
      </w:r>
    </w:p>
    <w:p>
      <w:pPr>
        <w:pStyle w:val="Body"/>
        <w:jc w:val="left"/>
      </w:pPr>
      <w:r>
        <w:rPr>
          <w:rtl w:val="0"/>
          <w:lang w:val="en-US"/>
        </w:rPr>
        <w:t>Within any team based scenario, we can expect to see different roles, each having their own responsibilities. This is something to be discussed later in the portfolio.</w:t>
      </w:r>
    </w:p>
    <w:p>
      <w:pPr>
        <w:pStyle w:val="Body"/>
        <w:jc w:val="left"/>
      </w:pPr>
      <w:r>
        <w:rPr>
          <w:rtl w:val="0"/>
          <w:lang w:val="en-US"/>
        </w:rPr>
        <w:t>Towards the end, we will begin to focus in on Person Centred Planning (PCP). There will be a discussion on what PCP is, and how it is used by MASH. However, do not assume we will only be objectively discussing what PCP is, expect a clear critical analysis of PCP and whether or not it can be used as an effective strategy to benefit a child or young person.</w:t>
      </w:r>
    </w:p>
    <w:p>
      <w:pPr>
        <w:pStyle w:val="Body"/>
        <w:jc w:val="left"/>
      </w:pPr>
      <w:r>
        <w:rPr>
          <w:rtl w:val="0"/>
          <w:lang w:val="en-US"/>
        </w:rPr>
        <w:t>Finally there will be summary of all that you have read, an overview of everything you have read and learnt about throughout this portfolio.</w:t>
      </w:r>
    </w:p>
    <w:p>
      <w:pPr>
        <w:pStyle w:val="Body"/>
        <w:jc w:val="left"/>
      </w:pPr>
    </w:p>
    <w:p>
      <w:pPr>
        <w:pStyle w:val="Body"/>
        <w:jc w:val="left"/>
        <w:rPr>
          <w:u w:val="single"/>
        </w:rPr>
      </w:pPr>
      <w:r>
        <w:rPr>
          <w:u w:val="single"/>
          <w:rtl w:val="0"/>
          <w:lang w:val="en-US"/>
        </w:rPr>
        <w:t>So what exactly is Multi Agency Working?</w:t>
      </w:r>
    </w:p>
    <w:p>
      <w:pPr>
        <w:pStyle w:val="Body"/>
        <w:jc w:val="left"/>
        <w:rPr>
          <w:u w:val="single"/>
        </w:rPr>
      </w:pPr>
    </w:p>
    <w:p>
      <w:pPr>
        <w:pStyle w:val="Body"/>
        <w:jc w:val="left"/>
      </w:pPr>
      <w:r>
        <w:rPr>
          <w:rtl w:val="0"/>
          <w:lang w:val="en-US"/>
        </w:rPr>
        <w:t>Essentially, Multi Agency Working is a number of agencies from across the child sector, working together to benefit children and their families, with the child</w:t>
      </w:r>
      <w:r>
        <w:rPr>
          <w:rtl w:val="0"/>
          <w:lang w:val="en-US"/>
        </w:rPr>
        <w:t>’</w:t>
      </w:r>
      <w:r>
        <w:rPr>
          <w:rtl w:val="0"/>
          <w:lang w:val="en-US"/>
        </w:rPr>
        <w:t>s best interests at the core of they work (Forbes, 2018). Therefore, what we can understand Multi Agency Working to be, is a cross platform initiative, that sees various institutions come together, with the main aim of ensuring a child</w:t>
      </w:r>
      <w:r>
        <w:rPr>
          <w:rtl w:val="0"/>
          <w:lang w:val="en-US"/>
        </w:rPr>
        <w:t>’</w:t>
      </w:r>
      <w:r>
        <w:rPr>
          <w:rtl w:val="0"/>
          <w:lang w:val="en-US"/>
        </w:rPr>
        <w:t xml:space="preserve">s needs are met, whilst ensuring the child themselves are in direct control of how such solutions are achieved. </w:t>
      </w:r>
    </w:p>
    <w:p>
      <w:pPr>
        <w:pStyle w:val="Body"/>
        <w:jc w:val="left"/>
      </w:pPr>
      <w:r>
        <w:rPr>
          <w:rtl w:val="0"/>
          <w:lang w:val="en-US"/>
        </w:rPr>
        <w:t>Whilst the term agency can seem a little harsh, and almost clinical, the agencies involved in Multi Agency Work are not always so aggressive in their nature. In some instances, we will see a nurse or play therapist added to the team in order to benefit the child</w:t>
      </w:r>
      <w:r>
        <w:rPr>
          <w:rtl w:val="0"/>
          <w:lang w:val="en-US"/>
        </w:rPr>
        <w:t>’</w:t>
      </w:r>
      <w:r>
        <w:rPr>
          <w:rtl w:val="0"/>
          <w:lang w:val="en-US"/>
        </w:rPr>
        <w:t>s health and wellbeing. Others would see a Positive Activities for Young People worker added to the team, to ensure children have an opportunity to engage in something beneficial to them, outside of school (Halsey, et al. 2007). Naturally the school would also be involved with many of the multi agency panels, and depending on the risk level of the child, the police and social services.</w:t>
      </w:r>
    </w:p>
    <w:p>
      <w:pPr>
        <w:pStyle w:val="Body"/>
        <w:jc w:val="left"/>
      </w:pPr>
      <w:r>
        <w:rPr>
          <w:rtl w:val="0"/>
          <w:lang w:val="en-US"/>
        </w:rPr>
        <w:t>This variety of possible members for a multi agency panel, demonstrates the great vastness of issues that a child may encounter that out the at risk, therefore it is imperative that the correct agencies are involved as early as possible.</w:t>
      </w:r>
    </w:p>
    <w:p>
      <w:pPr>
        <w:pStyle w:val="Body"/>
        <w:jc w:val="left"/>
      </w:pPr>
      <w:r>
        <w:rPr>
          <w:rtl w:val="0"/>
          <w:lang w:val="en-US"/>
        </w:rPr>
        <w:t xml:space="preserve">There are of course different types of multi agency task forces, each with a slightly different approach to helping to support a child or young person. Behaviour and Education Support Teams, or BESTs, for example, are constructed differently to Youth Offending Teams (YOTs). Therefore we can assume even just by the names of these two different teams, that they each would be used for differing reasons. </w:t>
      </w:r>
    </w:p>
    <w:p>
      <w:pPr>
        <w:pStyle w:val="Body"/>
        <w:jc w:val="left"/>
      </w:pPr>
      <w:r>
        <w:rPr>
          <w:rtl w:val="0"/>
          <w:lang w:val="en-US"/>
        </w:rPr>
        <w:t xml:space="preserve">A YOT may be asked to become involved if a child is suspected of being involved in, or at risk of becoming involved in county lines drug trafficking. Windle, Moyle and Coomber (2020) explored the exploitation of children and young people caught up in county lines trafficking, explains how it typically involved gangs and their desire to expand drug operations into areas outside of major city hubs. Even a minor involvement with gangs can be a treacherous line for children and young people to walk, so involvement with crime would no doubt be reasonable cause for a YOT to become involved. </w:t>
      </w:r>
    </w:p>
    <w:p>
      <w:pPr>
        <w:pStyle w:val="Body"/>
        <w:jc w:val="left"/>
      </w:pPr>
      <w:r>
        <w:rPr>
          <w:rtl w:val="0"/>
          <w:lang w:val="en-US"/>
        </w:rPr>
        <w:t xml:space="preserve">Given the vast number of YOTs across the UK, it is to be expected that each one will have a slightly different make up, meaning each team may have a slightly different roster of representatives from the various agencies we can be expected to get involved. </w:t>
      </w:r>
    </w:p>
    <w:p>
      <w:pPr>
        <w:pStyle w:val="Body"/>
        <w:jc w:val="left"/>
      </w:pPr>
      <w:r>
        <w:rPr>
          <w:rtl w:val="0"/>
          <w:lang w:val="en-US"/>
        </w:rPr>
        <w:t>Ryrie (2006) for example, tells us of his role as an educational psychologist on a YOT, and how despite the typical role of an educational psychologist being one of careful preparation and planning, the very environment a YOT is expected to work and respond in, can often call for a rapid and decisive response from the entire team. This demonstrates the ever changing environment a YOT can expect to work in, this explains why he also mentions how in multi agency work, it is possible for the team to work well if all members are actively participating in the roles they have to play, however it is just as easy for the team to be even less effective than if each member responded independently, due to a lack of cohesion amongst the team. This a point we will come to reflect on later in the portfolio.</w:t>
      </w:r>
    </w:p>
    <w:p>
      <w:pPr>
        <w:pStyle w:val="Body"/>
        <w:jc w:val="left"/>
      </w:pPr>
      <w:r>
        <w:rPr>
          <w:rtl w:val="0"/>
          <w:lang w:val="en-US"/>
        </w:rPr>
        <w:t xml:space="preserve">Of course a YOT is an almost direct response to criminal activity from a child or young person, therefore meaning they may not be a multi agency team best suited to deal with behavioural issues, or general difficulties faced but a child or young person at school. Naturally a different team would be needed to respond to these types of issues, something like a Behaviour and Education Support Team (BEST). </w:t>
      </w:r>
    </w:p>
    <w:p>
      <w:pPr>
        <w:pStyle w:val="Body"/>
        <w:jc w:val="left"/>
      </w:pPr>
      <w:r>
        <w:rPr>
          <w:rtl w:val="0"/>
          <w:lang w:val="en-US"/>
        </w:rPr>
        <w:t xml:space="preserve">Whilst we can expect some of the agencies represented to overlap across the two types of multi agency teams, the way in which they respond to any issues raised can be expected to differ vastly. We have already mentioned how a YOT can be expected to implement and almost immediate response to a child needing their help de to involvement in criminal activity, the educational psychologist on a BEST would likely have more time to follow the considered approach mentioned by Ryrie (2006). </w:t>
      </w:r>
    </w:p>
    <w:p>
      <w:pPr>
        <w:pStyle w:val="Body"/>
        <w:jc w:val="left"/>
      </w:pPr>
      <w:r>
        <w:rPr>
          <w:rtl w:val="0"/>
          <w:lang w:val="en-US"/>
        </w:rPr>
        <w:t>Halsey et al (2005) gave us an exciting look into the bones and working methods of BESTs. Within the document, they discussed the various roles required in a BEST, including an educational psychologist, a police officer and maybe even a play therapist. Whilst the list of potential members needed is certainly a large one, the entirety of the list is not necessarily required to be directly involved with each individual case. However, having the full team available would allow for solid communication and cohesion across all departments. It would mean an issue picked up on by the play therapist, that needed the specialist attention of the social worker, could quickly be relayed and action swiftly taken.</w:t>
      </w:r>
    </w:p>
    <w:p>
      <w:pPr>
        <w:pStyle w:val="Body"/>
        <w:jc w:val="left"/>
      </w:pPr>
    </w:p>
    <w:p>
      <w:pPr>
        <w:pStyle w:val="Body"/>
        <w:jc w:val="left"/>
        <w:rPr>
          <w:u w:val="none"/>
        </w:rPr>
      </w:pPr>
      <w:r>
        <w:rPr>
          <w:u w:val="single"/>
          <w:rtl w:val="0"/>
          <w:lang w:val="en-US"/>
        </w:rPr>
        <w:t>This all sounds great, but surely this is not a perfect system?</w:t>
      </w:r>
    </w:p>
    <w:p>
      <w:pPr>
        <w:pStyle w:val="Body"/>
        <w:jc w:val="left"/>
        <w:rPr>
          <w:u w:val="none"/>
        </w:rPr>
      </w:pPr>
    </w:p>
    <w:p>
      <w:pPr>
        <w:pStyle w:val="Body"/>
        <w:jc w:val="left"/>
        <w:rPr>
          <w:u w:val="none"/>
        </w:rPr>
      </w:pPr>
      <w:r>
        <w:rPr>
          <w:u w:val="none"/>
          <w:rtl w:val="0"/>
          <w:lang w:val="en-US"/>
        </w:rPr>
        <w:t>Surprisingly enough, or rather unsurprisingly, there are of course both benefits and negatives when it comes to multi agency working.</w:t>
      </w:r>
    </w:p>
    <w:p>
      <w:pPr>
        <w:pStyle w:val="Body"/>
        <w:jc w:val="left"/>
        <w:rPr>
          <w:u w:val="none"/>
        </w:rPr>
      </w:pPr>
      <w:r>
        <w:rPr>
          <w:u w:val="none"/>
          <w:rtl w:val="0"/>
          <w:lang w:val="en-US"/>
        </w:rPr>
        <w:t xml:space="preserve">Of course we have already heard from Ryrie (2006) about how a multi agency team can be almost less effective than the individuals are capable of, if there is a lack of cohesion in the team. </w:t>
      </w:r>
    </w:p>
    <w:p>
      <w:pPr>
        <w:pStyle w:val="Body"/>
        <w:jc w:val="left"/>
        <w:rPr>
          <w:u w:val="none"/>
        </w:rPr>
      </w:pPr>
      <w:r>
        <w:rPr>
          <w:u w:val="none"/>
          <w:rtl w:val="0"/>
          <w:lang w:val="en-US"/>
        </w:rPr>
        <w:t xml:space="preserve">This lack of cohesion can be caused by any number of obstacles, from personal issues to simple lack of communication. </w:t>
      </w:r>
    </w:p>
    <w:p>
      <w:pPr>
        <w:pStyle w:val="Body"/>
        <w:jc w:val="left"/>
        <w:rPr>
          <w:u w:val="none"/>
        </w:rPr>
      </w:pPr>
      <w:r>
        <w:rPr>
          <w:u w:val="none"/>
          <w:rtl w:val="0"/>
          <w:lang w:val="en-US"/>
        </w:rPr>
        <w:t>Lumen Learning (2021) tells us that barriers to teamwork can be:</w:t>
      </w:r>
    </w:p>
    <w:p>
      <w:pPr>
        <w:pStyle w:val="Body"/>
        <w:jc w:val="left"/>
        <w:rPr>
          <w:u w:val="none"/>
        </w:rPr>
      </w:pPr>
    </w:p>
    <w:p>
      <w:pPr>
        <w:pStyle w:val="Body"/>
        <w:numPr>
          <w:ilvl w:val="0"/>
          <w:numId w:val="2"/>
        </w:numPr>
        <w:jc w:val="left"/>
        <w:rPr>
          <w:u w:val="single"/>
          <w:lang w:val="en-US"/>
        </w:rPr>
      </w:pPr>
      <w:r>
        <w:rPr>
          <w:u w:val="none"/>
          <w:rtl w:val="0"/>
          <w:lang w:val="en-US"/>
        </w:rPr>
        <w:t>‘</w:t>
      </w:r>
      <w:r>
        <w:rPr>
          <w:u w:val="none"/>
          <w:rtl w:val="0"/>
          <w:lang w:val="en-US"/>
        </w:rPr>
        <w:t>Individuals shirking their duties</w:t>
      </w:r>
      <w:r>
        <w:rPr>
          <w:u w:val="none"/>
          <w:rtl w:val="0"/>
          <w:lang w:val="en-US"/>
        </w:rPr>
        <w:t>’</w:t>
      </w:r>
    </w:p>
    <w:p>
      <w:pPr>
        <w:pStyle w:val="Body"/>
        <w:numPr>
          <w:ilvl w:val="0"/>
          <w:numId w:val="2"/>
        </w:numPr>
        <w:jc w:val="left"/>
        <w:rPr>
          <w:u w:val="single"/>
          <w:lang w:val="en-US"/>
        </w:rPr>
      </w:pPr>
      <w:r>
        <w:rPr>
          <w:u w:val="none"/>
          <w:rtl w:val="0"/>
          <w:lang w:val="en-US"/>
        </w:rPr>
        <w:t>‘</w:t>
      </w:r>
      <w:r>
        <w:rPr>
          <w:u w:val="none"/>
          <w:rtl w:val="0"/>
          <w:lang w:val="en-US"/>
        </w:rPr>
        <w:t>Skewed influence over decisions</w:t>
      </w:r>
      <w:r>
        <w:rPr>
          <w:u w:val="none"/>
          <w:rtl w:val="0"/>
          <w:lang w:val="en-US"/>
        </w:rPr>
        <w:t>’</w:t>
      </w:r>
    </w:p>
    <w:p>
      <w:pPr>
        <w:pStyle w:val="Body"/>
        <w:numPr>
          <w:ilvl w:val="0"/>
          <w:numId w:val="2"/>
        </w:numPr>
        <w:jc w:val="left"/>
        <w:rPr>
          <w:u w:val="single"/>
          <w:lang w:val="en-US"/>
        </w:rPr>
      </w:pPr>
      <w:r>
        <w:rPr>
          <w:u w:val="none"/>
          <w:rtl w:val="0"/>
          <w:lang w:val="en-US"/>
        </w:rPr>
        <w:t>‘</w:t>
      </w:r>
      <w:r>
        <w:rPr>
          <w:u w:val="none"/>
          <w:rtl w:val="0"/>
          <w:lang w:val="en-US"/>
        </w:rPr>
        <w:t>Lack of trust</w:t>
      </w:r>
      <w:r>
        <w:rPr>
          <w:u w:val="none"/>
          <w:rtl w:val="0"/>
          <w:lang w:val="en-US"/>
        </w:rPr>
        <w:t>’</w:t>
      </w:r>
    </w:p>
    <w:p>
      <w:pPr>
        <w:pStyle w:val="Body"/>
        <w:numPr>
          <w:ilvl w:val="0"/>
          <w:numId w:val="2"/>
        </w:numPr>
        <w:jc w:val="left"/>
        <w:rPr>
          <w:u w:val="single"/>
          <w:lang w:val="en-US"/>
        </w:rPr>
      </w:pPr>
      <w:r>
        <w:rPr>
          <w:u w:val="none"/>
          <w:rtl w:val="0"/>
          <w:lang w:val="en-US"/>
        </w:rPr>
        <w:t>‘</w:t>
      </w:r>
      <w:r>
        <w:rPr>
          <w:u w:val="none"/>
          <w:rtl w:val="0"/>
          <w:lang w:val="en-US"/>
        </w:rPr>
        <w:t>Lack of team skills</w:t>
      </w:r>
      <w:r>
        <w:rPr>
          <w:u w:val="none"/>
          <w:rtl w:val="0"/>
          <w:lang w:val="en-US"/>
        </w:rPr>
        <w:t>’</w:t>
      </w:r>
    </w:p>
    <w:p>
      <w:pPr>
        <w:pStyle w:val="Body"/>
        <w:numPr>
          <w:ilvl w:val="0"/>
          <w:numId w:val="2"/>
        </w:numPr>
        <w:jc w:val="left"/>
        <w:rPr>
          <w:u w:val="single"/>
          <w:lang w:val="en-US"/>
        </w:rPr>
      </w:pPr>
      <w:r>
        <w:rPr>
          <w:u w:val="none"/>
          <w:rtl w:val="0"/>
          <w:lang w:val="en-US"/>
        </w:rPr>
        <w:t>‘</w:t>
      </w:r>
      <w:r>
        <w:rPr>
          <w:u w:val="none"/>
          <w:rtl w:val="0"/>
          <w:lang w:val="en-US"/>
        </w:rPr>
        <w:t>Too many members</w:t>
      </w:r>
      <w:r>
        <w:rPr>
          <w:u w:val="none"/>
          <w:rtl w:val="0"/>
          <w:lang w:val="en-US"/>
        </w:rPr>
        <w:t>’</w:t>
      </w:r>
    </w:p>
    <w:p>
      <w:pPr>
        <w:pStyle w:val="Body"/>
        <w:jc w:val="left"/>
        <w:rPr>
          <w:u w:val="none"/>
        </w:rPr>
      </w:pPr>
    </w:p>
    <w:p>
      <w:pPr>
        <w:pStyle w:val="Body"/>
        <w:jc w:val="left"/>
        <w:rPr>
          <w:u w:val="none"/>
        </w:rPr>
      </w:pPr>
      <w:r>
        <w:rPr>
          <w:u w:val="none"/>
          <w:rtl w:val="0"/>
          <w:lang w:val="en-US"/>
        </w:rPr>
        <w:t xml:space="preserve">Now this list is of course not a comprehensive one, and it would be unfair to apply all of these reasons to a multi agency team. However, the fact remains these are very realistic barriers that multi agency teams could encounter. </w:t>
      </w:r>
    </w:p>
    <w:p>
      <w:pPr>
        <w:pStyle w:val="Body"/>
        <w:jc w:val="left"/>
        <w:rPr>
          <w:u w:val="none"/>
        </w:rPr>
      </w:pPr>
      <w:r>
        <w:rPr>
          <w:u w:val="none"/>
          <w:rtl w:val="0"/>
          <w:lang w:val="en-US"/>
        </w:rPr>
        <w:t>One that can be applied readily to many instances of multi agency working in there being too many members. As the old saying goes, too many cooks can spoil the broth, something that can easily be applied when many professionals are seeking to help the same child or young person. One way of avoiding this would be to ensure a minimum number of representatives from each agency involved in a multi agency team, enabling those that are involved to be specialised in their particular field, lowering the chance on conflicting opinions.</w:t>
      </w:r>
    </w:p>
    <w:p>
      <w:pPr>
        <w:pStyle w:val="Body"/>
        <w:jc w:val="left"/>
        <w:rPr>
          <w:u w:val="none"/>
        </w:rPr>
      </w:pPr>
      <w:r>
        <w:rPr>
          <w:u w:val="none"/>
          <w:rtl w:val="0"/>
          <w:lang w:val="en-US"/>
        </w:rPr>
        <w:t xml:space="preserve">Another issue that may cause a reduction in productivity from the team is any sort of skewed influence over decisions made regarding the child or young person. There is always a chance that representatives from different agencies that have worked well together before, will attempt to lead strategy meetings and attempt to have influence over the direction of the plan. The easiest way to counter this, is to ensure the child is totally at the centre of all actions taken regarding them, allowing for a fixed plan to be the guide to any strategies put forward, as opposed to the personal opinions of the agency representatives. </w:t>
      </w:r>
    </w:p>
    <w:p>
      <w:pPr>
        <w:pStyle w:val="Body"/>
        <w:jc w:val="left"/>
        <w:rPr>
          <w:u w:val="none"/>
        </w:rPr>
      </w:pPr>
      <w:r>
        <w:rPr>
          <w:u w:val="none"/>
          <w:rtl w:val="0"/>
          <w:lang w:val="en-US"/>
        </w:rPr>
        <w:t>Cheminais (2009) offers some different options as to what could cause barriers specifically for multi agency teams, and interestingly she mentions time being one. Specifically she mentions time, as some of the service and agencies only have a certain amount of time and resources they can competently dedicate to a multi agency team, in particular those agencies with full waiting lists of those who have sought their help outside of a multi agency team.</w:t>
      </w:r>
    </w:p>
    <w:p>
      <w:pPr>
        <w:pStyle w:val="Body"/>
        <w:jc w:val="left"/>
        <w:rPr>
          <w:u w:val="none"/>
        </w:rPr>
      </w:pPr>
      <w:r>
        <w:rPr>
          <w:u w:val="none"/>
          <w:rtl w:val="0"/>
          <w:lang w:val="en-US"/>
        </w:rPr>
        <w:t>Cheminais (2009) also mentions that something as simple as working in a new environment can be disruptive to a cohesive multi agency team. It is easy to imagine the stark contrast a nurse may find working out of a school or office based environment, as opposed to a hospital.</w:t>
      </w:r>
    </w:p>
    <w:p>
      <w:pPr>
        <w:pStyle w:val="Body"/>
        <w:jc w:val="left"/>
        <w:rPr>
          <w:u w:val="none"/>
        </w:rPr>
      </w:pPr>
      <w:r>
        <w:rPr>
          <w:u w:val="none"/>
          <w:rtl w:val="0"/>
          <w:lang w:val="en-US"/>
        </w:rPr>
        <w:t>Ironically, time may be the one thing that would help an agency representative to deal with transitioning to work in a new environment, despite time, albeit in a different context, being a major barrier in some instances of multi agency working.</w:t>
      </w:r>
    </w:p>
    <w:p>
      <w:pPr>
        <w:pStyle w:val="Body"/>
        <w:jc w:val="left"/>
        <w:rPr>
          <w:u w:val="none"/>
        </w:rPr>
      </w:pPr>
    </w:p>
    <w:p>
      <w:pPr>
        <w:pStyle w:val="Body"/>
        <w:jc w:val="left"/>
        <w:rPr>
          <w:u w:val="none"/>
        </w:rPr>
      </w:pPr>
      <w:r>
        <w:rPr>
          <w:u w:val="none"/>
          <w:rtl w:val="0"/>
          <w:lang w:val="en-US"/>
        </w:rPr>
        <w:t>Mercifully, it is not all doom and gloom when it comes to multi agency working. Without the many benefits of this practice, there would no longer be a need for the various forms of multi agency teams to continue to operate.</w:t>
      </w:r>
    </w:p>
    <w:p>
      <w:pPr>
        <w:pStyle w:val="Body"/>
        <w:jc w:val="left"/>
        <w:rPr>
          <w:u w:val="none"/>
        </w:rPr>
      </w:pPr>
      <w:r>
        <w:rPr>
          <w:u w:val="none"/>
          <w:rtl w:val="0"/>
          <w:lang w:val="en-US"/>
        </w:rPr>
        <w:t xml:space="preserve">Again we turn to Cheminais (2009) and her comprehensive list, this time detailing for us the indisputable benefits of multi agency working. </w:t>
      </w:r>
    </w:p>
    <w:p>
      <w:pPr>
        <w:pStyle w:val="Body"/>
        <w:jc w:val="left"/>
        <w:rPr>
          <w:u w:val="none"/>
        </w:rPr>
      </w:pPr>
      <w:r>
        <w:rPr>
          <w:u w:val="none"/>
          <w:rtl w:val="0"/>
          <w:lang w:val="en-US"/>
        </w:rPr>
        <w:t>She discusses the benefits given to teachers, as they gain knowledge of multiple agencies and what they do, allowing them to point pupils in need of help and resources in the right direction. This could allow for specific agencies to address problems early, meaning an assembly of a full multi agency team may not be necessary for certain smaller issues, saving on time and money. Cheminais talks of the wider benefits to the team themselves, as teamwork is encouraged, with a naturally occurring sharing of information also being present. This ultimately leads to a sort of informal training, ultimately benefitting all members of the multi agency team. This notion of the teams essentially being forced to become better through necessary communication, almost wipes the slate clean of poor communication skills between the members of different agencies. With each new representative initiated into the multi agency team, the awareness of the agency they have arrived from grows. Suddenly they no longer need to be working across a room from a partner agency in order to find out if they are able to help with a new issue, as someone in their own agency now has that knowledge on hand. Inter agency boundaries are broken down, and lines of communication are established, allowing for a faster and more effective response.</w:t>
      </w:r>
    </w:p>
    <w:p>
      <w:pPr>
        <w:pStyle w:val="Body"/>
        <w:jc w:val="left"/>
        <w:rPr>
          <w:u w:val="none"/>
        </w:rPr>
      </w:pPr>
      <w:r>
        <w:rPr>
          <w:u w:val="none"/>
          <w:rtl w:val="0"/>
          <w:lang w:val="en-US"/>
        </w:rPr>
        <w:t>One major benefit that can be picked up on in Cheminais</w:t>
      </w:r>
      <w:r>
        <w:rPr>
          <w:u w:val="none"/>
          <w:rtl w:val="0"/>
          <w:lang w:val="en-US"/>
        </w:rPr>
        <w:t xml:space="preserve">’ </w:t>
      </w:r>
      <w:r>
        <w:rPr>
          <w:u w:val="none"/>
          <w:rtl w:val="0"/>
          <w:lang w:val="en-US"/>
        </w:rPr>
        <w:t>list, is that of an increase in staff morale, due to them not having to work on a problem solo, as they have a whole team around them all aiming to achieve the same goal, therefore willing to help resolve each other</w:t>
      </w:r>
      <w:r>
        <w:rPr>
          <w:u w:val="none"/>
          <w:rtl w:val="0"/>
          <w:lang w:val="en-US"/>
        </w:rPr>
        <w:t>’</w:t>
      </w:r>
      <w:r>
        <w:rPr>
          <w:u w:val="none"/>
          <w:rtl w:val="0"/>
          <w:lang w:val="en-US"/>
        </w:rPr>
        <w:t>s problems. This is one benefit that draws hard on the team aspect, of multi agency teams. In sport we are shown regularly what a team that wins and loses together, as opposed to blaming individual failings can achieve. A strong team mentality can certainly benefit the child or young person the multi agency team is aiming to help, as they are no longer being helped by a group of individuals, they are now being helped by a united group, all working towards the same objective.</w:t>
      </w:r>
    </w:p>
    <w:p>
      <w:pPr>
        <w:pStyle w:val="Body"/>
        <w:jc w:val="left"/>
        <w:rPr>
          <w:u w:val="none"/>
        </w:rPr>
      </w:pPr>
      <w:r>
        <w:rPr>
          <w:u w:val="none"/>
          <w:rtl w:val="0"/>
          <w:lang w:val="en-US"/>
        </w:rPr>
        <w:t>Halsey et al (2005) gave us an insight in to some of the benefits of members of multi agency teams, returning to partake in them again at a later date, explaining how they will already have an understanding for how different agencies may operate, allowing for a cohesive return to action.</w:t>
      </w:r>
    </w:p>
    <w:p>
      <w:pPr>
        <w:pStyle w:val="Body"/>
        <w:jc w:val="left"/>
        <w:rPr>
          <w:u w:val="none"/>
        </w:rPr>
      </w:pPr>
    </w:p>
    <w:p>
      <w:pPr>
        <w:pStyle w:val="Body"/>
        <w:jc w:val="left"/>
        <w:rPr>
          <w:u w:val="single"/>
        </w:rPr>
      </w:pPr>
      <w:r>
        <w:rPr>
          <w:u w:val="single"/>
          <w:rtl w:val="0"/>
          <w:lang w:val="en-US"/>
        </w:rPr>
        <w:t>MASH, but hold the potatoes if you please:</w:t>
      </w:r>
    </w:p>
    <w:p>
      <w:pPr>
        <w:pStyle w:val="Body"/>
        <w:jc w:val="left"/>
        <w:rPr>
          <w:u w:val="single"/>
        </w:rPr>
      </w:pPr>
    </w:p>
    <w:p>
      <w:pPr>
        <w:pStyle w:val="Body"/>
        <w:jc w:val="left"/>
      </w:pPr>
      <w:r>
        <w:rPr>
          <w:rtl w:val="0"/>
          <w:lang w:val="en-US"/>
        </w:rPr>
        <w:t>The Multi Agency Safeguarding Hub based out of Bridgend, MASH for short, is a central hub for safeguarding services provided by the local council and partner services (Bridgend County Borough Council, 2021). In essence, it is a centralised access point for anyone requiring help from numerous safeguarding services, from housing to police and even domestic violence advocacy. Now whilst this team is not strictly aimed at specifically helping children and young people they do offer many services to help them. Their website tells us that they use a combination of onsite representatives from various agencies, alongside virtual portals enabling anyone requiring help from the MASH to easily navigate their way to the correct service. One of the benefits of their being a number of onsite representatives from multiple agencies, is that even if the person seeking help or advice has contacted the wrong department, passing them to the correct one is none too difficult. There is even a chance that a representative from another agency is able to help, due to the shared knowledge base that flows through the MASH.</w:t>
      </w:r>
    </w:p>
    <w:p>
      <w:pPr>
        <w:pStyle w:val="Body"/>
        <w:jc w:val="left"/>
      </w:pPr>
      <w:r>
        <w:rPr>
          <w:rtl w:val="0"/>
          <w:lang w:val="en-US"/>
        </w:rPr>
        <w:t>The MASH style of multi agency working is not exclusive to Bridgend, Crockett et al (2013) gave a comprehensive report on the impact of MASH being used in multiple areas of London.</w:t>
      </w:r>
    </w:p>
    <w:p>
      <w:pPr>
        <w:pStyle w:val="Body"/>
        <w:jc w:val="left"/>
      </w:pPr>
      <w:r>
        <w:rPr>
          <w:rtl w:val="0"/>
          <w:lang w:val="en-US"/>
        </w:rPr>
        <w:t xml:space="preserve">We learn early on that the 26 MASH initiatives active in London at the time of the report, were implemented as a direct response to </w:t>
      </w:r>
      <w:r>
        <w:rPr>
          <w:i w:val="1"/>
          <w:iCs w:val="1"/>
          <w:rtl w:val="0"/>
          <w:lang w:val="en-US"/>
        </w:rPr>
        <w:t xml:space="preserve">The Munro Review of Child Protection (2011) </w:t>
      </w:r>
      <w:r>
        <w:rPr>
          <w:rtl w:val="0"/>
          <w:lang w:val="en-US"/>
        </w:rPr>
        <w:t xml:space="preserve">that found multiple serious failing in the handling of historic child protection cases. </w:t>
      </w:r>
    </w:p>
    <w:p>
      <w:pPr>
        <w:pStyle w:val="Body"/>
        <w:jc w:val="left"/>
      </w:pPr>
      <w:r>
        <w:rPr>
          <w:rtl w:val="0"/>
          <w:lang w:val="en-US"/>
        </w:rPr>
        <w:t>Given the relatively short two year gap between the Munro Review and the Crockett et al findings, there were certainly positives to be taken away, given early indicators suggested the MASH style of multi agency working was already showing a capability of addressing some of issues raised by the Munro Review.</w:t>
      </w:r>
    </w:p>
    <w:p>
      <w:pPr>
        <w:pStyle w:val="Body"/>
        <w:jc w:val="left"/>
      </w:pPr>
      <w:r>
        <w:rPr>
          <w:rtl w:val="0"/>
          <w:lang w:val="en-US"/>
        </w:rPr>
        <w:t>This positive initial impact can be classified as reason the MASH strategies are still in place today, despite the vast regional gap between London and Bridgend, the need for safeguarding children is no less important.</w:t>
      </w:r>
    </w:p>
    <w:p>
      <w:pPr>
        <w:pStyle w:val="Body"/>
        <w:jc w:val="left"/>
      </w:pPr>
      <w:r>
        <w:rPr>
          <w:rtl w:val="0"/>
          <w:lang w:val="en-US"/>
        </w:rPr>
        <w:t>Controversially though, Shorrock, McManus and Kirby (2019) discovered some agency representatives working with a MASH setting in the North of England, felt that calling a Multi Agency Safeguarding Hub, a multi agency approach to safeguarding was not quite the correct term. Instead they believed that due to the semblance of information flow between the various agencies made it difficult to classify a MASH as multi agency, going us yet another interesting take on the MASH approach. On the face of it, having multiple agencies working together at one location towards a specific goal, for example safeguarding the local community, has to be defined as multi agency working. However, to have an insider describe it as something much more than that, goes further to prove that Cheminais</w:t>
      </w:r>
      <w:r>
        <w:rPr>
          <w:rtl w:val="0"/>
          <w:lang w:val="en-US"/>
        </w:rPr>
        <w:t xml:space="preserve">’ </w:t>
      </w:r>
      <w:r>
        <w:rPr>
          <w:rtl w:val="0"/>
          <w:lang w:val="en-US"/>
        </w:rPr>
        <w:t>thoughts on multi agency working enabling a more cohesive and supportive environment for those working with it, were indeed correct.</w:t>
      </w:r>
    </w:p>
    <w:p>
      <w:pPr>
        <w:pStyle w:val="Body"/>
        <w:jc w:val="left"/>
      </w:pPr>
    </w:p>
    <w:p>
      <w:pPr>
        <w:pStyle w:val="Body"/>
        <w:jc w:val="left"/>
        <w:rPr>
          <w:u w:val="none"/>
        </w:rPr>
      </w:pPr>
      <w:r>
        <w:rPr>
          <w:u w:val="single"/>
          <w:rtl w:val="0"/>
          <w:lang w:val="en-US"/>
        </w:rPr>
        <w:t>Surely this needs to be regulated?</w:t>
      </w:r>
    </w:p>
    <w:p>
      <w:pPr>
        <w:pStyle w:val="Body"/>
        <w:jc w:val="left"/>
        <w:rPr>
          <w:u w:val="none"/>
        </w:rPr>
      </w:pPr>
    </w:p>
    <w:p>
      <w:pPr>
        <w:pStyle w:val="Body"/>
        <w:jc w:val="left"/>
        <w:rPr>
          <w:u w:val="none"/>
        </w:rPr>
      </w:pPr>
      <w:r>
        <w:rPr>
          <w:u w:val="none"/>
          <w:rtl w:val="0"/>
          <w:lang w:val="en-US"/>
        </w:rPr>
        <w:t xml:space="preserve">We cannot simply expect multi agency task forces like MASH, support the needs of the individual without some sort of regulation. We need clear definitions of what safeguarding entails, and how we can ensure organisations like MASH and other multi agency teams are working towards safeguarding the local community. </w:t>
      </w:r>
    </w:p>
    <w:p>
      <w:pPr>
        <w:pStyle w:val="Body"/>
        <w:jc w:val="left"/>
        <w:rPr>
          <w:u w:val="none"/>
        </w:rPr>
      </w:pPr>
      <w:r>
        <w:rPr>
          <w:u w:val="none"/>
          <w:rtl w:val="0"/>
          <w:lang w:val="en-US"/>
        </w:rPr>
        <w:t>Enter the Welsh Government with the Social Services and Well-Being (Wales) Act 2014. A hefty document, detailing exactly what safeguarding means for Wales, and any multi agency teams operating within the country. Specifically this Act was targeted at protecting at risk children and young people in Wales.</w:t>
      </w:r>
    </w:p>
    <w:p>
      <w:pPr>
        <w:pStyle w:val="Body"/>
        <w:jc w:val="left"/>
        <w:rPr>
          <w:u w:val="none"/>
        </w:rPr>
      </w:pPr>
      <w:r>
        <w:rPr>
          <w:u w:val="none"/>
          <w:rtl w:val="0"/>
          <w:lang w:val="en-US"/>
        </w:rPr>
        <w:t xml:space="preserve">The comprehensive nature of the Act means it links in to several pieces of legislation, including the Domestic Abuse (Violence Against Women, Domestic Abuse and Sexual Violence (Wales) Act 2015, and Female Genital Mutilation (FGM). These are two acts, that may at face value appear to vaguely link to the safeguarding of children, however the Welsh Government (2018) is quick to point out that children are likely to suffer both directly and indirectly at the hands of domestic violence. Health and mental well being are capable of being negatively impacted whilst a child lives in a household filled with domestic violence. They also point out, the risk posed to young girls despite the illegality of FGM within the Uk, mentioning how those not born in the UK may be forced to return to their birth nations, where they may undergo such procedure, something the Welsh government is keen to stamp out. </w:t>
      </w:r>
    </w:p>
    <w:p>
      <w:pPr>
        <w:pStyle w:val="Body"/>
        <w:jc w:val="left"/>
        <w:rPr>
          <w:u w:val="none"/>
        </w:rPr>
      </w:pPr>
    </w:p>
    <w:p>
      <w:pPr>
        <w:pStyle w:val="Body"/>
        <w:jc w:val="left"/>
        <w:rPr>
          <w:u w:val="none"/>
        </w:rPr>
      </w:pPr>
      <w:r>
        <w:rPr>
          <w:u w:val="single"/>
          <w:rtl w:val="0"/>
          <w:lang w:val="en-US"/>
        </w:rPr>
        <w:t>Knowledge may be MASHed together, but what roles are there to be played?</w:t>
      </w:r>
    </w:p>
    <w:p>
      <w:pPr>
        <w:pStyle w:val="Body"/>
        <w:jc w:val="left"/>
        <w:rPr>
          <w:u w:val="none"/>
        </w:rPr>
      </w:pPr>
    </w:p>
    <w:p>
      <w:pPr>
        <w:pStyle w:val="Body"/>
        <w:jc w:val="left"/>
        <w:rPr>
          <w:u w:val="none"/>
        </w:rPr>
      </w:pPr>
      <w:r>
        <w:rPr>
          <w:u w:val="none"/>
          <w:rtl w:val="0"/>
          <w:lang w:val="en-US"/>
        </w:rPr>
        <w:t>Within any team, regardless if they are a multi agency team working towards the safeguarding of a child or young person, or a national rugby team playing for pride and passion, have roles to be played. Each role will have its own responsibilities that need to be met, and will typically play to a person</w:t>
      </w:r>
      <w:r>
        <w:rPr>
          <w:u w:val="none"/>
          <w:rtl w:val="0"/>
          <w:lang w:val="en-US"/>
        </w:rPr>
        <w:t>’</w:t>
      </w:r>
      <w:r>
        <w:rPr>
          <w:u w:val="none"/>
          <w:rtl w:val="0"/>
          <w:lang w:val="en-US"/>
        </w:rPr>
        <w:t xml:space="preserve">s strengths, allowing them to enact the role to their fullest capability. </w:t>
      </w:r>
    </w:p>
    <w:p>
      <w:pPr>
        <w:pStyle w:val="Body"/>
        <w:jc w:val="left"/>
        <w:rPr>
          <w:u w:val="none"/>
        </w:rPr>
      </w:pPr>
      <w:r>
        <w:rPr>
          <w:u w:val="none"/>
          <w:rtl w:val="0"/>
          <w:lang w:val="en-US"/>
        </w:rPr>
        <w:t>Here we can break down the roles that may appear within a multiagency team, and examine them with some depth.</w:t>
      </w:r>
    </w:p>
    <w:p>
      <w:pPr>
        <w:pStyle w:val="Body"/>
        <w:jc w:val="left"/>
        <w:rPr>
          <w:u w:val="none"/>
        </w:rPr>
      </w:pPr>
    </w:p>
    <w:p>
      <w:pPr>
        <w:pStyle w:val="Body"/>
        <w:jc w:val="left"/>
        <w:rPr>
          <w:u w:val="none"/>
        </w:rPr>
      </w:pPr>
      <w:r>
        <w:rPr>
          <w:u w:val="none"/>
          <w:rtl w:val="0"/>
          <w:lang w:val="en-US"/>
        </w:rPr>
        <w:t xml:space="preserve">Team Leader: </w:t>
      </w:r>
    </w:p>
    <w:p>
      <w:pPr>
        <w:pStyle w:val="Body"/>
        <w:jc w:val="left"/>
        <w:rPr>
          <w:u w:val="none"/>
        </w:rPr>
      </w:pPr>
      <w:r>
        <w:rPr>
          <w:u w:val="none"/>
          <w:rtl w:val="0"/>
          <w:lang w:val="en-US"/>
        </w:rPr>
        <w:t xml:space="preserve">Multi agency teams must have a dedicated team leader in order to work effectively. In much the same way a pirate ship needs a competent captain to steer them through a storm, the storm of conflicting ideas and varied agency representatives needs a strong and confident leader to ensure the process of safeguarding is one completed properly. </w:t>
      </w:r>
    </w:p>
    <w:p>
      <w:pPr>
        <w:pStyle w:val="Body"/>
        <w:jc w:val="left"/>
        <w:rPr>
          <w:u w:val="none"/>
        </w:rPr>
      </w:pPr>
      <w:r>
        <w:rPr>
          <w:u w:val="none"/>
          <w:rtl w:val="0"/>
          <w:lang w:val="en-US"/>
        </w:rPr>
        <w:t>In many ways, the team leader has the most difficult job of all, as they are ultimately the figurehead of the multiagency team, often meaning they are held accountable any mistakes or failings by the team. Whilst this is true for any environment requiring a team leader, the consequences of failings from a multi agency team like a MASH can often be far more severe than  items stocked incorrectly in a retail store. Therefore a team leader needs both the confidence to make decisive action, to ensure safeguarding issues are addressed in a timely fashion, alongside a broad competency of all the agencies working within the team.</w:t>
      </w:r>
    </w:p>
    <w:p>
      <w:pPr>
        <w:pStyle w:val="Body"/>
        <w:jc w:val="left"/>
        <w:rPr>
          <w:u w:val="none"/>
        </w:rPr>
      </w:pPr>
      <w:r>
        <w:rPr>
          <w:u w:val="none"/>
          <w:rtl w:val="0"/>
          <w:lang w:val="en-US"/>
        </w:rPr>
        <w:t>Whilst the confidence can be a simple aspect, a broad knowledge of both the safeguarding issues needing to be addressed, and the roles the agencies are able to play is something that must be learnt with time. A good team leader would take the time to understand where the strengths and weaknesses lie for each representative in their team, allowing them to direct specific problems to the correct area for a solution.</w:t>
      </w:r>
    </w:p>
    <w:p>
      <w:pPr>
        <w:pStyle w:val="Body"/>
        <w:jc w:val="left"/>
        <w:rPr>
          <w:u w:val="none"/>
        </w:rPr>
      </w:pPr>
    </w:p>
    <w:p>
      <w:pPr>
        <w:pStyle w:val="Body"/>
        <w:jc w:val="left"/>
        <w:rPr>
          <w:u w:val="none"/>
        </w:rPr>
      </w:pPr>
      <w:r>
        <w:rPr>
          <w:u w:val="none"/>
          <w:rtl w:val="0"/>
          <w:lang w:val="en-US"/>
        </w:rPr>
        <w:t>Team members:</w:t>
      </w:r>
    </w:p>
    <w:p>
      <w:pPr>
        <w:pStyle w:val="Body"/>
        <w:jc w:val="left"/>
        <w:rPr>
          <w:u w:val="none"/>
        </w:rPr>
      </w:pPr>
      <w:r>
        <w:rPr>
          <w:u w:val="none"/>
          <w:rtl w:val="0"/>
          <w:lang w:val="en-US"/>
        </w:rPr>
        <w:t>Grouping together the rest of the team may seem quite insulting, however to place any agency</w:t>
      </w:r>
      <w:r>
        <w:rPr>
          <w:u w:val="none"/>
          <w:rtl w:val="0"/>
          <w:lang w:val="en-US"/>
        </w:rPr>
        <w:t>’</w:t>
      </w:r>
      <w:r>
        <w:rPr>
          <w:u w:val="none"/>
          <w:rtl w:val="0"/>
          <w:lang w:val="en-US"/>
        </w:rPr>
        <w:t>s representative ahead of another is almost more insulting. This is because each agency will have their own strategies for dealing with any safeguarding issues raised within the multi agency team, and therefore it will be a matter of collaboration and communication to deal with such issues. Whilst it is true one agency may be able to deal with the most prominent or immediate issue better than the others, the remaining issues are equally important, and must be dealt with in the same respect.</w:t>
      </w:r>
    </w:p>
    <w:p>
      <w:pPr>
        <w:pStyle w:val="Body"/>
        <w:jc w:val="left"/>
        <w:rPr>
          <w:u w:val="none"/>
        </w:rPr>
      </w:pPr>
    </w:p>
    <w:p>
      <w:pPr>
        <w:pStyle w:val="Body"/>
        <w:jc w:val="left"/>
        <w:rPr>
          <w:u w:val="single"/>
        </w:rPr>
      </w:pPr>
      <w:r>
        <w:rPr>
          <w:u w:val="single"/>
          <w:rtl w:val="0"/>
          <w:lang w:val="en-US"/>
        </w:rPr>
        <w:t>PCP? Sounds like something the government lied about.</w:t>
      </w:r>
    </w:p>
    <w:p>
      <w:pPr>
        <w:pStyle w:val="Body"/>
        <w:jc w:val="left"/>
      </w:pPr>
    </w:p>
    <w:p>
      <w:pPr>
        <w:pStyle w:val="Body"/>
        <w:jc w:val="left"/>
      </w:pPr>
      <w:r>
        <w:rPr>
          <w:rtl w:val="0"/>
          <w:lang w:val="en-US"/>
        </w:rPr>
        <w:t>No, it is not a lack of vital equipment, Person Centred Planning (PCP) is at the core of any multi agency team. It is a process of ensuring the child or young person is the centre of attention, in order to establish solutions that they feel will best benefit them, as opposed to what anyone else may think. Dowling et al (2006) tell us how PCP began as a way of helping those with learning disabilities, and has now spread to being used to helping many in the adult social care system. A huge boost for those potentially feeling as if the help they are being offered, is simply what they are told is best for them, as opposed to what they feel would help them most. We could say that the controlling method of telling someone what is best for them, is making a puppet out of them.</w:t>
      </w:r>
    </w:p>
    <w:p>
      <w:pPr>
        <w:pStyle w:val="Body"/>
        <w:jc w:val="left"/>
      </w:pPr>
      <w:r>
        <w:rPr>
          <w:rtl w:val="0"/>
          <w:lang w:val="en-US"/>
        </w:rPr>
        <w:t>Contrastingly, PCP ensures that the individual is empowered enough to ensure the solutions presented to them are what is indeed in their best interest.</w:t>
      </w:r>
    </w:p>
    <w:p>
      <w:pPr>
        <w:pStyle w:val="Body"/>
        <w:jc w:val="left"/>
      </w:pPr>
    </w:p>
    <w:p>
      <w:pPr>
        <w:pStyle w:val="Body"/>
        <w:jc w:val="left"/>
      </w:pPr>
      <w:r>
        <w:rPr>
          <w:rtl w:val="0"/>
          <w:lang w:val="en-US"/>
        </w:rPr>
        <w:t>Controversially though, Martin and Carey (2009) feel that forcing PCP on to those with learning disabilities could be classed as controlling, as it offers too much opportunity for them to be strong armed into believing what they have chosen is best for them, which may not in fact be the case.</w:t>
      </w:r>
    </w:p>
    <w:p>
      <w:pPr>
        <w:pStyle w:val="Body"/>
        <w:jc w:val="left"/>
      </w:pPr>
    </w:p>
    <w:p>
      <w:pPr>
        <w:pStyle w:val="Body"/>
        <w:jc w:val="left"/>
        <w:rPr>
          <w:u w:val="single"/>
        </w:rPr>
      </w:pPr>
      <w:r>
        <w:rPr>
          <w:u w:val="single"/>
          <w:rtl w:val="0"/>
          <w:lang w:val="en-US"/>
        </w:rPr>
        <w:t>Shall we conclude?</w:t>
      </w:r>
    </w:p>
    <w:p>
      <w:pPr>
        <w:pStyle w:val="Body"/>
        <w:jc w:val="left"/>
        <w:rPr>
          <w:u w:val="single"/>
        </w:rPr>
      </w:pPr>
    </w:p>
    <w:p>
      <w:pPr>
        <w:pStyle w:val="Body"/>
        <w:jc w:val="left"/>
      </w:pPr>
      <w:r>
        <w:rPr>
          <w:rtl w:val="0"/>
          <w:lang w:val="en-US"/>
        </w:rPr>
        <w:t>Overall this portfolio should have given you a decent insight in to the workings of multi agency working, and how it can benefit the safeguarding of children and young people. Whilst it definitely has its drawbacks, overall it is fair to say the benefits of multi agency working, far outweigh any barriers. With clear indications that MASH had an almost immediate impact in London, it is hard to see why this type of work would not yield a global success.</w:t>
      </w:r>
    </w:p>
    <w:p>
      <w:pPr>
        <w:pStyle w:val="Body"/>
        <w:jc w:val="left"/>
        <w:rPr>
          <w:u w:val="none"/>
        </w:rPr>
      </w:pPr>
      <w:r>
        <w:rPr>
          <w:rtl w:val="0"/>
          <w:lang w:val="en-US"/>
        </w:rPr>
        <w:t>Person Centred Planning is key to multi agency working, so whilst we can clearly see their are opportunities to exploit certain vulnerable children and young people, we would hope the combination of agencies working to safeguard them mould ensure the PCP was done correctly, with the child</w:t>
      </w:r>
      <w:r>
        <w:rPr>
          <w:rtl w:val="0"/>
          <w:lang w:val="en-US"/>
        </w:rPr>
        <w:t>’</w:t>
      </w:r>
      <w:r>
        <w:rPr>
          <w:rtl w:val="0"/>
          <w:lang w:val="en-US"/>
        </w:rPr>
        <w:t>s best interest at its core.</w:t>
      </w: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u w:val="none"/>
        </w:rPr>
      </w:pPr>
    </w:p>
    <w:p>
      <w:pPr>
        <w:pStyle w:val="Body"/>
        <w:jc w:val="left"/>
        <w:rPr>
          <w:sz w:val="24"/>
          <w:szCs w:val="24"/>
          <w:u w:val="none"/>
        </w:rPr>
      </w:pPr>
      <w:r>
        <w:rPr>
          <w:sz w:val="24"/>
          <w:szCs w:val="24"/>
          <w:u w:val="none"/>
          <w:rtl w:val="0"/>
          <w:lang w:val="en-US"/>
        </w:rPr>
        <w:t>Reference List: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outline w:val="0"/>
          <w:color w:val="e4ae0a"/>
          <w:u w:val="none"/>
          <w:rtl w:val="0"/>
          <w14:textFill>
            <w14:solidFill>
              <w14:srgbClr w14:val="E4AF0A"/>
            </w14:solidFill>
          </w14:textFill>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outline w:val="0"/>
          <w:color w:val="e4ae0a"/>
          <w:u w:val="none"/>
          <w:rtl w:val="0"/>
          <w14:textFill>
            <w14:solidFill>
              <w14:srgbClr w14:val="E4AF0A"/>
            </w14:solidFill>
          </w14:textFill>
        </w:rPr>
      </w:pPr>
      <w:r>
        <w:rPr>
          <w:outline w:val="0"/>
          <w:color w:val="000000"/>
          <w:rtl w:val="0"/>
          <w:lang w:val="en-US"/>
          <w14:textFill>
            <w14:solidFill>
              <w14:srgbClr w14:val="000000"/>
            </w14:solidFill>
          </w14:textFill>
        </w:rPr>
        <w:t xml:space="preserve">Bridgend County Borough Council (2021). </w:t>
      </w:r>
      <w:r>
        <w:rPr>
          <w:i w:val="1"/>
          <w:iCs w:val="1"/>
          <w:outline w:val="0"/>
          <w:color w:val="000000"/>
          <w:rtl w:val="0"/>
          <w:lang w:val="en-US"/>
          <w14:textFill>
            <w14:solidFill>
              <w14:srgbClr w14:val="000000"/>
            </w14:solidFill>
          </w14:textFill>
        </w:rPr>
        <w:t>Multi Agency Safeguarding Hub (MASH).</w:t>
      </w:r>
      <w:r>
        <w:rPr>
          <w:outline w:val="0"/>
          <w:color w:val="000000"/>
          <w:rtl w:val="0"/>
          <w:lang w:val="en-US"/>
          <w14:textFill>
            <w14:solidFill>
              <w14:srgbClr w14:val="000000"/>
            </w14:solidFill>
          </w14:textFill>
        </w:rPr>
        <w:t xml:space="preserve"> Available at: </w:t>
      </w:r>
      <w:r>
        <w:rPr>
          <w:rStyle w:val="Hyperlink.0"/>
          <w:outline w:val="0"/>
          <w:color w:val="e4ae0a"/>
          <w:rtl w:val="0"/>
          <w14:textFill>
            <w14:solidFill>
              <w14:srgbClr w14:val="E4AF0A"/>
            </w14:solidFill>
          </w14:textFill>
        </w:rPr>
        <w:fldChar w:fldCharType="begin" w:fldLock="0"/>
      </w:r>
      <w:r>
        <w:rPr>
          <w:rStyle w:val="Hyperlink.0"/>
          <w:outline w:val="0"/>
          <w:color w:val="e4ae0a"/>
          <w:rtl w:val="0"/>
          <w14:textFill>
            <w14:solidFill>
              <w14:srgbClr w14:val="E4AF0A"/>
            </w14:solidFill>
          </w14:textFill>
        </w:rPr>
        <w:instrText xml:space="preserve"> HYPERLINK "https://www.bridgend.gov.uk/residents/social-care-and-wellbeing/multi-agency-safeguarding-hub-mash/"</w:instrText>
      </w:r>
      <w:r>
        <w:rPr>
          <w:rStyle w:val="Hyperlink.0"/>
          <w:outline w:val="0"/>
          <w:color w:val="e4ae0a"/>
          <w:rtl w:val="0"/>
          <w14:textFill>
            <w14:solidFill>
              <w14:srgbClr w14:val="E4AF0A"/>
            </w14:solidFill>
          </w14:textFill>
        </w:rPr>
        <w:fldChar w:fldCharType="separate" w:fldLock="0"/>
      </w:r>
      <w:r>
        <w:rPr>
          <w:rStyle w:val="Hyperlink.0"/>
          <w:outline w:val="0"/>
          <w:color w:val="e4ae0a"/>
          <w:rtl w:val="0"/>
          <w:lang w:val="en-US"/>
          <w14:textFill>
            <w14:solidFill>
              <w14:srgbClr w14:val="E4AF0A"/>
            </w14:solidFill>
          </w14:textFill>
        </w:rPr>
        <w:t>https://www.bridgend.gov.uk/residents/social-care-and-wellbeing/multi-agency-safeguarding-hub-mash/</w:t>
      </w:r>
      <w:r>
        <w:rPr>
          <w:outline w:val="0"/>
          <w:color w:val="e4ae0a"/>
          <w:rtl w:val="0"/>
          <w14:textFill>
            <w14:solidFill>
              <w14:srgbClr w14:val="E4AF0A"/>
            </w14:solidFill>
          </w14:textFill>
        </w:rPr>
        <w:fldChar w:fldCharType="end" w:fldLock="0"/>
      </w:r>
      <w:r>
        <w:rPr>
          <w:outline w:val="0"/>
          <w:color w:val="000000"/>
          <w:rtl w:val="0"/>
          <w:lang w:val="en-US"/>
          <w14:textFill>
            <w14:solidFill>
              <w14:srgbClr w14:val="000000"/>
            </w14:solidFill>
          </w14:textFill>
        </w:rPr>
        <w:t xml:space="preserve"> (Accessed on: 1st April 2021)</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i w:val="1"/>
          <w:iCs w:val="1"/>
          <w:u w:val="non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i w:val="0"/>
          <w:iCs w:val="0"/>
          <w:rtl w:val="0"/>
        </w:rPr>
      </w:pPr>
      <w:r>
        <w:rPr>
          <w:i w:val="0"/>
          <w:iCs w:val="0"/>
          <w:rtl w:val="0"/>
          <w:lang w:val="fr-FR"/>
        </w:rPr>
        <w:t xml:space="preserve">Cheminais, R. (2009). </w:t>
      </w:r>
      <w:r>
        <w:rPr>
          <w:i w:val="1"/>
          <w:iCs w:val="1"/>
          <w:rtl w:val="0"/>
          <w:lang w:val="en-US"/>
        </w:rPr>
        <w:t xml:space="preserve">Effective Multi-Agency Partnerships. Putting Every Child Matters into Practice. </w:t>
      </w:r>
      <w:r>
        <w:rPr>
          <w:i w:val="0"/>
          <w:iCs w:val="0"/>
          <w:rtl w:val="0"/>
          <w:lang w:val="de-DE"/>
        </w:rPr>
        <w:t>Sage:London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i w:val="0"/>
          <w:iCs w:val="0"/>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i w:val="1"/>
          <w:iCs w:val="1"/>
          <w:rtl w:val="0"/>
        </w:rPr>
      </w:pPr>
      <w:r>
        <w:rPr>
          <w:i w:val="1"/>
          <w:iCs w:val="1"/>
          <w:rtl w:val="0"/>
          <w:lang w:val="en-US"/>
        </w:rPr>
        <w:t xml:space="preserve">Crockett, R. et al. (2013). Assessing the Early Impact of Multi Agency Safeguarding Hubs (MASH) in London. Available at: </w:t>
      </w:r>
      <w:r>
        <w:rPr>
          <w:rStyle w:val="Hyperlink.0"/>
          <w:i w:val="1"/>
          <w:iCs w:val="1"/>
          <w:rtl w:val="0"/>
        </w:rPr>
        <w:fldChar w:fldCharType="begin" w:fldLock="0"/>
      </w:r>
      <w:r>
        <w:rPr>
          <w:rStyle w:val="Hyperlink.0"/>
          <w:i w:val="1"/>
          <w:iCs w:val="1"/>
          <w:rtl w:val="0"/>
        </w:rPr>
        <w:instrText xml:space="preserve"> HYPERLINK "https://www.researchgate.net/publication/263341817_Assessing_the_Early_Impact_of_Multi_Agency_Safeguarding_Hubs_MASH_in_London"</w:instrText>
      </w:r>
      <w:r>
        <w:rPr>
          <w:rStyle w:val="Hyperlink.0"/>
          <w:i w:val="1"/>
          <w:iCs w:val="1"/>
          <w:rtl w:val="0"/>
        </w:rPr>
        <w:fldChar w:fldCharType="separate" w:fldLock="0"/>
      </w:r>
      <w:r>
        <w:rPr>
          <w:rStyle w:val="Hyperlink.0"/>
          <w:i w:val="1"/>
          <w:iCs w:val="1"/>
          <w:rtl w:val="0"/>
          <w:lang w:val="en-US"/>
        </w:rPr>
        <w:t>https://www.researchgate.net/publication/263341817_Assessing_the_Early_Impact_of_Multi_Agency_Safeguarding_Hubs_MASH_in_London</w:t>
      </w:r>
      <w:r>
        <w:rPr>
          <w:i w:val="1"/>
          <w:iCs w:val="1"/>
          <w:rtl w:val="0"/>
        </w:rPr>
        <w:fldChar w:fldCharType="end" w:fldLock="0"/>
      </w:r>
      <w:r>
        <w:rPr>
          <w:i w:val="1"/>
          <w:iCs w:val="1"/>
          <w:rtl w:val="0"/>
          <w:lang w:val="en-US"/>
        </w:rPr>
        <w:t xml:space="preserve"> (Accessed on: 1st April 2021)</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i w:val="0"/>
          <w:iCs w:val="0"/>
          <w:rtl w:val="0"/>
        </w:rPr>
      </w:pPr>
      <w:r>
        <w:rPr>
          <w:i w:val="0"/>
          <w:iCs w:val="0"/>
          <w:rtl w:val="0"/>
        </w:rPr>
        <w:t>Dowling, S. et al. (2006)</w:t>
      </w:r>
      <w:r>
        <w:rPr>
          <w:i w:val="1"/>
          <w:iCs w:val="1"/>
          <w:rtl w:val="0"/>
          <w:lang w:val="en-US"/>
        </w:rPr>
        <w:t xml:space="preserve"> Person-centred planning in social care. A scoping review.</w:t>
      </w:r>
      <w:r>
        <w:rPr>
          <w:i w:val="0"/>
          <w:iCs w:val="0"/>
          <w:rtl w:val="0"/>
          <w:lang w:val="en-US"/>
        </w:rPr>
        <w:t xml:space="preserve"> York:JRF</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i w:val="0"/>
          <w:iCs w:val="0"/>
          <w:rtl w:val="0"/>
        </w:rPr>
      </w:pPr>
      <w:r>
        <w:rPr>
          <w:i w:val="0"/>
          <w:iCs w:val="0"/>
          <w:rtl w:val="0"/>
        </w:rPr>
        <w:t xml:space="preserve">Forbes, J. (2018) </w:t>
      </w:r>
      <w:r>
        <w:rPr>
          <w:i w:val="1"/>
          <w:iCs w:val="1"/>
          <w:rtl w:val="0"/>
          <w:lang w:val="en-US"/>
        </w:rPr>
        <w:t xml:space="preserve">Scottish Education. The Fifth Edition. </w:t>
      </w:r>
      <w:r>
        <w:rPr>
          <w:i w:val="0"/>
          <w:iCs w:val="0"/>
          <w:rtl w:val="0"/>
          <w:lang w:val="en-US"/>
        </w:rPr>
        <w:t>5th edn. Edinburgh:University Press.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tl w:val="0"/>
        </w:rPr>
      </w:pPr>
      <w:r>
        <w:rPr>
          <w:rtl w:val="0"/>
        </w:rPr>
        <w:t xml:space="preserve">Halsey, K et. al. (2005) </w:t>
      </w:r>
      <w:r>
        <w:rPr>
          <w:rtl w:val="0"/>
        </w:rPr>
        <w:t>‘</w:t>
      </w:r>
      <w:r>
        <w:rPr>
          <w:rtl w:val="0"/>
          <w:lang w:val="en-US"/>
        </w:rPr>
        <w:t>Evaluation of Behaviour and Education Support Teams</w:t>
      </w:r>
      <w:r>
        <w:rPr>
          <w:rtl w:val="0"/>
        </w:rPr>
        <w:t>’</w:t>
      </w:r>
      <w:r>
        <w:rPr>
          <w:rtl w:val="0"/>
        </w:rPr>
        <w:t xml:space="preserve">, </w:t>
      </w:r>
      <w:r>
        <w:rPr>
          <w:i w:val="1"/>
          <w:iCs w:val="1"/>
          <w:rtl w:val="0"/>
          <w:lang w:val="en-US"/>
        </w:rPr>
        <w:t>National Foundation for Educational Research.</w:t>
      </w:r>
      <w:r>
        <w:rPr>
          <w:rtl w:val="0"/>
          <w:lang w:val="en-US"/>
        </w:rPr>
        <w:t xml:space="preserve"> Available at: </w:t>
      </w:r>
      <w:r>
        <w:rPr>
          <w:rStyle w:val="Hyperlink.1"/>
          <w:rtl w:val="0"/>
        </w:rPr>
        <w:fldChar w:fldCharType="begin" w:fldLock="0"/>
      </w:r>
      <w:r>
        <w:rPr>
          <w:rStyle w:val="Hyperlink.1"/>
          <w:rtl w:val="0"/>
        </w:rPr>
        <w:instrText xml:space="preserve"> HYPERLINK "https://www.nfer.ac.uk/publications/BEZ01/BEZ01.pdf"</w:instrText>
      </w:r>
      <w:r>
        <w:rPr>
          <w:rStyle w:val="Hyperlink.1"/>
          <w:rtl w:val="0"/>
        </w:rPr>
        <w:fldChar w:fldCharType="separate" w:fldLock="0"/>
      </w:r>
      <w:r>
        <w:rPr>
          <w:rStyle w:val="Hyperlink.1"/>
          <w:rtl w:val="0"/>
          <w:lang w:val="en-US"/>
        </w:rPr>
        <w:t>https://www.nfer.ac.uk/publications/BEZ01/BEZ01.pdf</w:t>
      </w:r>
      <w:r>
        <w:rPr>
          <w:rtl w:val="0"/>
        </w:rPr>
        <w:fldChar w:fldCharType="end" w:fldLock="0"/>
      </w:r>
      <w:r>
        <w:rPr>
          <w:rtl w:val="0"/>
          <w:lang w:val="en-US"/>
        </w:rPr>
        <w:t xml:space="preserve"> (Accessed on: 1st April 2021)</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Style w:val="None"/>
          <w:outline w:val="0"/>
          <w:color w:val="000000"/>
          <w:rtl w:val="0"/>
          <w14:textFill>
            <w14:solidFill>
              <w14:srgbClr w14:val="000000"/>
            </w14:solidFill>
          </w14:textFill>
        </w:rPr>
      </w:pPr>
      <w:r>
        <w:rPr>
          <w:rStyle w:val="None"/>
          <w:outline w:val="0"/>
          <w:color w:val="000000"/>
          <w:rtl w:val="0"/>
          <w14:textFill>
            <w14:solidFill>
              <w14:srgbClr w14:val="000000"/>
            </w14:solidFill>
          </w14:textFill>
        </w:rPr>
        <w:t xml:space="preserve">Lumen Lerning (2021) </w:t>
      </w:r>
      <w:r>
        <w:rPr>
          <w:rStyle w:val="None"/>
          <w:i w:val="1"/>
          <w:iCs w:val="1"/>
          <w:outline w:val="0"/>
          <w:color w:val="000000"/>
          <w:rtl w:val="0"/>
          <w:lang w:val="en-US"/>
          <w14:textFill>
            <w14:solidFill>
              <w14:srgbClr w14:val="000000"/>
            </w14:solidFill>
          </w14:textFill>
        </w:rPr>
        <w:t>Dealing with Barriers to Effective Teamwork</w:t>
      </w:r>
      <w:r>
        <w:rPr>
          <w:rStyle w:val="None"/>
          <w:outline w:val="0"/>
          <w:color w:val="000000"/>
          <w:rtl w:val="0"/>
          <w14:textFill>
            <w14:solidFill>
              <w14:srgbClr w14:val="000000"/>
            </w14:solidFill>
          </w14:textFill>
        </w:rPr>
        <w:t>.</w:t>
      </w:r>
      <w:r>
        <w:rPr>
          <w:rStyle w:val="None"/>
          <w:i w:val="1"/>
          <w:iCs w:val="1"/>
          <w:outline w:val="0"/>
          <w:color w:val="000000"/>
          <w:rtl w:val="0"/>
          <w14:textFill>
            <w14:solidFill>
              <w14:srgbClr w14:val="000000"/>
            </w14:solidFill>
          </w14:textFill>
        </w:rPr>
        <w:t xml:space="preserve"> </w:t>
      </w:r>
      <w:r>
        <w:rPr>
          <w:rStyle w:val="None"/>
          <w:outline w:val="0"/>
          <w:color w:val="000000"/>
          <w:rtl w:val="0"/>
          <w:lang w:val="en-US"/>
          <w14:textFill>
            <w14:solidFill>
              <w14:srgbClr w14:val="000000"/>
            </w14:solidFill>
          </w14:textFill>
        </w:rPr>
        <w:t xml:space="preserve">Available at: </w:t>
      </w:r>
      <w:r>
        <w:rPr>
          <w:rStyle w:val="Hyperlink.0"/>
          <w:outline w:val="0"/>
          <w:color w:val="e4ae0a"/>
          <w:rtl w:val="0"/>
          <w14:textFill>
            <w14:solidFill>
              <w14:srgbClr w14:val="E4AF0A"/>
            </w14:solidFill>
          </w14:textFill>
        </w:rPr>
        <w:fldChar w:fldCharType="begin" w:fldLock="0"/>
      </w:r>
      <w:r>
        <w:rPr>
          <w:rStyle w:val="Hyperlink.0"/>
          <w:outline w:val="0"/>
          <w:color w:val="e4ae0a"/>
          <w:rtl w:val="0"/>
          <w14:textFill>
            <w14:solidFill>
              <w14:srgbClr w14:val="E4AF0A"/>
            </w14:solidFill>
          </w14:textFill>
        </w:rPr>
        <w:instrText xml:space="preserve"> HYPERLINK "https://courses.lumenlearning.com/suny-esc-educationalplanning/chapter/dealing-with-difficult-team-members/"</w:instrText>
      </w:r>
      <w:r>
        <w:rPr>
          <w:rStyle w:val="Hyperlink.0"/>
          <w:outline w:val="0"/>
          <w:color w:val="e4ae0a"/>
          <w:rtl w:val="0"/>
          <w14:textFill>
            <w14:solidFill>
              <w14:srgbClr w14:val="E4AF0A"/>
            </w14:solidFill>
          </w14:textFill>
        </w:rPr>
        <w:fldChar w:fldCharType="separate" w:fldLock="0"/>
      </w:r>
      <w:r>
        <w:rPr>
          <w:rStyle w:val="Hyperlink.0"/>
          <w:outline w:val="0"/>
          <w:color w:val="e4ae0a"/>
          <w:rtl w:val="0"/>
          <w:lang w:val="en-US"/>
          <w14:textFill>
            <w14:solidFill>
              <w14:srgbClr w14:val="E4AF0A"/>
            </w14:solidFill>
          </w14:textFill>
        </w:rPr>
        <w:t>https://courses.lumenlearning.com/suny-esc-educationalplanning/chapter/dealing-with-difficult-team-members/</w:t>
      </w:r>
      <w:r>
        <w:rPr>
          <w:outline w:val="0"/>
          <w:color w:val="e4ae0a"/>
          <w:rtl w:val="0"/>
          <w14:textFill>
            <w14:solidFill>
              <w14:srgbClr w14:val="E4AF0A"/>
            </w14:solidFill>
          </w14:textFill>
        </w:rPr>
        <w:fldChar w:fldCharType="end" w:fldLock="0"/>
      </w:r>
      <w:r>
        <w:rPr>
          <w:rStyle w:val="None"/>
          <w:outline w:val="0"/>
          <w:color w:val="000000"/>
          <w:rtl w:val="0"/>
          <w:lang w:val="en-US"/>
          <w14:textFill>
            <w14:solidFill>
              <w14:srgbClr w14:val="000000"/>
            </w14:solidFill>
          </w14:textFill>
        </w:rPr>
        <w:t xml:space="preserve"> (Accessed on: 28th March 2021)</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tl w:val="0"/>
        </w:rPr>
      </w:pPr>
      <w:r>
        <w:rPr>
          <w:rtl w:val="0"/>
          <w:lang w:val="en-US"/>
        </w:rPr>
        <w:t xml:space="preserve">Martin, A. and Carey, E. (2009) </w:t>
      </w:r>
      <w:r>
        <w:rPr>
          <w:rStyle w:val="None"/>
          <w:i w:val="1"/>
          <w:iCs w:val="1"/>
          <w:rtl w:val="0"/>
          <w:lang w:val="en-US"/>
        </w:rPr>
        <w:t>Person Centred Plans: Empowering or Controlling?</w:t>
      </w:r>
      <w:r>
        <w:rPr>
          <w:rtl w:val="0"/>
        </w:rPr>
        <w:t xml:space="preserve"> ‘</w:t>
      </w:r>
      <w:r>
        <w:rPr>
          <w:rtl w:val="0"/>
          <w:lang w:val="en-US"/>
        </w:rPr>
        <w:t>Learning Disability Practice</w:t>
      </w:r>
      <w:r>
        <w:rPr>
          <w:rtl w:val="0"/>
        </w:rPr>
        <w:t>’</w:t>
      </w:r>
      <w:r>
        <w:rPr>
          <w:rtl w:val="0"/>
        </w:rPr>
        <w:t xml:space="preserve">, 12(1), pp. 32-37. DOI: </w:t>
      </w:r>
      <w:r>
        <w:rPr>
          <w:rStyle w:val="Hyperlink.2"/>
          <w:rtl w:val="0"/>
        </w:rPr>
        <w:fldChar w:fldCharType="begin" w:fldLock="0"/>
      </w:r>
      <w:r>
        <w:rPr>
          <w:rStyle w:val="Hyperlink.2"/>
          <w:rtl w:val="0"/>
        </w:rPr>
        <w:instrText xml:space="preserve"> HYPERLINK "https://www.researchgate.net/deref/http%3A%2F%2Fdx.doi.org%2F10.7748%2Fldp2009.02.12.1.32.c6856?_sg%5B0%5D=HVldVjbFOHkKdmub2Ii4PYFMq_AxP1zJ2uaWTonYKAmY4wDjgG_GjZj-XeL7BJBQKacszxDOgf5onSrLJANBHtv9EQ.4Q83siNCiXPehCnwZa5-V9bfg_2XYgqjBTdv9UauJUmvC9-qCP0rboLXJMtYWGuWgt14Dw3vA7GIBLRHgsEtAA"</w:instrText>
      </w:r>
      <w:r>
        <w:rPr>
          <w:rStyle w:val="Hyperlink.2"/>
          <w:rtl w:val="0"/>
        </w:rPr>
        <w:fldChar w:fldCharType="separate" w:fldLock="0"/>
      </w:r>
      <w:r>
        <w:rPr>
          <w:rStyle w:val="Hyperlink.2"/>
          <w:rtl w:val="0"/>
        </w:rPr>
        <w:t>10.7748/ldp2009.02.12.1.32.c6856</w:t>
      </w:r>
      <w:r>
        <w:rPr>
          <w:rtl w:val="0"/>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tl w:val="0"/>
        </w:rPr>
      </w:pPr>
      <w:r>
        <w:rPr>
          <w:rtl w:val="0"/>
        </w:rPr>
        <w:t xml:space="preserve">Ryrie, N. (2006) </w:t>
      </w:r>
      <w:r>
        <w:rPr>
          <w:rtl w:val="0"/>
        </w:rPr>
        <w:t>‘</w:t>
      </w:r>
      <w:r>
        <w:rPr>
          <w:rtl w:val="0"/>
          <w:lang w:val="en-US"/>
        </w:rPr>
        <w:t>Working with a Youth Offending Team: Personal perspectives on challenges and opportunities for the practice of educational psychology</w:t>
      </w:r>
      <w:r>
        <w:rPr>
          <w:rtl w:val="0"/>
        </w:rPr>
        <w:t>’</w:t>
      </w:r>
      <w:r>
        <w:rPr>
          <w:rtl w:val="0"/>
        </w:rPr>
        <w:t xml:space="preserve">, </w:t>
      </w:r>
      <w:r>
        <w:rPr>
          <w:rStyle w:val="None"/>
          <w:i w:val="1"/>
          <w:iCs w:val="1"/>
          <w:rtl w:val="0"/>
          <w:lang w:val="en-US"/>
        </w:rPr>
        <w:t>Educational and Child Psychology,</w:t>
      </w:r>
      <w:r>
        <w:rPr>
          <w:rtl w:val="0"/>
          <w:lang w:val="en-US"/>
        </w:rPr>
        <w:t xml:space="preserve"> 23(2), pp. 6-14. Available at: </w:t>
      </w:r>
      <w:r>
        <w:rPr>
          <w:rStyle w:val="Hyperlink.1"/>
          <w:rtl w:val="0"/>
        </w:rPr>
        <w:fldChar w:fldCharType="begin" w:fldLock="0"/>
      </w:r>
      <w:r>
        <w:rPr>
          <w:rStyle w:val="Hyperlink.1"/>
          <w:rtl w:val="0"/>
        </w:rPr>
        <w:instrText xml:space="preserve"> HYPERLINK "https://www.researchgate.net/publication/284617255_Working_with_a_Youth_Offending_Team"</w:instrText>
      </w:r>
      <w:r>
        <w:rPr>
          <w:rStyle w:val="Hyperlink.1"/>
          <w:rtl w:val="0"/>
        </w:rPr>
        <w:fldChar w:fldCharType="separate" w:fldLock="0"/>
      </w:r>
      <w:r>
        <w:rPr>
          <w:rStyle w:val="Hyperlink.1"/>
          <w:rtl w:val="0"/>
          <w:lang w:val="en-US"/>
        </w:rPr>
        <w:t>https://www.researchgate.net/publication/284617255_Working_with_a_Youth_Offending_Team</w:t>
      </w:r>
      <w:r>
        <w:rPr>
          <w:rtl w:val="0"/>
        </w:rPr>
        <w:fldChar w:fldCharType="end" w:fldLock="0"/>
      </w:r>
      <w:r>
        <w:rPr>
          <w:rtl w:val="0"/>
          <w:lang w:val="en-US"/>
        </w:rPr>
        <w:t xml:space="preserve"> (Accessed on: 29th March 2021)</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tl w:val="0"/>
        </w:rPr>
      </w:pPr>
      <w:r>
        <w:rPr>
          <w:rtl w:val="0"/>
          <w:lang w:val="en-US"/>
        </w:rPr>
        <w:t xml:space="preserve">Welsh Government (2018). </w:t>
      </w:r>
      <w:r>
        <w:rPr>
          <w:rStyle w:val="None"/>
          <w:i w:val="1"/>
          <w:iCs w:val="1"/>
          <w:rtl w:val="0"/>
          <w:lang w:val="en-US"/>
        </w:rPr>
        <w:t>Social Services and Well-Being (Wales) Act 2014.</w:t>
      </w:r>
      <w:r>
        <w:rPr>
          <w:rtl w:val="0"/>
        </w:rPr>
        <w:t xml:space="preserve"> ‘</w:t>
      </w:r>
      <w:r>
        <w:rPr>
          <w:rtl w:val="0"/>
          <w:lang w:val="en-US"/>
        </w:rPr>
        <w:t>Working Together to Safeguard People. Volume 5 - Handling Individual Cases to Protect Children at Risk</w:t>
      </w:r>
      <w:r>
        <w:rPr>
          <w:rtl w:val="0"/>
        </w:rPr>
        <w:t>’</w:t>
      </w:r>
      <w:r>
        <w:rPr>
          <w:rtl w:val="0"/>
        </w:rPr>
        <w:t>. Wales:Crown.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tl w:val="0"/>
        </w:rPr>
      </w:pPr>
      <w:r>
        <w:rPr>
          <w:rtl w:val="0"/>
          <w:lang w:val="en-US"/>
        </w:rPr>
        <w:t xml:space="preserve">Windle, J. Moyle, L. and Coomber, R. (2020) </w:t>
      </w:r>
      <w:r>
        <w:rPr>
          <w:rtl w:val="0"/>
        </w:rPr>
        <w:t>‘</w:t>
      </w:r>
      <w:r>
        <w:rPr>
          <w:rtl w:val="0"/>
          <w:lang w:val="en-US"/>
        </w:rPr>
        <w:t>Vulnerable Kids Going Country: Children and Young People</w:t>
      </w:r>
      <w:r>
        <w:rPr>
          <w:rtl w:val="0"/>
        </w:rPr>
        <w:t>’</w:t>
      </w:r>
      <w:r>
        <w:rPr>
          <w:rtl w:val="0"/>
          <w:lang w:val="en-US"/>
        </w:rPr>
        <w:t>s Involvement in County Lines Drug Dealing</w:t>
      </w:r>
      <w:r>
        <w:rPr>
          <w:rtl w:val="0"/>
        </w:rPr>
        <w:t>’</w:t>
      </w:r>
      <w:r>
        <w:rPr>
          <w:rtl w:val="0"/>
        </w:rPr>
        <w:t xml:space="preserve">, </w:t>
      </w:r>
      <w:r>
        <w:rPr>
          <w:rStyle w:val="None"/>
          <w:i w:val="1"/>
          <w:iCs w:val="1"/>
          <w:rtl w:val="0"/>
          <w:lang w:val="en-US"/>
        </w:rPr>
        <w:t xml:space="preserve">Youth Justice, </w:t>
      </w:r>
      <w:r>
        <w:rPr>
          <w:rtl w:val="0"/>
        </w:rPr>
        <w:t>20(2), DOI:</w:t>
      </w:r>
      <w:r>
        <w:rPr>
          <w:rtl w:val="0"/>
        </w:rPr>
        <w:t> </w:t>
      </w:r>
      <w:r>
        <w:rPr>
          <w:rStyle w:val="Hyperlink.2"/>
          <w:rtl w:val="0"/>
        </w:rPr>
        <w:fldChar w:fldCharType="begin" w:fldLock="0"/>
      </w:r>
      <w:r>
        <w:rPr>
          <w:rStyle w:val="Hyperlink.2"/>
          <w:rtl w:val="0"/>
        </w:rPr>
        <w:instrText xml:space="preserve"> HYPERLINK "https://www.researchgate.net/deref/http%3A%2F%2Fdx.doi.org%2F10.1177%2F1473225420902840?_sg%5B0%5D=j4Osq6RqsXnBRv6yFHJO1MLcMX4ZPllp55uiuEoqDnGT-U1fpEVw9aCyUq05lX7pTt6NR-6rDJFm5bGD3H08r6z3-Q.ZuF-sAHeRgDwF0RTPFbjE84ThCYcTdK6Oc821GOIjH3rDozAuTF1K4REm2Wi93ZPlumtq6Nqv5GFnaDRRHofDw"</w:instrText>
      </w:r>
      <w:r>
        <w:rPr>
          <w:rStyle w:val="Hyperlink.2"/>
          <w:rtl w:val="0"/>
        </w:rPr>
        <w:fldChar w:fldCharType="separate" w:fldLock="0"/>
      </w:r>
      <w:r>
        <w:rPr>
          <w:rStyle w:val="Hyperlink.2"/>
          <w:rtl w:val="0"/>
        </w:rPr>
        <w:t>10.1177/1473225420902840</w:t>
      </w:r>
      <w:r>
        <w:rPr>
          <w:rtl w:val="0"/>
        </w:rPr>
        <w:fldChar w:fldCharType="end" w:fldLock="0"/>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Dash"/>
  </w:abstractNum>
  <w:abstractNum w:abstractNumId="1">
    <w:multiLevelType w:val="hybridMultilevel"/>
    <w:styleLink w:val="Dash"/>
    <w:lvl w:ilvl="0">
      <w:start w:val="1"/>
      <w:numFmt w:val="bullet"/>
      <w:suff w:val="tab"/>
      <w:lvlText w:val="-"/>
      <w:lvlJc w:val="left"/>
      <w:pPr>
        <w:ind w:left="2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1">
      <w:start w:val="1"/>
      <w:numFmt w:val="bullet"/>
      <w:suff w:val="tab"/>
      <w:lvlText w:val="-"/>
      <w:lvlJc w:val="left"/>
      <w:pPr>
        <w:ind w:left="4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2">
      <w:start w:val="1"/>
      <w:numFmt w:val="bullet"/>
      <w:suff w:val="tab"/>
      <w:lvlText w:val="-"/>
      <w:lvlJc w:val="left"/>
      <w:pPr>
        <w:ind w:left="7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3">
      <w:start w:val="1"/>
      <w:numFmt w:val="bullet"/>
      <w:suff w:val="tab"/>
      <w:lvlText w:val="-"/>
      <w:lvlJc w:val="left"/>
      <w:pPr>
        <w:ind w:left="9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4">
      <w:start w:val="1"/>
      <w:numFmt w:val="bullet"/>
      <w:suff w:val="tab"/>
      <w:lvlText w:val="-"/>
      <w:lvlJc w:val="left"/>
      <w:pPr>
        <w:ind w:left="120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5">
      <w:start w:val="1"/>
      <w:numFmt w:val="bullet"/>
      <w:suff w:val="tab"/>
      <w:lvlText w:val="-"/>
      <w:lvlJc w:val="left"/>
      <w:pPr>
        <w:ind w:left="14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6">
      <w:start w:val="1"/>
      <w:numFmt w:val="bullet"/>
      <w:suff w:val="tab"/>
      <w:lvlText w:val="-"/>
      <w:lvlJc w:val="left"/>
      <w:pPr>
        <w:ind w:left="16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7">
      <w:start w:val="1"/>
      <w:numFmt w:val="bullet"/>
      <w:suff w:val="tab"/>
      <w:lvlText w:val="-"/>
      <w:lvlJc w:val="left"/>
      <w:pPr>
        <w:ind w:left="19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8">
      <w:start w:val="1"/>
      <w:numFmt w:val="bullet"/>
      <w:suff w:val="tab"/>
      <w:lvlText w:val="-"/>
      <w:lvlJc w:val="left"/>
      <w:pPr>
        <w:ind w:left="21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numbering" w:styleId="Dash">
    <w:name w:val="Dash"/>
    <w:pPr>
      <w:numPr>
        <w:numId w:val="1"/>
      </w:numPr>
    </w:p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u w:val="single"/>
    </w:rPr>
  </w:style>
  <w:style w:type="character" w:styleId="None">
    <w:name w:val="None"/>
  </w:style>
  <w:style w:type="character" w:styleId="Hyperlink.1">
    <w:name w:val="Hyperlink.1"/>
    <w:basedOn w:val="None"/>
    <w:next w:val="Hyperlink.1"/>
    <w:rPr>
      <w:outline w:val="0"/>
      <w:color w:val="e4ae0a"/>
      <w14:textFill>
        <w14:solidFill>
          <w14:srgbClr w14:val="E4AF0A"/>
        </w14:solidFill>
      </w14:textFill>
    </w:rPr>
  </w:style>
  <w:style w:type="character" w:styleId="Hyperlink.2">
    <w:name w:val="Hyperlink.2"/>
    <w:basedOn w:val="None"/>
    <w:next w:val="Hyperlink.2"/>
    <w:rPr>
      <w:outline w:val="0"/>
      <w:color w:val="e4ae0a"/>
      <w:u w:val="single" w:color="e4ae0a"/>
      <w14:textFill>
        <w14:solidFill>
          <w14:srgbClr w14:val="E4AF0A"/>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2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