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2D0D8" w14:textId="3CCA0603" w:rsidR="00252B86" w:rsidRPr="00451253" w:rsidRDefault="00E11784" w:rsidP="00D45594">
      <w:pPr>
        <w:spacing w:line="360" w:lineRule="auto"/>
        <w:rPr>
          <w:b/>
          <w:bCs/>
        </w:rPr>
      </w:pPr>
      <w:r w:rsidRPr="00451253">
        <w:rPr>
          <w:b/>
          <w:bCs/>
        </w:rPr>
        <w:t>Introduction</w:t>
      </w:r>
    </w:p>
    <w:p w14:paraId="6339C566" w14:textId="46838C12" w:rsidR="00E11784" w:rsidRDefault="00E11784" w:rsidP="00D45594">
      <w:pPr>
        <w:spacing w:line="360" w:lineRule="auto"/>
      </w:pPr>
      <w:r>
        <w:t xml:space="preserve">This essay will </w:t>
      </w:r>
      <w:bookmarkStart w:id="0" w:name="_Int_M0s9JzV3"/>
      <w:r>
        <w:t>compare and contrast</w:t>
      </w:r>
      <w:bookmarkEnd w:id="0"/>
      <w:r>
        <w:t xml:space="preserve"> two research </w:t>
      </w:r>
      <w:r w:rsidR="0002784B">
        <w:t>papers:</w:t>
      </w:r>
      <w:r w:rsidR="00451253" w:rsidRPr="00451253">
        <w:t xml:space="preserve"> </w:t>
      </w:r>
      <w:r w:rsidR="00451253">
        <w:t xml:space="preserve">‘Brink, T. L. 1978. ‘Inconsistency of Belief among Roman Catholic Girls: Concerning Religion, Astrology, Reincarnation’ and </w:t>
      </w:r>
      <w:r w:rsidR="0078459E">
        <w:t xml:space="preserve">‘Bennett, G. 1995. “If I Knew You </w:t>
      </w:r>
      <w:r w:rsidR="0002784B">
        <w:t>W</w:t>
      </w:r>
      <w:r w:rsidR="0078459E">
        <w:t xml:space="preserve">ere </w:t>
      </w:r>
      <w:bookmarkStart w:id="1" w:name="_Int_N1OBwa7U"/>
      <w:proofErr w:type="gramStart"/>
      <w:r w:rsidR="0078459E">
        <w:t>Coming</w:t>
      </w:r>
      <w:bookmarkEnd w:id="1"/>
      <w:proofErr w:type="gramEnd"/>
      <w:r w:rsidR="0078459E">
        <w:t xml:space="preserve"> I'd Have Baked a Cake”: The Folklore of Foreknowledge in a Neighborhood Group. In Out of the Ordinary: Folklore and the Supernatural’</w:t>
      </w:r>
      <w:r w:rsidR="00451253">
        <w:t xml:space="preserve">. </w:t>
      </w:r>
    </w:p>
    <w:p w14:paraId="3F9899FC" w14:textId="0986DB19" w:rsidR="00451253" w:rsidRDefault="0006121F" w:rsidP="00D45594">
      <w:pPr>
        <w:spacing w:line="360" w:lineRule="auto"/>
      </w:pPr>
      <w:r w:rsidRPr="0006121F">
        <w:t>T.L Brink’s paper, ‘Inconsistency’, concerns th</w:t>
      </w:r>
      <w:r>
        <w:t xml:space="preserve">e beliefs of </w:t>
      </w:r>
      <w:r w:rsidR="003762C5">
        <w:t xml:space="preserve">students at a Roman Catholic girls’ school towards astrology and </w:t>
      </w:r>
      <w:r w:rsidR="00883B3E">
        <w:t>re</w:t>
      </w:r>
      <w:r w:rsidR="003762C5">
        <w:t>incarnation</w:t>
      </w:r>
      <w:r w:rsidR="003762C5">
        <w:rPr>
          <w:rStyle w:val="FootnoteReference"/>
        </w:rPr>
        <w:footnoteReference w:id="2"/>
      </w:r>
      <w:r w:rsidR="003762C5">
        <w:t>.</w:t>
      </w:r>
      <w:r w:rsidR="00265AB3">
        <w:t xml:space="preserve"> </w:t>
      </w:r>
      <w:r w:rsidR="00BF1AA3">
        <w:t>The paper was published by the Religious Research Associatio</w:t>
      </w:r>
      <w:r w:rsidR="009F4F9A">
        <w:t>n (RRA)</w:t>
      </w:r>
      <w:r w:rsidR="00E25B0C">
        <w:t xml:space="preserve"> in 1978</w:t>
      </w:r>
      <w:r w:rsidR="009F4F9A">
        <w:t xml:space="preserve">. The RRA focuses on ‘empirical </w:t>
      </w:r>
      <w:r w:rsidR="006E4D76">
        <w:t>social science research’</w:t>
      </w:r>
      <w:r w:rsidR="006E4D76">
        <w:rPr>
          <w:rStyle w:val="FootnoteReference"/>
        </w:rPr>
        <w:footnoteReference w:id="3"/>
      </w:r>
      <w:r w:rsidR="008258C9">
        <w:t xml:space="preserve"> on wide ranging religious topics. The state goal of the RRA is not to publish research arguing for or against certain beliefs, but rather to present data and research</w:t>
      </w:r>
      <w:r w:rsidR="00B22F77">
        <w:t xml:space="preserve"> from various disciplines</w:t>
      </w:r>
      <w:r w:rsidR="008258C9">
        <w:t xml:space="preserve"> around religious beliefs</w:t>
      </w:r>
      <w:r w:rsidR="009814CE">
        <w:t>.</w:t>
      </w:r>
      <w:r w:rsidR="009814CE">
        <w:rPr>
          <w:rStyle w:val="FootnoteReference"/>
        </w:rPr>
        <w:footnoteReference w:id="4"/>
      </w:r>
      <w:r w:rsidR="00E25B0C">
        <w:t xml:space="preserve"> </w:t>
      </w:r>
      <w:r w:rsidR="00871C92">
        <w:t>Brink’s paper is therefore likely to have</w:t>
      </w:r>
      <w:r w:rsidR="00883B3E">
        <w:t xml:space="preserve"> had</w:t>
      </w:r>
      <w:r w:rsidR="00871C92">
        <w:t xml:space="preserve"> a target audience of other social scientists and religious researchers, particularly those looking for specific and objective data obtained through surveying. </w:t>
      </w:r>
    </w:p>
    <w:p w14:paraId="5D9BDADD" w14:textId="3451598A" w:rsidR="00510C8D" w:rsidRDefault="00510C8D" w:rsidP="00D45594">
      <w:pPr>
        <w:spacing w:line="360" w:lineRule="auto"/>
      </w:pPr>
      <w:r>
        <w:t xml:space="preserve">Bennett’s </w:t>
      </w:r>
      <w:r w:rsidR="00C22C97">
        <w:t xml:space="preserve">chapter ‘If I knew you were coming’, </w:t>
      </w:r>
      <w:r w:rsidR="005A7625">
        <w:t>examines the beliefs around knowledge of the future amongst a group of elderly neighbourhood women</w:t>
      </w:r>
      <w:r w:rsidR="005A7625">
        <w:rPr>
          <w:rStyle w:val="FootnoteReference"/>
        </w:rPr>
        <w:footnoteReference w:id="5"/>
      </w:r>
      <w:r w:rsidR="005A7625">
        <w:t>.</w:t>
      </w:r>
      <w:r w:rsidR="004A6011">
        <w:t xml:space="preserve"> This chapter is contained in the book ‘Out of The Ordinary’, a compilation of work on folklore and belief in the supernatural</w:t>
      </w:r>
      <w:r w:rsidR="004A6011">
        <w:rPr>
          <w:rStyle w:val="FootnoteReference"/>
        </w:rPr>
        <w:footnoteReference w:id="6"/>
      </w:r>
      <w:r w:rsidR="004A6011">
        <w:t>.</w:t>
      </w:r>
      <w:r w:rsidR="009B65B8">
        <w:t xml:space="preserve"> The book </w:t>
      </w:r>
      <w:r w:rsidR="002A076C">
        <w:t>covers a range of topics, with the aim of drawing out discussion and ‘engender[s] reflection</w:t>
      </w:r>
      <w:r w:rsidR="00767D93">
        <w:t>’</w:t>
      </w:r>
      <w:r w:rsidR="00767D93">
        <w:rPr>
          <w:rStyle w:val="FootnoteReference"/>
        </w:rPr>
        <w:footnoteReference w:id="7"/>
      </w:r>
      <w:r w:rsidR="002A076C">
        <w:t xml:space="preserve"> amongst its readers</w:t>
      </w:r>
      <w:r w:rsidR="005731B8">
        <w:t>.</w:t>
      </w:r>
      <w:r w:rsidR="00C94FB7">
        <w:t xml:space="preserve"> </w:t>
      </w:r>
      <w:r w:rsidR="005F2D27">
        <w:t xml:space="preserve">Bennett is a </w:t>
      </w:r>
      <w:r w:rsidR="00907599">
        <w:t xml:space="preserve">scholar, </w:t>
      </w:r>
      <w:r w:rsidR="004256D1">
        <w:t xml:space="preserve">previously a </w:t>
      </w:r>
      <w:r w:rsidR="00907599">
        <w:t>lecturer</w:t>
      </w:r>
      <w:r w:rsidR="004256D1">
        <w:t xml:space="preserve"> in English literature</w:t>
      </w:r>
      <w:r w:rsidR="00907599">
        <w:t xml:space="preserve"> and author specialising in folkloric beliefs</w:t>
      </w:r>
      <w:r w:rsidR="00907599">
        <w:rPr>
          <w:rStyle w:val="FootnoteReference"/>
        </w:rPr>
        <w:footnoteReference w:id="8"/>
      </w:r>
      <w:r w:rsidR="00697073">
        <w:t xml:space="preserve">. </w:t>
      </w:r>
    </w:p>
    <w:p w14:paraId="214D0716" w14:textId="0968DE59" w:rsidR="00B2533E" w:rsidRDefault="00B2533E" w:rsidP="00D45594">
      <w:pPr>
        <w:spacing w:line="360" w:lineRule="auto"/>
      </w:pPr>
      <w:r>
        <w:t xml:space="preserve">In contrast to Bennett’s chapter, Brink’s paper offers less </w:t>
      </w:r>
      <w:r w:rsidR="00265733">
        <w:t xml:space="preserve">accessible language for a reader less versed in academic research. Brink refers to </w:t>
      </w:r>
      <w:r w:rsidR="002E53E2">
        <w:t>‘</w:t>
      </w:r>
      <w:r w:rsidR="00FA7469">
        <w:t>social psychological</w:t>
      </w:r>
      <w:r w:rsidR="00AA349C">
        <w:t xml:space="preserve"> theories’ and ‘cognitive dissonance… logical-affective consistency’</w:t>
      </w:r>
      <w:r w:rsidR="00AA349C">
        <w:rPr>
          <w:rStyle w:val="FootnoteReference"/>
        </w:rPr>
        <w:footnoteReference w:id="9"/>
      </w:r>
      <w:r w:rsidR="00265733">
        <w:t xml:space="preserve"> </w:t>
      </w:r>
      <w:r w:rsidR="00C66AF8">
        <w:t xml:space="preserve">and their authors without further explanation. This suggests Brink’s audience are other researchers at a similar academic level to Brink rather than a general audience. </w:t>
      </w:r>
      <w:r w:rsidR="003A2A5F">
        <w:lastRenderedPageBreak/>
        <w:t xml:space="preserve">Bennett uses language that, whilst sometimes academic such as </w:t>
      </w:r>
      <w:r w:rsidR="00FB2219">
        <w:t>brief discussion on previous studies’ ‘</w:t>
      </w:r>
      <w:r w:rsidR="00A47869">
        <w:t>function of the methodologies employed’</w:t>
      </w:r>
      <w:r w:rsidR="00A47869">
        <w:rPr>
          <w:rStyle w:val="FootnoteReference"/>
        </w:rPr>
        <w:footnoteReference w:id="10"/>
      </w:r>
      <w:r w:rsidR="003C5711">
        <w:t xml:space="preserve"> is more accessible to a general audience. For example, </w:t>
      </w:r>
      <w:r w:rsidR="008219B5">
        <w:t>her ‘Historical Perspective’ section contextualises the continued study of British folklore by introducing the reader to key figures and the aims of their work.</w:t>
      </w:r>
      <w:r w:rsidR="008219B5">
        <w:rPr>
          <w:rStyle w:val="FootnoteReference"/>
        </w:rPr>
        <w:footnoteReference w:id="11"/>
      </w:r>
      <w:r w:rsidR="003C5711">
        <w:t xml:space="preserve"> </w:t>
      </w:r>
      <w:r w:rsidR="00573BE3">
        <w:t>This brief analysis of language may suggest that both authors</w:t>
      </w:r>
      <w:r w:rsidR="000B551F">
        <w:t xml:space="preserve"> have different audiences, thus affecting the style of their writing as well as methodologies employed. </w:t>
      </w:r>
    </w:p>
    <w:p w14:paraId="25921DE8" w14:textId="432D25EE" w:rsidR="1C819CBE" w:rsidRDefault="000B551F" w:rsidP="00D45594">
      <w:pPr>
        <w:spacing w:line="360" w:lineRule="auto"/>
      </w:pPr>
      <w:r>
        <w:t>This essay will examine further t</w:t>
      </w:r>
      <w:r w:rsidR="00D56851">
        <w:t xml:space="preserve">he methods employed by both researchers, their subjects, ethics and </w:t>
      </w:r>
      <w:r w:rsidR="00532A18">
        <w:t xml:space="preserve">the conclusions they come to. </w:t>
      </w:r>
    </w:p>
    <w:p w14:paraId="3987F2FE" w14:textId="4A328E45" w:rsidR="1C819CBE" w:rsidRDefault="00BD37F8" w:rsidP="00D45594">
      <w:pPr>
        <w:spacing w:line="360" w:lineRule="auto"/>
        <w:rPr>
          <w:b/>
          <w:bCs/>
        </w:rPr>
      </w:pPr>
      <w:r>
        <w:rPr>
          <w:b/>
          <w:bCs/>
        </w:rPr>
        <w:t>Structure</w:t>
      </w:r>
    </w:p>
    <w:p w14:paraId="1088D7FE" w14:textId="08015289" w:rsidR="00236E68" w:rsidRDefault="00236E68" w:rsidP="00D45594">
      <w:pPr>
        <w:spacing w:line="360" w:lineRule="auto"/>
      </w:pPr>
      <w:r>
        <w:t xml:space="preserve">The most notable difference between these papers are their length. Brink’s paper is only a few pages long, whilst Bennett’s paper appeared as a chapter in a book and was thus much longer. Both begin with some contextualisation of their research. </w:t>
      </w:r>
    </w:p>
    <w:p w14:paraId="64AFA715" w14:textId="4D3FB1CB" w:rsidR="00DC2BC2" w:rsidRDefault="000C4490" w:rsidP="00D45594">
      <w:pPr>
        <w:spacing w:line="360" w:lineRule="auto"/>
      </w:pPr>
      <w:r w:rsidRPr="000C4490">
        <w:t xml:space="preserve">In the abstract, Brink stated ‘The author takes a functionalist perspective.’  </w:t>
      </w:r>
      <w:r w:rsidR="006F0245">
        <w:t>A functionalist app</w:t>
      </w:r>
      <w:r w:rsidR="009D3B46">
        <w:t xml:space="preserve">roach to social research </w:t>
      </w:r>
      <w:r w:rsidR="007F2372">
        <w:t>examines society for the</w:t>
      </w:r>
      <w:r w:rsidR="00EC47B1">
        <w:t xml:space="preserve"> </w:t>
      </w:r>
      <w:r w:rsidR="0028692B">
        <w:t>‘</w:t>
      </w:r>
      <w:r w:rsidR="00132336">
        <w:t>orderliness and relative stability in the context of a changing environment’</w:t>
      </w:r>
      <w:r w:rsidR="00EC47B1">
        <w:rPr>
          <w:rStyle w:val="FootnoteReference"/>
        </w:rPr>
        <w:footnoteReference w:id="12"/>
      </w:r>
      <w:r w:rsidR="00EC47B1">
        <w:t xml:space="preserve"> underpinning i</w:t>
      </w:r>
      <w:r w:rsidR="007F2372">
        <w:t>t</w:t>
      </w:r>
      <w:r w:rsidR="00EC47B1">
        <w:t xml:space="preserve">. </w:t>
      </w:r>
      <w:r w:rsidR="003563EC">
        <w:t xml:space="preserve">By setting out his approach at the beginning of the paper, Brink </w:t>
      </w:r>
      <w:r w:rsidR="009B660B">
        <w:t xml:space="preserve">situated his research in a specific </w:t>
      </w:r>
      <w:r w:rsidR="00C37CAD">
        <w:t xml:space="preserve">context, allowing the reader to understand his methodology and findings through this lens.  </w:t>
      </w:r>
      <w:r w:rsidRPr="000C4490">
        <w:t>Fiona Bowie argued that by taking a functionalist approach ‘the anthropologist reaffirms his or her own privileged (Western) epistemology.’  Indeed, Brink’s functionalist approach informs his methodology and hypothesis that Roman Catholic beliefs and a belief in astrology or reincarnation cannot be held by one person as they are ‘inconsistent’, a hypothesis that is later disproven by his findings.</w:t>
      </w:r>
      <w:r w:rsidR="00982F1D">
        <w:t xml:space="preserve"> </w:t>
      </w:r>
      <w:r w:rsidR="00DC2BC2">
        <w:t>Brink situated his research specifically in social science</w:t>
      </w:r>
      <w:r w:rsidR="00922E8C">
        <w:t>, citing ‘cognitive theories’</w:t>
      </w:r>
      <w:r w:rsidR="00922E8C">
        <w:rPr>
          <w:rStyle w:val="FootnoteReference"/>
        </w:rPr>
        <w:footnoteReference w:id="13"/>
      </w:r>
      <w:r w:rsidR="0049332A">
        <w:t xml:space="preserve">. Brink’s hypothesis </w:t>
      </w:r>
      <w:r w:rsidR="00F84918">
        <w:t>rests on the</w:t>
      </w:r>
      <w:r w:rsidR="00467A88">
        <w:t>se</w:t>
      </w:r>
      <w:r w:rsidR="00F84918">
        <w:t xml:space="preserve"> </w:t>
      </w:r>
      <w:r w:rsidR="00135E6D">
        <w:t>cognitive</w:t>
      </w:r>
      <w:r w:rsidR="00F84918">
        <w:t xml:space="preserve"> theories – that</w:t>
      </w:r>
      <w:r w:rsidR="00135E6D">
        <w:t xml:space="preserve"> beliefs must be consistent with each other </w:t>
      </w:r>
      <w:r w:rsidR="00A14B2F">
        <w:t xml:space="preserve">to be held by one person. </w:t>
      </w:r>
      <w:r w:rsidR="00FC7CEA">
        <w:t>Ending the paper by discussing the findings of the survey,</w:t>
      </w:r>
      <w:r w:rsidR="001324C2">
        <w:t xml:space="preserve"> Brink f</w:t>
      </w:r>
      <w:r w:rsidR="00FC7CEA">
        <w:t>ound</w:t>
      </w:r>
      <w:r w:rsidR="001324C2">
        <w:t xml:space="preserve"> his</w:t>
      </w:r>
      <w:r w:rsidR="00A14B2F">
        <w:t xml:space="preserve"> hypothesis </w:t>
      </w:r>
      <w:r w:rsidR="001324C2">
        <w:t>incorrect</w:t>
      </w:r>
      <w:r w:rsidR="00FC7CEA">
        <w:t>;</w:t>
      </w:r>
      <w:r w:rsidR="00A14B2F">
        <w:t xml:space="preserve"> students did hold beliefs of astrology and reincarnation alongside </w:t>
      </w:r>
      <w:r w:rsidR="00487EB8">
        <w:t>Roman Catholic beliefs</w:t>
      </w:r>
      <w:r w:rsidR="001324C2">
        <w:t xml:space="preserve">. He also noted that </w:t>
      </w:r>
      <w:r w:rsidR="00967D2D">
        <w:t>‘This pattern has been seen in Thai religion’ and ‘</w:t>
      </w:r>
      <w:r w:rsidR="00343653">
        <w:t xml:space="preserve">among American adolescents </w:t>
      </w:r>
      <w:r w:rsidR="005B0C94">
        <w:t>… and Erikson</w:t>
      </w:r>
      <w:r w:rsidR="00405DE1">
        <w:t xml:space="preserve"> (1950, 1959) attributed it to the confusion and uncertainty of that developmental stage.’</w:t>
      </w:r>
      <w:r w:rsidR="00405DE1">
        <w:rPr>
          <w:rStyle w:val="FootnoteReference"/>
        </w:rPr>
        <w:footnoteReference w:id="14"/>
      </w:r>
      <w:r w:rsidR="0095097A">
        <w:t xml:space="preserve"> </w:t>
      </w:r>
      <w:r w:rsidR="005F44B8">
        <w:t xml:space="preserve">Bowie’s argument that functionalist </w:t>
      </w:r>
      <w:r w:rsidR="005F44B8">
        <w:lastRenderedPageBreak/>
        <w:t xml:space="preserve">approaches can reaffirm </w:t>
      </w:r>
      <w:r w:rsidR="00AC1768">
        <w:t xml:space="preserve">a researcher’s own bias may be applied here, as despite knowledge to the contrary of Brink’s own hypothesis, </w:t>
      </w:r>
      <w:r w:rsidR="00A7580C">
        <w:t>Brink described himself as ‘somewhat surprised</w:t>
      </w:r>
      <w:r w:rsidR="005D200F">
        <w:t>’</w:t>
      </w:r>
      <w:r w:rsidR="005D200F">
        <w:rPr>
          <w:rStyle w:val="FootnoteReference"/>
        </w:rPr>
        <w:footnoteReference w:id="15"/>
      </w:r>
      <w:r w:rsidR="005D200F">
        <w:t xml:space="preserve"> at the results. </w:t>
      </w:r>
    </w:p>
    <w:p w14:paraId="6484BB15" w14:textId="653CA03E" w:rsidR="001E0B8E" w:rsidRDefault="001E0B8E" w:rsidP="00D45594">
      <w:pPr>
        <w:spacing w:line="360" w:lineRule="auto"/>
      </w:pPr>
      <w:r>
        <w:t xml:space="preserve">Brink ended his paper with a call for further research into the subject. He offered </w:t>
      </w:r>
      <w:r w:rsidR="00A84649">
        <w:t>approaching the findings through the</w:t>
      </w:r>
      <w:r w:rsidR="005B3FF7">
        <w:t xml:space="preserve"> ‘function of belief’</w:t>
      </w:r>
      <w:r w:rsidR="005B3FF7">
        <w:rPr>
          <w:rStyle w:val="FootnoteReference"/>
        </w:rPr>
        <w:footnoteReference w:id="16"/>
      </w:r>
      <w:r w:rsidR="00A84649">
        <w:t xml:space="preserve">, that the students surveyed </w:t>
      </w:r>
      <w:r w:rsidR="005C0C6A">
        <w:t xml:space="preserve">have an internal logic </w:t>
      </w:r>
      <w:r w:rsidR="00534354">
        <w:t>protecting their ego which may not make sense to outsiders</w:t>
      </w:r>
      <w:r w:rsidR="008A4175">
        <w:rPr>
          <w:rStyle w:val="FootnoteReference"/>
        </w:rPr>
        <w:footnoteReference w:id="17"/>
      </w:r>
      <w:r w:rsidR="00534354">
        <w:t>.</w:t>
      </w:r>
      <w:r w:rsidR="008A4175">
        <w:t xml:space="preserve"> The structure of Brink’s paper is clearly structured, has a clear goal and audience. </w:t>
      </w:r>
      <w:r w:rsidR="00F16948">
        <w:t xml:space="preserve">Written for the Religious Research Association, Brink’s paper is in line with their goal of </w:t>
      </w:r>
      <w:r w:rsidR="00FF4304">
        <w:t xml:space="preserve">publishing empirical research </w:t>
      </w:r>
      <w:r w:rsidR="00BA4BE5">
        <w:t xml:space="preserve">on </w:t>
      </w:r>
      <w:r w:rsidR="00B368D1">
        <w:t xml:space="preserve">religious trends and changes, </w:t>
      </w:r>
      <w:r w:rsidR="00BA4BE5">
        <w:t>and the implications of such changes</w:t>
      </w:r>
      <w:r w:rsidR="00BA4BE5">
        <w:rPr>
          <w:rStyle w:val="FootnoteReference"/>
        </w:rPr>
        <w:footnoteReference w:id="18"/>
      </w:r>
      <w:r w:rsidR="00BA4BE5">
        <w:t>.</w:t>
      </w:r>
    </w:p>
    <w:p w14:paraId="32555A20" w14:textId="21216A24" w:rsidR="00222297" w:rsidRDefault="005207A3" w:rsidP="00D45594">
      <w:pPr>
        <w:spacing w:line="360" w:lineRule="auto"/>
      </w:pPr>
      <w:r>
        <w:t>Bennett’s pap</w:t>
      </w:r>
      <w:r w:rsidR="001F2B0D">
        <w:t>er specifically</w:t>
      </w:r>
      <w:r w:rsidR="0053397D">
        <w:t xml:space="preserve"> looked at</w:t>
      </w:r>
      <w:r w:rsidR="001F2B0D">
        <w:t xml:space="preserve"> </w:t>
      </w:r>
      <w:r w:rsidR="007A020C">
        <w:t>‘“</w:t>
      </w:r>
      <w:r w:rsidR="000062EA">
        <w:t>common consent and agreement” about knowledge of the future</w:t>
      </w:r>
      <w:r w:rsidR="0087238E">
        <w:t xml:space="preserve"> … and the ways in which I believe that the women’s social situation and </w:t>
      </w:r>
      <w:r w:rsidR="001D031F">
        <w:t>moral code shape the folklore that they share.’</w:t>
      </w:r>
      <w:r w:rsidR="001D031F">
        <w:rPr>
          <w:rStyle w:val="FootnoteReference"/>
        </w:rPr>
        <w:footnoteReference w:id="19"/>
      </w:r>
      <w:r w:rsidR="007A020C">
        <w:t xml:space="preserve"> </w:t>
      </w:r>
      <w:r w:rsidR="00744E45">
        <w:t xml:space="preserve">In contrast to Brink, Bennett did not </w:t>
      </w:r>
      <w:r w:rsidR="00260071">
        <w:t xml:space="preserve">explicitly </w:t>
      </w:r>
      <w:r w:rsidR="00744E45">
        <w:t xml:space="preserve">situate her paper within contemporary social </w:t>
      </w:r>
      <w:r w:rsidR="00CF17BC">
        <w:t>theory but</w:t>
      </w:r>
      <w:r w:rsidR="00260071">
        <w:t xml:space="preserve"> instead</w:t>
      </w:r>
      <w:r w:rsidR="00744E45">
        <w:t xml:space="preserve"> included a section on the ‘Historical Perspective’ as a background for her research. </w:t>
      </w:r>
      <w:r w:rsidR="006E48F3">
        <w:t xml:space="preserve">However, by examining the </w:t>
      </w:r>
      <w:r w:rsidR="009B678A">
        <w:t>‘“common</w:t>
      </w:r>
      <w:r w:rsidR="006E48F3">
        <w:t xml:space="preserve"> consent and agreement”’ </w:t>
      </w:r>
      <w:r w:rsidR="000C5130">
        <w:t>that exist</w:t>
      </w:r>
      <w:r w:rsidR="00C630A9">
        <w:t>ed</w:t>
      </w:r>
      <w:r w:rsidR="000C5130">
        <w:t xml:space="preserve"> as an unspoken social rule between these women, it can be argued that social theory does underpin Bennett’s </w:t>
      </w:r>
      <w:r w:rsidR="008274D2">
        <w:t xml:space="preserve">research. </w:t>
      </w:r>
      <w:r w:rsidR="0080363C">
        <w:t>As a folklorist, Bennett</w:t>
      </w:r>
      <w:r w:rsidR="001045AB">
        <w:t xml:space="preserve"> provided a background of folklore through British history, citing </w:t>
      </w:r>
      <w:r w:rsidR="008511DD">
        <w:t>surveys and data collection</w:t>
      </w:r>
      <w:r w:rsidR="00511BE2">
        <w:t xml:space="preserve"> on British folklore</w:t>
      </w:r>
      <w:r w:rsidR="008511DD">
        <w:t xml:space="preserve"> from the fifteenth century through to the present day</w:t>
      </w:r>
      <w:r w:rsidR="008511DD">
        <w:rPr>
          <w:rStyle w:val="FootnoteReference"/>
        </w:rPr>
        <w:footnoteReference w:id="20"/>
      </w:r>
      <w:r w:rsidR="008511DD">
        <w:t>.</w:t>
      </w:r>
      <w:r w:rsidR="001D3DBF">
        <w:t xml:space="preserve"> </w:t>
      </w:r>
      <w:r w:rsidR="00DA7DB7">
        <w:t xml:space="preserve">Bennett provided further context for her research, noting that it could be </w:t>
      </w:r>
      <w:r w:rsidR="00667EA6">
        <w:t>considered ‘“delicate” or controversial’</w:t>
      </w:r>
      <w:r w:rsidR="00667EA6">
        <w:rPr>
          <w:rStyle w:val="FootnoteReference"/>
        </w:rPr>
        <w:footnoteReference w:id="21"/>
      </w:r>
      <w:r w:rsidR="00667EA6">
        <w:t xml:space="preserve">. Bennett </w:t>
      </w:r>
      <w:r w:rsidR="006719F6">
        <w:t xml:space="preserve">again portrayed her awareness of being a researcher in the space of the women. </w:t>
      </w:r>
    </w:p>
    <w:p w14:paraId="5CBC7129" w14:textId="77777777" w:rsidR="00551273" w:rsidRDefault="00377527" w:rsidP="00551273">
      <w:pPr>
        <w:spacing w:line="360" w:lineRule="auto"/>
      </w:pPr>
      <w:r>
        <w:t>In comparison to Brink’s paper, Bennett’s paper provides more context</w:t>
      </w:r>
      <w:r w:rsidR="0040648B">
        <w:t xml:space="preserve"> on the process of gaining participants for her research.</w:t>
      </w:r>
      <w:r w:rsidR="00B953BD">
        <w:t xml:space="preserve"> She described </w:t>
      </w:r>
      <w:r w:rsidR="00F72416">
        <w:t>choosing participants which ‘formed a fairly homogenous social and cultural group based on the local neighbourhood.’</w:t>
      </w:r>
      <w:r w:rsidR="00622B82">
        <w:rPr>
          <w:rStyle w:val="FootnoteReference"/>
        </w:rPr>
        <w:footnoteReference w:id="22"/>
      </w:r>
      <w:r w:rsidR="00FA2477">
        <w:t xml:space="preserve"> There are some ethical considerations here around the use of her father’s patients as participants, as well as using his personal knowledge to supplement her knowledge of the women’s lives</w:t>
      </w:r>
      <w:r w:rsidR="00FA2477">
        <w:rPr>
          <w:rStyle w:val="FootnoteReference"/>
        </w:rPr>
        <w:footnoteReference w:id="23"/>
      </w:r>
      <w:r w:rsidR="003D34AC">
        <w:t xml:space="preserve">, which will be discussed in the following section. </w:t>
      </w:r>
      <w:r w:rsidR="00AB11D1">
        <w:t xml:space="preserve">In line with Bennett’s hypothesis, that </w:t>
      </w:r>
      <w:r w:rsidR="004903C2">
        <w:t xml:space="preserve">the folklore of these women </w:t>
      </w:r>
      <w:r w:rsidR="00433121">
        <w:t>is shaped by moral and social codes</w:t>
      </w:r>
      <w:r w:rsidR="00433121">
        <w:rPr>
          <w:rStyle w:val="FootnoteReference"/>
        </w:rPr>
        <w:footnoteReference w:id="24"/>
      </w:r>
      <w:r w:rsidR="00433121">
        <w:t xml:space="preserve">, she </w:t>
      </w:r>
      <w:r w:rsidR="00835D9C">
        <w:t xml:space="preserve">compared the language of women when discussing premonitions </w:t>
      </w:r>
      <w:r w:rsidR="00835D9C">
        <w:lastRenderedPageBreak/>
        <w:t xml:space="preserve">and extra-sensory perceptions to the language used when discussing astrology and fortune telling. </w:t>
      </w:r>
      <w:r w:rsidR="00AC6DF8">
        <w:t>The incorporation of extracts from in depth interviews, and</w:t>
      </w:r>
      <w:r w:rsidR="008F3699">
        <w:t xml:space="preserve"> discussion of language used is characteristic of the book in which Bennett’s paper was published. In the introduction to ‘Out of the Ordin</w:t>
      </w:r>
      <w:r w:rsidR="001F7C67">
        <w:t>ary’, editor Barbara Walters</w:t>
      </w:r>
      <w:r w:rsidR="00BC6BCB">
        <w:t xml:space="preserve"> wrote that </w:t>
      </w:r>
    </w:p>
    <w:p w14:paraId="3E2A9A04" w14:textId="08D3224F" w:rsidR="00222297" w:rsidRDefault="00551273" w:rsidP="00551273">
      <w:pPr>
        <w:spacing w:line="360" w:lineRule="auto"/>
        <w:ind w:left="720"/>
      </w:pPr>
      <w:r>
        <w:t>‘</w:t>
      </w:r>
      <w:r>
        <w:t xml:space="preserve">How groups regard the supernatural contributes to thought and </w:t>
      </w:r>
      <w:r>
        <w:t>behaviour</w:t>
      </w:r>
      <w:r>
        <w:t>, and by attending to those patterns, we gather a fuller understanding of</w:t>
      </w:r>
      <w:r>
        <w:t xml:space="preserve"> </w:t>
      </w:r>
      <w:r>
        <w:t>what is meaningful to the group, what gives it cohesion and animation, and</w:t>
      </w:r>
      <w:r>
        <w:t xml:space="preserve"> </w:t>
      </w:r>
      <w:r>
        <w:t>thus we develop a rounder perspective of cultural nuance, both within the</w:t>
      </w:r>
      <w:r>
        <w:t xml:space="preserve"> </w:t>
      </w:r>
      <w:r>
        <w:t>group and cross-culturally.</w:t>
      </w:r>
      <w:r>
        <w:t>’</w:t>
      </w:r>
      <w:r>
        <w:rPr>
          <w:rStyle w:val="FootnoteReference"/>
        </w:rPr>
        <w:footnoteReference w:id="25"/>
      </w:r>
    </w:p>
    <w:p w14:paraId="41B871DD" w14:textId="11B05ACA" w:rsidR="00507F8D" w:rsidRDefault="00507F8D" w:rsidP="00507F8D">
      <w:pPr>
        <w:spacing w:line="360" w:lineRule="auto"/>
      </w:pPr>
      <w:r>
        <w:t xml:space="preserve">In line with Walter’s comments on the benefits of studying supernatural beliefs, Bennett </w:t>
      </w:r>
      <w:r w:rsidR="00E6743A">
        <w:t>relates the</w:t>
      </w:r>
      <w:r w:rsidR="00E657BC">
        <w:t xml:space="preserve"> difference in attitude towards premonitions happen to women and women seeking out divinatory knowledge</w:t>
      </w:r>
      <w:r w:rsidR="00E657BC">
        <w:rPr>
          <w:rStyle w:val="FootnoteReference"/>
        </w:rPr>
        <w:footnoteReference w:id="26"/>
      </w:r>
      <w:r w:rsidR="000E2FF3">
        <w:t xml:space="preserve"> to social attitudes of elderly women. </w:t>
      </w:r>
      <w:r w:rsidR="00A070CE">
        <w:t>Bennett situated the beliefs in the traditional roles the elderly women took on in their local neighbourhood</w:t>
      </w:r>
      <w:r w:rsidR="00CC3FB9">
        <w:t xml:space="preserve">. Bennett noted that most women were caring for family in some </w:t>
      </w:r>
      <w:r w:rsidR="008609C5">
        <w:t>capacity</w:t>
      </w:r>
      <w:r w:rsidR="00CC3FB9">
        <w:rPr>
          <w:rStyle w:val="FootnoteReference"/>
        </w:rPr>
        <w:footnoteReference w:id="27"/>
      </w:r>
      <w:r w:rsidR="00C213FB">
        <w:t>, and</w:t>
      </w:r>
      <w:r w:rsidR="001F135C">
        <w:t xml:space="preserve"> did not disrupt traditional roles by seeking out fate management or knowledge of the future, instead allowing it to come to them and help them.</w:t>
      </w:r>
      <w:r w:rsidR="00581796">
        <w:t xml:space="preserve"> In a similar manner to Brink, Bennett concluded her paper </w:t>
      </w:r>
      <w:r w:rsidR="00263C9C">
        <w:t xml:space="preserve">by explaining attitudes towards belief </w:t>
      </w:r>
      <w:r w:rsidR="00815F4D">
        <w:t>‘adopted this philosophy as a coping strategy against the vagaries of chance’</w:t>
      </w:r>
      <w:r w:rsidR="00815F4D">
        <w:rPr>
          <w:rStyle w:val="FootnoteReference"/>
        </w:rPr>
        <w:footnoteReference w:id="28"/>
      </w:r>
      <w:r w:rsidR="00815F4D">
        <w:t>.</w:t>
      </w:r>
    </w:p>
    <w:p w14:paraId="61DC4E40" w14:textId="1C5248A0" w:rsidR="00B368D1" w:rsidRPr="00236E68" w:rsidRDefault="005D6498" w:rsidP="00D45594">
      <w:pPr>
        <w:spacing w:line="360" w:lineRule="auto"/>
      </w:pPr>
      <w:r>
        <w:t>With Walter’s introduction in mind,</w:t>
      </w:r>
      <w:r w:rsidR="00EE2526">
        <w:t xml:space="preserve"> a similarity can be found in the purposes of Brink’s and Bennett’s papers. </w:t>
      </w:r>
      <w:r w:rsidR="005875EC">
        <w:t>Both papers are structured in a similar manner – outlining their hypothesis, a table showing</w:t>
      </w:r>
      <w:r w:rsidR="006739E3">
        <w:t xml:space="preserve"> demographic data in Bennett’s case, providing context, and </w:t>
      </w:r>
      <w:r w:rsidR="00A37A73">
        <w:t>answers to a survey in Brink’s case</w:t>
      </w:r>
      <w:r w:rsidR="00261873">
        <w:t xml:space="preserve"> and finally analysis of the data in relation to social roles. </w:t>
      </w:r>
      <w:r w:rsidR="001D3DBF">
        <w:t>Despite the</w:t>
      </w:r>
      <w:r w:rsidR="00261873">
        <w:t xml:space="preserve"> </w:t>
      </w:r>
      <w:r w:rsidR="001D3DBF">
        <w:t xml:space="preserve">contrasts in approach, neither Bennett nor Brink make any unfounded claims, and rely instead on sociological theories in the case of Brink and folkloric </w:t>
      </w:r>
      <w:r w:rsidR="004269BC">
        <w:t xml:space="preserve">as well as sociological factors in the case of Bennett. </w:t>
      </w:r>
      <w:r w:rsidR="0037674C">
        <w:t xml:space="preserve">Both authors use </w:t>
      </w:r>
      <w:r w:rsidR="00A37A73">
        <w:t>the structure</w:t>
      </w:r>
      <w:r w:rsidR="0037674C">
        <w:t xml:space="preserve"> most appropriate to theirs aims and the context of their publications. </w:t>
      </w:r>
    </w:p>
    <w:p w14:paraId="265CBCE2" w14:textId="09743A31" w:rsidR="005D7BD5" w:rsidRPr="005D7BD5" w:rsidRDefault="00967631" w:rsidP="00D45594">
      <w:pPr>
        <w:spacing w:line="360" w:lineRule="auto"/>
        <w:rPr>
          <w:b/>
          <w:bCs/>
        </w:rPr>
      </w:pPr>
      <w:r>
        <w:rPr>
          <w:b/>
          <w:bCs/>
        </w:rPr>
        <w:t>Methodology</w:t>
      </w:r>
      <w:r w:rsidR="0000232B">
        <w:rPr>
          <w:b/>
          <w:bCs/>
        </w:rPr>
        <w:t xml:space="preserve"> and Ethics</w:t>
      </w:r>
    </w:p>
    <w:p w14:paraId="1C18EFC8" w14:textId="33D895B7" w:rsidR="003B4D9D" w:rsidRDefault="00A364FD" w:rsidP="00D45594">
      <w:pPr>
        <w:spacing w:line="360" w:lineRule="auto"/>
      </w:pPr>
      <w:r>
        <w:t xml:space="preserve">Bennett </w:t>
      </w:r>
      <w:r w:rsidR="00D42803">
        <w:t>interviewed her participants at</w:t>
      </w:r>
      <w:r w:rsidR="0042680F">
        <w:t xml:space="preserve"> her father’s podiatry clinic. </w:t>
      </w:r>
      <w:r w:rsidR="00223B50">
        <w:t xml:space="preserve">Bennett notes that due to the </w:t>
      </w:r>
      <w:r w:rsidR="006C547A">
        <w:t xml:space="preserve">nature of her research, she needed to find ‘a venue conducive to personal </w:t>
      </w:r>
      <w:r w:rsidR="006C3CB0">
        <w:t>conversation, and an intermediary to introduce me to potential informants and put them at ease.’</w:t>
      </w:r>
      <w:r w:rsidR="006C3CB0">
        <w:rPr>
          <w:rStyle w:val="FootnoteReference"/>
        </w:rPr>
        <w:footnoteReference w:id="29"/>
      </w:r>
      <w:r w:rsidR="00D42803">
        <w:t xml:space="preserve"> </w:t>
      </w:r>
      <w:r w:rsidR="00D070CE">
        <w:t>Henni</w:t>
      </w:r>
      <w:r w:rsidR="00B663AB">
        <w:t xml:space="preserve">nk, Hutter and Bailey noted that to achieve the goals of an </w:t>
      </w:r>
      <w:r w:rsidR="00BF69F6">
        <w:t>in-depth</w:t>
      </w:r>
      <w:r w:rsidR="00B663AB">
        <w:t xml:space="preserve"> interview, such as Bennett’s, </w:t>
      </w:r>
      <w:r w:rsidR="00CA42CB">
        <w:t xml:space="preserve">the participant </w:t>
      </w:r>
      <w:r w:rsidR="00CA42CB">
        <w:lastRenderedPageBreak/>
        <w:t xml:space="preserve">and </w:t>
      </w:r>
      <w:r w:rsidR="00BF69F6">
        <w:t>researcher</w:t>
      </w:r>
      <w:r w:rsidR="00CA42CB">
        <w:t xml:space="preserve"> must trust each other</w:t>
      </w:r>
      <w:r w:rsidR="00261CD8">
        <w:t>.</w:t>
      </w:r>
      <w:r w:rsidR="00CA42CB">
        <w:rPr>
          <w:rStyle w:val="FootnoteReference"/>
        </w:rPr>
        <w:footnoteReference w:id="30"/>
      </w:r>
      <w:r w:rsidR="00261CD8">
        <w:t xml:space="preserve"> Whilst Bennett was able to find a location that provided the participants with security and privacy, thus benefiting her research, Bennett’s methods raise some ethical concerns. </w:t>
      </w:r>
      <w:r w:rsidR="00ED32AF">
        <w:t>By usi</w:t>
      </w:r>
      <w:r w:rsidR="00F87609">
        <w:t>ng not only her father’s podiatrist but also gaining background information on his patients</w:t>
      </w:r>
      <w:r w:rsidR="004549A6">
        <w:rPr>
          <w:rStyle w:val="FootnoteReference"/>
        </w:rPr>
        <w:footnoteReference w:id="31"/>
      </w:r>
      <w:r w:rsidR="00F87609">
        <w:t xml:space="preserve">, who would become Bennett’s participants, </w:t>
      </w:r>
      <w:r w:rsidR="00564F14">
        <w:t xml:space="preserve">there is an issue of </w:t>
      </w:r>
      <w:proofErr w:type="spellStart"/>
      <w:r w:rsidR="00564F14">
        <w:t>microethics</w:t>
      </w:r>
      <w:proofErr w:type="spellEnd"/>
      <w:r w:rsidR="00564F14">
        <w:t>.</w:t>
      </w:r>
      <w:r w:rsidR="00730B84">
        <w:t xml:space="preserve"> </w:t>
      </w:r>
      <w:r w:rsidR="00CA5E1C">
        <w:t xml:space="preserve">Guillemin and Gillam </w:t>
      </w:r>
      <w:r w:rsidR="007E7F1E">
        <w:t>discussed</w:t>
      </w:r>
      <w:r w:rsidR="00730B84">
        <w:t xml:space="preserve"> the concept of </w:t>
      </w:r>
      <w:proofErr w:type="spellStart"/>
      <w:r w:rsidR="00730B84">
        <w:t>microethics</w:t>
      </w:r>
      <w:proofErr w:type="spellEnd"/>
      <w:r w:rsidR="00730B84">
        <w:t>, that is ‘the complex dynamics between doctor and patient in a clinical setting’</w:t>
      </w:r>
      <w:r w:rsidR="00730B84">
        <w:rPr>
          <w:rStyle w:val="FootnoteReference"/>
        </w:rPr>
        <w:footnoteReference w:id="32"/>
      </w:r>
      <w:r w:rsidR="00640EA9">
        <w:t xml:space="preserve"> and that consent between doctor and patient is a given. Though it is advantageous to Bennett as a researcher, ethical concerns ove</w:t>
      </w:r>
      <w:r w:rsidR="004549A6">
        <w:t xml:space="preserve">r her father handing over confidential information are apparent. </w:t>
      </w:r>
      <w:r w:rsidR="00A360B2">
        <w:t xml:space="preserve">However, Bennett’s paper suggested that the </w:t>
      </w:r>
      <w:r w:rsidR="00966A37">
        <w:t xml:space="preserve">women participating enjoyed the interview process. </w:t>
      </w:r>
      <w:r w:rsidR="006C51C3">
        <w:t xml:space="preserve">Bennett noted that ‘with very few exceptions, </w:t>
      </w:r>
      <w:r w:rsidR="0073333F">
        <w:t>were happy to discuss these matters with me</w:t>
      </w:r>
      <w:r w:rsidR="001C27C7">
        <w:t xml:space="preserve"> and tell me their personal experience.’</w:t>
      </w:r>
      <w:r w:rsidR="001C27C7">
        <w:rPr>
          <w:rStyle w:val="FootnoteReference"/>
        </w:rPr>
        <w:footnoteReference w:id="33"/>
      </w:r>
      <w:r w:rsidR="004C3494">
        <w:t xml:space="preserve"> Guillemin and Gillam </w:t>
      </w:r>
      <w:r w:rsidR="007D2544">
        <w:t>describe</w:t>
      </w:r>
      <w:r w:rsidR="00066B45">
        <w:t>d</w:t>
      </w:r>
      <w:r w:rsidR="009F2713">
        <w:t xml:space="preserve"> the ethical difficulty in finding research subjects</w:t>
      </w:r>
      <w:r w:rsidR="007D2544">
        <w:t xml:space="preserve">, but that this tension can be </w:t>
      </w:r>
      <w:r w:rsidR="00E73F82">
        <w:t>resolved through ‘</w:t>
      </w:r>
      <w:r w:rsidR="00E73F82" w:rsidRPr="00E73F82">
        <w:t>free and informed consent from participants rather than simply conscripting them.</w:t>
      </w:r>
      <w:r w:rsidR="00E73F82">
        <w:t>’</w:t>
      </w:r>
      <w:r w:rsidR="00E73F82">
        <w:rPr>
          <w:rStyle w:val="FootnoteReference"/>
        </w:rPr>
        <w:footnoteReference w:id="34"/>
      </w:r>
      <w:r w:rsidR="00E62E86">
        <w:t xml:space="preserve"> </w:t>
      </w:r>
      <w:r w:rsidR="00EF43CF">
        <w:t xml:space="preserve">Bennett explicitly stated that </w:t>
      </w:r>
      <w:r w:rsidR="00BD37F8">
        <w:t xml:space="preserve">gaining consent involved </w:t>
      </w:r>
      <w:r w:rsidR="001902FD">
        <w:t>explaining the research, how it would be used and why</w:t>
      </w:r>
      <w:r w:rsidR="006D28BA">
        <w:rPr>
          <w:rStyle w:val="FootnoteReference"/>
        </w:rPr>
        <w:footnoteReference w:id="35"/>
      </w:r>
      <w:r w:rsidR="006D28BA">
        <w:t xml:space="preserve">, demonstrating the </w:t>
      </w:r>
      <w:r w:rsidR="007E1252">
        <w:t>‘</w:t>
      </w:r>
      <w:r w:rsidR="006D28BA">
        <w:t>free and informed consent</w:t>
      </w:r>
      <w:r w:rsidR="007E1252">
        <w:t>’</w:t>
      </w:r>
      <w:r w:rsidR="007E1252">
        <w:rPr>
          <w:rStyle w:val="FootnoteReference"/>
        </w:rPr>
        <w:footnoteReference w:id="36"/>
      </w:r>
      <w:r w:rsidR="006D28BA">
        <w:t xml:space="preserve"> necessary for qualitative research. </w:t>
      </w:r>
    </w:p>
    <w:p w14:paraId="1FBAC3DB" w14:textId="72668B51" w:rsidR="00565815" w:rsidRDefault="00963ACA" w:rsidP="00883632">
      <w:pPr>
        <w:spacing w:line="360" w:lineRule="auto"/>
      </w:pPr>
      <w:r>
        <w:t xml:space="preserve">Brink used a questionnaire to collect data. The questionnaire had 14 statements, with the subjects either agreeing or disagreeing with each statement. The author sorts the answers into 4 columns by belief and non-belief of 1) astrology and 2) reincarnation. Statements cover specific Roman Catholic beliefs, such as ‘I believe Jesus is the saviour’, prayer and religious rites. The final two statements asked if the subject believes in astrology and/or reincarnation. </w:t>
      </w:r>
      <w:r w:rsidR="0093693F">
        <w:t xml:space="preserve">In contrast to Bennett’s paper, there is less clarity </w:t>
      </w:r>
      <w:r w:rsidR="00806890">
        <w:t>on Brink’s methodology, for example it is</w:t>
      </w:r>
      <w:r>
        <w:t xml:space="preserve"> unclear from the findings</w:t>
      </w:r>
      <w:r w:rsidR="000E2176">
        <w:rPr>
          <w:rStyle w:val="FootnoteReference"/>
        </w:rPr>
        <w:footnoteReference w:id="37"/>
      </w:r>
      <w:r>
        <w:t xml:space="preserve"> presented </w:t>
      </w:r>
      <w:r w:rsidR="00E44931">
        <w:t xml:space="preserve">whether there were more options that agree or disagree. </w:t>
      </w:r>
      <w:r w:rsidR="00D413F7">
        <w:t xml:space="preserve">In a similar manner to Bennett, Brink has chosen a small and focused section of society to research. </w:t>
      </w:r>
      <w:r w:rsidR="00175086">
        <w:t xml:space="preserve">Brink surveyed 227 </w:t>
      </w:r>
      <w:r w:rsidR="00487DEF">
        <w:t xml:space="preserve">junior and senior students at a Roman Catholic girl’s school, with participants being students who attended a mandatory religion class </w:t>
      </w:r>
      <w:r w:rsidR="00E57114">
        <w:t>on the day.</w:t>
      </w:r>
      <w:r w:rsidR="00593740">
        <w:t xml:space="preserve"> </w:t>
      </w:r>
    </w:p>
    <w:p w14:paraId="04F8368F" w14:textId="4BA07500" w:rsidR="00565815" w:rsidRDefault="00AA426F" w:rsidP="00ED5838">
      <w:pPr>
        <w:spacing w:line="360" w:lineRule="auto"/>
      </w:pPr>
      <w:r>
        <w:t xml:space="preserve">Bennett and Brink </w:t>
      </w:r>
      <w:r w:rsidR="00AD1FED">
        <w:t xml:space="preserve">take different methodological approaches, but there is similarity in their position as outsiders. </w:t>
      </w:r>
      <w:r w:rsidR="00CC6A37">
        <w:t xml:space="preserve">Fiona Bowie argued that </w:t>
      </w:r>
      <w:r w:rsidR="00CB4D1D">
        <w:t>those</w:t>
      </w:r>
      <w:r w:rsidR="009B642B">
        <w:t xml:space="preserve"> being surveyed or interviewed for</w:t>
      </w:r>
      <w:r w:rsidR="00CB4D1D">
        <w:t xml:space="preserve"> research may hide </w:t>
      </w:r>
      <w:r w:rsidR="00CB4D1D">
        <w:lastRenderedPageBreak/>
        <w:t>parts of themselves that, while pertinent to the research</w:t>
      </w:r>
      <w:r w:rsidR="009B642B">
        <w:t>, could be ridiculed by peers or dismissed by researchers</w:t>
      </w:r>
      <w:r w:rsidR="009B642B">
        <w:rPr>
          <w:rStyle w:val="FootnoteReference"/>
        </w:rPr>
        <w:footnoteReference w:id="38"/>
      </w:r>
      <w:r w:rsidR="009B642B">
        <w:t>.</w:t>
      </w:r>
      <w:r w:rsidR="00E64848">
        <w:t xml:space="preserve"> </w:t>
      </w:r>
      <w:r w:rsidR="00F9167C">
        <w:t>Bennett noted that some women were ‘shamefaced</w:t>
      </w:r>
      <w:r w:rsidR="00ED5838">
        <w:t>’</w:t>
      </w:r>
      <w:r w:rsidR="00ED5838">
        <w:rPr>
          <w:rStyle w:val="FootnoteReference"/>
        </w:rPr>
        <w:footnoteReference w:id="39"/>
      </w:r>
      <w:r w:rsidR="00F9167C">
        <w:t xml:space="preserve"> about </w:t>
      </w:r>
      <w:r w:rsidR="00ED5838">
        <w:t>believing in divinatory practices</w:t>
      </w:r>
      <w:r w:rsidR="00755253">
        <w:t xml:space="preserve"> despite being ‘equally knowledgeable about the divinatory and visionary’</w:t>
      </w:r>
      <w:r w:rsidR="00755253">
        <w:rPr>
          <w:rStyle w:val="FootnoteReference"/>
        </w:rPr>
        <w:footnoteReference w:id="40"/>
      </w:r>
      <w:r w:rsidR="00755253">
        <w:t>.</w:t>
      </w:r>
      <w:r w:rsidR="007C571D">
        <w:t xml:space="preserve"> In contrast to Brink’s paper, perhaps due to length, Bennett investigated the reasons behind the </w:t>
      </w:r>
      <w:r w:rsidR="009F0E28">
        <w:t xml:space="preserve">shame around divinatory practices. </w:t>
      </w:r>
      <w:r w:rsidR="00A21011">
        <w:t xml:space="preserve">Bennett’s paper contained obvious reflexivity, especially in </w:t>
      </w:r>
      <w:r w:rsidR="00D27176">
        <w:t>the</w:t>
      </w:r>
      <w:r w:rsidR="00A21011">
        <w:t xml:space="preserve"> opening sections. Bennett </w:t>
      </w:r>
      <w:r w:rsidR="00A272A5">
        <w:t>wrote</w:t>
      </w:r>
      <w:r w:rsidR="00A21011">
        <w:t xml:space="preserve"> that </w:t>
      </w:r>
      <w:r w:rsidR="00CF294F">
        <w:t>some aspects of the way folklore was discussed were ‘</w:t>
      </w:r>
      <w:r w:rsidR="007B14AD">
        <w:t>strange – to the researcher’</w:t>
      </w:r>
      <w:r w:rsidR="007B14AD">
        <w:rPr>
          <w:rStyle w:val="FootnoteReference"/>
        </w:rPr>
        <w:footnoteReference w:id="41"/>
      </w:r>
      <w:r w:rsidR="00712AE0">
        <w:t xml:space="preserve">, but would not appear to be unusual to anyone else in the social circles in which discussions of folklore took place. </w:t>
      </w:r>
      <w:r w:rsidR="00CA6B2C">
        <w:t>This reflexivity</w:t>
      </w:r>
      <w:r w:rsidR="00834338">
        <w:t xml:space="preserve"> demonstrated by Bennett</w:t>
      </w:r>
      <w:r w:rsidR="00567C80">
        <w:t xml:space="preserve"> </w:t>
      </w:r>
      <w:r w:rsidR="00881F66">
        <w:t xml:space="preserve">is necessary </w:t>
      </w:r>
      <w:r w:rsidR="00125D52">
        <w:t xml:space="preserve">to the hypothesis that </w:t>
      </w:r>
      <w:r w:rsidR="00EF38A6">
        <w:t xml:space="preserve">the social and moral codes of this </w:t>
      </w:r>
      <w:r w:rsidR="009026D8">
        <w:t>group</w:t>
      </w:r>
      <w:r w:rsidR="00EF38A6">
        <w:t xml:space="preserve"> of women has an impact on the ‘</w:t>
      </w:r>
      <w:r w:rsidR="00E3207A">
        <w:t>constantly negotiated folklore.’</w:t>
      </w:r>
      <w:r w:rsidR="00E3207A">
        <w:rPr>
          <w:rStyle w:val="FootnoteReference"/>
        </w:rPr>
        <w:footnoteReference w:id="42"/>
      </w:r>
      <w:r w:rsidR="009026D8">
        <w:t xml:space="preserve"> As David J. Hufford wrote</w:t>
      </w:r>
      <w:r w:rsidR="00834338">
        <w:t xml:space="preserve"> </w:t>
      </w:r>
      <w:r w:rsidR="008744DA" w:rsidRPr="008744DA">
        <w:t xml:space="preserve">‘reflexivity helps to control hidden bias. Reflexivity </w:t>
      </w:r>
      <w:r w:rsidR="00175D47">
        <w:t xml:space="preserve">… </w:t>
      </w:r>
      <w:r w:rsidR="008744DA" w:rsidRPr="008744DA">
        <w:t xml:space="preserve"> urges on us a multiplication of perspectives.’</w:t>
      </w:r>
      <w:r w:rsidR="008744DA">
        <w:rPr>
          <w:rStyle w:val="FootnoteReference"/>
        </w:rPr>
        <w:footnoteReference w:id="43"/>
      </w:r>
      <w:r w:rsidR="00175D47">
        <w:t xml:space="preserve"> Bennett’s methodology of using in depth interviews </w:t>
      </w:r>
      <w:r w:rsidR="00A676C7">
        <w:t>exposes her to the complexities of the folklore, and even becomes part of her own vocabulary</w:t>
      </w:r>
      <w:r w:rsidR="00A676C7">
        <w:rPr>
          <w:rStyle w:val="FootnoteReference"/>
        </w:rPr>
        <w:footnoteReference w:id="44"/>
      </w:r>
      <w:r w:rsidR="00A676C7">
        <w:t>.</w:t>
      </w:r>
      <w:r w:rsidR="006D39AD">
        <w:t xml:space="preserve"> </w:t>
      </w:r>
    </w:p>
    <w:p w14:paraId="763E0062" w14:textId="458F4EB1" w:rsidR="00565815" w:rsidRDefault="003412B4" w:rsidP="00264A8F">
      <w:pPr>
        <w:spacing w:line="360" w:lineRule="auto"/>
      </w:pPr>
      <w:r>
        <w:t xml:space="preserve">Brink showed less reflexivity in his paper, however this may be due to the short length of the paper and its aims. Still, there are ethical issues in Brink’s paper, </w:t>
      </w:r>
      <w:r w:rsidR="00E1100F">
        <w:t>the resolutions of which were</w:t>
      </w:r>
      <w:r>
        <w:t xml:space="preserve"> unclear. Brink is using an American high school class in a Roman Catholic girls school. </w:t>
      </w:r>
      <w:r w:rsidR="00780CFF">
        <w:t>The questionnaires were given to those present in a mandatory class on the day</w:t>
      </w:r>
      <w:r w:rsidR="00264A8F">
        <w:rPr>
          <w:rStyle w:val="FootnoteReference"/>
        </w:rPr>
        <w:footnoteReference w:id="45"/>
      </w:r>
      <w:r w:rsidR="00780CFF">
        <w:t xml:space="preserve">, however it is not clear whether privacy was given to complete the survey anonymously. </w:t>
      </w:r>
      <w:r w:rsidR="0060063E">
        <w:t>Anne Marshall and Blythe Shepard</w:t>
      </w:r>
      <w:r w:rsidR="00FE1B83">
        <w:t xml:space="preserve"> noted that </w:t>
      </w:r>
      <w:r w:rsidR="004D2E2F">
        <w:t>students</w:t>
      </w:r>
      <w:r w:rsidR="00FE1B83">
        <w:t xml:space="preserve"> may feel pressure to consent </w:t>
      </w:r>
      <w:r w:rsidR="00A603FE">
        <w:t xml:space="preserve">to </w:t>
      </w:r>
      <w:r w:rsidR="0087385D">
        <w:t xml:space="preserve">participating in </w:t>
      </w:r>
      <w:r w:rsidR="00A603FE">
        <w:t xml:space="preserve">research if asked by an adult </w:t>
      </w:r>
      <w:r w:rsidR="004F0B1C">
        <w:t>authority</w:t>
      </w:r>
      <w:r w:rsidR="004F0B1C">
        <w:rPr>
          <w:rStyle w:val="FootnoteReference"/>
        </w:rPr>
        <w:footnoteReference w:id="46"/>
      </w:r>
      <w:r w:rsidR="004F0B1C">
        <w:t>.</w:t>
      </w:r>
      <w:r w:rsidR="00067DC3">
        <w:t xml:space="preserve"> </w:t>
      </w:r>
      <w:r w:rsidR="001F5CAE">
        <w:t>Similar to Bennett, Brink used a place familiar to the participants, perhaps attempting to ensure not only a level of familiarity, but also ensuring data collected was limited to a specific location and social group.</w:t>
      </w:r>
    </w:p>
    <w:p w14:paraId="7AADC4D4" w14:textId="77777777" w:rsidR="00AC72A2" w:rsidRDefault="00AC72A2" w:rsidP="00264A8F">
      <w:pPr>
        <w:spacing w:line="360" w:lineRule="auto"/>
        <w:rPr>
          <w:b/>
          <w:bCs/>
        </w:rPr>
      </w:pPr>
    </w:p>
    <w:p w14:paraId="76B9D6AC" w14:textId="77777777" w:rsidR="00AC72A2" w:rsidRDefault="00AC72A2" w:rsidP="00264A8F">
      <w:pPr>
        <w:spacing w:line="360" w:lineRule="auto"/>
        <w:rPr>
          <w:b/>
          <w:bCs/>
        </w:rPr>
      </w:pPr>
    </w:p>
    <w:p w14:paraId="25CAA535" w14:textId="7764F28C" w:rsidR="00A45C8F" w:rsidRDefault="00A45C8F" w:rsidP="00264A8F">
      <w:pPr>
        <w:spacing w:line="360" w:lineRule="auto"/>
        <w:rPr>
          <w:b/>
          <w:bCs/>
        </w:rPr>
      </w:pPr>
      <w:r>
        <w:rPr>
          <w:b/>
          <w:bCs/>
        </w:rPr>
        <w:lastRenderedPageBreak/>
        <w:t>Conclusion</w:t>
      </w:r>
    </w:p>
    <w:p w14:paraId="529DD263" w14:textId="70DE6D1D" w:rsidR="00DC7985" w:rsidRDefault="001A2843" w:rsidP="00DC7985">
      <w:pPr>
        <w:spacing w:line="360" w:lineRule="auto"/>
      </w:pPr>
      <w:r>
        <w:t>Bennett and Brink were both investigating beliefs of a certain group of people in specific localities, within a specific age range. Brink set out his philosophical and sociological approach, namely a functionalist one, in the outset of his paper</w:t>
      </w:r>
      <w:r w:rsidR="00977910">
        <w:t xml:space="preserve">. </w:t>
      </w:r>
      <w:r>
        <w:t>Bennett does not name any</w:t>
      </w:r>
      <w:r w:rsidR="00977910">
        <w:t xml:space="preserve"> </w:t>
      </w:r>
      <w:r>
        <w:t>specific</w:t>
      </w:r>
      <w:r w:rsidR="00977910">
        <w:t xml:space="preserve"> approach</w:t>
      </w:r>
      <w:r>
        <w:t xml:space="preserve"> but rather her hypotheses and sociological approaches are revealed throughout the paper. </w:t>
      </w:r>
    </w:p>
    <w:p w14:paraId="6FB8FF66" w14:textId="6E49F1F6" w:rsidR="001A2843" w:rsidRDefault="001A2843" w:rsidP="00DC7985">
      <w:pPr>
        <w:spacing w:line="360" w:lineRule="auto"/>
      </w:pPr>
      <w:r>
        <w:t xml:space="preserve">Both authors </w:t>
      </w:r>
      <w:r w:rsidR="007107E9">
        <w:t xml:space="preserve">examined the role of society in attitudes and beliefs towards the supernatural and religious. </w:t>
      </w:r>
      <w:r w:rsidR="00731065">
        <w:t xml:space="preserve">Whilst Brink’s was much briefer, he successfully situated his research within the context </w:t>
      </w:r>
      <w:r w:rsidR="000E6BCD">
        <w:t xml:space="preserve">of ongoing research on American adolescence, as well as the </w:t>
      </w:r>
      <w:r w:rsidR="002613DD">
        <w:t>counterculture</w:t>
      </w:r>
      <w:r w:rsidR="000E6BCD">
        <w:t xml:space="preserve"> movements occurring at the time of writing his paper</w:t>
      </w:r>
      <w:r w:rsidR="00E45251">
        <w:t>.</w:t>
      </w:r>
      <w:r w:rsidR="002613DD">
        <w:rPr>
          <w:rStyle w:val="FootnoteReference"/>
        </w:rPr>
        <w:footnoteReference w:id="47"/>
      </w:r>
      <w:r w:rsidR="00E45251">
        <w:t xml:space="preserve"> </w:t>
      </w:r>
      <w:r w:rsidR="000E6BCD">
        <w:t xml:space="preserve"> </w:t>
      </w:r>
      <w:r w:rsidR="008B0472">
        <w:t>Bennett’s focus on Britain and British folklore</w:t>
      </w:r>
      <w:r w:rsidR="004A7247">
        <w:t xml:space="preserve"> takes her much further back than </w:t>
      </w:r>
      <w:r w:rsidR="00C17DFF">
        <w:t xml:space="preserve">American </w:t>
      </w:r>
      <w:r w:rsidR="004A7247">
        <w:t>in</w:t>
      </w:r>
      <w:r w:rsidR="00C17DFF">
        <w:t>dependence in</w:t>
      </w:r>
      <w:r w:rsidR="004A7247">
        <w:t xml:space="preserve"> 1776, and thus Bennett may have chosen to provide more historical background than Brink</w:t>
      </w:r>
      <w:r w:rsidR="00F54150">
        <w:t xml:space="preserve">, and found it more relevant to her research on traditional roles and values amongst elderly women. </w:t>
      </w:r>
      <w:r w:rsidR="00AC72A2">
        <w:t xml:space="preserve">Despite the differences in age group and historical background </w:t>
      </w:r>
      <w:r w:rsidR="007519DE">
        <w:t xml:space="preserve">of each author’s research, their conclusions </w:t>
      </w:r>
      <w:r w:rsidR="00B5766B">
        <w:t>both demonstrated</w:t>
      </w:r>
      <w:r w:rsidR="00166C80">
        <w:t xml:space="preserve"> </w:t>
      </w:r>
      <w:r w:rsidR="00E735A6">
        <w:t>persisting societal demands on those surveyed</w:t>
      </w:r>
      <w:r w:rsidR="00B5766B">
        <w:t xml:space="preserve">. </w:t>
      </w:r>
      <w:r w:rsidR="0081030A">
        <w:t xml:space="preserve">Bennett does make it clear that some readers may not agree with </w:t>
      </w:r>
      <w:r w:rsidR="000C57BC">
        <w:t xml:space="preserve">the </w:t>
      </w:r>
      <w:r w:rsidR="00737F07">
        <w:t>suggestion</w:t>
      </w:r>
      <w:r w:rsidR="000C57BC">
        <w:t xml:space="preserve"> that the women’s beliefs about foreknowledge serve to reinforce their traditional roles</w:t>
      </w:r>
      <w:r w:rsidR="000C57BC">
        <w:rPr>
          <w:rStyle w:val="FootnoteReference"/>
        </w:rPr>
        <w:footnoteReference w:id="48"/>
      </w:r>
      <w:r w:rsidR="00737F07">
        <w:t xml:space="preserve">, and Brink suggested that </w:t>
      </w:r>
      <w:r w:rsidR="00423F73">
        <w:t>belief in astrology and reincarnation may arise from ‘</w:t>
      </w:r>
      <w:r w:rsidR="003F3B17">
        <w:t>marginality or alienation.’</w:t>
      </w:r>
      <w:r w:rsidR="003F3B17">
        <w:rPr>
          <w:rStyle w:val="FootnoteReference"/>
        </w:rPr>
        <w:footnoteReference w:id="49"/>
      </w:r>
      <w:r w:rsidR="00866A88">
        <w:t xml:space="preserve"> Brink was more functionalist in his </w:t>
      </w:r>
      <w:r w:rsidR="006277FB">
        <w:t>conclusions and</w:t>
      </w:r>
      <w:r w:rsidR="00DA01D2">
        <w:t xml:space="preserve"> wrote that </w:t>
      </w:r>
      <w:r w:rsidR="0029008C">
        <w:t>young people may adopt beliefs which are ‘structurally inconsistent but functionally similar’</w:t>
      </w:r>
      <w:r w:rsidR="0029008C">
        <w:rPr>
          <w:rStyle w:val="FootnoteReference"/>
        </w:rPr>
        <w:footnoteReference w:id="50"/>
      </w:r>
      <w:r w:rsidR="0029008C">
        <w:t xml:space="preserve"> to navigate a confusing world</w:t>
      </w:r>
      <w:r w:rsidR="006277FB">
        <w:t xml:space="preserve">, but a comparison can be drawn to Bennett’s </w:t>
      </w:r>
      <w:r w:rsidR="00B82510">
        <w:t>argument that women who felt helpless were passively empowered through unprompted foreknowledge, and thus less likely to succumb to chance</w:t>
      </w:r>
      <w:r w:rsidR="00B82510">
        <w:rPr>
          <w:rStyle w:val="FootnoteReference"/>
        </w:rPr>
        <w:footnoteReference w:id="51"/>
      </w:r>
      <w:r w:rsidR="00B82510">
        <w:t>.</w:t>
      </w:r>
    </w:p>
    <w:p w14:paraId="25D45FDB" w14:textId="0825C823" w:rsidR="00E441BD" w:rsidRPr="00A45C8F" w:rsidRDefault="00E441BD" w:rsidP="00DC7985">
      <w:pPr>
        <w:spacing w:line="360" w:lineRule="auto"/>
      </w:pPr>
      <w:r>
        <w:t>Brink and Bennett both conclude that more research is needed, but clearly achieve their aims of their papers and</w:t>
      </w:r>
      <w:r w:rsidR="002C1FB4">
        <w:t xml:space="preserve"> construct structurally sound arguments for their hypotheses and outcomes. </w:t>
      </w:r>
    </w:p>
    <w:p w14:paraId="29308E35" w14:textId="77777777" w:rsidR="00565815" w:rsidRPr="0006121F" w:rsidRDefault="00565815" w:rsidP="0024499B"/>
    <w:sectPr w:rsidR="00565815" w:rsidRPr="0006121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DF1277" w14:textId="77777777" w:rsidR="00003A24" w:rsidRDefault="00003A24" w:rsidP="003762C5">
      <w:pPr>
        <w:spacing w:after="0" w:line="240" w:lineRule="auto"/>
      </w:pPr>
      <w:r>
        <w:separator/>
      </w:r>
    </w:p>
  </w:endnote>
  <w:endnote w:type="continuationSeparator" w:id="0">
    <w:p w14:paraId="58565C71" w14:textId="77777777" w:rsidR="00003A24" w:rsidRDefault="00003A24" w:rsidP="003762C5">
      <w:pPr>
        <w:spacing w:after="0" w:line="240" w:lineRule="auto"/>
      </w:pPr>
      <w:r>
        <w:continuationSeparator/>
      </w:r>
    </w:p>
  </w:endnote>
  <w:endnote w:type="continuationNotice" w:id="1">
    <w:p w14:paraId="264A93E2" w14:textId="77777777" w:rsidR="00003A24" w:rsidRDefault="00003A2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001699"/>
      <w:docPartObj>
        <w:docPartGallery w:val="Page Numbers (Bottom of Page)"/>
        <w:docPartUnique/>
      </w:docPartObj>
    </w:sdtPr>
    <w:sdtEndPr>
      <w:rPr>
        <w:noProof/>
      </w:rPr>
    </w:sdtEndPr>
    <w:sdtContent>
      <w:p w14:paraId="4F4B9B17" w14:textId="133368ED" w:rsidR="00C703E6" w:rsidRDefault="00C703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D90361" w14:textId="77777777" w:rsidR="00C703E6" w:rsidRDefault="00C70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64B90" w14:textId="77777777" w:rsidR="00003A24" w:rsidRDefault="00003A24" w:rsidP="003762C5">
      <w:pPr>
        <w:spacing w:after="0" w:line="240" w:lineRule="auto"/>
      </w:pPr>
      <w:r>
        <w:separator/>
      </w:r>
    </w:p>
  </w:footnote>
  <w:footnote w:type="continuationSeparator" w:id="0">
    <w:p w14:paraId="0A1D85E4" w14:textId="77777777" w:rsidR="00003A24" w:rsidRDefault="00003A24" w:rsidP="003762C5">
      <w:pPr>
        <w:spacing w:after="0" w:line="240" w:lineRule="auto"/>
      </w:pPr>
      <w:r>
        <w:continuationSeparator/>
      </w:r>
    </w:p>
  </w:footnote>
  <w:footnote w:type="continuationNotice" w:id="1">
    <w:p w14:paraId="68042E69" w14:textId="77777777" w:rsidR="00003A24" w:rsidRDefault="00003A24">
      <w:pPr>
        <w:spacing w:after="0" w:line="240" w:lineRule="auto"/>
      </w:pPr>
    </w:p>
  </w:footnote>
  <w:footnote w:id="2">
    <w:p w14:paraId="2BB64A71" w14:textId="701E5529" w:rsidR="003762C5" w:rsidRPr="004A1029" w:rsidRDefault="003762C5">
      <w:pPr>
        <w:pStyle w:val="FootnoteText"/>
        <w:rPr>
          <w:rFonts w:cstheme="minorHAnsi"/>
        </w:rPr>
      </w:pPr>
      <w:r w:rsidRPr="004A1029">
        <w:rPr>
          <w:rStyle w:val="FootnoteReference"/>
          <w:rFonts w:cstheme="minorHAnsi"/>
        </w:rPr>
        <w:footnoteRef/>
      </w:r>
      <w:r w:rsidRPr="004A1029">
        <w:rPr>
          <w:rFonts w:cstheme="minorHAnsi"/>
        </w:rPr>
        <w:t xml:space="preserve"> Brink, T. L. ‘Inconsistency of Belief among Roman Catholic Girls: Concerning Religion,</w:t>
      </w:r>
      <w:r w:rsidR="00D26C2B" w:rsidRPr="004A1029">
        <w:rPr>
          <w:rFonts w:cstheme="minorHAnsi"/>
        </w:rPr>
        <w:t xml:space="preserve"> </w:t>
      </w:r>
      <w:r w:rsidRPr="004A1029">
        <w:rPr>
          <w:rFonts w:cstheme="minorHAnsi"/>
        </w:rPr>
        <w:t>Astrology, Reincarnation.’</w:t>
      </w:r>
      <w:r w:rsidR="00D26C2B" w:rsidRPr="004A1029">
        <w:rPr>
          <w:rFonts w:cstheme="minorHAnsi"/>
        </w:rPr>
        <w:t xml:space="preserve"> in</w:t>
      </w:r>
      <w:r w:rsidRPr="004A1029">
        <w:rPr>
          <w:rFonts w:cstheme="minorHAnsi"/>
        </w:rPr>
        <w:t xml:space="preserve"> </w:t>
      </w:r>
      <w:r w:rsidRPr="004A1029">
        <w:rPr>
          <w:rFonts w:cstheme="minorHAnsi"/>
          <w:i/>
          <w:iCs/>
        </w:rPr>
        <w:t>Review of Religious Research</w:t>
      </w:r>
      <w:r w:rsidRPr="004A1029">
        <w:rPr>
          <w:rFonts w:cstheme="minorHAnsi"/>
        </w:rPr>
        <w:t>, 20,</w:t>
      </w:r>
      <w:r w:rsidR="00265AB3" w:rsidRPr="004A1029">
        <w:rPr>
          <w:rFonts w:cstheme="minorHAnsi"/>
        </w:rPr>
        <w:t xml:space="preserve"> (1978), pp.</w:t>
      </w:r>
      <w:r w:rsidRPr="004A1029">
        <w:rPr>
          <w:rFonts w:cstheme="minorHAnsi"/>
        </w:rPr>
        <w:t xml:space="preserve"> 82-85. </w:t>
      </w:r>
    </w:p>
  </w:footnote>
  <w:footnote w:id="3">
    <w:p w14:paraId="7B7766C7" w14:textId="36D43A48" w:rsidR="006E4D76" w:rsidRPr="004A1029" w:rsidRDefault="006E4D76">
      <w:pPr>
        <w:pStyle w:val="FootnoteText"/>
        <w:rPr>
          <w:rFonts w:cstheme="minorHAnsi"/>
        </w:rPr>
      </w:pPr>
      <w:r w:rsidRPr="004A1029">
        <w:rPr>
          <w:rStyle w:val="FootnoteReference"/>
          <w:rFonts w:cstheme="minorHAnsi"/>
        </w:rPr>
        <w:footnoteRef/>
      </w:r>
      <w:r w:rsidRPr="004A1029">
        <w:rPr>
          <w:rFonts w:cstheme="minorHAnsi"/>
        </w:rPr>
        <w:t xml:space="preserve"> </w:t>
      </w:r>
      <w:r w:rsidRPr="004A1029">
        <w:rPr>
          <w:rFonts w:cstheme="minorHAnsi"/>
          <w:i/>
          <w:iCs/>
        </w:rPr>
        <w:t xml:space="preserve">Aims and Scope, </w:t>
      </w:r>
      <w:r w:rsidRPr="004A1029">
        <w:rPr>
          <w:rFonts w:cstheme="minorHAnsi"/>
        </w:rPr>
        <w:t>Religious Research Association</w:t>
      </w:r>
      <w:r w:rsidR="003D76F4" w:rsidRPr="004A1029">
        <w:rPr>
          <w:rFonts w:cstheme="minorHAnsi"/>
        </w:rPr>
        <w:t xml:space="preserve">, </w:t>
      </w:r>
      <w:hyperlink r:id="rId1" w:history="1">
        <w:r w:rsidR="003D76F4" w:rsidRPr="004A1029">
          <w:rPr>
            <w:rStyle w:val="Hyperlink"/>
            <w:rFonts w:cstheme="minorHAnsi"/>
          </w:rPr>
          <w:t>https://www.rraweb.org/journal-review-of-religious-research/aims-and-scope/</w:t>
        </w:r>
      </w:hyperlink>
      <w:r w:rsidR="003D76F4" w:rsidRPr="004A1029">
        <w:rPr>
          <w:rFonts w:cstheme="minorHAnsi"/>
        </w:rPr>
        <w:t xml:space="preserve"> [accessed on 28/02/2023]. </w:t>
      </w:r>
    </w:p>
  </w:footnote>
  <w:footnote w:id="4">
    <w:p w14:paraId="6AD1402C" w14:textId="67C8CEED" w:rsidR="009814CE" w:rsidRPr="004A1029" w:rsidRDefault="009814CE">
      <w:pPr>
        <w:pStyle w:val="FootnoteText"/>
        <w:rPr>
          <w:rFonts w:cstheme="minorHAnsi"/>
        </w:rPr>
      </w:pPr>
      <w:r w:rsidRPr="004A1029">
        <w:rPr>
          <w:rStyle w:val="FootnoteReference"/>
          <w:rFonts w:cstheme="minorHAnsi"/>
        </w:rPr>
        <w:footnoteRef/>
      </w:r>
      <w:r w:rsidRPr="004A1029">
        <w:rPr>
          <w:rFonts w:cstheme="minorHAnsi"/>
        </w:rPr>
        <w:t xml:space="preserve"> Ibid. </w:t>
      </w:r>
    </w:p>
  </w:footnote>
  <w:footnote w:id="5">
    <w:p w14:paraId="024EA821" w14:textId="0EEFD094" w:rsidR="004A6011" w:rsidRPr="004A1029" w:rsidRDefault="005A7625" w:rsidP="004A6011">
      <w:pPr>
        <w:pStyle w:val="FootnoteText"/>
        <w:rPr>
          <w:rFonts w:cstheme="minorHAnsi"/>
        </w:rPr>
      </w:pPr>
      <w:r w:rsidRPr="004A1029">
        <w:rPr>
          <w:rStyle w:val="FootnoteReference"/>
          <w:rFonts w:cstheme="minorHAnsi"/>
        </w:rPr>
        <w:footnoteRef/>
      </w:r>
      <w:r w:rsidRPr="004A1029">
        <w:rPr>
          <w:rFonts w:cstheme="minorHAnsi"/>
        </w:rPr>
        <w:t xml:space="preserve"> </w:t>
      </w:r>
      <w:r w:rsidR="004A6011" w:rsidRPr="004A1029">
        <w:rPr>
          <w:rFonts w:cstheme="minorHAnsi"/>
        </w:rPr>
        <w:t xml:space="preserve">Bennett, G. 1995. “If I Knew You were </w:t>
      </w:r>
      <w:proofErr w:type="gramStart"/>
      <w:r w:rsidR="004A6011" w:rsidRPr="004A1029">
        <w:rPr>
          <w:rFonts w:cstheme="minorHAnsi"/>
        </w:rPr>
        <w:t>Coming</w:t>
      </w:r>
      <w:proofErr w:type="gramEnd"/>
      <w:r w:rsidR="004A6011" w:rsidRPr="004A1029">
        <w:rPr>
          <w:rFonts w:cstheme="minorHAnsi"/>
        </w:rPr>
        <w:t xml:space="preserve"> I'd Have Baked a Cake”: The Folklore of</w:t>
      </w:r>
    </w:p>
    <w:p w14:paraId="1E949FE8" w14:textId="77777777" w:rsidR="004A6011" w:rsidRPr="004A1029" w:rsidRDefault="004A6011" w:rsidP="004A6011">
      <w:pPr>
        <w:pStyle w:val="FootnoteText"/>
        <w:rPr>
          <w:rFonts w:cstheme="minorHAnsi"/>
        </w:rPr>
      </w:pPr>
      <w:r w:rsidRPr="004A1029">
        <w:rPr>
          <w:rFonts w:cstheme="minorHAnsi"/>
        </w:rPr>
        <w:t xml:space="preserve">Foreknowledge in a </w:t>
      </w:r>
      <w:proofErr w:type="spellStart"/>
      <w:r w:rsidRPr="004A1029">
        <w:rPr>
          <w:rFonts w:cstheme="minorHAnsi"/>
        </w:rPr>
        <w:t>Neighborhood</w:t>
      </w:r>
      <w:proofErr w:type="spellEnd"/>
      <w:r w:rsidRPr="004A1029">
        <w:rPr>
          <w:rFonts w:cstheme="minorHAnsi"/>
        </w:rPr>
        <w:t xml:space="preserve"> Group. In Out of the Ordinary: Folklore and the</w:t>
      </w:r>
    </w:p>
    <w:p w14:paraId="46C73750" w14:textId="77777777" w:rsidR="004A6011" w:rsidRPr="004A1029" w:rsidRDefault="004A6011" w:rsidP="004A6011">
      <w:pPr>
        <w:pStyle w:val="FootnoteText"/>
        <w:rPr>
          <w:rFonts w:cstheme="minorHAnsi"/>
        </w:rPr>
      </w:pPr>
      <w:r w:rsidRPr="004A1029">
        <w:rPr>
          <w:rFonts w:cstheme="minorHAnsi"/>
        </w:rPr>
        <w:t>Supernatural, edited by Barbara Walker, 122-142. Logan, Utah: Utah University Press.</w:t>
      </w:r>
    </w:p>
    <w:p w14:paraId="65756F2A" w14:textId="01BEC748" w:rsidR="005A7625" w:rsidRPr="004A1029" w:rsidRDefault="00853DB4" w:rsidP="004A6011">
      <w:pPr>
        <w:pStyle w:val="FootnoteText"/>
      </w:pPr>
      <w:hyperlink r:id="rId2" w:history="1">
        <w:r w:rsidR="004A6011" w:rsidRPr="004A1029">
          <w:rPr>
            <w:rStyle w:val="Hyperlink"/>
            <w:rFonts w:cstheme="minorHAnsi"/>
          </w:rPr>
          <w:t>https://digitalcommons.usu.edu/cgi/viewcontent.cgi?article=1079&amp;context=usupress_pubs</w:t>
        </w:r>
      </w:hyperlink>
      <w:r w:rsidR="004A6011" w:rsidRPr="004A1029">
        <w:rPr>
          <w:rFonts w:cstheme="minorHAnsi"/>
        </w:rPr>
        <w:t xml:space="preserve"> [accessed on 01/03/2023]</w:t>
      </w:r>
    </w:p>
  </w:footnote>
  <w:footnote w:id="6">
    <w:p w14:paraId="50E4B6BD" w14:textId="28E7E9A4" w:rsidR="004A6011" w:rsidRPr="004A1029" w:rsidRDefault="004A6011">
      <w:pPr>
        <w:pStyle w:val="FootnoteText"/>
      </w:pPr>
      <w:r w:rsidRPr="004A1029">
        <w:rPr>
          <w:rStyle w:val="FootnoteReference"/>
        </w:rPr>
        <w:footnoteRef/>
      </w:r>
      <w:r w:rsidRPr="004A1029">
        <w:t xml:space="preserve"> </w:t>
      </w:r>
      <w:r w:rsidR="005731B8" w:rsidRPr="004A1029">
        <w:t xml:space="preserve">Walker, Barbara. “Preface.” Out Of </w:t>
      </w:r>
      <w:proofErr w:type="gramStart"/>
      <w:r w:rsidR="005731B8" w:rsidRPr="004A1029">
        <w:t>The</w:t>
      </w:r>
      <w:proofErr w:type="gramEnd"/>
      <w:r w:rsidR="005731B8" w:rsidRPr="004A1029">
        <w:t xml:space="preserve"> Ordinary: Folklore and the Supernatural, ed. Barbara Walker, University Press of Colorado, 1995, pp. ix–x. JSTOR, https://doi.org/10.2307/j.ctt46nwn8.3. Accessed 4 Mar. 2023. </w:t>
      </w:r>
      <w:proofErr w:type="spellStart"/>
      <w:r w:rsidR="005731B8" w:rsidRPr="004A1029">
        <w:t>p.ix</w:t>
      </w:r>
      <w:proofErr w:type="spellEnd"/>
    </w:p>
  </w:footnote>
  <w:footnote w:id="7">
    <w:p w14:paraId="001BBB52" w14:textId="77777777" w:rsidR="00767D93" w:rsidRPr="004A1029" w:rsidRDefault="00767D93" w:rsidP="00767D93">
      <w:pPr>
        <w:pStyle w:val="FootnoteText"/>
      </w:pPr>
      <w:r w:rsidRPr="004A1029">
        <w:rPr>
          <w:rStyle w:val="FootnoteReference"/>
        </w:rPr>
        <w:footnoteRef/>
      </w:r>
      <w:r w:rsidRPr="004A1029">
        <w:t xml:space="preserve"> Ibid. </w:t>
      </w:r>
    </w:p>
  </w:footnote>
  <w:footnote w:id="8">
    <w:p w14:paraId="5C888219" w14:textId="0AB5747D" w:rsidR="00907599" w:rsidRPr="004A1029" w:rsidRDefault="00907599">
      <w:pPr>
        <w:pStyle w:val="FootnoteText"/>
      </w:pPr>
      <w:r w:rsidRPr="004A1029">
        <w:rPr>
          <w:rStyle w:val="FootnoteReference"/>
        </w:rPr>
        <w:footnoteRef/>
      </w:r>
      <w:r w:rsidRPr="004A1029">
        <w:t xml:space="preserve"> Ibid. p.213. </w:t>
      </w:r>
    </w:p>
  </w:footnote>
  <w:footnote w:id="9">
    <w:p w14:paraId="1B17F8E9" w14:textId="0C009413" w:rsidR="00AA349C" w:rsidRPr="004A1029" w:rsidRDefault="00AA349C">
      <w:pPr>
        <w:pStyle w:val="FootnoteText"/>
      </w:pPr>
      <w:r w:rsidRPr="004A1029">
        <w:rPr>
          <w:rStyle w:val="FootnoteReference"/>
        </w:rPr>
        <w:footnoteRef/>
      </w:r>
      <w:r w:rsidRPr="004A1029">
        <w:t xml:space="preserve"> Brink, ‘</w:t>
      </w:r>
      <w:r w:rsidRPr="004A1029">
        <w:rPr>
          <w:i/>
          <w:iCs/>
        </w:rPr>
        <w:t xml:space="preserve">Inconsistency’, </w:t>
      </w:r>
      <w:r w:rsidRPr="004A1029">
        <w:t xml:space="preserve">p. 82. </w:t>
      </w:r>
    </w:p>
  </w:footnote>
  <w:footnote w:id="10">
    <w:p w14:paraId="6D68E6C5" w14:textId="68E4655B" w:rsidR="00A47869" w:rsidRPr="004A1029" w:rsidRDefault="00A47869">
      <w:pPr>
        <w:pStyle w:val="FootnoteText"/>
      </w:pPr>
      <w:r w:rsidRPr="004A1029">
        <w:rPr>
          <w:rStyle w:val="FootnoteReference"/>
        </w:rPr>
        <w:footnoteRef/>
      </w:r>
      <w:r w:rsidRPr="004A1029">
        <w:t xml:space="preserve"> Bennet</w:t>
      </w:r>
      <w:r w:rsidR="00CA5E1C" w:rsidRPr="004A1029">
        <w:t>t</w:t>
      </w:r>
      <w:r w:rsidRPr="004A1029">
        <w:t>, ‘</w:t>
      </w:r>
      <w:r w:rsidRPr="004A1029">
        <w:rPr>
          <w:i/>
          <w:iCs/>
        </w:rPr>
        <w:t>If I Knew You Were Coming’</w:t>
      </w:r>
      <w:r w:rsidRPr="004A1029">
        <w:t xml:space="preserve">, p. 124-5. </w:t>
      </w:r>
    </w:p>
  </w:footnote>
  <w:footnote w:id="11">
    <w:p w14:paraId="4E6F4C60" w14:textId="732A7C6B" w:rsidR="008219B5" w:rsidRPr="004A1029" w:rsidRDefault="008219B5">
      <w:pPr>
        <w:pStyle w:val="FootnoteText"/>
      </w:pPr>
      <w:r w:rsidRPr="004A1029">
        <w:rPr>
          <w:rStyle w:val="FootnoteReference"/>
        </w:rPr>
        <w:footnoteRef/>
      </w:r>
      <w:r w:rsidRPr="004A1029">
        <w:t xml:space="preserve"> Ibid. p. </w:t>
      </w:r>
      <w:r w:rsidR="006A40F5" w:rsidRPr="004A1029">
        <w:t xml:space="preserve">122-3. </w:t>
      </w:r>
    </w:p>
  </w:footnote>
  <w:footnote w:id="12">
    <w:p w14:paraId="4A1F40BA" w14:textId="2F502E6D" w:rsidR="00EC47B1" w:rsidRPr="004A1029" w:rsidRDefault="00EC47B1" w:rsidP="00FE5984">
      <w:pPr>
        <w:pStyle w:val="FootnoteText"/>
      </w:pPr>
      <w:r w:rsidRPr="004A1029">
        <w:rPr>
          <w:rStyle w:val="FootnoteReference"/>
        </w:rPr>
        <w:footnoteRef/>
      </w:r>
      <w:r w:rsidRPr="004A1029">
        <w:t xml:space="preserve"> </w:t>
      </w:r>
      <w:r w:rsidR="00FE5984" w:rsidRPr="004A1029">
        <w:t xml:space="preserve">Barry, Barnes, The Elements of Social Theory, (Princeton, NJ: Princeton University Press, 2014), p. </w:t>
      </w:r>
      <w:r w:rsidR="003563EC" w:rsidRPr="004A1029">
        <w:t xml:space="preserve">37. </w:t>
      </w:r>
    </w:p>
  </w:footnote>
  <w:footnote w:id="13">
    <w:p w14:paraId="282EBB1E" w14:textId="39966815" w:rsidR="00922E8C" w:rsidRPr="004A1029" w:rsidRDefault="00922E8C">
      <w:pPr>
        <w:pStyle w:val="FootnoteText"/>
      </w:pPr>
      <w:r w:rsidRPr="004A1029">
        <w:rPr>
          <w:rStyle w:val="FootnoteReference"/>
        </w:rPr>
        <w:footnoteRef/>
      </w:r>
      <w:r w:rsidRPr="004A1029">
        <w:t xml:space="preserve"> Brink, p. </w:t>
      </w:r>
      <w:r w:rsidR="00320AB9" w:rsidRPr="004A1029">
        <w:t xml:space="preserve">82. </w:t>
      </w:r>
    </w:p>
  </w:footnote>
  <w:footnote w:id="14">
    <w:p w14:paraId="051FE3F0" w14:textId="314C9700" w:rsidR="00405DE1" w:rsidRPr="004A1029" w:rsidRDefault="00405DE1">
      <w:pPr>
        <w:pStyle w:val="FootnoteText"/>
      </w:pPr>
      <w:r w:rsidRPr="004A1029">
        <w:rPr>
          <w:rStyle w:val="FootnoteReference"/>
        </w:rPr>
        <w:footnoteRef/>
      </w:r>
      <w:r w:rsidRPr="004A1029">
        <w:t xml:space="preserve"> Ibid. p. 84. </w:t>
      </w:r>
    </w:p>
  </w:footnote>
  <w:footnote w:id="15">
    <w:p w14:paraId="19271136" w14:textId="3BFCB9D8" w:rsidR="005D200F" w:rsidRPr="004A1029" w:rsidRDefault="005D200F">
      <w:pPr>
        <w:pStyle w:val="FootnoteText"/>
      </w:pPr>
      <w:r w:rsidRPr="004A1029">
        <w:rPr>
          <w:rStyle w:val="FootnoteReference"/>
        </w:rPr>
        <w:footnoteRef/>
      </w:r>
      <w:r w:rsidRPr="004A1029">
        <w:t xml:space="preserve"> Ibid. </w:t>
      </w:r>
    </w:p>
  </w:footnote>
  <w:footnote w:id="16">
    <w:p w14:paraId="6ACA10AD" w14:textId="31751E0F" w:rsidR="005B3FF7" w:rsidRPr="004A1029" w:rsidRDefault="005B3FF7">
      <w:pPr>
        <w:pStyle w:val="FootnoteText"/>
      </w:pPr>
      <w:r w:rsidRPr="004A1029">
        <w:rPr>
          <w:rStyle w:val="FootnoteReference"/>
        </w:rPr>
        <w:footnoteRef/>
      </w:r>
      <w:r w:rsidRPr="004A1029">
        <w:t xml:space="preserve"> Brink, p. </w:t>
      </w:r>
      <w:r w:rsidR="00091C43" w:rsidRPr="004A1029">
        <w:t xml:space="preserve">85. </w:t>
      </w:r>
    </w:p>
  </w:footnote>
  <w:footnote w:id="17">
    <w:p w14:paraId="5C92E2D7" w14:textId="2D8284E3" w:rsidR="008A4175" w:rsidRPr="004A1029" w:rsidRDefault="008A4175">
      <w:pPr>
        <w:pStyle w:val="FootnoteText"/>
      </w:pPr>
      <w:r w:rsidRPr="004A1029">
        <w:rPr>
          <w:rStyle w:val="FootnoteReference"/>
        </w:rPr>
        <w:footnoteRef/>
      </w:r>
      <w:r w:rsidRPr="004A1029">
        <w:t xml:space="preserve"> Ibid. </w:t>
      </w:r>
    </w:p>
  </w:footnote>
  <w:footnote w:id="18">
    <w:p w14:paraId="5BD54398" w14:textId="68345E84" w:rsidR="00BA4BE5" w:rsidRPr="004A1029" w:rsidRDefault="00BA4BE5">
      <w:pPr>
        <w:pStyle w:val="FootnoteText"/>
      </w:pPr>
      <w:r w:rsidRPr="004A1029">
        <w:rPr>
          <w:rStyle w:val="FootnoteReference"/>
        </w:rPr>
        <w:footnoteRef/>
      </w:r>
      <w:r w:rsidRPr="004A1029">
        <w:t xml:space="preserve"> </w:t>
      </w:r>
      <w:r w:rsidR="00022617" w:rsidRPr="004A1029">
        <w:t xml:space="preserve">Aims and Scope, Religious Research Association, https://www.rraweb.org/journal-review-of-religious-research/aims-and-scope/ [accessed on </w:t>
      </w:r>
      <w:r w:rsidR="00022617" w:rsidRPr="004A1029">
        <w:t>15</w:t>
      </w:r>
      <w:r w:rsidR="00022617" w:rsidRPr="004A1029">
        <w:t>/0</w:t>
      </w:r>
      <w:r w:rsidR="00022617" w:rsidRPr="004A1029">
        <w:t>3</w:t>
      </w:r>
      <w:r w:rsidR="00022617" w:rsidRPr="004A1029">
        <w:t>/2023].</w:t>
      </w:r>
    </w:p>
  </w:footnote>
  <w:footnote w:id="19">
    <w:p w14:paraId="767D2543" w14:textId="426D9F6B" w:rsidR="001D031F" w:rsidRPr="004A1029" w:rsidRDefault="001D031F">
      <w:pPr>
        <w:pStyle w:val="FootnoteText"/>
      </w:pPr>
      <w:r w:rsidRPr="004A1029">
        <w:rPr>
          <w:rStyle w:val="FootnoteReference"/>
        </w:rPr>
        <w:footnoteRef/>
      </w:r>
      <w:r w:rsidRPr="004A1029">
        <w:t xml:space="preserve"> Bennett, p. 122.</w:t>
      </w:r>
    </w:p>
  </w:footnote>
  <w:footnote w:id="20">
    <w:p w14:paraId="36649F1D" w14:textId="5F62BBB4" w:rsidR="008511DD" w:rsidRPr="004A1029" w:rsidRDefault="008511DD">
      <w:pPr>
        <w:pStyle w:val="FootnoteText"/>
      </w:pPr>
      <w:r w:rsidRPr="004A1029">
        <w:rPr>
          <w:rStyle w:val="FootnoteReference"/>
        </w:rPr>
        <w:footnoteRef/>
      </w:r>
      <w:r w:rsidRPr="004A1029">
        <w:t xml:space="preserve"> Ibid. p</w:t>
      </w:r>
      <w:r w:rsidR="00C168DB" w:rsidRPr="004A1029">
        <w:t xml:space="preserve">p. 123 – 5. </w:t>
      </w:r>
    </w:p>
  </w:footnote>
  <w:footnote w:id="21">
    <w:p w14:paraId="32B56C54" w14:textId="5C078045" w:rsidR="00667EA6" w:rsidRDefault="00667EA6">
      <w:pPr>
        <w:pStyle w:val="FootnoteText"/>
      </w:pPr>
      <w:r>
        <w:rPr>
          <w:rStyle w:val="FootnoteReference"/>
        </w:rPr>
        <w:footnoteRef/>
      </w:r>
      <w:r>
        <w:t xml:space="preserve"> Ibid. p. 126.</w:t>
      </w:r>
    </w:p>
  </w:footnote>
  <w:footnote w:id="22">
    <w:p w14:paraId="406C8090" w14:textId="5D7495EC" w:rsidR="00622B82" w:rsidRDefault="00622B82">
      <w:pPr>
        <w:pStyle w:val="FootnoteText"/>
      </w:pPr>
      <w:r>
        <w:rPr>
          <w:rStyle w:val="FootnoteReference"/>
        </w:rPr>
        <w:footnoteRef/>
      </w:r>
      <w:r>
        <w:t xml:space="preserve"> </w:t>
      </w:r>
      <w:r w:rsidR="006B4E3E">
        <w:t xml:space="preserve">Ibid. p. 127. </w:t>
      </w:r>
    </w:p>
  </w:footnote>
  <w:footnote w:id="23">
    <w:p w14:paraId="39D899F2" w14:textId="57D31409" w:rsidR="00FA2477" w:rsidRDefault="00FA2477">
      <w:pPr>
        <w:pStyle w:val="FootnoteText"/>
      </w:pPr>
      <w:r>
        <w:rPr>
          <w:rStyle w:val="FootnoteReference"/>
        </w:rPr>
        <w:footnoteRef/>
      </w:r>
      <w:r>
        <w:t xml:space="preserve"> Ibid.</w:t>
      </w:r>
    </w:p>
  </w:footnote>
  <w:footnote w:id="24">
    <w:p w14:paraId="6A93EE12" w14:textId="3E6E1E66" w:rsidR="00433121" w:rsidRDefault="00433121">
      <w:pPr>
        <w:pStyle w:val="FootnoteText"/>
      </w:pPr>
      <w:r>
        <w:rPr>
          <w:rStyle w:val="FootnoteReference"/>
        </w:rPr>
        <w:footnoteRef/>
      </w:r>
      <w:r>
        <w:t xml:space="preserve"> Ibid. p. 122. </w:t>
      </w:r>
    </w:p>
  </w:footnote>
  <w:footnote w:id="25">
    <w:p w14:paraId="3445C62A" w14:textId="6C85BDF2" w:rsidR="00551273" w:rsidRDefault="00551273">
      <w:pPr>
        <w:pStyle w:val="FootnoteText"/>
      </w:pPr>
      <w:r>
        <w:rPr>
          <w:rStyle w:val="FootnoteReference"/>
        </w:rPr>
        <w:footnoteRef/>
      </w:r>
      <w:r>
        <w:t xml:space="preserve"> Barbara Walters, </w:t>
      </w:r>
      <w:r w:rsidR="00901E48">
        <w:t xml:space="preserve">Out </w:t>
      </w:r>
      <w:proofErr w:type="gramStart"/>
      <w:r w:rsidR="00901E48">
        <w:t>Of</w:t>
      </w:r>
      <w:proofErr w:type="gramEnd"/>
      <w:r w:rsidR="00901E48">
        <w:t xml:space="preserve"> The Ordinary: Introduction, p. </w:t>
      </w:r>
      <w:r w:rsidR="005D6498">
        <w:t xml:space="preserve">4. </w:t>
      </w:r>
    </w:p>
  </w:footnote>
  <w:footnote w:id="26">
    <w:p w14:paraId="09A77A28" w14:textId="6A0995F5" w:rsidR="00E657BC" w:rsidRDefault="00E657BC">
      <w:pPr>
        <w:pStyle w:val="FootnoteText"/>
      </w:pPr>
      <w:r>
        <w:rPr>
          <w:rStyle w:val="FootnoteReference"/>
        </w:rPr>
        <w:footnoteRef/>
      </w:r>
      <w:r>
        <w:t xml:space="preserve"> Bennett, p. </w:t>
      </w:r>
      <w:r w:rsidR="005401EC">
        <w:t xml:space="preserve">139. </w:t>
      </w:r>
    </w:p>
  </w:footnote>
  <w:footnote w:id="27">
    <w:p w14:paraId="25C9B724" w14:textId="656076CC" w:rsidR="00CC3FB9" w:rsidRDefault="00CC3FB9">
      <w:pPr>
        <w:pStyle w:val="FootnoteText"/>
      </w:pPr>
      <w:r>
        <w:rPr>
          <w:rStyle w:val="FootnoteReference"/>
        </w:rPr>
        <w:footnoteRef/>
      </w:r>
      <w:r>
        <w:t xml:space="preserve"> Ibid. p. </w:t>
      </w:r>
      <w:r w:rsidR="008609C5">
        <w:t>133.</w:t>
      </w:r>
    </w:p>
  </w:footnote>
  <w:footnote w:id="28">
    <w:p w14:paraId="3597B20D" w14:textId="524B34B2" w:rsidR="00815F4D" w:rsidRDefault="00815F4D">
      <w:pPr>
        <w:pStyle w:val="FootnoteText"/>
      </w:pPr>
      <w:r>
        <w:rPr>
          <w:rStyle w:val="FootnoteReference"/>
        </w:rPr>
        <w:footnoteRef/>
      </w:r>
      <w:r>
        <w:t xml:space="preserve"> </w:t>
      </w:r>
      <w:r w:rsidR="00016504">
        <w:t xml:space="preserve">Ibid. p. 135. </w:t>
      </w:r>
    </w:p>
  </w:footnote>
  <w:footnote w:id="29">
    <w:p w14:paraId="4080E789" w14:textId="48A5D17B" w:rsidR="006C3CB0" w:rsidRPr="004A1029" w:rsidRDefault="006C3CB0">
      <w:pPr>
        <w:pStyle w:val="FootnoteText"/>
      </w:pPr>
      <w:r w:rsidRPr="004A1029">
        <w:rPr>
          <w:rStyle w:val="FootnoteReference"/>
        </w:rPr>
        <w:footnoteRef/>
      </w:r>
      <w:r w:rsidRPr="004A1029">
        <w:t xml:space="preserve"> Bennett, p. </w:t>
      </w:r>
      <w:r w:rsidR="00D42803" w:rsidRPr="004A1029">
        <w:t>126.</w:t>
      </w:r>
    </w:p>
  </w:footnote>
  <w:footnote w:id="30">
    <w:p w14:paraId="2DF44F41" w14:textId="6B9F9AB2" w:rsidR="00CA42CB" w:rsidRPr="004A1029" w:rsidRDefault="00CA42CB" w:rsidP="00771E81">
      <w:pPr>
        <w:pStyle w:val="FootnoteText"/>
      </w:pPr>
      <w:r w:rsidRPr="004A1029">
        <w:rPr>
          <w:rStyle w:val="FootnoteReference"/>
        </w:rPr>
        <w:footnoteRef/>
      </w:r>
      <w:r w:rsidRPr="004A1029">
        <w:t xml:space="preserve"> </w:t>
      </w:r>
      <w:proofErr w:type="spellStart"/>
      <w:r w:rsidR="00771E81" w:rsidRPr="004A1029">
        <w:t>Hennink</w:t>
      </w:r>
      <w:proofErr w:type="spellEnd"/>
      <w:r w:rsidR="00771E81" w:rsidRPr="004A1029">
        <w:t xml:space="preserve">, M. M., Hutter, I. &amp; Bailey, A. (2020). Qualitative Research Methods (Los Angeles; London, SAGE), p. </w:t>
      </w:r>
      <w:r w:rsidR="00BF69F6" w:rsidRPr="004A1029">
        <w:t xml:space="preserve">197. </w:t>
      </w:r>
    </w:p>
  </w:footnote>
  <w:footnote w:id="31">
    <w:p w14:paraId="00EB11A2" w14:textId="24CA8837" w:rsidR="004549A6" w:rsidRPr="004A1029" w:rsidRDefault="004549A6">
      <w:pPr>
        <w:pStyle w:val="FootnoteText"/>
      </w:pPr>
      <w:r w:rsidRPr="004A1029">
        <w:rPr>
          <w:rStyle w:val="FootnoteReference"/>
        </w:rPr>
        <w:footnoteRef/>
      </w:r>
      <w:r w:rsidRPr="004A1029">
        <w:t xml:space="preserve"> Bennett, </w:t>
      </w:r>
      <w:r w:rsidRPr="004A1029">
        <w:rPr>
          <w:i/>
          <w:iCs/>
        </w:rPr>
        <w:t>If I Knew You Were Coming</w:t>
      </w:r>
      <w:r w:rsidRPr="004A1029">
        <w:t xml:space="preserve">, p. </w:t>
      </w:r>
      <w:r w:rsidR="009524AC" w:rsidRPr="004A1029">
        <w:t>127.</w:t>
      </w:r>
    </w:p>
  </w:footnote>
  <w:footnote w:id="32">
    <w:p w14:paraId="61D034A6" w14:textId="1E9CD20C" w:rsidR="00730B84" w:rsidRPr="004A1029" w:rsidRDefault="00730B84">
      <w:pPr>
        <w:pStyle w:val="FootnoteText"/>
      </w:pPr>
      <w:r w:rsidRPr="004A1029">
        <w:rPr>
          <w:rStyle w:val="FootnoteReference"/>
        </w:rPr>
        <w:footnoteRef/>
      </w:r>
      <w:r w:rsidRPr="004A1029">
        <w:t xml:space="preserve"> </w:t>
      </w:r>
      <w:proofErr w:type="spellStart"/>
      <w:r w:rsidRPr="004A1029">
        <w:t>Marilys</w:t>
      </w:r>
      <w:proofErr w:type="spellEnd"/>
      <w:r w:rsidRPr="004A1029">
        <w:t xml:space="preserve">, Guillemin, and Lynn Gillam, ‘Ethics, Reflexivity, and “Ethically Important Moments” in Research’ in </w:t>
      </w:r>
      <w:r w:rsidRPr="004A1029">
        <w:rPr>
          <w:i/>
          <w:iCs/>
        </w:rPr>
        <w:t>Qualitative Inquiry</w:t>
      </w:r>
      <w:r w:rsidRPr="004A1029">
        <w:t>, 10.2 (2004), pp. 261–80,</w:t>
      </w:r>
      <w:r w:rsidR="0011265B" w:rsidRPr="004A1029">
        <w:t xml:space="preserve"> p. 266. </w:t>
      </w:r>
    </w:p>
  </w:footnote>
  <w:footnote w:id="33">
    <w:p w14:paraId="78351A72" w14:textId="22D8E9B4" w:rsidR="001C27C7" w:rsidRPr="004A1029" w:rsidRDefault="001C27C7">
      <w:pPr>
        <w:pStyle w:val="FootnoteText"/>
      </w:pPr>
      <w:r w:rsidRPr="004A1029">
        <w:rPr>
          <w:rStyle w:val="FootnoteReference"/>
        </w:rPr>
        <w:footnoteRef/>
      </w:r>
      <w:r w:rsidRPr="004A1029">
        <w:t xml:space="preserve"> Benne</w:t>
      </w:r>
      <w:r w:rsidR="006D28BA" w:rsidRPr="004A1029">
        <w:t>t</w:t>
      </w:r>
      <w:r w:rsidRPr="004A1029">
        <w:t xml:space="preserve">t, </w:t>
      </w:r>
      <w:r w:rsidRPr="004A1029">
        <w:rPr>
          <w:i/>
          <w:iCs/>
        </w:rPr>
        <w:t xml:space="preserve">If I Knew You Were Coming, </w:t>
      </w:r>
      <w:r w:rsidRPr="004A1029">
        <w:t xml:space="preserve">p. 127. </w:t>
      </w:r>
    </w:p>
  </w:footnote>
  <w:footnote w:id="34">
    <w:p w14:paraId="7A220662" w14:textId="5C918A7E" w:rsidR="00E73F82" w:rsidRPr="004A1029" w:rsidRDefault="00E73F82" w:rsidP="00BE162E">
      <w:pPr>
        <w:pStyle w:val="FootnoteText"/>
      </w:pPr>
      <w:r w:rsidRPr="004A1029">
        <w:rPr>
          <w:rStyle w:val="FootnoteReference"/>
        </w:rPr>
        <w:footnoteRef/>
      </w:r>
      <w:r w:rsidRPr="004A1029">
        <w:t xml:space="preserve"> </w:t>
      </w:r>
      <w:r w:rsidR="00BE162E" w:rsidRPr="004A1029">
        <w:t>Guillemin, and Lynn Gillam, ‘Ethics, Reflexivity, and “Ethically Important Moments”</w:t>
      </w:r>
      <w:r w:rsidR="0011265B" w:rsidRPr="004A1029">
        <w:t xml:space="preserve">, </w:t>
      </w:r>
      <w:r w:rsidR="00BE162E" w:rsidRPr="004A1029">
        <w:t xml:space="preserve">p. </w:t>
      </w:r>
      <w:r w:rsidR="00C50008" w:rsidRPr="004A1029">
        <w:t>271.</w:t>
      </w:r>
    </w:p>
  </w:footnote>
  <w:footnote w:id="35">
    <w:p w14:paraId="104F4EAB" w14:textId="24E290C7" w:rsidR="006D28BA" w:rsidRPr="004A1029" w:rsidRDefault="006D28BA">
      <w:pPr>
        <w:pStyle w:val="FootnoteText"/>
      </w:pPr>
      <w:r w:rsidRPr="004A1029">
        <w:rPr>
          <w:rStyle w:val="FootnoteReference"/>
        </w:rPr>
        <w:footnoteRef/>
      </w:r>
      <w:r w:rsidRPr="004A1029">
        <w:t xml:space="preserve"> Bennett, </w:t>
      </w:r>
      <w:r w:rsidRPr="004A1029">
        <w:rPr>
          <w:i/>
          <w:iCs/>
        </w:rPr>
        <w:t xml:space="preserve">If I Knew You Were Coming, </w:t>
      </w:r>
      <w:r w:rsidRPr="004A1029">
        <w:t xml:space="preserve">p. 127. </w:t>
      </w:r>
    </w:p>
  </w:footnote>
  <w:footnote w:id="36">
    <w:p w14:paraId="16F45B7C" w14:textId="01AE4FDA" w:rsidR="007E1252" w:rsidRPr="004A1029" w:rsidRDefault="007E1252">
      <w:pPr>
        <w:pStyle w:val="FootnoteText"/>
      </w:pPr>
      <w:r w:rsidRPr="004A1029">
        <w:rPr>
          <w:rStyle w:val="FootnoteReference"/>
        </w:rPr>
        <w:footnoteRef/>
      </w:r>
      <w:r w:rsidRPr="004A1029">
        <w:t xml:space="preserve"> </w:t>
      </w:r>
      <w:r w:rsidR="0093693F" w:rsidRPr="004A1029">
        <w:t xml:space="preserve">Guillemin </w:t>
      </w:r>
      <w:r w:rsidR="00ED5838" w:rsidRPr="004A1029">
        <w:t xml:space="preserve">and </w:t>
      </w:r>
      <w:r w:rsidR="0093693F" w:rsidRPr="004A1029">
        <w:t xml:space="preserve">Gillam, ‘Ethics, Reflexivity and “Ethically” Important Moments”, p. 271. </w:t>
      </w:r>
    </w:p>
  </w:footnote>
  <w:footnote w:id="37">
    <w:p w14:paraId="03CE7BFC" w14:textId="3C417DF6" w:rsidR="000E2176" w:rsidRPr="004A1029" w:rsidRDefault="000E2176">
      <w:pPr>
        <w:pStyle w:val="FootnoteText"/>
      </w:pPr>
      <w:r w:rsidRPr="004A1029">
        <w:rPr>
          <w:rStyle w:val="FootnoteReference"/>
        </w:rPr>
        <w:footnoteRef/>
      </w:r>
      <w:r w:rsidRPr="004A1029">
        <w:t xml:space="preserve"> </w:t>
      </w:r>
      <w:r w:rsidR="00B8464A" w:rsidRPr="004A1029">
        <w:t xml:space="preserve">Brink, </w:t>
      </w:r>
      <w:r w:rsidR="00B8464A" w:rsidRPr="004A1029">
        <w:rPr>
          <w:i/>
          <w:iCs/>
        </w:rPr>
        <w:t>Inconsistenc</w:t>
      </w:r>
      <w:r w:rsidR="00F35706" w:rsidRPr="004A1029">
        <w:rPr>
          <w:i/>
          <w:iCs/>
        </w:rPr>
        <w:t xml:space="preserve">y </w:t>
      </w:r>
      <w:proofErr w:type="gramStart"/>
      <w:r w:rsidR="00F35706" w:rsidRPr="004A1029">
        <w:rPr>
          <w:i/>
          <w:iCs/>
        </w:rPr>
        <w:t>Of</w:t>
      </w:r>
      <w:proofErr w:type="gramEnd"/>
      <w:r w:rsidR="00F35706" w:rsidRPr="004A1029">
        <w:rPr>
          <w:i/>
          <w:iCs/>
        </w:rPr>
        <w:t xml:space="preserve"> Belief, </w:t>
      </w:r>
      <w:r w:rsidR="00F35706" w:rsidRPr="004A1029">
        <w:t>p. 83.</w:t>
      </w:r>
    </w:p>
  </w:footnote>
  <w:footnote w:id="38">
    <w:p w14:paraId="5AF38DE0" w14:textId="44934AE7" w:rsidR="009B642B" w:rsidRPr="004A1029" w:rsidRDefault="009B642B">
      <w:pPr>
        <w:pStyle w:val="FootnoteText"/>
      </w:pPr>
      <w:r w:rsidRPr="004A1029">
        <w:rPr>
          <w:rStyle w:val="FootnoteReference"/>
        </w:rPr>
        <w:footnoteRef/>
      </w:r>
      <w:r w:rsidRPr="004A1029">
        <w:t xml:space="preserve"> Bowie, p. </w:t>
      </w:r>
      <w:r w:rsidR="00E64848" w:rsidRPr="004A1029">
        <w:t xml:space="preserve">3. </w:t>
      </w:r>
    </w:p>
  </w:footnote>
  <w:footnote w:id="39">
    <w:p w14:paraId="5736D513" w14:textId="057B9C77" w:rsidR="00ED5838" w:rsidRPr="004A1029" w:rsidRDefault="00ED5838">
      <w:pPr>
        <w:pStyle w:val="FootnoteText"/>
      </w:pPr>
      <w:r w:rsidRPr="004A1029">
        <w:rPr>
          <w:rStyle w:val="FootnoteReference"/>
        </w:rPr>
        <w:footnoteRef/>
      </w:r>
      <w:r w:rsidRPr="004A1029">
        <w:t xml:space="preserve"> Bennett, p. 128.</w:t>
      </w:r>
    </w:p>
  </w:footnote>
  <w:footnote w:id="40">
    <w:p w14:paraId="5E89B46B" w14:textId="1FAE36F6" w:rsidR="00755253" w:rsidRPr="004A1029" w:rsidRDefault="00755253">
      <w:pPr>
        <w:pStyle w:val="FootnoteText"/>
      </w:pPr>
      <w:r w:rsidRPr="004A1029">
        <w:rPr>
          <w:rStyle w:val="FootnoteReference"/>
        </w:rPr>
        <w:footnoteRef/>
      </w:r>
      <w:r w:rsidRPr="004A1029">
        <w:t xml:space="preserve"> Ibid. </w:t>
      </w:r>
    </w:p>
  </w:footnote>
  <w:footnote w:id="41">
    <w:p w14:paraId="483F6D0B" w14:textId="1963642C" w:rsidR="007B14AD" w:rsidRPr="004A1029" w:rsidRDefault="007B14AD">
      <w:pPr>
        <w:pStyle w:val="FootnoteText"/>
      </w:pPr>
      <w:r w:rsidRPr="004A1029">
        <w:rPr>
          <w:rStyle w:val="FootnoteReference"/>
        </w:rPr>
        <w:footnoteRef/>
      </w:r>
      <w:r w:rsidR="00A272A5" w:rsidRPr="004A1029">
        <w:t xml:space="preserve"> Ibid. p. 125. </w:t>
      </w:r>
    </w:p>
  </w:footnote>
  <w:footnote w:id="42">
    <w:p w14:paraId="08970B3A" w14:textId="40A4AF54" w:rsidR="00E3207A" w:rsidRDefault="00E3207A">
      <w:pPr>
        <w:pStyle w:val="FootnoteText"/>
      </w:pPr>
      <w:r>
        <w:rPr>
          <w:rStyle w:val="FootnoteReference"/>
        </w:rPr>
        <w:footnoteRef/>
      </w:r>
      <w:r>
        <w:t xml:space="preserve"> Ibid. </w:t>
      </w:r>
    </w:p>
  </w:footnote>
  <w:footnote w:id="43">
    <w:p w14:paraId="70837875" w14:textId="7019F9D8" w:rsidR="008744DA" w:rsidRDefault="008744DA">
      <w:pPr>
        <w:pStyle w:val="FootnoteText"/>
      </w:pPr>
      <w:r w:rsidRPr="004A1029">
        <w:rPr>
          <w:rStyle w:val="FootnoteReference"/>
        </w:rPr>
        <w:footnoteRef/>
      </w:r>
      <w:r w:rsidRPr="004A1029">
        <w:t xml:space="preserve"> David. J Hufford</w:t>
      </w:r>
      <w:r w:rsidR="004A1029" w:rsidRPr="004A1029">
        <w:t>, ‘The Scholarly Voice and the Personal Voice: Reflexivity in Belief Studies’</w:t>
      </w:r>
      <w:r w:rsidR="009026D8">
        <w:t xml:space="preserve"> in </w:t>
      </w:r>
      <w:r w:rsidR="004A1029" w:rsidRPr="009026D8">
        <w:rPr>
          <w:i/>
          <w:iCs/>
        </w:rPr>
        <w:t>Western Folklore</w:t>
      </w:r>
      <w:r w:rsidR="004A1029" w:rsidRPr="004A1029">
        <w:t>, 54.1 (1995),</w:t>
      </w:r>
      <w:r w:rsidR="009026D8">
        <w:t xml:space="preserve"> pp.</w:t>
      </w:r>
      <w:r w:rsidR="004A1029" w:rsidRPr="004A1029">
        <w:t xml:space="preserve"> 57–76, p. 58.</w:t>
      </w:r>
    </w:p>
  </w:footnote>
  <w:footnote w:id="44">
    <w:p w14:paraId="51F8AD64" w14:textId="35D0CC86" w:rsidR="00A676C7" w:rsidRDefault="00A676C7">
      <w:pPr>
        <w:pStyle w:val="FootnoteText"/>
      </w:pPr>
      <w:r>
        <w:rPr>
          <w:rStyle w:val="FootnoteReference"/>
        </w:rPr>
        <w:footnoteRef/>
      </w:r>
      <w:r>
        <w:t xml:space="preserve"> Bennett, p. </w:t>
      </w:r>
      <w:r w:rsidR="00D35357">
        <w:t xml:space="preserve">125. </w:t>
      </w:r>
    </w:p>
  </w:footnote>
  <w:footnote w:id="45">
    <w:p w14:paraId="747720CB" w14:textId="4C42FF44" w:rsidR="00264A8F" w:rsidRDefault="00264A8F">
      <w:pPr>
        <w:pStyle w:val="FootnoteText"/>
      </w:pPr>
      <w:r>
        <w:rPr>
          <w:rStyle w:val="FootnoteReference"/>
        </w:rPr>
        <w:footnoteRef/>
      </w:r>
      <w:r>
        <w:t xml:space="preserve"> Brink, p. 83. </w:t>
      </w:r>
    </w:p>
  </w:footnote>
  <w:footnote w:id="46">
    <w:p w14:paraId="1F0E5B2A" w14:textId="687014CE" w:rsidR="004F0B1C" w:rsidRDefault="004F0B1C">
      <w:pPr>
        <w:pStyle w:val="FootnoteText"/>
      </w:pPr>
      <w:r>
        <w:rPr>
          <w:rStyle w:val="FootnoteReference"/>
        </w:rPr>
        <w:footnoteRef/>
      </w:r>
      <w:r>
        <w:t xml:space="preserve"> Anne Marshall</w:t>
      </w:r>
      <w:r w:rsidRPr="004F0B1C">
        <w:t>, and B</w:t>
      </w:r>
      <w:r>
        <w:t>lythe</w:t>
      </w:r>
      <w:r w:rsidRPr="004F0B1C">
        <w:t xml:space="preserve"> S</w:t>
      </w:r>
      <w:r>
        <w:t>hepard,</w:t>
      </w:r>
      <w:r w:rsidRPr="004F0B1C">
        <w:t xml:space="preserve"> </w:t>
      </w:r>
      <w:r>
        <w:t>‘</w:t>
      </w:r>
      <w:r w:rsidRPr="004F0B1C">
        <w:t>Youth on the Margins: Qualitative Research with Adolescent Groups</w:t>
      </w:r>
      <w:r>
        <w:t>’</w:t>
      </w:r>
      <w:r w:rsidRPr="004F0B1C">
        <w:t xml:space="preserve"> </w:t>
      </w:r>
      <w:r>
        <w:t xml:space="preserve">in </w:t>
      </w:r>
      <w:r w:rsidRPr="004F0B1C">
        <w:rPr>
          <w:i/>
          <w:iCs/>
        </w:rPr>
        <w:t>Ethical Issues in Community-Based Research with Children and Youth</w:t>
      </w:r>
      <w:r w:rsidRPr="004F0B1C">
        <w:t>, ed</w:t>
      </w:r>
      <w:r>
        <w:t>.</w:t>
      </w:r>
      <w:r w:rsidRPr="004F0B1C">
        <w:t xml:space="preserve"> Bonnie Leadbeater et al., University of Toronto Press, </w:t>
      </w:r>
      <w:r>
        <w:t>(</w:t>
      </w:r>
      <w:r w:rsidRPr="004F0B1C">
        <w:t>2006</w:t>
      </w:r>
      <w:r>
        <w:t xml:space="preserve">) </w:t>
      </w:r>
      <w:r w:rsidRPr="004F0B1C">
        <w:t>pp. 139–56</w:t>
      </w:r>
      <w:r w:rsidR="003D537A">
        <w:t>, p. 145.</w:t>
      </w:r>
      <w:r w:rsidRPr="004F0B1C">
        <w:t xml:space="preserve"> </w:t>
      </w:r>
      <w:hyperlink r:id="rId3" w:history="1">
        <w:r w:rsidR="003D537A" w:rsidRPr="008F2680">
          <w:rPr>
            <w:rStyle w:val="Hyperlink"/>
          </w:rPr>
          <w:t>http://www.jstor.org/stable/10.3138/9781442674653.13.</w:t>
        </w:r>
      </w:hyperlink>
      <w:r w:rsidR="003D537A">
        <w:t xml:space="preserve"> </w:t>
      </w:r>
      <w:r>
        <w:t>[accessed 15.03.2023]</w:t>
      </w:r>
      <w:r w:rsidR="003D537A">
        <w:t>.</w:t>
      </w:r>
    </w:p>
  </w:footnote>
  <w:footnote w:id="47">
    <w:p w14:paraId="67D78265" w14:textId="59E2D2BF" w:rsidR="002613DD" w:rsidRDefault="002613DD">
      <w:pPr>
        <w:pStyle w:val="FootnoteText"/>
      </w:pPr>
      <w:r>
        <w:rPr>
          <w:rStyle w:val="FootnoteReference"/>
        </w:rPr>
        <w:footnoteRef/>
      </w:r>
      <w:r>
        <w:t xml:space="preserve"> </w:t>
      </w:r>
      <w:r w:rsidR="00E45251">
        <w:t xml:space="preserve">Brink, p. 84. </w:t>
      </w:r>
    </w:p>
  </w:footnote>
  <w:footnote w:id="48">
    <w:p w14:paraId="27277C62" w14:textId="3BB166C4" w:rsidR="000C57BC" w:rsidRDefault="000C57BC">
      <w:pPr>
        <w:pStyle w:val="FootnoteText"/>
      </w:pPr>
      <w:r>
        <w:rPr>
          <w:rStyle w:val="FootnoteReference"/>
        </w:rPr>
        <w:footnoteRef/>
      </w:r>
      <w:r>
        <w:t xml:space="preserve"> Bennett, p. </w:t>
      </w:r>
      <w:r w:rsidR="00702051">
        <w:t>133</w:t>
      </w:r>
    </w:p>
  </w:footnote>
  <w:footnote w:id="49">
    <w:p w14:paraId="2E46DB39" w14:textId="4EDE2C35" w:rsidR="003F3B17" w:rsidRDefault="003F3B17">
      <w:pPr>
        <w:pStyle w:val="FootnoteText"/>
      </w:pPr>
      <w:r>
        <w:rPr>
          <w:rStyle w:val="FootnoteReference"/>
        </w:rPr>
        <w:footnoteRef/>
      </w:r>
      <w:r>
        <w:t xml:space="preserve"> Brink, p. 84. </w:t>
      </w:r>
    </w:p>
  </w:footnote>
  <w:footnote w:id="50">
    <w:p w14:paraId="203DD6A9" w14:textId="750739FF" w:rsidR="0029008C" w:rsidRDefault="0029008C">
      <w:pPr>
        <w:pStyle w:val="FootnoteText"/>
      </w:pPr>
      <w:r>
        <w:rPr>
          <w:rStyle w:val="FootnoteReference"/>
        </w:rPr>
        <w:footnoteRef/>
      </w:r>
      <w:r>
        <w:t xml:space="preserve"> </w:t>
      </w:r>
      <w:r w:rsidR="006277FB">
        <w:t xml:space="preserve">Ibid, p. 85. </w:t>
      </w:r>
    </w:p>
  </w:footnote>
  <w:footnote w:id="51">
    <w:p w14:paraId="7CD96CDE" w14:textId="4FD9B6E3" w:rsidR="00B82510" w:rsidRDefault="00B82510">
      <w:pPr>
        <w:pStyle w:val="FootnoteText"/>
      </w:pPr>
      <w:r>
        <w:rPr>
          <w:rStyle w:val="FootnoteReference"/>
        </w:rPr>
        <w:footnoteRef/>
      </w:r>
      <w:r>
        <w:t xml:space="preserve"> </w:t>
      </w:r>
      <w:r w:rsidR="00E441BD">
        <w:t xml:space="preserve">Bennett, p. 135. </w:t>
      </w:r>
    </w:p>
  </w:footnote>
</w:footnotes>
</file>

<file path=word/intelligence2.xml><?xml version="1.0" encoding="utf-8"?>
<int2:intelligence xmlns:int2="http://schemas.microsoft.com/office/intelligence/2020/intelligence" xmlns:oel="http://schemas.microsoft.com/office/2019/extlst">
  <int2:observations>
    <int2:textHash int2:hashCode="ExtuyEhhJaH8z6" int2:id="0QvX8NGS">
      <int2:state int2:value="Rejected" int2:type="AugLoop_Text_Critique"/>
    </int2:textHash>
    <int2:bookmark int2:bookmarkName="_Int_N1OBwa7U" int2:invalidationBookmarkName="" int2:hashCode="LwG4Bj7JRBKxlI" int2:id="3jN6tmdf">
      <int2:state int2:value="Rejected" int2:type="AugLoop_Text_Critique"/>
    </int2:bookmark>
    <int2:bookmark int2:bookmarkName="_Int_M0s9JzV3" int2:invalidationBookmarkName="" int2:hashCode="MpqnFO4K6lfpZ9" int2:id="V5WnWIt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B42ED"/>
    <w:multiLevelType w:val="hybridMultilevel"/>
    <w:tmpl w:val="E236E32C"/>
    <w:lvl w:ilvl="0" w:tplc="3EE64B72">
      <w:start w:val="2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2491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1FE"/>
    <w:rsid w:val="0000232B"/>
    <w:rsid w:val="00003A24"/>
    <w:rsid w:val="000062EA"/>
    <w:rsid w:val="00016504"/>
    <w:rsid w:val="00022617"/>
    <w:rsid w:val="0002784B"/>
    <w:rsid w:val="0006121F"/>
    <w:rsid w:val="00066B45"/>
    <w:rsid w:val="00067DC3"/>
    <w:rsid w:val="00091C43"/>
    <w:rsid w:val="000A4BDA"/>
    <w:rsid w:val="000B551F"/>
    <w:rsid w:val="000C4490"/>
    <w:rsid w:val="000C5130"/>
    <w:rsid w:val="000C57BC"/>
    <w:rsid w:val="000D6D00"/>
    <w:rsid w:val="000E2176"/>
    <w:rsid w:val="000E2FF3"/>
    <w:rsid w:val="000E47AC"/>
    <w:rsid w:val="000E6BCD"/>
    <w:rsid w:val="001045AB"/>
    <w:rsid w:val="0011265B"/>
    <w:rsid w:val="00125D52"/>
    <w:rsid w:val="00132336"/>
    <w:rsid w:val="001324C2"/>
    <w:rsid w:val="00135634"/>
    <w:rsid w:val="00135E6D"/>
    <w:rsid w:val="00166C80"/>
    <w:rsid w:val="00175086"/>
    <w:rsid w:val="00175D47"/>
    <w:rsid w:val="001902FD"/>
    <w:rsid w:val="001A2843"/>
    <w:rsid w:val="001C27C7"/>
    <w:rsid w:val="001D031F"/>
    <w:rsid w:val="001D3DBF"/>
    <w:rsid w:val="001E0B8E"/>
    <w:rsid w:val="001F135C"/>
    <w:rsid w:val="001F2B0D"/>
    <w:rsid w:val="001F5CAE"/>
    <w:rsid w:val="001F7C67"/>
    <w:rsid w:val="00222297"/>
    <w:rsid w:val="00223B50"/>
    <w:rsid w:val="00236E68"/>
    <w:rsid w:val="0024499B"/>
    <w:rsid w:val="00252B86"/>
    <w:rsid w:val="00260071"/>
    <w:rsid w:val="002613DD"/>
    <w:rsid w:val="00261873"/>
    <w:rsid w:val="00261CD8"/>
    <w:rsid w:val="00263C9C"/>
    <w:rsid w:val="00264A8F"/>
    <w:rsid w:val="00265733"/>
    <w:rsid w:val="00265AB3"/>
    <w:rsid w:val="0028692B"/>
    <w:rsid w:val="0029008C"/>
    <w:rsid w:val="002A076C"/>
    <w:rsid w:val="002C1FB4"/>
    <w:rsid w:val="002E478F"/>
    <w:rsid w:val="002E53E2"/>
    <w:rsid w:val="00320AB9"/>
    <w:rsid w:val="00330E4D"/>
    <w:rsid w:val="003412B4"/>
    <w:rsid w:val="00343653"/>
    <w:rsid w:val="003563EC"/>
    <w:rsid w:val="003762C5"/>
    <w:rsid w:val="0037674C"/>
    <w:rsid w:val="00377527"/>
    <w:rsid w:val="003A2A5F"/>
    <w:rsid w:val="003B4D9D"/>
    <w:rsid w:val="003C5711"/>
    <w:rsid w:val="003D34AC"/>
    <w:rsid w:val="003D537A"/>
    <w:rsid w:val="003D76F4"/>
    <w:rsid w:val="003F3B17"/>
    <w:rsid w:val="00405DE1"/>
    <w:rsid w:val="0040648B"/>
    <w:rsid w:val="00423F73"/>
    <w:rsid w:val="004256D1"/>
    <w:rsid w:val="0042680F"/>
    <w:rsid w:val="004269BC"/>
    <w:rsid w:val="00433121"/>
    <w:rsid w:val="00433218"/>
    <w:rsid w:val="00451253"/>
    <w:rsid w:val="004549A6"/>
    <w:rsid w:val="00456C4A"/>
    <w:rsid w:val="00460AAB"/>
    <w:rsid w:val="00467A88"/>
    <w:rsid w:val="00487DEF"/>
    <w:rsid w:val="00487EB8"/>
    <w:rsid w:val="004903C2"/>
    <w:rsid w:val="0049332A"/>
    <w:rsid w:val="004A1029"/>
    <w:rsid w:val="004A6011"/>
    <w:rsid w:val="004A7247"/>
    <w:rsid w:val="004C3494"/>
    <w:rsid w:val="004D2E2F"/>
    <w:rsid w:val="004D7576"/>
    <w:rsid w:val="004F0B1C"/>
    <w:rsid w:val="00507F8D"/>
    <w:rsid w:val="00510C8D"/>
    <w:rsid w:val="00511BE2"/>
    <w:rsid w:val="005207A3"/>
    <w:rsid w:val="00532A18"/>
    <w:rsid w:val="00532EC4"/>
    <w:rsid w:val="0053397D"/>
    <w:rsid w:val="00534354"/>
    <w:rsid w:val="005401EC"/>
    <w:rsid w:val="00551273"/>
    <w:rsid w:val="00564F14"/>
    <w:rsid w:val="00565815"/>
    <w:rsid w:val="005667A1"/>
    <w:rsid w:val="00567C80"/>
    <w:rsid w:val="005731B8"/>
    <w:rsid w:val="00573BE3"/>
    <w:rsid w:val="00581796"/>
    <w:rsid w:val="005875EC"/>
    <w:rsid w:val="00593740"/>
    <w:rsid w:val="005A7625"/>
    <w:rsid w:val="005B0C94"/>
    <w:rsid w:val="005B3FF7"/>
    <w:rsid w:val="005C0C6A"/>
    <w:rsid w:val="005D037C"/>
    <w:rsid w:val="005D200F"/>
    <w:rsid w:val="005D6498"/>
    <w:rsid w:val="005D7BD5"/>
    <w:rsid w:val="005F2D27"/>
    <w:rsid w:val="005F44B8"/>
    <w:rsid w:val="005F792C"/>
    <w:rsid w:val="0060063E"/>
    <w:rsid w:val="00622B82"/>
    <w:rsid w:val="006277FB"/>
    <w:rsid w:val="00640EA9"/>
    <w:rsid w:val="00667EA6"/>
    <w:rsid w:val="006719F6"/>
    <w:rsid w:val="006739E3"/>
    <w:rsid w:val="00697073"/>
    <w:rsid w:val="006A40F5"/>
    <w:rsid w:val="006A5604"/>
    <w:rsid w:val="006B4E3E"/>
    <w:rsid w:val="006C3CB0"/>
    <w:rsid w:val="006C51C3"/>
    <w:rsid w:val="006C547A"/>
    <w:rsid w:val="006D28BA"/>
    <w:rsid w:val="006D39AD"/>
    <w:rsid w:val="006E01FE"/>
    <w:rsid w:val="006E48F3"/>
    <w:rsid w:val="006E4D76"/>
    <w:rsid w:val="006F0245"/>
    <w:rsid w:val="00702051"/>
    <w:rsid w:val="007107E9"/>
    <w:rsid w:val="00712AE0"/>
    <w:rsid w:val="00730B84"/>
    <w:rsid w:val="00731065"/>
    <w:rsid w:val="0073333F"/>
    <w:rsid w:val="00737F07"/>
    <w:rsid w:val="00744E45"/>
    <w:rsid w:val="007519DE"/>
    <w:rsid w:val="00755253"/>
    <w:rsid w:val="00767D93"/>
    <w:rsid w:val="00771E81"/>
    <w:rsid w:val="00780CFF"/>
    <w:rsid w:val="0078459E"/>
    <w:rsid w:val="007A020C"/>
    <w:rsid w:val="007B14AD"/>
    <w:rsid w:val="007B270F"/>
    <w:rsid w:val="007C571D"/>
    <w:rsid w:val="007D2544"/>
    <w:rsid w:val="007D72FA"/>
    <w:rsid w:val="007E1252"/>
    <w:rsid w:val="007E7F1E"/>
    <w:rsid w:val="007F2372"/>
    <w:rsid w:val="0080281C"/>
    <w:rsid w:val="0080363C"/>
    <w:rsid w:val="00806890"/>
    <w:rsid w:val="0081030A"/>
    <w:rsid w:val="00815F4D"/>
    <w:rsid w:val="008219B5"/>
    <w:rsid w:val="008258C9"/>
    <w:rsid w:val="008274D2"/>
    <w:rsid w:val="00834338"/>
    <w:rsid w:val="00835D9C"/>
    <w:rsid w:val="008511DD"/>
    <w:rsid w:val="008609C5"/>
    <w:rsid w:val="00866A88"/>
    <w:rsid w:val="00867319"/>
    <w:rsid w:val="00871C92"/>
    <w:rsid w:val="0087238E"/>
    <w:rsid w:val="0087385D"/>
    <w:rsid w:val="008744DA"/>
    <w:rsid w:val="00881F66"/>
    <w:rsid w:val="00883632"/>
    <w:rsid w:val="00883B3E"/>
    <w:rsid w:val="00892E95"/>
    <w:rsid w:val="008A4175"/>
    <w:rsid w:val="008B0472"/>
    <w:rsid w:val="008F3699"/>
    <w:rsid w:val="00901E48"/>
    <w:rsid w:val="009026D8"/>
    <w:rsid w:val="00907599"/>
    <w:rsid w:val="00907EF0"/>
    <w:rsid w:val="00922E8C"/>
    <w:rsid w:val="00925EE0"/>
    <w:rsid w:val="0093693F"/>
    <w:rsid w:val="0095097A"/>
    <w:rsid w:val="009524AC"/>
    <w:rsid w:val="00963ACA"/>
    <w:rsid w:val="00966A37"/>
    <w:rsid w:val="00967631"/>
    <w:rsid w:val="00967D2D"/>
    <w:rsid w:val="00977910"/>
    <w:rsid w:val="009814CE"/>
    <w:rsid w:val="00982F1D"/>
    <w:rsid w:val="00985EF0"/>
    <w:rsid w:val="009B642B"/>
    <w:rsid w:val="009B65B8"/>
    <w:rsid w:val="009B660B"/>
    <w:rsid w:val="009B678A"/>
    <w:rsid w:val="009C6240"/>
    <w:rsid w:val="009D3B46"/>
    <w:rsid w:val="009F0E28"/>
    <w:rsid w:val="009F2713"/>
    <w:rsid w:val="009F4F9A"/>
    <w:rsid w:val="00A04523"/>
    <w:rsid w:val="00A070CE"/>
    <w:rsid w:val="00A14B2F"/>
    <w:rsid w:val="00A21011"/>
    <w:rsid w:val="00A272A5"/>
    <w:rsid w:val="00A360B2"/>
    <w:rsid w:val="00A364FD"/>
    <w:rsid w:val="00A37A73"/>
    <w:rsid w:val="00A45C8F"/>
    <w:rsid w:val="00A46AD6"/>
    <w:rsid w:val="00A47869"/>
    <w:rsid w:val="00A603FE"/>
    <w:rsid w:val="00A676C7"/>
    <w:rsid w:val="00A7580C"/>
    <w:rsid w:val="00A84649"/>
    <w:rsid w:val="00AA349C"/>
    <w:rsid w:val="00AA426F"/>
    <w:rsid w:val="00AB11D1"/>
    <w:rsid w:val="00AC1768"/>
    <w:rsid w:val="00AC6DF8"/>
    <w:rsid w:val="00AC72A2"/>
    <w:rsid w:val="00AD1FED"/>
    <w:rsid w:val="00B05D45"/>
    <w:rsid w:val="00B10CE0"/>
    <w:rsid w:val="00B142AE"/>
    <w:rsid w:val="00B22F77"/>
    <w:rsid w:val="00B2533E"/>
    <w:rsid w:val="00B368D1"/>
    <w:rsid w:val="00B5766B"/>
    <w:rsid w:val="00B663AB"/>
    <w:rsid w:val="00B82510"/>
    <w:rsid w:val="00B8464A"/>
    <w:rsid w:val="00B875B1"/>
    <w:rsid w:val="00B953BD"/>
    <w:rsid w:val="00BA4BE5"/>
    <w:rsid w:val="00BC6BCB"/>
    <w:rsid w:val="00BD37F8"/>
    <w:rsid w:val="00BE162E"/>
    <w:rsid w:val="00BF1AA3"/>
    <w:rsid w:val="00BF69F6"/>
    <w:rsid w:val="00BF7F6C"/>
    <w:rsid w:val="00C168DB"/>
    <w:rsid w:val="00C17DFF"/>
    <w:rsid w:val="00C213FB"/>
    <w:rsid w:val="00C22C97"/>
    <w:rsid w:val="00C37CAD"/>
    <w:rsid w:val="00C50008"/>
    <w:rsid w:val="00C630A9"/>
    <w:rsid w:val="00C66AF8"/>
    <w:rsid w:val="00C703E6"/>
    <w:rsid w:val="00C91D56"/>
    <w:rsid w:val="00C94FB7"/>
    <w:rsid w:val="00CA42CB"/>
    <w:rsid w:val="00CA5E1C"/>
    <w:rsid w:val="00CA6B2C"/>
    <w:rsid w:val="00CB28F7"/>
    <w:rsid w:val="00CB4D1D"/>
    <w:rsid w:val="00CC3266"/>
    <w:rsid w:val="00CC3FB9"/>
    <w:rsid w:val="00CC6A37"/>
    <w:rsid w:val="00CE4B75"/>
    <w:rsid w:val="00CF17BC"/>
    <w:rsid w:val="00CF294F"/>
    <w:rsid w:val="00CF5136"/>
    <w:rsid w:val="00D04CFC"/>
    <w:rsid w:val="00D070CE"/>
    <w:rsid w:val="00D14C5C"/>
    <w:rsid w:val="00D244E7"/>
    <w:rsid w:val="00D26C2B"/>
    <w:rsid w:val="00D27176"/>
    <w:rsid w:val="00D3187B"/>
    <w:rsid w:val="00D336BF"/>
    <w:rsid w:val="00D35357"/>
    <w:rsid w:val="00D413F7"/>
    <w:rsid w:val="00D42803"/>
    <w:rsid w:val="00D45594"/>
    <w:rsid w:val="00D56851"/>
    <w:rsid w:val="00D607F4"/>
    <w:rsid w:val="00DA01D2"/>
    <w:rsid w:val="00DA7DB7"/>
    <w:rsid w:val="00DC2BC2"/>
    <w:rsid w:val="00DC7985"/>
    <w:rsid w:val="00E1100F"/>
    <w:rsid w:val="00E11784"/>
    <w:rsid w:val="00E15A15"/>
    <w:rsid w:val="00E15D0A"/>
    <w:rsid w:val="00E25B0C"/>
    <w:rsid w:val="00E3207A"/>
    <w:rsid w:val="00E441BD"/>
    <w:rsid w:val="00E44931"/>
    <w:rsid w:val="00E45251"/>
    <w:rsid w:val="00E56F48"/>
    <w:rsid w:val="00E57114"/>
    <w:rsid w:val="00E62E86"/>
    <w:rsid w:val="00E64848"/>
    <w:rsid w:val="00E657BC"/>
    <w:rsid w:val="00E6743A"/>
    <w:rsid w:val="00E71095"/>
    <w:rsid w:val="00E735A6"/>
    <w:rsid w:val="00E73F82"/>
    <w:rsid w:val="00EC47B1"/>
    <w:rsid w:val="00ED32AF"/>
    <w:rsid w:val="00ED5838"/>
    <w:rsid w:val="00EE2526"/>
    <w:rsid w:val="00EE5E93"/>
    <w:rsid w:val="00EF38A6"/>
    <w:rsid w:val="00EF43CF"/>
    <w:rsid w:val="00F01F64"/>
    <w:rsid w:val="00F12311"/>
    <w:rsid w:val="00F16948"/>
    <w:rsid w:val="00F35706"/>
    <w:rsid w:val="00F44080"/>
    <w:rsid w:val="00F54150"/>
    <w:rsid w:val="00F72416"/>
    <w:rsid w:val="00F84918"/>
    <w:rsid w:val="00F87609"/>
    <w:rsid w:val="00F9167C"/>
    <w:rsid w:val="00FA2477"/>
    <w:rsid w:val="00FA7469"/>
    <w:rsid w:val="00FB2219"/>
    <w:rsid w:val="00FC7CEA"/>
    <w:rsid w:val="00FE1B83"/>
    <w:rsid w:val="00FE3099"/>
    <w:rsid w:val="00FE5984"/>
    <w:rsid w:val="00FF4304"/>
    <w:rsid w:val="00FF5C78"/>
    <w:rsid w:val="0DAE86DE"/>
    <w:rsid w:val="1C819CBE"/>
    <w:rsid w:val="217CEAFC"/>
    <w:rsid w:val="22C61346"/>
    <w:rsid w:val="380A3DD0"/>
    <w:rsid w:val="51B652E2"/>
    <w:rsid w:val="622DC977"/>
    <w:rsid w:val="7F970A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C88B75"/>
  <w15:chartTrackingRefBased/>
  <w15:docId w15:val="{085FF7FA-B024-4A22-925B-9E1B72A00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62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62C5"/>
    <w:rPr>
      <w:sz w:val="20"/>
      <w:szCs w:val="20"/>
    </w:rPr>
  </w:style>
  <w:style w:type="character" w:styleId="FootnoteReference">
    <w:name w:val="footnote reference"/>
    <w:basedOn w:val="DefaultParagraphFont"/>
    <w:uiPriority w:val="99"/>
    <w:semiHidden/>
    <w:unhideWhenUsed/>
    <w:rsid w:val="003762C5"/>
    <w:rPr>
      <w:vertAlign w:val="superscript"/>
    </w:rPr>
  </w:style>
  <w:style w:type="character" w:styleId="Hyperlink">
    <w:name w:val="Hyperlink"/>
    <w:basedOn w:val="DefaultParagraphFont"/>
    <w:uiPriority w:val="99"/>
    <w:unhideWhenUsed/>
    <w:rsid w:val="003D76F4"/>
    <w:rPr>
      <w:color w:val="0563C1" w:themeColor="hyperlink"/>
      <w:u w:val="single"/>
    </w:rPr>
  </w:style>
  <w:style w:type="character" w:styleId="UnresolvedMention">
    <w:name w:val="Unresolved Mention"/>
    <w:basedOn w:val="DefaultParagraphFont"/>
    <w:uiPriority w:val="99"/>
    <w:semiHidden/>
    <w:unhideWhenUsed/>
    <w:rsid w:val="003D76F4"/>
    <w:rPr>
      <w:color w:val="605E5C"/>
      <w:shd w:val="clear" w:color="auto" w:fill="E1DFDD"/>
    </w:rPr>
  </w:style>
  <w:style w:type="paragraph" w:styleId="Header">
    <w:name w:val="header"/>
    <w:basedOn w:val="Normal"/>
    <w:link w:val="HeaderChar"/>
    <w:uiPriority w:val="99"/>
    <w:unhideWhenUsed/>
    <w:rsid w:val="00C70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3E6"/>
  </w:style>
  <w:style w:type="paragraph" w:styleId="Footer">
    <w:name w:val="footer"/>
    <w:basedOn w:val="Normal"/>
    <w:link w:val="FooterChar"/>
    <w:uiPriority w:val="99"/>
    <w:unhideWhenUsed/>
    <w:rsid w:val="00C70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3E6"/>
  </w:style>
  <w:style w:type="character" w:styleId="FollowedHyperlink">
    <w:name w:val="FollowedHyperlink"/>
    <w:basedOn w:val="DefaultParagraphFont"/>
    <w:uiPriority w:val="99"/>
    <w:semiHidden/>
    <w:unhideWhenUsed/>
    <w:rsid w:val="002E478F"/>
    <w:rPr>
      <w:color w:val="954F72" w:themeColor="followedHyperlink"/>
      <w:u w:val="single"/>
    </w:rPr>
  </w:style>
  <w:style w:type="paragraph" w:styleId="ListParagraph">
    <w:name w:val="List Paragraph"/>
    <w:basedOn w:val="Normal"/>
    <w:uiPriority w:val="34"/>
    <w:qFormat/>
    <w:rsid w:val="00DC79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8510">
      <w:bodyDiv w:val="1"/>
      <w:marLeft w:val="0"/>
      <w:marRight w:val="0"/>
      <w:marTop w:val="0"/>
      <w:marBottom w:val="0"/>
      <w:divBdr>
        <w:top w:val="none" w:sz="0" w:space="0" w:color="auto"/>
        <w:left w:val="none" w:sz="0" w:space="0" w:color="auto"/>
        <w:bottom w:val="none" w:sz="0" w:space="0" w:color="auto"/>
        <w:right w:val="none" w:sz="0" w:space="0" w:color="auto"/>
      </w:divBdr>
      <w:divsChild>
        <w:div w:id="505243262">
          <w:marLeft w:val="0"/>
          <w:marRight w:val="0"/>
          <w:marTop w:val="0"/>
          <w:marBottom w:val="0"/>
          <w:divBdr>
            <w:top w:val="none" w:sz="0" w:space="0" w:color="auto"/>
            <w:left w:val="none" w:sz="0" w:space="0" w:color="auto"/>
            <w:bottom w:val="none" w:sz="0" w:space="0" w:color="auto"/>
            <w:right w:val="none" w:sz="0" w:space="0" w:color="auto"/>
          </w:divBdr>
          <w:divsChild>
            <w:div w:id="199814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20/10/relationships/intelligence" Target="intelligence2.xml"/></Relationships>
</file>

<file path=word/_rels/footnotes.xml.rels><?xml version="1.0" encoding="UTF-8" standalone="yes"?>
<Relationships xmlns="http://schemas.openxmlformats.org/package/2006/relationships"><Relationship Id="rId3" Type="http://schemas.openxmlformats.org/officeDocument/2006/relationships/hyperlink" Target="http://www.jstor.org/stable/10.3138/9781442674653.13." TargetMode="External"/><Relationship Id="rId2" Type="http://schemas.openxmlformats.org/officeDocument/2006/relationships/hyperlink" Target="https://digitalcommons.usu.edu/cgi/viewcontent.cgi?article=1079&amp;context=usupress_pubs" TargetMode="External"/><Relationship Id="rId1" Type="http://schemas.openxmlformats.org/officeDocument/2006/relationships/hyperlink" Target="https://www.rraweb.org/journal-review-of-religious-research/aims-and-sc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5" ma:contentTypeDescription="Create a new document." ma:contentTypeScope="" ma:versionID="684dd01313ae1e8d195ea57ed2cbca21">
  <xsd:schema xmlns:xsd="http://www.w3.org/2001/XMLSchema" xmlns:xs="http://www.w3.org/2001/XMLSchema" xmlns:p="http://schemas.microsoft.com/office/2006/metadata/properties" xmlns:ns3="2185e222-3c8d-40d1-8655-532d5209bd26" targetNamespace="http://schemas.microsoft.com/office/2006/metadata/properties" ma:root="true" ma:fieldsID="4044e674a6c7208d38d1353ccd4c6678" ns3:_="">
    <xsd:import namespace="2185e222-3c8d-40d1-8655-532d5209bd2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E2BA2C2-AD12-40D0-86DE-9A0C343629CC}">
  <ds:schemaRefs>
    <ds:schemaRef ds:uri="http://schemas.microsoft.com/sharepoint/v3/contenttype/forms"/>
  </ds:schemaRefs>
</ds:datastoreItem>
</file>

<file path=customXml/itemProps2.xml><?xml version="1.0" encoding="utf-8"?>
<ds:datastoreItem xmlns:ds="http://schemas.openxmlformats.org/officeDocument/2006/customXml" ds:itemID="{1D19CCCF-A8AC-4B8C-9A77-46DFA1879E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5C3810-D3EF-4847-B923-ABF098F621E4}">
  <ds:schemaRefs>
    <ds:schemaRef ds:uri="http://schemas.openxmlformats.org/officeDocument/2006/bibliography"/>
  </ds:schemaRefs>
</ds:datastoreItem>
</file>

<file path=customXml/itemProps4.xml><?xml version="1.0" encoding="utf-8"?>
<ds:datastoreItem xmlns:ds="http://schemas.openxmlformats.org/officeDocument/2006/customXml" ds:itemID="{8F575565-265F-480D-A4A7-5CB28974C8B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2361</Words>
  <Characters>13459</Characters>
  <Application>Microsoft Office Word</Application>
  <DocSecurity>0</DocSecurity>
  <Lines>112</Lines>
  <Paragraphs>31</Paragraphs>
  <ScaleCrop>false</ScaleCrop>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Ayeshah Lalloo (2124407)</dc:creator>
  <cp:keywords/>
  <dc:description/>
  <cp:lastModifiedBy>Ayeshah Lalloo</cp:lastModifiedBy>
  <cp:revision>2</cp:revision>
  <dcterms:created xsi:type="dcterms:W3CDTF">2023-03-15T23:07:00Z</dcterms:created>
  <dcterms:modified xsi:type="dcterms:W3CDTF">2023-03-15T23:07:00Z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