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4B8F" w:rsidRDefault="001D4B8F" w:rsidP="001D4B8F">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1D4B8F" w:rsidRDefault="001D4B8F" w:rsidP="001D4B8F">
      <w:pPr>
        <w:pStyle w:val="NormalWeb"/>
        <w:spacing w:before="0" w:beforeAutospacing="0" w:after="0" w:afterAutospacing="0"/>
        <w:ind w:left="-180" w:right="-334"/>
      </w:pPr>
    </w:p>
    <w:p w:rsidR="001D4B8F" w:rsidRDefault="001D4B8F" w:rsidP="001D4B8F">
      <w:pPr>
        <w:pStyle w:val="NormalWeb"/>
        <w:spacing w:before="0" w:beforeAutospacing="0" w:after="0" w:afterAutospacing="0"/>
        <w:ind w:left="-180" w:right="-334"/>
      </w:pPr>
    </w:p>
    <w:p w:rsidR="001D4B8F" w:rsidRDefault="001D4B8F" w:rsidP="001D4B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1D4B8F" w:rsidRPr="00230F35" w:rsidRDefault="001D4B8F" w:rsidP="001D4B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1D4B8F" w:rsidRPr="00230F35" w:rsidRDefault="001D4B8F" w:rsidP="001D4B8F">
      <w:pPr>
        <w:rPr>
          <w:rFonts w:ascii="Arial" w:hAnsi="Arial" w:cs="Arial"/>
          <w:sz w:val="28"/>
          <w:szCs w:val="28"/>
          <w:lang w:val="cy-GB"/>
        </w:rPr>
      </w:pPr>
    </w:p>
    <w:p w:rsidR="001D4B8F" w:rsidRDefault="001D4B8F" w:rsidP="001D4B8F">
      <w:pPr>
        <w:pStyle w:val="Heading3"/>
        <w:jc w:val="center"/>
        <w:rPr>
          <w:lang w:val="cy-GB"/>
        </w:rPr>
      </w:pPr>
      <w:r>
        <w:rPr>
          <w:lang w:val="cy-GB"/>
        </w:rPr>
        <w:t>THIS SHEET MUST BE THE FIRST PAGE OF THE ASSIGNMENT YOU ARE SUBMITTING  (DO NOT SEND AS A SEPARATE FILE)</w:t>
      </w:r>
    </w:p>
    <w:p w:rsidR="001D4B8F" w:rsidRDefault="001D4B8F" w:rsidP="001D4B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D4B8F" w:rsidRPr="00230F35" w:rsidTr="00832BB5">
        <w:trPr>
          <w:trHeight w:val="614"/>
        </w:trPr>
        <w:tc>
          <w:tcPr>
            <w:tcW w:w="8856" w:type="dxa"/>
            <w:gridSpan w:val="5"/>
          </w:tcPr>
          <w:p w:rsidR="001D4B8F" w:rsidRPr="00230F35"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D4B8F" w:rsidRPr="00230F35" w:rsidTr="00832BB5">
        <w:trPr>
          <w:trHeight w:val="718"/>
        </w:trPr>
        <w:tc>
          <w:tcPr>
            <w:tcW w:w="8856" w:type="dxa"/>
            <w:gridSpan w:val="5"/>
          </w:tcPr>
          <w:p w:rsidR="001D4B8F"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B05283">
              <w:rPr>
                <w:rFonts w:ascii="Arial" w:hAnsi="Arial" w:cs="Arial"/>
                <w:sz w:val="22"/>
                <w:szCs w:val="22"/>
              </w:rPr>
              <w:t xml:space="preserve"> </w:t>
            </w:r>
            <w:r w:rsidR="001D5327">
              <w:rPr>
                <w:rFonts w:ascii="Arial" w:hAnsi="Arial" w:cs="Arial"/>
                <w:sz w:val="22"/>
                <w:szCs w:val="22"/>
              </w:rPr>
              <w:t>Jacqueline Ginty</w:t>
            </w:r>
          </w:p>
          <w:p w:rsidR="001D4B8F" w:rsidRPr="00230F35" w:rsidRDefault="001D4B8F" w:rsidP="00832BB5">
            <w:pPr>
              <w:pStyle w:val="NormalWeb"/>
              <w:spacing w:before="0" w:beforeAutospacing="0" w:after="0" w:afterAutospacing="0"/>
              <w:ind w:right="34"/>
              <w:rPr>
                <w:rFonts w:ascii="Arial" w:hAnsi="Arial" w:cs="Arial"/>
                <w:sz w:val="22"/>
                <w:szCs w:val="22"/>
              </w:rPr>
            </w:pPr>
          </w:p>
          <w:p w:rsidR="001D4B8F" w:rsidRPr="00230F35"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1D5327">
              <w:rPr>
                <w:rFonts w:ascii="Arial" w:hAnsi="Arial" w:cs="Arial"/>
                <w:sz w:val="22"/>
                <w:szCs w:val="22"/>
              </w:rPr>
              <w:t>29001041@student.uwtsd.ac.uk</w:t>
            </w:r>
          </w:p>
        </w:tc>
      </w:tr>
      <w:tr w:rsidR="001D4B8F" w:rsidRPr="00230F35" w:rsidTr="00832BB5">
        <w:trPr>
          <w:trHeight w:val="849"/>
        </w:trPr>
        <w:tc>
          <w:tcPr>
            <w:tcW w:w="4788" w:type="dxa"/>
          </w:tcPr>
          <w:p w:rsidR="001D4B8F" w:rsidRPr="00230F35"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D86AC8">
              <w:rPr>
                <w:rFonts w:ascii="Arial" w:hAnsi="Arial" w:cs="Arial"/>
                <w:sz w:val="22"/>
                <w:szCs w:val="22"/>
              </w:rPr>
              <w:t xml:space="preserve">  A</w:t>
            </w:r>
            <w:r w:rsidR="00464AFA">
              <w:rPr>
                <w:rFonts w:ascii="Arial" w:hAnsi="Arial" w:cs="Arial"/>
                <w:sz w:val="22"/>
                <w:szCs w:val="22"/>
              </w:rPr>
              <w:t>PCA7003</w:t>
            </w:r>
          </w:p>
          <w:p w:rsidR="001D4B8F" w:rsidRPr="00230F35" w:rsidRDefault="001D4B8F" w:rsidP="00832BB5">
            <w:pPr>
              <w:pStyle w:val="NormalWeb"/>
              <w:spacing w:before="0" w:beforeAutospacing="0" w:after="0" w:afterAutospacing="0"/>
              <w:ind w:right="34"/>
              <w:rPr>
                <w:rFonts w:ascii="Arial" w:hAnsi="Arial" w:cs="Arial"/>
                <w:sz w:val="22"/>
                <w:szCs w:val="22"/>
              </w:rPr>
            </w:pPr>
          </w:p>
          <w:p w:rsidR="001D4B8F" w:rsidRPr="00230F35" w:rsidRDefault="001D4B8F" w:rsidP="00464AF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BB6149">
              <w:rPr>
                <w:rFonts w:ascii="Arial" w:hAnsi="Arial" w:cs="Arial"/>
                <w:sz w:val="22"/>
                <w:szCs w:val="22"/>
              </w:rPr>
              <w:t xml:space="preserve"> </w:t>
            </w:r>
            <w:r w:rsidR="00464AFA">
              <w:rPr>
                <w:rFonts w:ascii="Arial" w:hAnsi="Arial" w:cs="Arial"/>
                <w:sz w:val="22"/>
                <w:szCs w:val="22"/>
              </w:rPr>
              <w:t>History of Astrology</w:t>
            </w:r>
          </w:p>
        </w:tc>
        <w:tc>
          <w:tcPr>
            <w:tcW w:w="2266" w:type="dxa"/>
            <w:gridSpan w:val="3"/>
          </w:tcPr>
          <w:p w:rsidR="001D4B8F"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1D5327" w:rsidRPr="00230F35" w:rsidRDefault="001D5327" w:rsidP="00832BB5">
            <w:pPr>
              <w:pStyle w:val="NormalWeb"/>
              <w:spacing w:before="0" w:beforeAutospacing="0" w:after="0" w:afterAutospacing="0"/>
              <w:ind w:right="34"/>
              <w:rPr>
                <w:rFonts w:ascii="Arial" w:hAnsi="Arial" w:cs="Arial"/>
                <w:sz w:val="22"/>
                <w:szCs w:val="22"/>
              </w:rPr>
            </w:pPr>
            <w:r>
              <w:rPr>
                <w:rFonts w:ascii="Arial" w:hAnsi="Arial" w:cs="Arial"/>
                <w:sz w:val="22"/>
                <w:szCs w:val="22"/>
              </w:rPr>
              <w:t>29001041</w:t>
            </w:r>
          </w:p>
        </w:tc>
        <w:tc>
          <w:tcPr>
            <w:tcW w:w="1802" w:type="dxa"/>
          </w:tcPr>
          <w:p w:rsidR="001D4B8F" w:rsidRPr="00230F35"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1D4B8F" w:rsidRPr="00230F35"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1D4B8F" w:rsidRPr="00230F35" w:rsidTr="00832BB5">
        <w:trPr>
          <w:trHeight w:val="1139"/>
        </w:trPr>
        <w:tc>
          <w:tcPr>
            <w:tcW w:w="8856" w:type="dxa"/>
            <w:gridSpan w:val="5"/>
          </w:tcPr>
          <w:p w:rsidR="001D5327" w:rsidRPr="00832BB5" w:rsidRDefault="001D4B8F" w:rsidP="00832BB5">
            <w:pPr>
              <w:keepNext/>
              <w:keepLines/>
              <w:spacing w:before="40"/>
              <w:outlineLvl w:val="1"/>
              <w:rPr>
                <w:rFonts w:ascii="Calibri Light" w:eastAsia="Times New Roman" w:hAnsi="Calibri Light"/>
                <w:color w:val="2F5496"/>
                <w:sz w:val="26"/>
                <w:szCs w:val="26"/>
                <w:lang w:val="en-US" w:eastAsia="en-US"/>
              </w:rPr>
            </w:pPr>
            <w:r w:rsidRPr="00230F35">
              <w:rPr>
                <w:rFonts w:ascii="Arial" w:hAnsi="Arial" w:cs="Arial"/>
                <w:sz w:val="22"/>
                <w:szCs w:val="22"/>
              </w:rPr>
              <w:t>Assignment title:</w:t>
            </w:r>
            <w:r w:rsidR="001D5327">
              <w:rPr>
                <w:color w:val="000000"/>
              </w:rPr>
              <w:t xml:space="preserve"> </w:t>
            </w:r>
            <w:r w:rsidR="00832BB5" w:rsidRPr="00AB1BB8">
              <w:rPr>
                <w:rFonts w:ascii="Calibri Light" w:eastAsia="Times New Roman" w:hAnsi="Calibri Light"/>
                <w:color w:val="2F5496"/>
                <w:sz w:val="26"/>
                <w:szCs w:val="26"/>
                <w:lang w:val="en-US" w:eastAsia="en-US"/>
              </w:rPr>
              <w:t>A Critical Comparison of the Astrological Moon in three primary source documents</w:t>
            </w:r>
          </w:p>
          <w:p w:rsidR="001D4B8F" w:rsidRPr="00230F35" w:rsidRDefault="001D4B8F" w:rsidP="00832BB5">
            <w:pPr>
              <w:pStyle w:val="NormalWeb"/>
              <w:spacing w:before="0" w:beforeAutospacing="0" w:after="0" w:afterAutospacing="0"/>
              <w:ind w:right="34"/>
              <w:rPr>
                <w:rFonts w:ascii="Arial" w:hAnsi="Arial" w:cs="Arial"/>
                <w:sz w:val="22"/>
                <w:szCs w:val="22"/>
              </w:rPr>
            </w:pPr>
          </w:p>
          <w:p w:rsidR="001D4B8F" w:rsidRDefault="001D4B8F" w:rsidP="00832BB5">
            <w:pPr>
              <w:pStyle w:val="NormalWeb"/>
              <w:spacing w:before="0" w:beforeAutospacing="0" w:after="0" w:afterAutospacing="0"/>
              <w:ind w:right="34"/>
              <w:rPr>
                <w:rFonts w:ascii="Arial" w:hAnsi="Arial" w:cs="Arial"/>
                <w:sz w:val="22"/>
                <w:szCs w:val="22"/>
              </w:rPr>
            </w:pPr>
          </w:p>
          <w:p w:rsidR="001D4B8F" w:rsidRPr="00230F35" w:rsidRDefault="001D5327" w:rsidP="00832BB5">
            <w:pPr>
              <w:pStyle w:val="NormalWeb"/>
              <w:spacing w:before="0" w:beforeAutospacing="0" w:after="0" w:afterAutospacing="0"/>
              <w:ind w:right="34"/>
              <w:rPr>
                <w:rFonts w:ascii="Arial" w:hAnsi="Arial" w:cs="Arial"/>
                <w:sz w:val="22"/>
                <w:szCs w:val="22"/>
              </w:rPr>
            </w:pPr>
            <w:r>
              <w:rPr>
                <w:rFonts w:ascii="Arial" w:hAnsi="Arial" w:cs="Arial"/>
                <w:sz w:val="22"/>
                <w:szCs w:val="22"/>
              </w:rPr>
              <w:t>Assignment due date:</w:t>
            </w:r>
            <w:r w:rsidR="002F4D69">
              <w:rPr>
                <w:rFonts w:ascii="Arial" w:hAnsi="Arial" w:cs="Arial"/>
                <w:sz w:val="22"/>
                <w:szCs w:val="22"/>
              </w:rPr>
              <w:t xml:space="preserve"> </w:t>
            </w:r>
            <w:r w:rsidR="00464AFA">
              <w:rPr>
                <w:rFonts w:ascii="Arial" w:hAnsi="Arial" w:cs="Arial"/>
                <w:sz w:val="22"/>
                <w:szCs w:val="22"/>
              </w:rPr>
              <w:t>2nd</w:t>
            </w:r>
            <w:r w:rsidR="002F4D69">
              <w:rPr>
                <w:rFonts w:ascii="Arial" w:hAnsi="Arial" w:cs="Arial"/>
                <w:sz w:val="22"/>
                <w:szCs w:val="22"/>
              </w:rPr>
              <w:t xml:space="preserve"> March 20</w:t>
            </w:r>
            <w:r w:rsidR="00464AFA">
              <w:rPr>
                <w:rFonts w:ascii="Arial" w:hAnsi="Arial" w:cs="Arial"/>
                <w:sz w:val="22"/>
                <w:szCs w:val="22"/>
              </w:rPr>
              <w:t>20</w:t>
            </w:r>
          </w:p>
        </w:tc>
      </w:tr>
      <w:tr w:rsidR="001D4B8F" w:rsidRPr="00230F35" w:rsidTr="00832BB5">
        <w:trPr>
          <w:trHeight w:val="978"/>
        </w:trPr>
        <w:tc>
          <w:tcPr>
            <w:tcW w:w="8856" w:type="dxa"/>
            <w:gridSpan w:val="5"/>
            <w:tcBorders>
              <w:bottom w:val="single" w:sz="4" w:space="0" w:color="000000"/>
            </w:tcBorders>
          </w:tcPr>
          <w:p w:rsidR="001D4B8F" w:rsidRPr="00230F35" w:rsidRDefault="001D4B8F" w:rsidP="00832BB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st</w:t>
            </w:r>
            <w:r w:rsidR="00D56932" w:rsidRPr="00230F35">
              <w:rPr>
                <w:rFonts w:ascii="Arial" w:hAnsi="Arial" w:cs="Arial"/>
                <w:sz w:val="22"/>
                <w:szCs w:val="22"/>
              </w:rPr>
              <w:fldChar w:fldCharType="begin">
                <w:ffData>
                  <w:name w:val="Check15"/>
                  <w:enabled/>
                  <w:calcOnExit w:val="0"/>
                  <w:checkBox>
                    <w:sizeAuto/>
                    <w:default w:val="0"/>
                  </w:checkBox>
                </w:ffData>
              </w:fldChar>
            </w:r>
            <w:r w:rsidR="00D56932" w:rsidRPr="00230F35">
              <w:rPr>
                <w:rFonts w:ascii="Arial" w:hAnsi="Arial" w:cs="Arial"/>
                <w:sz w:val="22"/>
                <w:szCs w:val="22"/>
              </w:rPr>
              <w:instrText xml:space="preserve"> FORMCHECKBOX </w:instrText>
            </w:r>
            <w:r w:rsidR="00832BB5">
              <w:rPr>
                <w:rFonts w:ascii="Arial" w:hAnsi="Arial" w:cs="Arial"/>
                <w:sz w:val="22"/>
                <w:szCs w:val="22"/>
              </w:rPr>
            </w:r>
            <w:r w:rsidR="00832BB5">
              <w:rPr>
                <w:rFonts w:ascii="Arial" w:hAnsi="Arial" w:cs="Arial"/>
                <w:sz w:val="22"/>
                <w:szCs w:val="22"/>
              </w:rPr>
              <w:fldChar w:fldCharType="separate"/>
            </w:r>
            <w:r w:rsidR="00D56932" w:rsidRPr="00230F35">
              <w:rPr>
                <w:rFonts w:ascii="Arial" w:hAnsi="Arial" w:cs="Arial"/>
                <w:sz w:val="22"/>
                <w:szCs w:val="22"/>
              </w:rPr>
              <w:fldChar w:fldCharType="end"/>
            </w:r>
            <w:r w:rsidR="00D56932" w:rsidRPr="00230F35">
              <w:rPr>
                <w:rFonts w:ascii="Arial" w:hAnsi="Arial" w:cs="Arial"/>
                <w:sz w:val="22"/>
                <w:szCs w:val="22"/>
              </w:rPr>
              <w:t xml:space="preserve"> </w:t>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464AFA">
              <w:rPr>
                <w:rFonts w:ascii="Arial" w:hAnsi="Arial" w:cs="Arial"/>
                <w:sz w:val="22"/>
                <w:szCs w:val="22"/>
              </w:rPr>
              <w:fldChar w:fldCharType="begin">
                <w:ffData>
                  <w:name w:val="Check14"/>
                  <w:enabled/>
                  <w:calcOnExit w:val="0"/>
                  <w:checkBox>
                    <w:sizeAuto/>
                    <w:default w:val="0"/>
                  </w:checkBox>
                </w:ffData>
              </w:fldChar>
            </w:r>
            <w:bookmarkStart w:id="0" w:name="Check14"/>
            <w:r w:rsidR="00464AFA">
              <w:rPr>
                <w:rFonts w:ascii="Arial" w:hAnsi="Arial" w:cs="Arial"/>
                <w:sz w:val="22"/>
                <w:szCs w:val="22"/>
              </w:rPr>
              <w:instrText xml:space="preserve"> FORMCHECKBOX </w:instrText>
            </w:r>
            <w:r w:rsidR="00464AFA">
              <w:rPr>
                <w:rFonts w:ascii="Arial" w:hAnsi="Arial" w:cs="Arial"/>
                <w:sz w:val="22"/>
                <w:szCs w:val="22"/>
              </w:rPr>
            </w:r>
            <w:r w:rsidR="00464AFA">
              <w:rPr>
                <w:rFonts w:ascii="Arial" w:hAnsi="Arial" w:cs="Arial"/>
                <w:sz w:val="22"/>
                <w:szCs w:val="22"/>
              </w:rPr>
              <w:fldChar w:fldCharType="end"/>
            </w:r>
            <w:bookmarkEnd w:id="0"/>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1" w:name="Check15"/>
            <w:r w:rsidRPr="00230F35">
              <w:rPr>
                <w:rFonts w:ascii="Arial" w:hAnsi="Arial" w:cs="Arial"/>
                <w:sz w:val="22"/>
                <w:szCs w:val="22"/>
              </w:rPr>
              <w:instrText xml:space="preserve"> FORMCHECKBOX </w:instrText>
            </w:r>
            <w:r w:rsidR="00832BB5">
              <w:rPr>
                <w:rFonts w:ascii="Arial" w:hAnsi="Arial" w:cs="Arial"/>
                <w:sz w:val="22"/>
                <w:szCs w:val="22"/>
              </w:rPr>
            </w:r>
            <w:r w:rsidR="00832BB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2" w:name="Check16"/>
            <w:r w:rsidRPr="00230F35">
              <w:rPr>
                <w:rFonts w:ascii="Arial" w:hAnsi="Arial" w:cs="Arial"/>
                <w:sz w:val="22"/>
                <w:szCs w:val="22"/>
              </w:rPr>
              <w:instrText xml:space="preserve"> FORMCHECKBOX </w:instrText>
            </w:r>
            <w:r w:rsidR="00832BB5">
              <w:rPr>
                <w:rFonts w:ascii="Arial" w:hAnsi="Arial" w:cs="Arial"/>
                <w:sz w:val="22"/>
                <w:szCs w:val="22"/>
              </w:rPr>
            </w:r>
            <w:r w:rsidR="00832BB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3" w:name="Check17"/>
            <w:r w:rsidRPr="00230F35">
              <w:rPr>
                <w:rFonts w:ascii="Arial" w:hAnsi="Arial" w:cs="Arial"/>
                <w:sz w:val="22"/>
                <w:szCs w:val="22"/>
              </w:rPr>
              <w:instrText xml:space="preserve"> FORMCHECKBOX </w:instrText>
            </w:r>
            <w:r w:rsidR="00832BB5">
              <w:rPr>
                <w:rFonts w:ascii="Arial" w:hAnsi="Arial" w:cs="Arial"/>
                <w:sz w:val="22"/>
                <w:szCs w:val="22"/>
              </w:rPr>
            </w:r>
            <w:r w:rsidR="00832BB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00464AFA">
              <w:rPr>
                <w:rFonts w:ascii="Arial" w:hAnsi="Arial" w:cs="Arial"/>
                <w:sz w:val="22"/>
                <w:szCs w:val="22"/>
              </w:rPr>
              <w:fldChar w:fldCharType="begin">
                <w:ffData>
                  <w:name w:val="Check18"/>
                  <w:enabled/>
                  <w:calcOnExit w:val="0"/>
                  <w:checkBox>
                    <w:sizeAuto/>
                    <w:default w:val="1"/>
                  </w:checkBox>
                </w:ffData>
              </w:fldChar>
            </w:r>
            <w:bookmarkStart w:id="4" w:name="Check18"/>
            <w:r w:rsidR="00464AFA">
              <w:rPr>
                <w:rFonts w:ascii="Arial" w:hAnsi="Arial" w:cs="Arial"/>
                <w:sz w:val="22"/>
                <w:szCs w:val="22"/>
              </w:rPr>
              <w:instrText xml:space="preserve"> FORMCHECKBOX </w:instrText>
            </w:r>
            <w:r w:rsidR="00464AFA">
              <w:rPr>
                <w:rFonts w:ascii="Arial" w:hAnsi="Arial" w:cs="Arial"/>
                <w:sz w:val="22"/>
                <w:szCs w:val="22"/>
              </w:rPr>
            </w:r>
            <w:r w:rsidR="00464AFA">
              <w:rPr>
                <w:rFonts w:ascii="Arial" w:hAnsi="Arial" w:cs="Arial"/>
                <w:sz w:val="22"/>
                <w:szCs w:val="22"/>
              </w:rPr>
              <w:fldChar w:fldCharType="end"/>
            </w:r>
            <w:bookmarkEnd w:id="4"/>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1D4B8F" w:rsidRPr="00230F35" w:rsidTr="00832BB5">
        <w:trPr>
          <w:trHeight w:val="978"/>
        </w:trPr>
        <w:tc>
          <w:tcPr>
            <w:tcW w:w="8856" w:type="dxa"/>
            <w:gridSpan w:val="5"/>
            <w:shd w:val="clear" w:color="auto" w:fill="D9D9D9"/>
          </w:tcPr>
          <w:p w:rsidR="001D4B8F" w:rsidRPr="00230F35"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1D4B8F" w:rsidRDefault="001D4B8F" w:rsidP="00832BB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1D4B8F" w:rsidRDefault="001D4B8F" w:rsidP="00832BB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rsidR="001D4B8F" w:rsidRPr="00230F35" w:rsidRDefault="001D4B8F" w:rsidP="00832BB5">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1D4B8F" w:rsidRPr="00230F35" w:rsidTr="00832BB5">
        <w:trPr>
          <w:trHeight w:val="3972"/>
        </w:trPr>
        <w:tc>
          <w:tcPr>
            <w:tcW w:w="8856" w:type="dxa"/>
            <w:gridSpan w:val="5"/>
          </w:tcPr>
          <w:p w:rsidR="001D4B8F" w:rsidRDefault="001D4B8F" w:rsidP="00832BB5">
            <w:pPr>
              <w:rPr>
                <w:rFonts w:ascii="Arial" w:hAnsi="Arial"/>
                <w:b/>
              </w:rPr>
            </w:pPr>
          </w:p>
          <w:p w:rsidR="001D4B8F" w:rsidRPr="00116CE6" w:rsidRDefault="001D4B8F" w:rsidP="00832BB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D4B8F" w:rsidRPr="00116CE6" w:rsidTr="00832BB5">
              <w:tc>
                <w:tcPr>
                  <w:tcW w:w="6970" w:type="dxa"/>
                </w:tcPr>
                <w:p w:rsidR="001D4B8F" w:rsidRPr="00116CE6" w:rsidRDefault="001D4B8F" w:rsidP="00832BB5">
                  <w:pPr>
                    <w:rPr>
                      <w:rFonts w:ascii="Arial" w:hAnsi="Arial"/>
                      <w:sz w:val="20"/>
                      <w:szCs w:val="20"/>
                    </w:rPr>
                  </w:pPr>
                </w:p>
                <w:p w:rsidR="001D4B8F" w:rsidRPr="00116CE6" w:rsidRDefault="001D4B8F" w:rsidP="00832BB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1D4B8F" w:rsidRPr="00116CE6" w:rsidRDefault="001D4B8F" w:rsidP="00832BB5">
                  <w:pPr>
                    <w:rPr>
                      <w:rFonts w:ascii="Arial" w:hAnsi="Arial"/>
                      <w:sz w:val="20"/>
                      <w:szCs w:val="20"/>
                    </w:rPr>
                  </w:pPr>
                </w:p>
              </w:tc>
            </w:tr>
            <w:tr w:rsidR="001D4B8F" w:rsidRPr="00116CE6" w:rsidTr="00832BB5">
              <w:tc>
                <w:tcPr>
                  <w:tcW w:w="6970" w:type="dxa"/>
                </w:tcPr>
                <w:p w:rsidR="001D4B8F" w:rsidRPr="00116CE6" w:rsidRDefault="001D4B8F" w:rsidP="00832BB5">
                  <w:pPr>
                    <w:rPr>
                      <w:rFonts w:ascii="Arial" w:hAnsi="Arial"/>
                      <w:sz w:val="20"/>
                      <w:szCs w:val="20"/>
                    </w:rPr>
                  </w:pPr>
                </w:p>
                <w:p w:rsidR="001D4B8F" w:rsidRPr="00116CE6" w:rsidRDefault="001D4B8F" w:rsidP="00832BB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1D4B8F" w:rsidRPr="00116CE6" w:rsidRDefault="001D4B8F" w:rsidP="00832BB5">
                  <w:pPr>
                    <w:rPr>
                      <w:rFonts w:ascii="Arial" w:hAnsi="Arial"/>
                      <w:sz w:val="20"/>
                      <w:szCs w:val="20"/>
                    </w:rPr>
                  </w:pPr>
                </w:p>
              </w:tc>
            </w:tr>
            <w:tr w:rsidR="001D4B8F" w:rsidRPr="00116CE6" w:rsidTr="00832BB5">
              <w:tc>
                <w:tcPr>
                  <w:tcW w:w="6970" w:type="dxa"/>
                </w:tcPr>
                <w:p w:rsidR="001D4B8F" w:rsidRPr="00116CE6" w:rsidRDefault="001D4B8F" w:rsidP="00832BB5">
                  <w:pPr>
                    <w:rPr>
                      <w:rFonts w:ascii="Arial" w:hAnsi="Arial"/>
                      <w:sz w:val="20"/>
                      <w:szCs w:val="20"/>
                    </w:rPr>
                  </w:pPr>
                </w:p>
                <w:p w:rsidR="001D4B8F" w:rsidRPr="00116CE6" w:rsidRDefault="001D4B8F" w:rsidP="00832BB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1D4B8F" w:rsidRPr="00116CE6" w:rsidRDefault="001D4B8F" w:rsidP="00832BB5">
                  <w:pPr>
                    <w:rPr>
                      <w:rFonts w:ascii="Arial" w:hAnsi="Arial"/>
                      <w:sz w:val="20"/>
                      <w:szCs w:val="20"/>
                    </w:rPr>
                  </w:pPr>
                </w:p>
              </w:tc>
            </w:tr>
            <w:tr w:rsidR="001D4B8F" w:rsidRPr="00116CE6" w:rsidTr="00832BB5">
              <w:tc>
                <w:tcPr>
                  <w:tcW w:w="6970" w:type="dxa"/>
                </w:tcPr>
                <w:p w:rsidR="001D4B8F" w:rsidRDefault="001D4B8F" w:rsidP="00832BB5">
                  <w:pPr>
                    <w:rPr>
                      <w:rFonts w:ascii="Arial" w:hAnsi="Arial"/>
                      <w:sz w:val="20"/>
                      <w:szCs w:val="20"/>
                    </w:rPr>
                  </w:pPr>
                </w:p>
                <w:p w:rsidR="001D4B8F" w:rsidRPr="00022345" w:rsidRDefault="001D4B8F" w:rsidP="00832BB5">
                  <w:pPr>
                    <w:rPr>
                      <w:rFonts w:ascii="Arial" w:hAnsi="Arial"/>
                      <w:b/>
                      <w:sz w:val="20"/>
                      <w:szCs w:val="20"/>
                    </w:rPr>
                  </w:pPr>
                  <w:r w:rsidRPr="00022345">
                    <w:rPr>
                      <w:rFonts w:ascii="Arial" w:hAnsi="Arial"/>
                      <w:b/>
                      <w:sz w:val="20"/>
                      <w:szCs w:val="20"/>
                    </w:rPr>
                    <w:t>Final Mark</w:t>
                  </w:r>
                </w:p>
                <w:p w:rsidR="001D4B8F" w:rsidRPr="00116CE6" w:rsidRDefault="001D4B8F" w:rsidP="00832BB5">
                  <w:pPr>
                    <w:rPr>
                      <w:rFonts w:ascii="Arial" w:hAnsi="Arial"/>
                      <w:sz w:val="20"/>
                      <w:szCs w:val="20"/>
                    </w:rPr>
                  </w:pPr>
                </w:p>
              </w:tc>
              <w:tc>
                <w:tcPr>
                  <w:tcW w:w="1660" w:type="dxa"/>
                </w:tcPr>
                <w:p w:rsidR="001D4B8F" w:rsidRPr="00116CE6" w:rsidRDefault="001D4B8F" w:rsidP="00832BB5">
                  <w:pPr>
                    <w:rPr>
                      <w:rFonts w:ascii="Arial" w:hAnsi="Arial"/>
                      <w:sz w:val="20"/>
                      <w:szCs w:val="20"/>
                    </w:rPr>
                  </w:pPr>
                </w:p>
              </w:tc>
            </w:tr>
          </w:tbl>
          <w:p w:rsidR="001D4B8F" w:rsidRDefault="001D4B8F" w:rsidP="00832BB5">
            <w:pPr>
              <w:pStyle w:val="NormalWeb"/>
              <w:spacing w:before="0" w:beforeAutospacing="0" w:after="0" w:afterAutospacing="0"/>
              <w:ind w:left="142" w:right="34"/>
              <w:rPr>
                <w:rFonts w:ascii="Arial" w:hAnsi="Arial" w:cs="Arial"/>
                <w:b/>
                <w:sz w:val="22"/>
                <w:szCs w:val="22"/>
              </w:rPr>
            </w:pPr>
          </w:p>
          <w:p w:rsidR="001D4B8F" w:rsidRPr="00230F35" w:rsidRDefault="001D4B8F" w:rsidP="00832BB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1D4B8F" w:rsidRDefault="001D4B8F" w:rsidP="00832BB5">
            <w:pPr>
              <w:pStyle w:val="NormalWeb"/>
              <w:spacing w:before="0" w:beforeAutospacing="0" w:after="0" w:afterAutospacing="0"/>
              <w:rPr>
                <w:rFonts w:ascii="Arial" w:hAnsi="Arial" w:cs="Arial"/>
                <w:b/>
                <w:sz w:val="22"/>
                <w:szCs w:val="22"/>
              </w:rPr>
            </w:pPr>
          </w:p>
          <w:p w:rsidR="001D4B8F" w:rsidRDefault="001D4B8F" w:rsidP="00832BB5">
            <w:pPr>
              <w:pStyle w:val="NormalWeb"/>
              <w:spacing w:before="0" w:beforeAutospacing="0" w:after="0" w:afterAutospacing="0"/>
              <w:rPr>
                <w:rFonts w:ascii="Arial" w:hAnsi="Arial" w:cs="Arial"/>
                <w:b/>
                <w:sz w:val="22"/>
                <w:szCs w:val="22"/>
              </w:rPr>
            </w:pPr>
          </w:p>
          <w:p w:rsidR="001D4B8F" w:rsidRDefault="001D4B8F" w:rsidP="00832BB5">
            <w:pPr>
              <w:pStyle w:val="NormalWeb"/>
              <w:spacing w:before="0" w:beforeAutospacing="0" w:after="0" w:afterAutospacing="0"/>
              <w:rPr>
                <w:rFonts w:ascii="Arial" w:hAnsi="Arial" w:cs="Arial"/>
                <w:b/>
                <w:sz w:val="22"/>
                <w:szCs w:val="22"/>
              </w:rPr>
            </w:pPr>
          </w:p>
          <w:p w:rsidR="001D4B8F" w:rsidRDefault="001D4B8F" w:rsidP="00832BB5">
            <w:pPr>
              <w:pStyle w:val="NormalWeb"/>
              <w:spacing w:before="0" w:beforeAutospacing="0" w:after="0" w:afterAutospacing="0"/>
              <w:rPr>
                <w:rFonts w:ascii="Arial" w:hAnsi="Arial" w:cs="Arial"/>
                <w:b/>
                <w:sz w:val="22"/>
                <w:szCs w:val="22"/>
              </w:rPr>
            </w:pPr>
          </w:p>
          <w:p w:rsidR="001D4B8F" w:rsidRDefault="001D4B8F" w:rsidP="00832BB5">
            <w:pPr>
              <w:pStyle w:val="NormalWeb"/>
              <w:spacing w:before="0" w:beforeAutospacing="0" w:after="0" w:afterAutospacing="0"/>
              <w:rPr>
                <w:rFonts w:ascii="Arial" w:hAnsi="Arial" w:cs="Arial"/>
                <w:b/>
                <w:sz w:val="22"/>
                <w:szCs w:val="22"/>
              </w:rPr>
            </w:pPr>
          </w:p>
          <w:p w:rsidR="001D4B8F" w:rsidRPr="00230F35" w:rsidRDefault="001D4B8F" w:rsidP="00832BB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rsidR="001D4B8F" w:rsidRDefault="001D4B8F" w:rsidP="00832BB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1D4B8F" w:rsidRPr="00001C3B" w:rsidRDefault="001D4B8F" w:rsidP="00832BB5">
            <w:pPr>
              <w:pStyle w:val="NormalWeb"/>
              <w:rPr>
                <w:rFonts w:ascii="Arial" w:hAnsi="Arial" w:cs="Arial"/>
                <w:sz w:val="22"/>
                <w:szCs w:val="22"/>
              </w:rPr>
            </w:pPr>
          </w:p>
        </w:tc>
      </w:tr>
      <w:tr w:rsidR="001D4B8F" w:rsidRPr="00230F35" w:rsidTr="00832BB5">
        <w:trPr>
          <w:trHeight w:val="492"/>
        </w:trPr>
        <w:tc>
          <w:tcPr>
            <w:tcW w:w="6768" w:type="dxa"/>
            <w:gridSpan w:val="3"/>
          </w:tcPr>
          <w:p w:rsidR="001D4B8F" w:rsidRPr="00230F35" w:rsidRDefault="001D4B8F" w:rsidP="00832BB5">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rsidR="001D4B8F" w:rsidRPr="00230F35" w:rsidRDefault="001D4B8F" w:rsidP="00832BB5">
            <w:pPr>
              <w:pStyle w:val="NormalWeb"/>
              <w:spacing w:after="0"/>
              <w:ind w:left="142" w:right="34"/>
              <w:rPr>
                <w:rFonts w:ascii="Arial" w:hAnsi="Arial" w:cs="Arial"/>
                <w:sz w:val="22"/>
                <w:szCs w:val="22"/>
              </w:rPr>
            </w:pPr>
            <w:r w:rsidRPr="00230F35">
              <w:rPr>
                <w:rFonts w:ascii="Arial" w:hAnsi="Arial" w:cs="Arial"/>
                <w:sz w:val="22"/>
                <w:szCs w:val="22"/>
              </w:rPr>
              <w:t>Date:</w:t>
            </w:r>
          </w:p>
        </w:tc>
      </w:tr>
      <w:tr w:rsidR="001D4B8F" w:rsidRPr="002F467C" w:rsidTr="00832BB5">
        <w:tc>
          <w:tcPr>
            <w:tcW w:w="8856" w:type="dxa"/>
            <w:gridSpan w:val="5"/>
          </w:tcPr>
          <w:p w:rsidR="001D4B8F" w:rsidRPr="00230F35" w:rsidRDefault="001D4B8F" w:rsidP="00832BB5">
            <w:pPr>
              <w:pStyle w:val="NormalWeb"/>
              <w:spacing w:before="0" w:beforeAutospacing="0" w:after="0" w:afterAutospacing="0"/>
              <w:ind w:right="-334"/>
              <w:rPr>
                <w:rFonts w:ascii="Arial" w:hAnsi="Arial" w:cs="Arial"/>
                <w:bCs/>
                <w:i/>
                <w:sz w:val="22"/>
                <w:szCs w:val="22"/>
              </w:rPr>
            </w:pPr>
          </w:p>
          <w:p w:rsidR="001D4B8F" w:rsidRPr="00230F35" w:rsidRDefault="001D4B8F" w:rsidP="00832BB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1D4B8F" w:rsidRPr="00230F35" w:rsidRDefault="001D4B8F" w:rsidP="00832BB5">
            <w:pPr>
              <w:pStyle w:val="NormalWeb"/>
              <w:spacing w:before="0" w:beforeAutospacing="0" w:after="0" w:afterAutospacing="0"/>
              <w:ind w:right="-334"/>
              <w:rPr>
                <w:rFonts w:ascii="Arial" w:hAnsi="Arial" w:cs="Arial"/>
                <w:b/>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tc>
      </w:tr>
      <w:tr w:rsidR="001D4B8F" w:rsidRPr="002F467C" w:rsidTr="00832BB5">
        <w:trPr>
          <w:trHeight w:val="720"/>
        </w:trPr>
        <w:tc>
          <w:tcPr>
            <w:tcW w:w="5211" w:type="dxa"/>
            <w:gridSpan w:val="2"/>
          </w:tcPr>
          <w:p w:rsidR="001D4B8F" w:rsidRPr="00230F35" w:rsidRDefault="001D4B8F" w:rsidP="00832BB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1D4B8F" w:rsidRPr="00230F35" w:rsidRDefault="001D4B8F" w:rsidP="00832BB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D4B8F" w:rsidRPr="002F467C" w:rsidTr="00832BB5">
        <w:trPr>
          <w:trHeight w:val="720"/>
        </w:trPr>
        <w:tc>
          <w:tcPr>
            <w:tcW w:w="8856" w:type="dxa"/>
            <w:gridSpan w:val="5"/>
          </w:tcPr>
          <w:p w:rsidR="001D4B8F" w:rsidRPr="00B34964" w:rsidRDefault="001D4B8F" w:rsidP="00832BB5">
            <w:pPr>
              <w:rPr>
                <w:rFonts w:ascii="Arial" w:hAnsi="Arial" w:cs="Arial"/>
                <w:b/>
                <w:sz w:val="22"/>
                <w:szCs w:val="22"/>
              </w:rPr>
            </w:pPr>
            <w:r w:rsidRPr="00B34964">
              <w:rPr>
                <w:rFonts w:ascii="Arial" w:hAnsi="Arial" w:cs="Arial"/>
                <w:b/>
                <w:sz w:val="22"/>
                <w:szCs w:val="22"/>
              </w:rPr>
              <w:t>External Examiner’s comments (if relevant)</w:t>
            </w: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p w:rsidR="001D4B8F" w:rsidRPr="00230F35" w:rsidRDefault="001D4B8F" w:rsidP="00832BB5">
            <w:pPr>
              <w:pStyle w:val="NormalWeb"/>
              <w:spacing w:before="0" w:beforeAutospacing="0" w:after="0" w:afterAutospacing="0"/>
              <w:ind w:right="-334"/>
              <w:rPr>
                <w:rFonts w:ascii="Arial" w:hAnsi="Arial" w:cs="Arial"/>
                <w:bCs/>
                <w:sz w:val="22"/>
                <w:szCs w:val="22"/>
              </w:rPr>
            </w:pPr>
          </w:p>
        </w:tc>
      </w:tr>
      <w:tr w:rsidR="001D4B8F" w:rsidRPr="002F467C" w:rsidTr="00832BB5">
        <w:trPr>
          <w:trHeight w:val="720"/>
        </w:trPr>
        <w:tc>
          <w:tcPr>
            <w:tcW w:w="5211" w:type="dxa"/>
            <w:gridSpan w:val="2"/>
          </w:tcPr>
          <w:p w:rsidR="001D4B8F" w:rsidRPr="00230F35" w:rsidRDefault="001D4B8F" w:rsidP="00832BB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rsidR="001D4B8F" w:rsidRPr="00230F35" w:rsidRDefault="001D4B8F" w:rsidP="00832BB5">
            <w:pPr>
              <w:rPr>
                <w:rFonts w:ascii="Arial" w:hAnsi="Arial" w:cs="Arial"/>
                <w:sz w:val="22"/>
                <w:szCs w:val="22"/>
              </w:rPr>
            </w:pPr>
            <w:r w:rsidRPr="00230F35">
              <w:rPr>
                <w:rFonts w:ascii="Arial" w:hAnsi="Arial" w:cs="Arial"/>
                <w:sz w:val="22"/>
                <w:szCs w:val="22"/>
              </w:rPr>
              <w:t>Date:</w:t>
            </w:r>
          </w:p>
        </w:tc>
      </w:tr>
    </w:tbl>
    <w:p w:rsidR="00D86AC8" w:rsidRDefault="00D86AC8" w:rsidP="00D86AC8">
      <w:pPr>
        <w:rPr>
          <w:color w:val="000000"/>
        </w:rPr>
      </w:pPr>
    </w:p>
    <w:p w:rsidR="00D86AC8" w:rsidRDefault="00D86AC8" w:rsidP="00D86AC8">
      <w:pPr>
        <w:rPr>
          <w:color w:val="000000"/>
        </w:rPr>
      </w:pPr>
    </w:p>
    <w:p w:rsidR="00D86AC8" w:rsidRDefault="00D86AC8" w:rsidP="00D86AC8">
      <w:pPr>
        <w:rPr>
          <w:color w:val="000000"/>
        </w:rPr>
      </w:pPr>
    </w:p>
    <w:p w:rsidR="00AB1BB8" w:rsidRPr="00AB1BB8" w:rsidRDefault="00AB1BB8" w:rsidP="00AB1BB8">
      <w:pPr>
        <w:keepNext/>
        <w:keepLines/>
        <w:spacing w:before="40"/>
        <w:outlineLvl w:val="1"/>
        <w:rPr>
          <w:rFonts w:ascii="Calibri Light" w:eastAsia="Times New Roman" w:hAnsi="Calibri Light"/>
          <w:color w:val="2F5496"/>
          <w:sz w:val="26"/>
          <w:szCs w:val="26"/>
          <w:lang w:val="en-US" w:eastAsia="en-US"/>
        </w:rPr>
      </w:pPr>
      <w:r w:rsidRPr="00AB1BB8">
        <w:rPr>
          <w:rFonts w:ascii="Calibri Light" w:eastAsia="Times New Roman" w:hAnsi="Calibri Light"/>
          <w:color w:val="2F5496"/>
          <w:sz w:val="26"/>
          <w:szCs w:val="26"/>
          <w:lang w:val="en-US" w:eastAsia="en-US"/>
        </w:rPr>
        <w:lastRenderedPageBreak/>
        <w:t>A Critical Comparison of the Astrological Moon in three primary source documents</w:t>
      </w:r>
    </w:p>
    <w:p w:rsidR="00AB1BB8" w:rsidRDefault="00832BB5" w:rsidP="00AB1BB8">
      <w:pPr>
        <w:keepNext/>
        <w:keepLines/>
        <w:spacing w:before="40"/>
        <w:outlineLvl w:val="1"/>
        <w:rPr>
          <w:rFonts w:ascii="Calibri Light" w:eastAsia="Times New Roman" w:hAnsi="Calibri Light"/>
          <w:color w:val="2F5496"/>
          <w:sz w:val="26"/>
          <w:szCs w:val="26"/>
          <w:lang w:val="en-US" w:eastAsia="en-US"/>
        </w:rPr>
      </w:pPr>
      <w:r>
        <w:rPr>
          <w:rFonts w:ascii="Calibri Light" w:eastAsia="Times New Roman" w:hAnsi="Calibri Light"/>
          <w:color w:val="2F5496"/>
          <w:sz w:val="26"/>
          <w:szCs w:val="26"/>
          <w:lang w:val="en-US" w:eastAsia="en-US"/>
        </w:rPr>
        <w:t>Word Count:</w:t>
      </w:r>
    </w:p>
    <w:p w:rsidR="00832BB5" w:rsidRDefault="00435830" w:rsidP="00832BB5">
      <w:pPr>
        <w:keepNext/>
        <w:keepLines/>
        <w:spacing w:before="40"/>
        <w:outlineLvl w:val="1"/>
        <w:rPr>
          <w:rFonts w:ascii="Calibri Light" w:eastAsia="Times New Roman" w:hAnsi="Calibri Light"/>
          <w:color w:val="2F5496"/>
          <w:sz w:val="26"/>
          <w:szCs w:val="26"/>
          <w:lang w:val="en-US" w:eastAsia="en-US"/>
        </w:rPr>
      </w:pPr>
      <w:r>
        <w:rPr>
          <w:rFonts w:ascii="Calibri Light" w:eastAsia="Times New Roman" w:hAnsi="Calibri Light"/>
          <w:color w:val="2F5496"/>
          <w:sz w:val="26"/>
          <w:szCs w:val="26"/>
          <w:lang w:val="en-US" w:eastAsia="en-US"/>
        </w:rPr>
        <w:t>2</w:t>
      </w:r>
      <w:r w:rsidR="00441691">
        <w:rPr>
          <w:rFonts w:ascii="Calibri Light" w:eastAsia="Times New Roman" w:hAnsi="Calibri Light"/>
          <w:color w:val="2F5496"/>
          <w:sz w:val="26"/>
          <w:szCs w:val="26"/>
          <w:lang w:val="en-US" w:eastAsia="en-US"/>
        </w:rPr>
        <w:t>098</w:t>
      </w:r>
      <w:bookmarkStart w:id="5" w:name="_GoBack"/>
      <w:bookmarkEnd w:id="5"/>
    </w:p>
    <w:p w:rsidR="00594A3A" w:rsidRPr="00AB1BB8" w:rsidRDefault="00594A3A" w:rsidP="00832BB5">
      <w:pPr>
        <w:keepNext/>
        <w:keepLines/>
        <w:spacing w:before="40"/>
        <w:outlineLvl w:val="1"/>
        <w:rPr>
          <w:rFonts w:ascii="Calibri Light" w:eastAsia="Times New Roman" w:hAnsi="Calibri Light"/>
          <w:color w:val="2F5496"/>
          <w:sz w:val="26"/>
          <w:szCs w:val="26"/>
          <w:lang w:val="en-US" w:eastAsia="en-US"/>
        </w:rPr>
      </w:pPr>
    </w:p>
    <w:p w:rsidR="00AB1BB8" w:rsidRPr="00AB1BB8" w:rsidRDefault="00AB1BB8" w:rsidP="00AB1BB8">
      <w:pPr>
        <w:keepNext/>
        <w:keepLines/>
        <w:spacing w:before="40"/>
        <w:outlineLvl w:val="1"/>
        <w:rPr>
          <w:rFonts w:ascii="Calibri Light" w:eastAsia="Calibri" w:hAnsi="Calibri Light"/>
          <w:color w:val="2F5496"/>
          <w:sz w:val="26"/>
          <w:szCs w:val="26"/>
          <w:lang w:val="en-US" w:eastAsia="en-US"/>
        </w:rPr>
      </w:pPr>
      <w:r w:rsidRPr="00AB1BB8">
        <w:rPr>
          <w:rFonts w:ascii="Calibri Light" w:eastAsia="Times New Roman" w:hAnsi="Calibri Light"/>
          <w:color w:val="2F5496"/>
          <w:sz w:val="26"/>
          <w:szCs w:val="26"/>
          <w:lang w:val="en-US" w:eastAsia="en-US"/>
        </w:rPr>
        <w:t>Introduction</w:t>
      </w:r>
    </w:p>
    <w:p w:rsidR="00AB1BB8" w:rsidRPr="00AB1BB8" w:rsidRDefault="00AB1BB8" w:rsidP="00AB1BB8">
      <w:pPr>
        <w:ind w:left="720"/>
        <w:contextualSpacing/>
        <w:rPr>
          <w:rFonts w:ascii="Calibri" w:eastAsia="Times New Roman" w:hAnsi="Calibri"/>
          <w:lang w:val="en-US" w:eastAsia="en-US"/>
        </w:rPr>
      </w:pPr>
    </w:p>
    <w:p w:rsidR="00DE68A3" w:rsidRDefault="00AB1BB8" w:rsidP="00DE68A3">
      <w:pPr>
        <w:rPr>
          <w:rFonts w:ascii="Calibri" w:eastAsia="Times New Roman" w:hAnsi="Calibri"/>
          <w:lang w:eastAsia="en-US"/>
        </w:rPr>
      </w:pPr>
      <w:r w:rsidRPr="00AB1BB8">
        <w:rPr>
          <w:rFonts w:ascii="Calibri" w:eastAsia="Times New Roman" w:hAnsi="Calibri"/>
          <w:lang w:eastAsia="en-US"/>
        </w:rPr>
        <w:t>This paper will compare and contrast the astrological the symbol of the moon as it has been represented in three sources which range from the eighth century BC to contemporary times. The earliest text relates to Babylonian omen literature, as translated by Hermann Hunger in ‘Astrological Reports to Assyrian Kings’.</w:t>
      </w:r>
      <w:r w:rsidRPr="00AB1BB8">
        <w:rPr>
          <w:rFonts w:ascii="Calibri" w:eastAsia="Times New Roman" w:hAnsi="Calibri"/>
          <w:vertAlign w:val="superscript"/>
          <w:lang w:eastAsia="en-US"/>
        </w:rPr>
        <w:footnoteReference w:id="1"/>
      </w:r>
      <w:r w:rsidRPr="00AB1BB8">
        <w:rPr>
          <w:rFonts w:ascii="Calibri" w:eastAsia="Times New Roman" w:hAnsi="Calibri"/>
          <w:lang w:eastAsia="en-US"/>
        </w:rPr>
        <w:t xml:space="preserve">  The modern text by Dane Rudhyar (1895-1985) titled, ‘The Moon: The Cycles and Fortunes of life’, was published in 1946 and the contemporary book, ‘</w:t>
      </w:r>
      <w:proofErr w:type="spellStart"/>
      <w:r w:rsidRPr="00AB1BB8">
        <w:rPr>
          <w:rFonts w:ascii="Calibri" w:eastAsia="Times New Roman" w:hAnsi="Calibri"/>
          <w:lang w:eastAsia="en-US"/>
        </w:rPr>
        <w:t>Moonology</w:t>
      </w:r>
      <w:proofErr w:type="spellEnd"/>
      <w:r w:rsidRPr="00AB1BB8">
        <w:rPr>
          <w:rFonts w:ascii="Calibri" w:eastAsia="Times New Roman" w:hAnsi="Calibri"/>
          <w:lang w:eastAsia="en-US"/>
        </w:rPr>
        <w:t>: Working with the Magic of Lunar Cycles’, was published by Yasmin Boland in 2016.</w:t>
      </w:r>
      <w:r w:rsidRPr="00AB1BB8">
        <w:rPr>
          <w:rFonts w:ascii="Calibri" w:eastAsia="Times New Roman" w:hAnsi="Calibri"/>
          <w:vertAlign w:val="superscript"/>
          <w:lang w:eastAsia="en-US"/>
        </w:rPr>
        <w:footnoteReference w:id="2"/>
      </w:r>
      <w:r w:rsidRPr="00AB1BB8">
        <w:rPr>
          <w:rFonts w:ascii="Calibri" w:eastAsia="Times New Roman" w:hAnsi="Calibri"/>
          <w:lang w:eastAsia="en-US"/>
        </w:rPr>
        <w:t xml:space="preserve"> The Babylonian omens which were originally carved in cuneiform script </w:t>
      </w:r>
      <w:r w:rsidR="001C3FBA">
        <w:rPr>
          <w:rFonts w:ascii="Calibri" w:eastAsia="Times New Roman" w:hAnsi="Calibri"/>
          <w:lang w:eastAsia="en-US"/>
        </w:rPr>
        <w:t xml:space="preserve">on clay tablets </w:t>
      </w:r>
      <w:r w:rsidRPr="00AB1BB8">
        <w:rPr>
          <w:rFonts w:ascii="Calibri" w:eastAsia="Times New Roman" w:hAnsi="Calibri"/>
          <w:lang w:eastAsia="en-US"/>
        </w:rPr>
        <w:t xml:space="preserve">were </w:t>
      </w:r>
      <w:r w:rsidR="00946B50">
        <w:rPr>
          <w:rFonts w:ascii="Calibri" w:eastAsia="Times New Roman" w:hAnsi="Calibri"/>
          <w:lang w:eastAsia="en-US"/>
        </w:rPr>
        <w:t xml:space="preserve">adapted from a </w:t>
      </w:r>
      <w:r w:rsidRPr="00AB1BB8">
        <w:rPr>
          <w:rFonts w:ascii="Calibri" w:eastAsia="Times New Roman" w:hAnsi="Calibri"/>
          <w:lang w:eastAsia="en-US"/>
        </w:rPr>
        <w:t>translat</w:t>
      </w:r>
      <w:r w:rsidR="00946B50">
        <w:rPr>
          <w:rFonts w:ascii="Calibri" w:eastAsia="Times New Roman" w:hAnsi="Calibri"/>
          <w:lang w:eastAsia="en-US"/>
        </w:rPr>
        <w:t>ion</w:t>
      </w:r>
      <w:r w:rsidRPr="00AB1BB8">
        <w:rPr>
          <w:rFonts w:ascii="Calibri" w:eastAsia="Times New Roman" w:hAnsi="Calibri"/>
          <w:lang w:eastAsia="en-US"/>
        </w:rPr>
        <w:t xml:space="preserve"> by Hermann Hunger, who is an authority on Babylonian astronomy and celestial omens. </w:t>
      </w:r>
      <w:r w:rsidRPr="00AB1BB8">
        <w:rPr>
          <w:rFonts w:ascii="Calibri" w:eastAsia="Times New Roman" w:hAnsi="Calibri"/>
          <w:vertAlign w:val="superscript"/>
          <w:lang w:eastAsia="en-US"/>
        </w:rPr>
        <w:footnoteReference w:id="3"/>
      </w:r>
      <w:r w:rsidRPr="00AB1BB8">
        <w:rPr>
          <w:rFonts w:ascii="Calibri" w:eastAsia="Times New Roman" w:hAnsi="Calibri"/>
          <w:lang w:eastAsia="en-US"/>
        </w:rPr>
        <w:t xml:space="preserve"> Rudhyar was one of the most influential astrologers of the twentieth century and Yasmin Boland is a popular writer appealing to present day readers of horoscope columns, magazines and books.</w:t>
      </w:r>
      <w:r w:rsidRPr="00AB1BB8">
        <w:rPr>
          <w:rFonts w:ascii="Calibri" w:eastAsia="Times New Roman" w:hAnsi="Calibri"/>
          <w:vertAlign w:val="superscript"/>
          <w:lang w:eastAsia="en-US"/>
        </w:rPr>
        <w:t xml:space="preserve"> </w:t>
      </w:r>
      <w:r w:rsidR="00DB3EE0">
        <w:rPr>
          <w:rStyle w:val="FootnoteReference"/>
          <w:rFonts w:ascii="Calibri" w:eastAsia="Times New Roman" w:hAnsi="Calibri"/>
          <w:lang w:eastAsia="en-US"/>
        </w:rPr>
        <w:footnoteReference w:id="4"/>
      </w:r>
      <w:r w:rsidRPr="00AB1BB8">
        <w:rPr>
          <w:rFonts w:ascii="Calibri" w:eastAsia="Times New Roman" w:hAnsi="Calibri"/>
          <w:vertAlign w:val="superscript"/>
          <w:lang w:eastAsia="en-US"/>
        </w:rPr>
        <w:t xml:space="preserve"> </w:t>
      </w:r>
      <w:r w:rsidRPr="00AB1BB8">
        <w:rPr>
          <w:rFonts w:ascii="Calibri" w:eastAsia="Times New Roman" w:hAnsi="Calibri"/>
          <w:lang w:eastAsia="en-US"/>
        </w:rPr>
        <w:t>The paper will show how each author understands the moon as a divine force endowed with foreknowledge</w:t>
      </w:r>
      <w:r w:rsidR="00946B50">
        <w:rPr>
          <w:rFonts w:ascii="Calibri" w:eastAsia="Times New Roman" w:hAnsi="Calibri"/>
          <w:lang w:eastAsia="en-US"/>
        </w:rPr>
        <w:t xml:space="preserve"> and place</w:t>
      </w:r>
      <w:r w:rsidR="00AF2782">
        <w:rPr>
          <w:rFonts w:ascii="Calibri" w:eastAsia="Times New Roman" w:hAnsi="Calibri"/>
          <w:lang w:eastAsia="en-US"/>
        </w:rPr>
        <w:t>s</w:t>
      </w:r>
      <w:r w:rsidR="00946B50">
        <w:rPr>
          <w:rFonts w:ascii="Calibri" w:eastAsia="Times New Roman" w:hAnsi="Calibri"/>
          <w:lang w:eastAsia="en-US"/>
        </w:rPr>
        <w:t xml:space="preserve"> an important emphasis on the qualities of the </w:t>
      </w:r>
      <w:r w:rsidR="00894859">
        <w:rPr>
          <w:rFonts w:ascii="Calibri" w:eastAsia="Times New Roman" w:hAnsi="Calibri"/>
          <w:lang w:eastAsia="en-US"/>
        </w:rPr>
        <w:t xml:space="preserve">different phases of the moon. </w:t>
      </w:r>
      <w:r w:rsidR="00E30C0A">
        <w:rPr>
          <w:rFonts w:ascii="Calibri" w:eastAsia="Times New Roman" w:hAnsi="Calibri"/>
          <w:lang w:eastAsia="en-US"/>
        </w:rPr>
        <w:t xml:space="preserve">The phases refer to the moon’s </w:t>
      </w:r>
      <w:r w:rsidR="00894859">
        <w:rPr>
          <w:rFonts w:ascii="Calibri" w:eastAsia="Times New Roman" w:hAnsi="Calibri"/>
          <w:lang w:eastAsia="en-US"/>
        </w:rPr>
        <w:t xml:space="preserve">visual appearance </w:t>
      </w:r>
      <w:r w:rsidR="00894859">
        <w:rPr>
          <w:rFonts w:ascii="Calibri" w:eastAsia="Times New Roman" w:hAnsi="Calibri" w:cs="Calibri"/>
          <w:lang w:eastAsia="en-US"/>
        </w:rPr>
        <w:t xml:space="preserve">which </w:t>
      </w:r>
      <w:r w:rsidR="00894859">
        <w:rPr>
          <w:rFonts w:ascii="Calibri" w:eastAsia="Times New Roman" w:hAnsi="Calibri" w:cs="Calibri"/>
          <w:lang w:eastAsia="en-US"/>
        </w:rPr>
        <w:t xml:space="preserve">changes shape from </w:t>
      </w:r>
      <w:r w:rsidR="00894859" w:rsidRPr="00AB1BB8">
        <w:rPr>
          <w:rFonts w:ascii="Calibri" w:eastAsia="Times New Roman" w:hAnsi="Calibri"/>
          <w:lang w:eastAsia="en-US"/>
        </w:rPr>
        <w:t xml:space="preserve">a crescent, to a full </w:t>
      </w:r>
      <w:r w:rsidR="00894859">
        <w:rPr>
          <w:rFonts w:ascii="Calibri" w:eastAsia="Times New Roman" w:hAnsi="Calibri"/>
          <w:lang w:eastAsia="en-US"/>
        </w:rPr>
        <w:t xml:space="preserve">round </w:t>
      </w:r>
      <w:r w:rsidR="00894859" w:rsidRPr="00AB1BB8">
        <w:rPr>
          <w:rFonts w:ascii="Calibri" w:eastAsia="Times New Roman" w:hAnsi="Calibri"/>
          <w:lang w:eastAsia="en-US"/>
        </w:rPr>
        <w:t xml:space="preserve">moon and </w:t>
      </w:r>
      <w:r w:rsidR="00894859">
        <w:rPr>
          <w:rFonts w:ascii="Calibri" w:eastAsia="Times New Roman" w:hAnsi="Calibri"/>
          <w:lang w:eastAsia="en-US"/>
        </w:rPr>
        <w:t>then</w:t>
      </w:r>
      <w:r w:rsidR="00E30C0A">
        <w:rPr>
          <w:rFonts w:ascii="Calibri" w:eastAsia="Times New Roman" w:hAnsi="Calibri"/>
          <w:lang w:eastAsia="en-US"/>
        </w:rPr>
        <w:t>,</w:t>
      </w:r>
      <w:r w:rsidR="00894859">
        <w:rPr>
          <w:rFonts w:ascii="Calibri" w:eastAsia="Times New Roman" w:hAnsi="Calibri"/>
          <w:lang w:eastAsia="en-US"/>
        </w:rPr>
        <w:t xml:space="preserve"> almost magically </w:t>
      </w:r>
      <w:r w:rsidR="00894859" w:rsidRPr="00AB1BB8">
        <w:rPr>
          <w:rFonts w:ascii="Calibri" w:eastAsia="Times New Roman" w:hAnsi="Calibri"/>
          <w:lang w:eastAsia="en-US"/>
        </w:rPr>
        <w:t>disappea</w:t>
      </w:r>
      <w:r w:rsidR="00894859">
        <w:rPr>
          <w:rFonts w:ascii="Calibri" w:eastAsia="Times New Roman" w:hAnsi="Calibri"/>
          <w:lang w:eastAsia="en-US"/>
        </w:rPr>
        <w:t>rs</w:t>
      </w:r>
      <w:r w:rsidR="00E051D0">
        <w:rPr>
          <w:rFonts w:ascii="Calibri" w:eastAsia="Times New Roman" w:hAnsi="Calibri"/>
          <w:lang w:eastAsia="en-US"/>
        </w:rPr>
        <w:t>,</w:t>
      </w:r>
      <w:r w:rsidR="00E30C0A">
        <w:rPr>
          <w:rFonts w:ascii="Calibri" w:eastAsia="Times New Roman" w:hAnsi="Calibri"/>
          <w:lang w:eastAsia="en-US"/>
        </w:rPr>
        <w:t xml:space="preserve"> to return again in a rhythmic fashion</w:t>
      </w:r>
      <w:r w:rsidR="00894859">
        <w:rPr>
          <w:rFonts w:ascii="Calibri" w:eastAsia="Times New Roman" w:hAnsi="Calibri"/>
          <w:lang w:eastAsia="en-US"/>
        </w:rPr>
        <w:t>.</w:t>
      </w:r>
      <w:r w:rsidR="00185CE6">
        <w:rPr>
          <w:rFonts w:ascii="Calibri" w:eastAsia="Times New Roman" w:hAnsi="Calibri"/>
          <w:lang w:eastAsia="en-US"/>
        </w:rPr>
        <w:t xml:space="preserve"> </w:t>
      </w:r>
      <w:r w:rsidR="00894859">
        <w:rPr>
          <w:rFonts w:ascii="Calibri" w:eastAsia="Times New Roman" w:hAnsi="Calibri"/>
          <w:lang w:eastAsia="en-US"/>
        </w:rPr>
        <w:t>This phenomen</w:t>
      </w:r>
      <w:r w:rsidR="00185CE6">
        <w:rPr>
          <w:rFonts w:ascii="Calibri" w:eastAsia="Times New Roman" w:hAnsi="Calibri"/>
          <w:lang w:eastAsia="en-US"/>
        </w:rPr>
        <w:t>on</w:t>
      </w:r>
      <w:r w:rsidR="00E30C0A">
        <w:rPr>
          <w:rFonts w:ascii="Calibri" w:eastAsia="Times New Roman" w:hAnsi="Calibri"/>
          <w:lang w:eastAsia="en-US"/>
        </w:rPr>
        <w:t xml:space="preserve">, </w:t>
      </w:r>
      <w:r w:rsidR="00894859">
        <w:rPr>
          <w:rFonts w:ascii="Calibri" w:eastAsia="Times New Roman" w:hAnsi="Calibri"/>
          <w:lang w:eastAsia="en-US"/>
        </w:rPr>
        <w:t xml:space="preserve">is </w:t>
      </w:r>
      <w:r w:rsidR="00E30C0A">
        <w:rPr>
          <w:rFonts w:ascii="Calibri" w:eastAsia="Times New Roman" w:hAnsi="Calibri"/>
          <w:lang w:eastAsia="en-US"/>
        </w:rPr>
        <w:t xml:space="preserve">actually </w:t>
      </w:r>
      <w:r w:rsidR="00894859">
        <w:rPr>
          <w:rFonts w:ascii="Calibri" w:eastAsia="Times New Roman" w:hAnsi="Calibri"/>
          <w:lang w:eastAsia="en-US"/>
        </w:rPr>
        <w:t xml:space="preserve">due to </w:t>
      </w:r>
      <w:r w:rsidR="00894859">
        <w:rPr>
          <w:rFonts w:ascii="Calibri" w:eastAsia="Times New Roman" w:hAnsi="Calibri" w:cs="Calibri"/>
          <w:lang w:eastAsia="en-US"/>
        </w:rPr>
        <w:t>the reflected light of the sun</w:t>
      </w:r>
      <w:r w:rsidR="00894859">
        <w:rPr>
          <w:rFonts w:ascii="Calibri" w:eastAsia="Times New Roman" w:hAnsi="Calibri" w:cs="Calibri"/>
          <w:lang w:eastAsia="en-US"/>
        </w:rPr>
        <w:t xml:space="preserve"> and is </w:t>
      </w:r>
      <w:r w:rsidR="00894859">
        <w:rPr>
          <w:rFonts w:ascii="Calibri" w:eastAsia="Times New Roman" w:hAnsi="Calibri"/>
          <w:lang w:eastAsia="en-US"/>
        </w:rPr>
        <w:t>dependent upon the sun</w:t>
      </w:r>
      <w:r w:rsidR="00185CE6">
        <w:rPr>
          <w:rFonts w:ascii="Calibri" w:eastAsia="Times New Roman" w:hAnsi="Calibri"/>
          <w:lang w:eastAsia="en-US"/>
        </w:rPr>
        <w:t>-</w:t>
      </w:r>
      <w:r w:rsidR="00894859">
        <w:rPr>
          <w:rFonts w:ascii="Calibri" w:eastAsia="Times New Roman" w:hAnsi="Calibri"/>
          <w:lang w:eastAsia="en-US"/>
        </w:rPr>
        <w:t>moon cycle.</w:t>
      </w:r>
      <w:r w:rsidR="00DB3EE0">
        <w:rPr>
          <w:rStyle w:val="FootnoteReference"/>
          <w:rFonts w:ascii="Calibri" w:eastAsia="Times New Roman" w:hAnsi="Calibri"/>
          <w:lang w:eastAsia="en-US"/>
        </w:rPr>
        <w:footnoteReference w:id="5"/>
      </w:r>
      <w:r w:rsidR="00894859">
        <w:rPr>
          <w:rFonts w:ascii="Calibri" w:eastAsia="Times New Roman" w:hAnsi="Calibri"/>
          <w:lang w:eastAsia="en-US"/>
        </w:rPr>
        <w:t xml:space="preserve"> This paper will explore </w:t>
      </w:r>
      <w:r w:rsidR="001C3FBA">
        <w:rPr>
          <w:rFonts w:ascii="Calibri" w:eastAsia="Times New Roman" w:hAnsi="Calibri"/>
          <w:lang w:eastAsia="en-US"/>
        </w:rPr>
        <w:t xml:space="preserve">how </w:t>
      </w:r>
      <w:r w:rsidR="00894859">
        <w:rPr>
          <w:rFonts w:ascii="Calibri" w:eastAsia="Times New Roman" w:hAnsi="Calibri"/>
          <w:lang w:eastAsia="en-US"/>
        </w:rPr>
        <w:t>each astrologer utilize</w:t>
      </w:r>
      <w:r w:rsidR="00185CE6">
        <w:rPr>
          <w:rFonts w:ascii="Calibri" w:eastAsia="Times New Roman" w:hAnsi="Calibri"/>
          <w:lang w:eastAsia="en-US"/>
        </w:rPr>
        <w:t>s</w:t>
      </w:r>
      <w:r w:rsidR="00894859">
        <w:rPr>
          <w:rFonts w:ascii="Calibri" w:eastAsia="Times New Roman" w:hAnsi="Calibri"/>
          <w:lang w:eastAsia="en-US"/>
        </w:rPr>
        <w:t xml:space="preserve"> </w:t>
      </w:r>
      <w:r w:rsidR="001C3FBA">
        <w:rPr>
          <w:rFonts w:ascii="Calibri" w:eastAsia="Times New Roman" w:hAnsi="Calibri"/>
          <w:lang w:eastAsia="en-US"/>
        </w:rPr>
        <w:t>the phases of the moon</w:t>
      </w:r>
      <w:r w:rsidRPr="00AB1BB8">
        <w:rPr>
          <w:rFonts w:ascii="Calibri" w:eastAsia="Times New Roman" w:hAnsi="Calibri"/>
          <w:lang w:eastAsia="en-US"/>
        </w:rPr>
        <w:t xml:space="preserve"> </w:t>
      </w:r>
      <w:r w:rsidR="00894859">
        <w:rPr>
          <w:rFonts w:ascii="Calibri" w:eastAsia="Times New Roman" w:hAnsi="Calibri"/>
          <w:lang w:eastAsia="en-US"/>
        </w:rPr>
        <w:t>as a devi</w:t>
      </w:r>
      <w:r w:rsidR="00185CE6">
        <w:rPr>
          <w:rFonts w:ascii="Calibri" w:eastAsia="Times New Roman" w:hAnsi="Calibri"/>
          <w:lang w:eastAsia="en-US"/>
        </w:rPr>
        <w:t>c</w:t>
      </w:r>
      <w:r w:rsidR="00894859">
        <w:rPr>
          <w:rFonts w:ascii="Calibri" w:eastAsia="Times New Roman" w:hAnsi="Calibri"/>
          <w:lang w:eastAsia="en-US"/>
        </w:rPr>
        <w:t xml:space="preserve">e </w:t>
      </w:r>
      <w:r w:rsidRPr="00AB1BB8">
        <w:rPr>
          <w:rFonts w:ascii="Calibri" w:eastAsia="Times New Roman" w:hAnsi="Calibri"/>
          <w:lang w:eastAsia="en-US"/>
        </w:rPr>
        <w:t xml:space="preserve">for measuring time and participating with the cosmic environment. Whilst there are common themes, there are also variations in the characteristics </w:t>
      </w:r>
      <w:r w:rsidR="001C3FBA">
        <w:rPr>
          <w:rFonts w:ascii="Calibri" w:eastAsia="Times New Roman" w:hAnsi="Calibri"/>
          <w:lang w:eastAsia="en-US"/>
        </w:rPr>
        <w:t>and function</w:t>
      </w:r>
      <w:r w:rsidR="00894859">
        <w:rPr>
          <w:rFonts w:ascii="Calibri" w:eastAsia="Times New Roman" w:hAnsi="Calibri"/>
          <w:lang w:eastAsia="en-US"/>
        </w:rPr>
        <w:t>s</w:t>
      </w:r>
      <w:r w:rsidR="001C3FBA">
        <w:rPr>
          <w:rFonts w:ascii="Calibri" w:eastAsia="Times New Roman" w:hAnsi="Calibri"/>
          <w:lang w:eastAsia="en-US"/>
        </w:rPr>
        <w:t xml:space="preserve"> </w:t>
      </w:r>
      <w:r w:rsidRPr="00AB1BB8">
        <w:rPr>
          <w:rFonts w:ascii="Calibri" w:eastAsia="Times New Roman" w:hAnsi="Calibri"/>
          <w:lang w:eastAsia="en-US"/>
        </w:rPr>
        <w:t>attributed by the authors to astrological the moo</w:t>
      </w:r>
      <w:r w:rsidR="00946B50">
        <w:rPr>
          <w:rFonts w:ascii="Calibri" w:eastAsia="Times New Roman" w:hAnsi="Calibri"/>
          <w:lang w:eastAsia="en-US"/>
        </w:rPr>
        <w:t>n.</w:t>
      </w:r>
    </w:p>
    <w:p w:rsidR="00DE68A3" w:rsidRDefault="00DE68A3" w:rsidP="00DE68A3">
      <w:pPr>
        <w:rPr>
          <w:rFonts w:ascii="Calibri" w:eastAsia="Times New Roman" w:hAnsi="Calibri"/>
          <w:lang w:val="en-US" w:eastAsia="en-US"/>
        </w:rPr>
      </w:pPr>
    </w:p>
    <w:p w:rsidR="00AB1BB8" w:rsidRPr="00AB1BB8" w:rsidRDefault="00DE68A3" w:rsidP="00594A3A">
      <w:pPr>
        <w:pStyle w:val="Heading2"/>
        <w:rPr>
          <w:rFonts w:eastAsia="Times New Roman"/>
          <w:lang w:val="en-US"/>
        </w:rPr>
      </w:pPr>
      <w:r w:rsidRPr="00AB1BB8" w:rsidDel="00DE68A3">
        <w:rPr>
          <w:rFonts w:ascii="Calibri" w:eastAsia="Times New Roman" w:hAnsi="Calibri"/>
          <w:lang w:val="en-US"/>
        </w:rPr>
        <w:t xml:space="preserve"> </w:t>
      </w:r>
      <w:r w:rsidR="00AB1BB8" w:rsidRPr="00AB1BB8">
        <w:rPr>
          <w:rFonts w:eastAsia="Times New Roman"/>
          <w:lang w:val="en-US"/>
        </w:rPr>
        <w:t>Moon as Divine Force</w:t>
      </w:r>
    </w:p>
    <w:p w:rsidR="00AB1BB8" w:rsidRPr="00435830" w:rsidRDefault="00AB1BB8" w:rsidP="00435830">
      <w:r w:rsidRPr="00AB1BB8">
        <w:rPr>
          <w:rFonts w:ascii="Calibri" w:eastAsia="Times New Roman" w:hAnsi="Calibri"/>
          <w:lang w:val="en-US" w:eastAsia="en-US"/>
        </w:rPr>
        <w:t xml:space="preserve">A characterization common to each astrologer is the idea of the moon as a divine force, which is capable of intelligence and foresight, yet the specific </w:t>
      </w:r>
      <w:r w:rsidR="00AF2782">
        <w:rPr>
          <w:rFonts w:ascii="Calibri" w:eastAsia="Times New Roman" w:hAnsi="Calibri"/>
          <w:lang w:val="en-US" w:eastAsia="en-US"/>
        </w:rPr>
        <w:t xml:space="preserve">characterization and </w:t>
      </w:r>
      <w:r w:rsidRPr="00AB1BB8">
        <w:rPr>
          <w:rFonts w:ascii="Calibri" w:eastAsia="Times New Roman" w:hAnsi="Calibri"/>
          <w:lang w:val="en-US" w:eastAsia="en-US"/>
        </w:rPr>
        <w:t>purpose for which is it utilized can vary.</w:t>
      </w:r>
      <w:r w:rsidR="00443708">
        <w:rPr>
          <w:rFonts w:ascii="Calibri" w:eastAsia="Times New Roman" w:hAnsi="Calibri"/>
          <w:lang w:val="en-US" w:eastAsia="en-US"/>
        </w:rPr>
        <w:t xml:space="preserve"> </w:t>
      </w:r>
      <w:r w:rsidR="00443708">
        <w:rPr>
          <w:rFonts w:ascii="Calibri" w:eastAsia="Times New Roman" w:hAnsi="Calibri" w:cs="Calibri"/>
          <w:lang w:eastAsia="en-US"/>
        </w:rPr>
        <w:t>As noted by Powel</w:t>
      </w:r>
      <w:r w:rsidR="00894859">
        <w:rPr>
          <w:rFonts w:ascii="Calibri" w:eastAsia="Times New Roman" w:hAnsi="Calibri" w:cs="Calibri"/>
          <w:lang w:eastAsia="en-US"/>
        </w:rPr>
        <w:t xml:space="preserve">l, </w:t>
      </w:r>
      <w:r w:rsidR="00443708">
        <w:rPr>
          <w:rFonts w:ascii="Calibri" w:eastAsia="Times New Roman" w:hAnsi="Calibri" w:cs="Calibri"/>
          <w:lang w:eastAsia="en-US"/>
        </w:rPr>
        <w:t xml:space="preserve"> the </w:t>
      </w:r>
      <w:r w:rsidR="00894859">
        <w:rPr>
          <w:rFonts w:ascii="Calibri" w:eastAsia="Times New Roman" w:hAnsi="Calibri" w:cs="Calibri"/>
          <w:lang w:eastAsia="en-US"/>
        </w:rPr>
        <w:t xml:space="preserve">moon, particularly the </w:t>
      </w:r>
      <w:r w:rsidR="00443708">
        <w:rPr>
          <w:rFonts w:ascii="Calibri" w:eastAsia="Times New Roman" w:hAnsi="Calibri" w:cs="Calibri"/>
          <w:lang w:eastAsia="en-US"/>
        </w:rPr>
        <w:t>new and full moon ‘was a preoccupation’ in Hunger’s omen texts</w:t>
      </w:r>
      <w:r w:rsidR="00EB40AB">
        <w:rPr>
          <w:rFonts w:ascii="Calibri" w:eastAsia="Times New Roman" w:hAnsi="Calibri" w:cs="Calibri"/>
          <w:lang w:eastAsia="en-US"/>
        </w:rPr>
        <w:t xml:space="preserve"> and their importance is also emphasised </w:t>
      </w:r>
      <w:r w:rsidR="00185CE6">
        <w:rPr>
          <w:rFonts w:ascii="Calibri" w:eastAsia="Times New Roman" w:hAnsi="Calibri" w:cs="Calibri"/>
          <w:lang w:eastAsia="en-US"/>
        </w:rPr>
        <w:t>by</w:t>
      </w:r>
      <w:r w:rsidR="00EB40AB">
        <w:rPr>
          <w:rFonts w:ascii="Calibri" w:eastAsia="Times New Roman" w:hAnsi="Calibri" w:cs="Calibri"/>
          <w:lang w:eastAsia="en-US"/>
        </w:rPr>
        <w:t xml:space="preserve"> the later astrologers</w:t>
      </w:r>
      <w:r w:rsidR="00443708">
        <w:rPr>
          <w:rFonts w:ascii="Calibri" w:eastAsia="Times New Roman" w:hAnsi="Calibri" w:cs="Calibri"/>
          <w:lang w:eastAsia="en-US"/>
        </w:rPr>
        <w:t>.</w:t>
      </w:r>
      <w:r w:rsidR="00DE68A3">
        <w:rPr>
          <w:rStyle w:val="FootnoteReference"/>
          <w:rFonts w:ascii="Calibri" w:eastAsia="Times New Roman" w:hAnsi="Calibri" w:cs="Calibri"/>
          <w:lang w:eastAsia="en-US"/>
        </w:rPr>
        <w:footnoteReference w:id="6"/>
      </w:r>
      <w:r w:rsidR="00443708">
        <w:rPr>
          <w:rFonts w:ascii="Calibri" w:eastAsia="Times New Roman" w:hAnsi="Calibri" w:cs="Calibri"/>
          <w:lang w:eastAsia="en-US"/>
        </w:rPr>
        <w:t xml:space="preserve"> </w:t>
      </w:r>
      <w:r w:rsidRPr="00AB1BB8">
        <w:rPr>
          <w:rFonts w:ascii="Calibri" w:eastAsia="Times New Roman" w:hAnsi="Calibri"/>
          <w:lang w:eastAsia="en-US"/>
        </w:rPr>
        <w:t>In the Babylonian omen literature, the moon is perceived as a male God, ‘Sin’</w:t>
      </w:r>
      <w:r w:rsidR="00E30C0A">
        <w:rPr>
          <w:rFonts w:ascii="Calibri" w:eastAsia="Times New Roman" w:hAnsi="Calibri"/>
          <w:lang w:eastAsia="en-US"/>
        </w:rPr>
        <w:t>,</w:t>
      </w:r>
      <w:r w:rsidRPr="00AB1BB8">
        <w:rPr>
          <w:rFonts w:ascii="Calibri" w:eastAsia="Times New Roman" w:hAnsi="Calibri"/>
          <w:lang w:eastAsia="en-US"/>
        </w:rPr>
        <w:t xml:space="preserve"> who is capable of decision making and who communicates his will through his appearance in the sky and his interactions with other natural and </w:t>
      </w:r>
      <w:r w:rsidRPr="00AB1BB8">
        <w:rPr>
          <w:rFonts w:ascii="Calibri" w:eastAsia="Times New Roman" w:hAnsi="Calibri"/>
          <w:lang w:eastAsia="en-US"/>
        </w:rPr>
        <w:lastRenderedPageBreak/>
        <w:t xml:space="preserve">celestial phenomena such as ‘wind’ and stars. </w:t>
      </w:r>
      <w:r w:rsidRPr="00AB1BB8">
        <w:rPr>
          <w:rFonts w:ascii="Calibri" w:eastAsia="Times New Roman" w:hAnsi="Calibri" w:cs="Calibri"/>
          <w:vertAlign w:val="superscript"/>
          <w:lang w:eastAsia="en-US"/>
        </w:rPr>
        <w:footnoteReference w:id="7"/>
      </w:r>
      <w:r w:rsidRPr="00AB1BB8">
        <w:rPr>
          <w:rFonts w:ascii="Calibri" w:eastAsia="Times New Roman" w:hAnsi="Calibri" w:cs="Calibri"/>
          <w:lang w:eastAsia="en-US"/>
        </w:rPr>
        <w:t xml:space="preserve"> </w:t>
      </w:r>
      <w:r w:rsidR="00F15B67">
        <w:rPr>
          <w:rFonts w:ascii="Calibri" w:eastAsia="Times New Roman" w:hAnsi="Calibri" w:cs="Calibri"/>
          <w:lang w:eastAsia="en-US"/>
        </w:rPr>
        <w:t>If</w:t>
      </w:r>
      <w:r w:rsidRPr="00AB1BB8">
        <w:rPr>
          <w:rFonts w:ascii="Calibri" w:eastAsia="Times New Roman" w:hAnsi="Calibri"/>
          <w:lang w:eastAsia="en-US"/>
        </w:rPr>
        <w:t xml:space="preserve"> the full moon occurred on time on the 14</w:t>
      </w:r>
      <w:r w:rsidRPr="00AB1BB8">
        <w:rPr>
          <w:rFonts w:ascii="Calibri" w:eastAsia="Times New Roman" w:hAnsi="Calibri"/>
          <w:vertAlign w:val="superscript"/>
          <w:lang w:eastAsia="en-US"/>
        </w:rPr>
        <w:t>th</w:t>
      </w:r>
      <w:r w:rsidRPr="00AB1BB8">
        <w:rPr>
          <w:rFonts w:ascii="Calibri" w:eastAsia="Times New Roman" w:hAnsi="Calibri"/>
          <w:lang w:eastAsia="en-US"/>
        </w:rPr>
        <w:t xml:space="preserve"> day, this was </w:t>
      </w:r>
      <w:r w:rsidR="00435830">
        <w:rPr>
          <w:rFonts w:ascii="Calibri" w:eastAsia="Times New Roman" w:hAnsi="Calibri"/>
          <w:lang w:eastAsia="en-US"/>
        </w:rPr>
        <w:t>a</w:t>
      </w:r>
      <w:r w:rsidRPr="00AB1BB8">
        <w:rPr>
          <w:rFonts w:ascii="Calibri" w:eastAsia="Times New Roman" w:hAnsi="Calibri"/>
          <w:lang w:eastAsia="en-US"/>
        </w:rPr>
        <w:t xml:space="preserve"> good sign. The moon being ‘equal’ to the sun or ‘in balance’ could indicate ‘reliable speech’ by the people, and a long rein for the King. </w:t>
      </w:r>
      <w:r w:rsidRPr="00AB1BB8">
        <w:rPr>
          <w:rFonts w:ascii="Calibri" w:eastAsia="Times New Roman" w:hAnsi="Calibri"/>
          <w:vertAlign w:val="superscript"/>
          <w:lang w:eastAsia="en-US"/>
        </w:rPr>
        <w:footnoteReference w:id="8"/>
      </w:r>
      <w:r w:rsidRPr="00AB1BB8">
        <w:rPr>
          <w:rFonts w:ascii="Calibri" w:eastAsia="Times New Roman" w:hAnsi="Calibri"/>
          <w:lang w:eastAsia="en-US"/>
        </w:rPr>
        <w:t xml:space="preserve"> </w:t>
      </w:r>
      <w:r w:rsidRPr="00AB1BB8">
        <w:rPr>
          <w:rFonts w:ascii="Calibri" w:eastAsia="Times New Roman" w:hAnsi="Calibri" w:cs="Calibri"/>
          <w:lang w:eastAsia="en-US"/>
        </w:rPr>
        <w:t>Variations on this would be that ‘</w:t>
      </w:r>
      <w:r w:rsidRPr="00AB1BB8">
        <w:rPr>
          <w:rFonts w:ascii="Calibri" w:eastAsia="Times New Roman" w:hAnsi="Calibri" w:cs="Calibri"/>
          <w:color w:val="000000"/>
          <w:lang w:eastAsia="en-US"/>
        </w:rPr>
        <w:t>the land’ (or the King) will become ‘happy’ or that the king would ‘</w:t>
      </w:r>
      <w:proofErr w:type="spellStart"/>
      <w:proofErr w:type="gramStart"/>
      <w:r w:rsidRPr="00AB1BB8">
        <w:rPr>
          <w:rFonts w:ascii="Calibri" w:eastAsia="Times New Roman" w:hAnsi="Calibri" w:cs="Calibri"/>
          <w:color w:val="000000"/>
          <w:lang w:eastAsia="en-US"/>
        </w:rPr>
        <w:t>wi</w:t>
      </w:r>
      <w:proofErr w:type="spellEnd"/>
      <w:r w:rsidRPr="00AB1BB8">
        <w:rPr>
          <w:rFonts w:ascii="Calibri" w:eastAsia="Times New Roman" w:hAnsi="Calibri" w:cs="Calibri"/>
          <w:color w:val="000000"/>
          <w:lang w:eastAsia="en-US"/>
        </w:rPr>
        <w:t>[</w:t>
      </w:r>
      <w:proofErr w:type="gramEnd"/>
      <w:r w:rsidRPr="00AB1BB8">
        <w:rPr>
          <w:rFonts w:ascii="Calibri" w:eastAsia="Times New Roman" w:hAnsi="Calibri" w:cs="Calibri"/>
          <w:color w:val="000000"/>
          <w:lang w:eastAsia="en-US"/>
        </w:rPr>
        <w:t>den his under]standing</w:t>
      </w:r>
      <w:r w:rsidRPr="00AB1BB8">
        <w:rPr>
          <w:rFonts w:ascii="Calibri" w:eastAsia="Times New Roman" w:hAnsi="Calibri"/>
          <w:color w:val="000000"/>
          <w:lang w:eastAsia="en-US"/>
        </w:rPr>
        <w:t>.’</w:t>
      </w:r>
      <w:r w:rsidRPr="00AB1BB8">
        <w:rPr>
          <w:rFonts w:ascii="Calibri" w:eastAsia="Times New Roman" w:hAnsi="Calibri"/>
          <w:color w:val="000000"/>
          <w:vertAlign w:val="superscript"/>
          <w:lang w:eastAsia="en-US"/>
        </w:rPr>
        <w:footnoteReference w:id="9"/>
      </w:r>
      <w:r w:rsidRPr="00AB1BB8">
        <w:rPr>
          <w:rFonts w:eastAsia="Times New Roman"/>
          <w:color w:val="000000"/>
          <w:lang w:eastAsia="en-US"/>
        </w:rPr>
        <w:t xml:space="preserve"> </w:t>
      </w:r>
      <w:r w:rsidRPr="00AB1BB8">
        <w:rPr>
          <w:rFonts w:ascii="Calibri" w:eastAsia="Times New Roman" w:hAnsi="Calibri" w:cs="Calibri"/>
          <w:color w:val="000000"/>
          <w:lang w:eastAsia="en-US"/>
        </w:rPr>
        <w:t>Whilst, Hunger’s moon plays out like a divine drama of God</w:t>
      </w:r>
      <w:r w:rsidR="008818E0">
        <w:rPr>
          <w:rFonts w:ascii="Calibri" w:eastAsia="Times New Roman" w:hAnsi="Calibri" w:cs="Calibri"/>
          <w:color w:val="000000"/>
          <w:lang w:eastAsia="en-US"/>
        </w:rPr>
        <w:t xml:space="preserve"> and King</w:t>
      </w:r>
      <w:r w:rsidR="00E30C0A">
        <w:rPr>
          <w:rFonts w:ascii="Calibri" w:eastAsia="Times New Roman" w:hAnsi="Calibri" w:cs="Calibri"/>
          <w:color w:val="000000"/>
          <w:lang w:eastAsia="en-US"/>
        </w:rPr>
        <w:t>,</w:t>
      </w:r>
      <w:r w:rsidRPr="00AB1BB8">
        <w:rPr>
          <w:rFonts w:ascii="Calibri" w:eastAsia="Times New Roman" w:hAnsi="Calibri" w:cs="Calibri"/>
          <w:color w:val="000000"/>
          <w:lang w:eastAsia="en-US"/>
        </w:rPr>
        <w:t xml:space="preserve"> </w:t>
      </w:r>
      <w:proofErr w:type="spellStart"/>
      <w:r w:rsidRPr="00AB1BB8">
        <w:rPr>
          <w:rFonts w:ascii="Calibri" w:eastAsia="Times New Roman" w:hAnsi="Calibri"/>
          <w:lang w:val="en-US" w:eastAsia="en-US"/>
        </w:rPr>
        <w:t>Rudhyar’s</w:t>
      </w:r>
      <w:proofErr w:type="spellEnd"/>
      <w:r w:rsidRPr="00AB1BB8">
        <w:rPr>
          <w:rFonts w:ascii="Calibri" w:eastAsia="Times New Roman" w:hAnsi="Calibri"/>
          <w:lang w:val="en-US" w:eastAsia="en-US"/>
        </w:rPr>
        <w:t xml:space="preserve"> concept of the moon differs in that he emphasizes the divine force operating within the individual, as well as throughout the cosmos. </w:t>
      </w:r>
      <w:r w:rsidRPr="00AB1BB8">
        <w:rPr>
          <w:rFonts w:ascii="Calibri" w:eastAsia="Times New Roman" w:hAnsi="Calibri"/>
          <w:vertAlign w:val="superscript"/>
          <w:lang w:val="en-US" w:eastAsia="en-US"/>
        </w:rPr>
        <w:footnoteReference w:id="10"/>
      </w:r>
      <w:r w:rsidRPr="00AB1BB8">
        <w:rPr>
          <w:rFonts w:ascii="Calibri" w:eastAsia="Times New Roman" w:hAnsi="Calibri"/>
          <w:lang w:val="en-US" w:eastAsia="en-US"/>
        </w:rPr>
        <w:t xml:space="preserve"> He describes the “lunar” path as ‘an indirect way of spiritual attainment’ and the full Moon as an ‘image of spiritual reality’.</w:t>
      </w:r>
      <w:r w:rsidRPr="00AB1BB8">
        <w:rPr>
          <w:rFonts w:ascii="Calibri" w:eastAsia="Times New Roman" w:hAnsi="Calibri"/>
          <w:vertAlign w:val="superscript"/>
          <w:lang w:val="en-US" w:eastAsia="en-US"/>
        </w:rPr>
        <w:footnoteReference w:id="11"/>
      </w:r>
      <w:r w:rsidRPr="00AB1BB8">
        <w:rPr>
          <w:rFonts w:ascii="Calibri" w:eastAsia="Times New Roman" w:hAnsi="Calibri"/>
          <w:lang w:val="en-US" w:eastAsia="en-US"/>
        </w:rPr>
        <w:t xml:space="preserve"> Boland echoes this stating, </w:t>
      </w:r>
      <w:r w:rsidRPr="00AB1BB8">
        <w:rPr>
          <w:rFonts w:ascii="Calibri" w:eastAsia="Times New Roman" w:hAnsi="Calibri"/>
          <w:lang w:eastAsia="en-US"/>
        </w:rPr>
        <w:t>’The moon reconnects us with the Divine—with our divine selves and with the cosmos.’</w:t>
      </w:r>
      <w:r w:rsidR="00E051D0">
        <w:rPr>
          <w:rStyle w:val="FootnoteReference"/>
          <w:rFonts w:ascii="Calibri" w:eastAsia="Times New Roman" w:hAnsi="Calibri"/>
          <w:lang w:eastAsia="en-US"/>
        </w:rPr>
        <w:footnoteReference w:id="12"/>
      </w:r>
      <w:r w:rsidRPr="00AB1BB8">
        <w:rPr>
          <w:rFonts w:ascii="Calibri" w:eastAsia="Times New Roman" w:hAnsi="Calibri"/>
          <w:lang w:val="en-US" w:eastAsia="en-US"/>
        </w:rPr>
        <w:t xml:space="preserve"> In contrast to the male god, she portrays the moon as female, which is similar to Rudhyar </w:t>
      </w:r>
      <w:r w:rsidR="001908F2">
        <w:rPr>
          <w:rFonts w:ascii="Calibri" w:eastAsia="Times New Roman" w:hAnsi="Calibri"/>
          <w:lang w:val="en-US" w:eastAsia="en-US"/>
        </w:rPr>
        <w:t xml:space="preserve">who </w:t>
      </w:r>
      <w:r w:rsidR="00E30C0A">
        <w:rPr>
          <w:rFonts w:ascii="Calibri" w:eastAsia="Times New Roman" w:hAnsi="Calibri"/>
          <w:lang w:val="en-US" w:eastAsia="en-US"/>
        </w:rPr>
        <w:t xml:space="preserve">sees it as the </w:t>
      </w:r>
      <w:r w:rsidR="00B830D4">
        <w:rPr>
          <w:rFonts w:ascii="Calibri" w:eastAsia="Times New Roman" w:hAnsi="Calibri"/>
          <w:lang w:val="en-US" w:eastAsia="en-US"/>
        </w:rPr>
        <w:t>female principle and</w:t>
      </w:r>
      <w:r w:rsidR="001908F2">
        <w:rPr>
          <w:rFonts w:ascii="Calibri" w:eastAsia="Times New Roman" w:hAnsi="Calibri"/>
          <w:lang w:val="en-US" w:eastAsia="en-US"/>
        </w:rPr>
        <w:t xml:space="preserve"> </w:t>
      </w:r>
      <w:r w:rsidR="00B830D4">
        <w:rPr>
          <w:rFonts w:ascii="Calibri" w:eastAsia="Times New Roman" w:hAnsi="Calibri"/>
          <w:lang w:val="en-US" w:eastAsia="en-US"/>
        </w:rPr>
        <w:t>counterpart</w:t>
      </w:r>
      <w:r w:rsidR="00B830D4">
        <w:rPr>
          <w:rFonts w:ascii="Calibri" w:eastAsia="Times New Roman" w:hAnsi="Calibri"/>
          <w:lang w:val="en-US" w:eastAsia="en-US"/>
        </w:rPr>
        <w:t xml:space="preserve"> </w:t>
      </w:r>
      <w:r w:rsidR="001908F2">
        <w:rPr>
          <w:rFonts w:ascii="Calibri" w:eastAsia="Times New Roman" w:hAnsi="Calibri"/>
          <w:lang w:val="en-US" w:eastAsia="en-US"/>
        </w:rPr>
        <w:t>of the sun</w:t>
      </w:r>
      <w:r w:rsidR="00435830">
        <w:rPr>
          <w:rFonts w:ascii="Calibri" w:eastAsia="Times New Roman" w:hAnsi="Calibri"/>
          <w:lang w:val="en-US" w:eastAsia="en-US"/>
        </w:rPr>
        <w:t>. Boland</w:t>
      </w:r>
      <w:r w:rsidR="001908F2">
        <w:rPr>
          <w:rFonts w:ascii="Calibri" w:eastAsia="Times New Roman" w:hAnsi="Calibri"/>
          <w:lang w:val="en-US" w:eastAsia="en-US"/>
        </w:rPr>
        <w:t xml:space="preserve"> </w:t>
      </w:r>
      <w:r w:rsidRPr="00AB1BB8">
        <w:rPr>
          <w:rFonts w:ascii="Calibri" w:eastAsia="Times New Roman" w:hAnsi="Calibri"/>
          <w:lang w:val="en-US" w:eastAsia="en-US"/>
        </w:rPr>
        <w:t>promotes the moon’s phases as a means to provide guidance and to align with ‘</w:t>
      </w:r>
      <w:r w:rsidRPr="00AB1BB8">
        <w:rPr>
          <w:rFonts w:ascii="Calibri" w:eastAsia="Times New Roman" w:hAnsi="Calibri"/>
          <w:lang w:eastAsia="en-US"/>
        </w:rPr>
        <w:t>her cycles and rhythms’</w:t>
      </w:r>
      <w:r w:rsidRPr="00AB1BB8">
        <w:rPr>
          <w:rFonts w:ascii="Calibri" w:eastAsia="Times New Roman" w:hAnsi="Calibri"/>
          <w:lang w:val="en-US" w:eastAsia="en-US"/>
        </w:rPr>
        <w:t>.</w:t>
      </w:r>
      <w:r w:rsidR="00E051D0">
        <w:rPr>
          <w:rStyle w:val="FootnoteReference"/>
          <w:rFonts w:ascii="Calibri" w:eastAsia="Times New Roman" w:hAnsi="Calibri"/>
          <w:lang w:val="en-US" w:eastAsia="en-US"/>
        </w:rPr>
        <w:footnoteReference w:id="13"/>
      </w:r>
      <w:r w:rsidRPr="00AB1BB8">
        <w:rPr>
          <w:rFonts w:ascii="Calibri" w:eastAsia="Times New Roman" w:hAnsi="Calibri"/>
          <w:lang w:val="en-US" w:eastAsia="en-US"/>
        </w:rPr>
        <w:t xml:space="preserve"> In this way, it is similar to both Hunger and Rudhyar who views the moon’s primary function as a </w:t>
      </w:r>
      <w:r w:rsidR="001908F2">
        <w:rPr>
          <w:rFonts w:ascii="Calibri" w:eastAsia="Times New Roman" w:hAnsi="Calibri"/>
          <w:lang w:val="en-US" w:eastAsia="en-US"/>
        </w:rPr>
        <w:t>‘</w:t>
      </w:r>
      <w:r w:rsidRPr="00AB1BB8">
        <w:rPr>
          <w:rFonts w:ascii="Calibri" w:eastAsia="Times New Roman" w:hAnsi="Calibri"/>
          <w:lang w:val="en-US" w:eastAsia="en-US"/>
        </w:rPr>
        <w:t>soli-lunar</w:t>
      </w:r>
      <w:r w:rsidR="001908F2">
        <w:rPr>
          <w:rFonts w:ascii="Calibri" w:eastAsia="Times New Roman" w:hAnsi="Calibri"/>
          <w:lang w:val="en-US" w:eastAsia="en-US"/>
        </w:rPr>
        <w:t xml:space="preserve">’ </w:t>
      </w:r>
      <w:r w:rsidRPr="00AB1BB8">
        <w:rPr>
          <w:rFonts w:ascii="Calibri" w:eastAsia="Times New Roman" w:hAnsi="Calibri"/>
          <w:lang w:val="en-US" w:eastAsia="en-US"/>
        </w:rPr>
        <w:t>cycle which seeks to re-establish ‘balance’ and ‘harmony’.</w:t>
      </w:r>
      <w:r w:rsidRPr="00AB1BB8">
        <w:rPr>
          <w:rFonts w:ascii="Calibri" w:eastAsia="Times New Roman" w:hAnsi="Calibri"/>
          <w:vertAlign w:val="superscript"/>
          <w:lang w:val="en-US" w:eastAsia="en-US"/>
        </w:rPr>
        <w:footnoteReference w:id="14"/>
      </w:r>
      <w:r w:rsidRPr="00AB1BB8">
        <w:rPr>
          <w:rFonts w:ascii="Calibri" w:eastAsia="Times New Roman" w:hAnsi="Calibri"/>
          <w:lang w:val="en-US" w:eastAsia="en-US"/>
        </w:rPr>
        <w:t xml:space="preserve"> Rudhyar also relates the moon to the ‘mind’ describing the ‘lunar process’ as ‘the gradual increase in intellectual perception’.</w:t>
      </w:r>
      <w:r w:rsidRPr="00AB1BB8">
        <w:rPr>
          <w:rFonts w:ascii="Calibri" w:eastAsia="Times New Roman" w:hAnsi="Calibri"/>
          <w:vertAlign w:val="superscript"/>
          <w:lang w:val="en-US" w:eastAsia="en-US"/>
        </w:rPr>
        <w:footnoteReference w:id="15"/>
      </w:r>
      <w:r w:rsidRPr="00AB1BB8">
        <w:rPr>
          <w:rFonts w:ascii="Calibri" w:eastAsia="Times New Roman" w:hAnsi="Calibri"/>
          <w:lang w:val="en-US" w:eastAsia="en-US"/>
        </w:rPr>
        <w:t xml:space="preserve"> In a way that is similar to Babylonian moon god who communicates his will for a broader ‘understanding’ of </w:t>
      </w:r>
      <w:r w:rsidR="00B830D4">
        <w:rPr>
          <w:rFonts w:ascii="Calibri" w:eastAsia="Times New Roman" w:hAnsi="Calibri"/>
          <w:lang w:val="en-US" w:eastAsia="en-US"/>
        </w:rPr>
        <w:t xml:space="preserve">the </w:t>
      </w:r>
      <w:r w:rsidRPr="00AB1BB8">
        <w:rPr>
          <w:rFonts w:ascii="Calibri" w:eastAsia="Times New Roman" w:hAnsi="Calibri"/>
          <w:lang w:val="en-US" w:eastAsia="en-US"/>
        </w:rPr>
        <w:t>king</w:t>
      </w:r>
      <w:r w:rsidR="00BC0336">
        <w:rPr>
          <w:rFonts w:ascii="Calibri" w:eastAsia="Times New Roman" w:hAnsi="Calibri"/>
          <w:lang w:val="en-US" w:eastAsia="en-US"/>
        </w:rPr>
        <w:t xml:space="preserve"> and can predict ‘happiness’</w:t>
      </w:r>
      <w:r w:rsidRPr="00AB1BB8">
        <w:rPr>
          <w:rFonts w:ascii="Calibri" w:eastAsia="Times New Roman" w:hAnsi="Calibri"/>
          <w:lang w:val="en-US" w:eastAsia="en-US"/>
        </w:rPr>
        <w:t xml:space="preserve">, it is portrayed as a form of psychological clarity, which can induce a state of ‘happiness’ </w:t>
      </w:r>
      <w:r w:rsidR="00AF2782">
        <w:rPr>
          <w:rFonts w:ascii="Calibri" w:eastAsia="Times New Roman" w:hAnsi="Calibri"/>
          <w:lang w:val="en-US" w:eastAsia="en-US"/>
        </w:rPr>
        <w:t>that</w:t>
      </w:r>
      <w:r w:rsidR="00AF2782" w:rsidRPr="00AB1BB8">
        <w:rPr>
          <w:rFonts w:ascii="Calibri" w:eastAsia="Times New Roman" w:hAnsi="Calibri"/>
          <w:lang w:val="en-US" w:eastAsia="en-US"/>
        </w:rPr>
        <w:t xml:space="preserve"> </w:t>
      </w:r>
      <w:r w:rsidRPr="00AB1BB8">
        <w:rPr>
          <w:rFonts w:ascii="Calibri" w:eastAsia="Times New Roman" w:hAnsi="Calibri"/>
          <w:lang w:val="en-US" w:eastAsia="en-US"/>
        </w:rPr>
        <w:t>is ‘born out of a full moon illumination’.</w:t>
      </w:r>
      <w:r w:rsidRPr="00AB1BB8">
        <w:rPr>
          <w:rFonts w:ascii="Calibri" w:eastAsia="Times New Roman" w:hAnsi="Calibri"/>
          <w:color w:val="000000"/>
          <w:vertAlign w:val="superscript"/>
          <w:lang w:eastAsia="en-US"/>
        </w:rPr>
        <w:t xml:space="preserve"> </w:t>
      </w:r>
      <w:r w:rsidRPr="00AB1BB8">
        <w:rPr>
          <w:rFonts w:ascii="Calibri" w:eastAsia="Times New Roman" w:hAnsi="Calibri"/>
          <w:color w:val="000000"/>
          <w:vertAlign w:val="superscript"/>
          <w:lang w:eastAsia="en-US"/>
        </w:rPr>
        <w:footnoteReference w:id="16"/>
      </w:r>
      <w:r w:rsidRPr="00AB1BB8">
        <w:rPr>
          <w:rFonts w:ascii="Calibri" w:eastAsia="Times New Roman" w:hAnsi="Calibri"/>
          <w:lang w:val="en-US" w:eastAsia="en-US"/>
        </w:rPr>
        <w:t xml:space="preserve"> Boland expresses similar conceptions to Rudhyar characterizing the full moon as an ‘Illuminating Goddess’ as well as a time when light shines on ‘the deepest parts’ of oneself.</w:t>
      </w:r>
      <w:r w:rsidRPr="00AB1BB8">
        <w:rPr>
          <w:rFonts w:ascii="Calibri" w:eastAsia="Times New Roman" w:hAnsi="Calibri"/>
          <w:vertAlign w:val="superscript"/>
          <w:lang w:val="en-US" w:eastAsia="en-US"/>
        </w:rPr>
        <w:footnoteReference w:id="17"/>
      </w:r>
      <w:r w:rsidRPr="00AB1BB8">
        <w:rPr>
          <w:rFonts w:ascii="Calibri" w:eastAsia="Times New Roman" w:hAnsi="Calibri"/>
          <w:lang w:val="en-US" w:eastAsia="en-US"/>
        </w:rPr>
        <w:t xml:space="preserve"> Thus—although the moon’s sex is characterized differently, and its foreknowledge may </w:t>
      </w:r>
      <w:r w:rsidR="00BC0336">
        <w:rPr>
          <w:rFonts w:ascii="Calibri" w:eastAsia="Times New Roman" w:hAnsi="Calibri"/>
          <w:lang w:val="en-US" w:eastAsia="en-US"/>
        </w:rPr>
        <w:t xml:space="preserve">vary from </w:t>
      </w:r>
      <w:r w:rsidR="008818E0">
        <w:rPr>
          <w:rFonts w:ascii="Calibri" w:eastAsia="Times New Roman" w:hAnsi="Calibri"/>
          <w:lang w:val="en-US" w:eastAsia="en-US"/>
        </w:rPr>
        <w:t>event</w:t>
      </w:r>
      <w:r w:rsidR="008818E0">
        <w:rPr>
          <w:rFonts w:ascii="Calibri" w:eastAsia="Times New Roman" w:hAnsi="Calibri"/>
          <w:lang w:val="en-US" w:eastAsia="en-US"/>
        </w:rPr>
        <w:t xml:space="preserve"> </w:t>
      </w:r>
      <w:r w:rsidR="00BC0336">
        <w:rPr>
          <w:rFonts w:ascii="Calibri" w:eastAsia="Times New Roman" w:hAnsi="Calibri"/>
          <w:lang w:val="en-US" w:eastAsia="en-US"/>
        </w:rPr>
        <w:t xml:space="preserve">to psychological and </w:t>
      </w:r>
      <w:r w:rsidR="008818E0">
        <w:rPr>
          <w:rFonts w:ascii="Calibri" w:eastAsia="Times New Roman" w:hAnsi="Calibri"/>
          <w:lang w:val="en-US" w:eastAsia="en-US"/>
        </w:rPr>
        <w:t xml:space="preserve">also </w:t>
      </w:r>
      <w:r w:rsidRPr="00AB1BB8">
        <w:rPr>
          <w:rFonts w:ascii="Calibri" w:eastAsia="Times New Roman" w:hAnsi="Calibri"/>
          <w:lang w:val="en-US" w:eastAsia="en-US"/>
        </w:rPr>
        <w:t>serve</w:t>
      </w:r>
      <w:r w:rsidR="00AF2782">
        <w:rPr>
          <w:rFonts w:ascii="Calibri" w:eastAsia="Times New Roman" w:hAnsi="Calibri"/>
          <w:lang w:val="en-US" w:eastAsia="en-US"/>
        </w:rPr>
        <w:t xml:space="preserve"> the needs of</w:t>
      </w:r>
      <w:r w:rsidRPr="00AB1BB8">
        <w:rPr>
          <w:rFonts w:ascii="Calibri" w:eastAsia="Times New Roman" w:hAnsi="Calibri"/>
          <w:lang w:val="en-US" w:eastAsia="en-US"/>
        </w:rPr>
        <w:t xml:space="preserve"> different individuals— it is consistently viewed by all as a divine force which</w:t>
      </w:r>
      <w:r w:rsidRPr="00AB1BB8">
        <w:rPr>
          <w:rFonts w:ascii="Calibri" w:eastAsia="Times New Roman" w:hAnsi="Calibri"/>
          <w:lang w:eastAsia="en-US"/>
        </w:rPr>
        <w:t xml:space="preserve"> unites not only heavenly and physical life, but psychological life too. Thus, all astrologers understand the moon to be endowed with intelligence, capable of effecting states of being and comprehension and guiding future developments according to its patterns. </w:t>
      </w:r>
    </w:p>
    <w:p w:rsidR="00AB1BB8" w:rsidRPr="00AB1BB8" w:rsidRDefault="00AB1BB8" w:rsidP="00AB1BB8">
      <w:pPr>
        <w:rPr>
          <w:rFonts w:ascii="Calibri" w:eastAsia="Times New Roman" w:hAnsi="Calibri"/>
          <w:lang w:val="en-US" w:eastAsia="en-US"/>
        </w:rPr>
      </w:pPr>
    </w:p>
    <w:p w:rsidR="00AB1BB8" w:rsidRPr="00AB1BB8" w:rsidRDefault="00AB1BB8" w:rsidP="00AB1BB8">
      <w:pPr>
        <w:keepNext/>
        <w:keepLines/>
        <w:spacing w:before="40"/>
        <w:outlineLvl w:val="1"/>
        <w:rPr>
          <w:rFonts w:ascii="Calibri Light" w:eastAsia="Times New Roman" w:hAnsi="Calibri Light"/>
          <w:color w:val="2F5496"/>
          <w:sz w:val="26"/>
          <w:szCs w:val="26"/>
          <w:lang w:val="en-US" w:eastAsia="en-US"/>
        </w:rPr>
      </w:pPr>
      <w:r w:rsidRPr="00AB1BB8">
        <w:rPr>
          <w:rFonts w:ascii="Calibri Light" w:eastAsia="Times New Roman" w:hAnsi="Calibri Light"/>
          <w:color w:val="2F5496"/>
          <w:sz w:val="26"/>
          <w:szCs w:val="26"/>
          <w:lang w:val="en-US" w:eastAsia="en-US"/>
        </w:rPr>
        <w:t>Moon as Cosmic Timer</w:t>
      </w:r>
    </w:p>
    <w:p w:rsidR="00B35158" w:rsidRPr="00E051D0" w:rsidRDefault="00AB1BB8" w:rsidP="00AB1BB8">
      <w:pPr>
        <w:rPr>
          <w:rFonts w:asciiTheme="minorHAnsi" w:hAnsiTheme="minorHAnsi" w:cstheme="minorHAnsi"/>
          <w:lang w:val="en-US"/>
        </w:rPr>
      </w:pPr>
      <w:r w:rsidRPr="00AB1BB8">
        <w:rPr>
          <w:rFonts w:ascii="Calibri" w:eastAsia="Times New Roman" w:hAnsi="Calibri"/>
          <w:lang w:val="en-US" w:eastAsia="en-US"/>
        </w:rPr>
        <w:t xml:space="preserve">Another common feature, which is present in all three astrologers is to utilize the moon’s phases to mark the passage and quality of time. Doing so provides a mechanism to predict the future, yet each astrologer applies this tool in different ways. </w:t>
      </w:r>
      <w:r w:rsidR="00AF2782" w:rsidRPr="00D06609">
        <w:rPr>
          <w:rFonts w:asciiTheme="minorHAnsi" w:hAnsiTheme="minorHAnsi" w:cstheme="minorHAnsi"/>
          <w:lang w:val="en-US"/>
        </w:rPr>
        <w:t xml:space="preserve">Moon omens from Hunger’s text appear rooted in the Babylonian creation myth when the creator god </w:t>
      </w:r>
      <w:r w:rsidR="00AF2782">
        <w:rPr>
          <w:rFonts w:asciiTheme="minorHAnsi" w:hAnsiTheme="minorHAnsi" w:cstheme="minorHAnsi"/>
          <w:lang w:val="en-US"/>
        </w:rPr>
        <w:t>a</w:t>
      </w:r>
      <w:r w:rsidR="00AF2782" w:rsidRPr="00D06609">
        <w:rPr>
          <w:rFonts w:asciiTheme="minorHAnsi" w:hAnsiTheme="minorHAnsi" w:cstheme="minorHAnsi"/>
          <w:lang w:val="en-US"/>
        </w:rPr>
        <w:t>ppointed Sin as ‘a being of the night, to determine the days’ and then prescribes the rhythm of the moon</w:t>
      </w:r>
      <w:r w:rsidR="00B830D4">
        <w:rPr>
          <w:rFonts w:asciiTheme="minorHAnsi" w:hAnsiTheme="minorHAnsi" w:cstheme="minorHAnsi"/>
          <w:lang w:val="en-US"/>
        </w:rPr>
        <w:t>’</w:t>
      </w:r>
      <w:r w:rsidR="00AF2782" w:rsidRPr="00D06609">
        <w:rPr>
          <w:rFonts w:asciiTheme="minorHAnsi" w:hAnsiTheme="minorHAnsi" w:cstheme="minorHAnsi"/>
          <w:lang w:val="en-US"/>
        </w:rPr>
        <w:t>s ideal cycle.</w:t>
      </w:r>
      <w:r w:rsidR="00AF2782" w:rsidRPr="00D06609">
        <w:rPr>
          <w:rStyle w:val="FootnoteReference"/>
          <w:rFonts w:asciiTheme="minorHAnsi" w:hAnsiTheme="minorHAnsi" w:cstheme="minorHAnsi"/>
          <w:lang w:val="en-US"/>
        </w:rPr>
        <w:footnoteReference w:id="18"/>
      </w:r>
      <w:r w:rsidR="00AF2782" w:rsidRPr="00D06609">
        <w:rPr>
          <w:rFonts w:asciiTheme="minorHAnsi" w:hAnsiTheme="minorHAnsi" w:cstheme="minorHAnsi"/>
          <w:lang w:val="en-US"/>
        </w:rPr>
        <w:t xml:space="preserve"> </w:t>
      </w:r>
      <w:r w:rsidR="00AF2782" w:rsidRPr="00F15B67">
        <w:rPr>
          <w:rFonts w:asciiTheme="minorHAnsi" w:hAnsiTheme="minorHAnsi" w:cstheme="minorHAnsi"/>
        </w:rPr>
        <w:t>An ideal lunar month would last thirty days—</w:t>
      </w:r>
      <w:r w:rsidR="00AF2782">
        <w:rPr>
          <w:rFonts w:asciiTheme="minorHAnsi" w:hAnsiTheme="minorHAnsi" w:cstheme="minorHAnsi"/>
        </w:rPr>
        <w:t>'</w:t>
      </w:r>
      <w:r w:rsidR="00AF2782" w:rsidRPr="00F15B67">
        <w:rPr>
          <w:rFonts w:asciiTheme="minorHAnsi" w:hAnsiTheme="minorHAnsi" w:cstheme="minorHAnsi"/>
        </w:rPr>
        <w:t xml:space="preserve"> [The </w:t>
      </w:r>
      <w:r w:rsidR="00AF2782" w:rsidRPr="00F15B67">
        <w:rPr>
          <w:rFonts w:asciiTheme="minorHAnsi" w:hAnsiTheme="minorHAnsi" w:cstheme="minorHAnsi"/>
        </w:rPr>
        <w:lastRenderedPageBreak/>
        <w:t>(normal) length] of the month (means) it</w:t>
      </w:r>
      <w:r w:rsidR="00AF2782">
        <w:rPr>
          <w:rFonts w:asciiTheme="minorHAnsi" w:hAnsiTheme="minorHAnsi" w:cstheme="minorHAnsi"/>
        </w:rPr>
        <w:t xml:space="preserve"> </w:t>
      </w:r>
      <w:r w:rsidR="00AF2782" w:rsidRPr="00F15B67">
        <w:rPr>
          <w:rFonts w:asciiTheme="minorHAnsi" w:hAnsiTheme="minorHAnsi" w:cstheme="minorHAnsi"/>
        </w:rPr>
        <w:t>will complete [the 30th day]</w:t>
      </w:r>
      <w:r w:rsidR="00AF2782">
        <w:rPr>
          <w:rFonts w:asciiTheme="minorHAnsi" w:hAnsiTheme="minorHAnsi" w:cstheme="minorHAnsi"/>
        </w:rPr>
        <w:t xml:space="preserve">’— </w:t>
      </w:r>
      <w:r w:rsidR="00AF2782">
        <w:rPr>
          <w:rFonts w:asciiTheme="minorHAnsi" w:eastAsia="Times New Roman" w:hAnsiTheme="minorHAnsi" w:cstheme="minorHAnsi"/>
          <w:lang w:eastAsia="en-US"/>
        </w:rPr>
        <w:t>after which</w:t>
      </w:r>
      <w:r w:rsidR="00AF2782" w:rsidRPr="00D06609">
        <w:rPr>
          <w:rFonts w:asciiTheme="minorHAnsi" w:eastAsia="Times New Roman" w:hAnsiTheme="minorHAnsi" w:cstheme="minorHAnsi"/>
          <w:lang w:eastAsia="en-US"/>
        </w:rPr>
        <w:t xml:space="preserve"> </w:t>
      </w:r>
      <w:r w:rsidR="003E4934">
        <w:rPr>
          <w:rFonts w:asciiTheme="minorHAnsi" w:eastAsia="Times New Roman" w:hAnsiTheme="minorHAnsi" w:cstheme="minorHAnsi"/>
          <w:lang w:eastAsia="en-US"/>
        </w:rPr>
        <w:t xml:space="preserve">time </w:t>
      </w:r>
      <w:r w:rsidR="00AF2782" w:rsidRPr="00D06609">
        <w:rPr>
          <w:rFonts w:asciiTheme="minorHAnsi" w:eastAsia="Times New Roman" w:hAnsiTheme="minorHAnsi" w:cstheme="minorHAnsi"/>
          <w:lang w:eastAsia="en-US"/>
        </w:rPr>
        <w:t xml:space="preserve">the moon would </w:t>
      </w:r>
      <w:r w:rsidR="00AF2782">
        <w:rPr>
          <w:rFonts w:asciiTheme="minorHAnsi" w:eastAsia="Times New Roman" w:hAnsiTheme="minorHAnsi" w:cstheme="minorHAnsi"/>
          <w:lang w:eastAsia="en-US"/>
        </w:rPr>
        <w:t xml:space="preserve">appear </w:t>
      </w:r>
      <w:r w:rsidR="00AF2782">
        <w:rPr>
          <w:rFonts w:asciiTheme="minorHAnsi" w:hAnsiTheme="minorHAnsi" w:cstheme="minorHAnsi"/>
        </w:rPr>
        <w:t xml:space="preserve">in the sky </w:t>
      </w:r>
      <w:r w:rsidR="00AF2782">
        <w:rPr>
          <w:rFonts w:asciiTheme="minorHAnsi" w:eastAsia="Times New Roman" w:hAnsiTheme="minorHAnsi" w:cstheme="minorHAnsi"/>
          <w:lang w:eastAsia="en-US"/>
        </w:rPr>
        <w:t>to</w:t>
      </w:r>
      <w:r w:rsidR="00AF2782" w:rsidRPr="00D06609">
        <w:rPr>
          <w:rFonts w:asciiTheme="minorHAnsi" w:eastAsia="Times New Roman" w:hAnsiTheme="minorHAnsi" w:cstheme="minorHAnsi"/>
          <w:lang w:eastAsia="en-US"/>
        </w:rPr>
        <w:t xml:space="preserve"> mark the first day of the new month.</w:t>
      </w:r>
      <w:r w:rsidR="00AF2782">
        <w:rPr>
          <w:rStyle w:val="FootnoteReference"/>
          <w:rFonts w:asciiTheme="minorHAnsi" w:eastAsia="Times New Roman" w:hAnsiTheme="minorHAnsi" w:cstheme="minorHAnsi"/>
          <w:lang w:eastAsia="en-US"/>
        </w:rPr>
        <w:footnoteReference w:id="19"/>
      </w:r>
      <w:r w:rsidR="00AF2782" w:rsidRPr="00D06609">
        <w:rPr>
          <w:rFonts w:asciiTheme="minorHAnsi" w:eastAsia="Times New Roman" w:hAnsiTheme="minorHAnsi" w:cstheme="minorHAnsi"/>
          <w:lang w:eastAsia="en-US"/>
        </w:rPr>
        <w:t xml:space="preserve"> </w:t>
      </w:r>
      <w:r w:rsidRPr="00AB1BB8">
        <w:rPr>
          <w:rFonts w:ascii="Calibri" w:eastAsia="Times New Roman" w:hAnsi="Calibri"/>
          <w:lang w:eastAsia="en-US"/>
        </w:rPr>
        <w:t>Timing activities according to the moon was present in the</w:t>
      </w:r>
      <w:r w:rsidRPr="00AB1BB8">
        <w:rPr>
          <w:rFonts w:ascii="Calibri" w:eastAsia="Times New Roman" w:hAnsi="Calibri" w:cs="Calibri"/>
          <w:lang w:eastAsia="en-US"/>
        </w:rPr>
        <w:t xml:space="preserve"> omen texts, </w:t>
      </w:r>
      <w:r w:rsidRPr="00AB1BB8">
        <w:rPr>
          <w:rFonts w:ascii="Calibri" w:eastAsia="Times New Roman" w:hAnsi="Calibri"/>
          <w:lang w:eastAsia="en-US"/>
        </w:rPr>
        <w:t>where, as Ulla Koch notes, ‘harmony’ with Sin’s ‘mystical’ cycle of thirty days was favourable and deviations from it were not.</w:t>
      </w:r>
      <w:r w:rsidRPr="00AB1BB8">
        <w:rPr>
          <w:rFonts w:ascii="Calibri" w:eastAsia="Times New Roman" w:hAnsi="Calibri"/>
          <w:vertAlign w:val="superscript"/>
          <w:lang w:eastAsia="en-US"/>
        </w:rPr>
        <w:t xml:space="preserve"> </w:t>
      </w:r>
      <w:r w:rsidRPr="00AB1BB8">
        <w:rPr>
          <w:rFonts w:ascii="Calibri" w:eastAsia="Times New Roman" w:hAnsi="Calibri"/>
          <w:vertAlign w:val="superscript"/>
          <w:lang w:eastAsia="en-US"/>
        </w:rPr>
        <w:footnoteReference w:id="20"/>
      </w:r>
      <w:r w:rsidRPr="00AB1BB8">
        <w:rPr>
          <w:rFonts w:ascii="Calibri" w:eastAsia="Times New Roman" w:hAnsi="Calibri" w:cs="Calibri"/>
          <w:lang w:eastAsia="en-US"/>
        </w:rPr>
        <w:t xml:space="preserve"> </w:t>
      </w:r>
      <w:r w:rsidRPr="00AB1BB8">
        <w:rPr>
          <w:rFonts w:ascii="Calibri" w:eastAsia="Times New Roman" w:hAnsi="Calibri"/>
          <w:lang w:eastAsia="en-US"/>
        </w:rPr>
        <w:t xml:space="preserve"> </w:t>
      </w:r>
      <w:r w:rsidR="00F449E0">
        <w:rPr>
          <w:rFonts w:asciiTheme="minorHAnsi" w:eastAsia="Times New Roman" w:hAnsiTheme="minorHAnsi" w:cstheme="minorHAnsi"/>
          <w:lang w:eastAsia="en-US"/>
        </w:rPr>
        <w:t xml:space="preserve">As one omen text reads, </w:t>
      </w:r>
      <w:r w:rsidR="00F449E0" w:rsidRPr="00E675F1">
        <w:rPr>
          <w:rFonts w:asciiTheme="minorHAnsi" w:eastAsia="Times New Roman" w:hAnsiTheme="minorHAnsi" w:cstheme="minorHAnsi"/>
          <w:lang w:eastAsia="en-US"/>
        </w:rPr>
        <w:t>‘If the moon becomes visible on the 1st day: good for</w:t>
      </w:r>
      <w:r w:rsidR="00F449E0">
        <w:rPr>
          <w:rFonts w:asciiTheme="minorHAnsi" w:eastAsia="Times New Roman" w:hAnsiTheme="minorHAnsi" w:cstheme="minorHAnsi"/>
          <w:lang w:eastAsia="en-US"/>
        </w:rPr>
        <w:t xml:space="preserve"> </w:t>
      </w:r>
      <w:r w:rsidR="00F449E0" w:rsidRPr="00E675F1">
        <w:rPr>
          <w:rFonts w:asciiTheme="minorHAnsi" w:eastAsia="Times New Roman" w:hAnsiTheme="minorHAnsi" w:cstheme="minorHAnsi"/>
          <w:lang w:eastAsia="en-US"/>
        </w:rPr>
        <w:t>Akkad’</w:t>
      </w:r>
      <w:r w:rsidR="00F449E0">
        <w:rPr>
          <w:rFonts w:asciiTheme="minorHAnsi" w:eastAsia="Times New Roman" w:hAnsiTheme="minorHAnsi" w:cstheme="minorHAnsi"/>
          <w:lang w:eastAsia="en-US"/>
        </w:rPr>
        <w:t>.</w:t>
      </w:r>
      <w:r w:rsidR="00F449E0">
        <w:rPr>
          <w:rStyle w:val="FootnoteReference"/>
          <w:rFonts w:asciiTheme="minorHAnsi" w:eastAsia="Times New Roman" w:hAnsiTheme="minorHAnsi" w:cstheme="minorHAnsi"/>
          <w:lang w:eastAsia="en-US"/>
        </w:rPr>
        <w:footnoteReference w:id="21"/>
      </w:r>
      <w:r w:rsidR="00F449E0">
        <w:rPr>
          <w:rFonts w:asciiTheme="minorHAnsi" w:eastAsia="Times New Roman" w:hAnsiTheme="minorHAnsi" w:cstheme="minorHAnsi"/>
          <w:lang w:eastAsia="en-US"/>
        </w:rPr>
        <w:t xml:space="preserve"> </w:t>
      </w:r>
      <w:r w:rsidR="00F449E0" w:rsidRPr="00AB1BB8">
        <w:rPr>
          <w:rFonts w:ascii="Calibri" w:eastAsia="Times New Roman" w:hAnsi="Calibri"/>
          <w:lang w:val="en-US" w:eastAsia="en-US"/>
        </w:rPr>
        <w:t xml:space="preserve"> </w:t>
      </w:r>
      <w:r w:rsidRPr="00AB1BB8">
        <w:rPr>
          <w:rFonts w:ascii="Calibri" w:eastAsia="Times New Roman" w:hAnsi="Calibri"/>
          <w:lang w:eastAsia="en-US"/>
        </w:rPr>
        <w:t>Also, as noted by Campion</w:t>
      </w:r>
      <w:r w:rsidR="00FF5078">
        <w:rPr>
          <w:rFonts w:ascii="Calibri" w:eastAsia="Times New Roman" w:hAnsi="Calibri"/>
          <w:lang w:eastAsia="en-US"/>
        </w:rPr>
        <w:t>,</w:t>
      </w:r>
      <w:r w:rsidRPr="00AB1BB8">
        <w:rPr>
          <w:rFonts w:ascii="Calibri" w:eastAsia="Times New Roman" w:hAnsi="Calibri"/>
          <w:lang w:eastAsia="en-US"/>
        </w:rPr>
        <w:t xml:space="preserve"> the calendar of</w:t>
      </w:r>
      <w:r w:rsidRPr="00AB1BB8">
        <w:rPr>
          <w:rFonts w:ascii="Calibri" w:eastAsia="Times New Roman" w:hAnsi="Calibri" w:cs="Calibri"/>
          <w:lang w:eastAsia="en-US"/>
        </w:rPr>
        <w:t xml:space="preserve"> sacred worship</w:t>
      </w:r>
      <w:r w:rsidR="00FF5078">
        <w:rPr>
          <w:rFonts w:ascii="Calibri" w:eastAsia="Times New Roman" w:hAnsi="Calibri" w:cs="Calibri"/>
          <w:lang w:eastAsia="en-US"/>
        </w:rPr>
        <w:t>,</w:t>
      </w:r>
      <w:r w:rsidR="00B830D4">
        <w:rPr>
          <w:rFonts w:ascii="Calibri" w:eastAsia="Times New Roman" w:hAnsi="Calibri" w:cs="Calibri"/>
          <w:lang w:eastAsia="en-US"/>
        </w:rPr>
        <w:t xml:space="preserve"> </w:t>
      </w:r>
      <w:r w:rsidR="00B830D4" w:rsidRPr="00E051D0">
        <w:rPr>
          <w:rFonts w:asciiTheme="minorHAnsi" w:eastAsia="Times New Roman" w:hAnsiTheme="minorHAnsi" w:cstheme="minorHAnsi"/>
          <w:lang w:eastAsia="en-US"/>
        </w:rPr>
        <w:t xml:space="preserve">such as </w:t>
      </w:r>
      <w:r w:rsidR="00B830D4">
        <w:rPr>
          <w:rFonts w:asciiTheme="minorHAnsi" w:hAnsiTheme="minorHAnsi" w:cstheme="minorHAnsi"/>
        </w:rPr>
        <w:t>t</w:t>
      </w:r>
      <w:r w:rsidR="00B830D4" w:rsidRPr="00E051D0">
        <w:rPr>
          <w:rFonts w:asciiTheme="minorHAnsi" w:hAnsiTheme="minorHAnsi" w:cstheme="minorHAnsi"/>
        </w:rPr>
        <w:t>he ‘</w:t>
      </w:r>
      <w:proofErr w:type="spellStart"/>
      <w:r w:rsidR="00B830D4" w:rsidRPr="00E051D0">
        <w:rPr>
          <w:rFonts w:asciiTheme="minorHAnsi" w:hAnsiTheme="minorHAnsi" w:cstheme="minorHAnsi"/>
        </w:rPr>
        <w:t>Akitu</w:t>
      </w:r>
      <w:proofErr w:type="spellEnd"/>
      <w:r w:rsidR="00B830D4" w:rsidRPr="00E051D0">
        <w:rPr>
          <w:rFonts w:asciiTheme="minorHAnsi" w:hAnsiTheme="minorHAnsi" w:cstheme="minorHAnsi"/>
        </w:rPr>
        <w:t xml:space="preserve"> festival</w:t>
      </w:r>
      <w:r w:rsidR="00FF5078">
        <w:rPr>
          <w:rFonts w:asciiTheme="minorHAnsi" w:hAnsiTheme="minorHAnsi" w:cstheme="minorHAnsi"/>
        </w:rPr>
        <w:t>’ at</w:t>
      </w:r>
      <w:r w:rsidR="00B830D4" w:rsidRPr="00E051D0">
        <w:rPr>
          <w:rFonts w:asciiTheme="minorHAnsi" w:hAnsiTheme="minorHAnsi" w:cstheme="minorHAnsi"/>
        </w:rPr>
        <w:t xml:space="preserve"> the spring eq</w:t>
      </w:r>
      <w:r w:rsidR="00FF5078">
        <w:rPr>
          <w:rFonts w:asciiTheme="minorHAnsi" w:hAnsiTheme="minorHAnsi" w:cstheme="minorHAnsi"/>
        </w:rPr>
        <w:t>u</w:t>
      </w:r>
      <w:r w:rsidR="00B830D4" w:rsidRPr="00E051D0">
        <w:rPr>
          <w:rFonts w:asciiTheme="minorHAnsi" w:hAnsiTheme="minorHAnsi" w:cstheme="minorHAnsi"/>
        </w:rPr>
        <w:t>inox new moon</w:t>
      </w:r>
      <w:r w:rsidR="00FF5078">
        <w:rPr>
          <w:rFonts w:asciiTheme="minorHAnsi" w:hAnsiTheme="minorHAnsi" w:cstheme="minorHAnsi"/>
        </w:rPr>
        <w:t>,</w:t>
      </w:r>
      <w:r w:rsidRPr="00AB1BB8">
        <w:rPr>
          <w:rFonts w:ascii="Calibri" w:eastAsia="Times New Roman" w:hAnsi="Calibri" w:cs="Calibri"/>
          <w:lang w:eastAsia="en-US"/>
        </w:rPr>
        <w:t xml:space="preserve"> was aligned with its rhythm</w:t>
      </w:r>
      <w:r w:rsidRPr="00AB1BB8">
        <w:rPr>
          <w:rFonts w:ascii="Calibri" w:eastAsia="Times New Roman" w:hAnsi="Calibri"/>
          <w:lang w:eastAsia="en-US"/>
        </w:rPr>
        <w:t>.</w:t>
      </w:r>
      <w:r w:rsidRPr="00AB1BB8">
        <w:rPr>
          <w:rFonts w:ascii="Calibri" w:eastAsia="Times New Roman" w:hAnsi="Calibri"/>
          <w:vertAlign w:val="superscript"/>
          <w:lang w:eastAsia="en-US"/>
        </w:rPr>
        <w:footnoteReference w:id="22"/>
      </w:r>
      <w:r w:rsidRPr="00AB1BB8">
        <w:rPr>
          <w:rFonts w:ascii="Calibri" w:eastAsia="Times New Roman" w:hAnsi="Calibri"/>
          <w:lang w:eastAsia="en-US"/>
        </w:rPr>
        <w:t xml:space="preserve">  Rudhyar utilizes a similar concept when he describes the moon and its rhythmic cycle, like all celestial cycles, to measure changes in ‘the cosmic environment of mankind’. </w:t>
      </w:r>
      <w:r w:rsidRPr="00AB1BB8">
        <w:rPr>
          <w:rFonts w:ascii="Calibri" w:eastAsia="Times New Roman" w:hAnsi="Calibri"/>
          <w:vertAlign w:val="superscript"/>
          <w:lang w:eastAsia="en-US"/>
        </w:rPr>
        <w:footnoteReference w:id="23"/>
      </w:r>
      <w:r w:rsidRPr="00AB1BB8">
        <w:rPr>
          <w:rFonts w:ascii="Calibri" w:eastAsia="Times New Roman" w:hAnsi="Calibri"/>
          <w:lang w:eastAsia="en-US"/>
        </w:rPr>
        <w:t xml:space="preserve"> Boland does this too when she describes the moon as a ‘fantastically simple cosmic timer’ </w:t>
      </w:r>
      <w:r w:rsidR="00FF5078">
        <w:rPr>
          <w:rFonts w:ascii="Calibri" w:eastAsia="Times New Roman" w:hAnsi="Calibri"/>
          <w:lang w:eastAsia="en-US"/>
        </w:rPr>
        <w:t>which can</w:t>
      </w:r>
      <w:r w:rsidRPr="00AB1BB8">
        <w:rPr>
          <w:rFonts w:ascii="Calibri" w:eastAsia="Times New Roman" w:hAnsi="Calibri"/>
          <w:lang w:eastAsia="en-US"/>
        </w:rPr>
        <w:t xml:space="preserve"> predict the</w:t>
      </w:r>
      <w:r w:rsidR="00FF5078">
        <w:rPr>
          <w:rFonts w:ascii="Calibri" w:eastAsia="Times New Roman" w:hAnsi="Calibri"/>
          <w:lang w:eastAsia="en-US"/>
        </w:rPr>
        <w:t xml:space="preserve"> kind of</w:t>
      </w:r>
      <w:r w:rsidRPr="00AB1BB8">
        <w:rPr>
          <w:rFonts w:ascii="Calibri" w:eastAsia="Times New Roman" w:hAnsi="Calibri"/>
          <w:lang w:eastAsia="en-US"/>
        </w:rPr>
        <w:t xml:space="preserve"> ‘issues that each new moon is likely to raise’.</w:t>
      </w:r>
      <w:r w:rsidRPr="00AB1BB8">
        <w:rPr>
          <w:rFonts w:ascii="Calibri" w:eastAsia="Times New Roman" w:hAnsi="Calibri"/>
          <w:vertAlign w:val="superscript"/>
          <w:lang w:eastAsia="en-US"/>
        </w:rPr>
        <w:footnoteReference w:id="24"/>
      </w:r>
      <w:r w:rsidRPr="00AB1BB8">
        <w:rPr>
          <w:rFonts w:ascii="Calibri" w:eastAsia="Times New Roman" w:hAnsi="Calibri"/>
          <w:lang w:eastAsia="en-US"/>
        </w:rPr>
        <w:t xml:space="preserve"> </w:t>
      </w:r>
      <w:r w:rsidR="00B35158">
        <w:rPr>
          <w:rFonts w:ascii="Calibri" w:eastAsia="Times New Roman" w:hAnsi="Calibri"/>
          <w:lang w:eastAsia="en-US"/>
        </w:rPr>
        <w:t xml:space="preserve">Yet Rudhyar </w:t>
      </w:r>
      <w:r w:rsidR="00B35158" w:rsidRPr="00C149AA">
        <w:rPr>
          <w:rFonts w:asciiTheme="minorHAnsi" w:eastAsia="Times New Roman" w:hAnsiTheme="minorHAnsi" w:cstheme="minorHAnsi"/>
          <w:lang w:eastAsia="en-US"/>
        </w:rPr>
        <w:t xml:space="preserve">distinguishes </w:t>
      </w:r>
      <w:r w:rsidR="00B35158" w:rsidRPr="00C149AA">
        <w:rPr>
          <w:rFonts w:asciiTheme="minorHAnsi" w:hAnsiTheme="minorHAnsi" w:cstheme="minorHAnsi"/>
          <w:lang w:val="en-US"/>
        </w:rPr>
        <w:t>between “generic time”</w:t>
      </w:r>
      <w:r w:rsidR="00FF5078">
        <w:rPr>
          <w:rFonts w:asciiTheme="minorHAnsi" w:hAnsiTheme="minorHAnsi" w:cstheme="minorHAnsi"/>
          <w:lang w:val="en-US"/>
        </w:rPr>
        <w:t>—</w:t>
      </w:r>
      <w:r w:rsidR="00B35158" w:rsidRPr="00C149AA">
        <w:rPr>
          <w:rFonts w:asciiTheme="minorHAnsi" w:hAnsiTheme="minorHAnsi" w:cstheme="minorHAnsi"/>
          <w:lang w:val="en-US"/>
        </w:rPr>
        <w:t xml:space="preserve"> the time measured by the calendars</w:t>
      </w:r>
      <w:r w:rsidR="00C149AA" w:rsidRPr="00C149AA">
        <w:rPr>
          <w:rFonts w:asciiTheme="minorHAnsi" w:hAnsiTheme="minorHAnsi" w:cstheme="minorHAnsi"/>
          <w:lang w:val="en-US"/>
        </w:rPr>
        <w:t xml:space="preserve"> </w:t>
      </w:r>
      <w:r w:rsidR="00060E95" w:rsidRPr="00C149AA">
        <w:rPr>
          <w:rFonts w:asciiTheme="minorHAnsi" w:hAnsiTheme="minorHAnsi" w:cstheme="minorHAnsi"/>
          <w:lang w:val="en-US"/>
        </w:rPr>
        <w:t xml:space="preserve">or </w:t>
      </w:r>
      <w:r w:rsidR="008818E0">
        <w:rPr>
          <w:rFonts w:asciiTheme="minorHAnsi" w:hAnsiTheme="minorHAnsi" w:cstheme="minorHAnsi"/>
          <w:lang w:val="en-US"/>
        </w:rPr>
        <w:t xml:space="preserve">the </w:t>
      </w:r>
      <w:r w:rsidR="00060E95" w:rsidRPr="00C149AA">
        <w:rPr>
          <w:rFonts w:asciiTheme="minorHAnsi" w:hAnsiTheme="minorHAnsi" w:cstheme="minorHAnsi"/>
          <w:lang w:val="en-US"/>
        </w:rPr>
        <w:t xml:space="preserve">prediction of things at a definite </w:t>
      </w:r>
      <w:proofErr w:type="gramStart"/>
      <w:r w:rsidR="00060E95" w:rsidRPr="00C149AA">
        <w:rPr>
          <w:rFonts w:asciiTheme="minorHAnsi" w:hAnsiTheme="minorHAnsi" w:cstheme="minorHAnsi"/>
          <w:lang w:val="en-US"/>
        </w:rPr>
        <w:t>time,</w:t>
      </w:r>
      <w:r w:rsidR="00FF5078">
        <w:rPr>
          <w:rFonts w:asciiTheme="minorHAnsi" w:hAnsiTheme="minorHAnsi" w:cstheme="minorHAnsi"/>
          <w:lang w:val="en-US"/>
        </w:rPr>
        <w:t>--</w:t>
      </w:r>
      <w:proofErr w:type="gramEnd"/>
      <w:r w:rsidR="00060E95" w:rsidRPr="00C149AA">
        <w:rPr>
          <w:rFonts w:asciiTheme="minorHAnsi" w:hAnsiTheme="minorHAnsi" w:cstheme="minorHAnsi"/>
          <w:lang w:val="en-US"/>
        </w:rPr>
        <w:t xml:space="preserve"> </w:t>
      </w:r>
      <w:r w:rsidR="00320954" w:rsidRPr="00C149AA">
        <w:rPr>
          <w:rFonts w:asciiTheme="minorHAnsi" w:hAnsiTheme="minorHAnsi" w:cstheme="minorHAnsi"/>
          <w:lang w:val="en-US"/>
        </w:rPr>
        <w:t>by</w:t>
      </w:r>
      <w:r w:rsidR="00B35158" w:rsidRPr="00C149AA">
        <w:rPr>
          <w:rFonts w:asciiTheme="minorHAnsi" w:hAnsiTheme="minorHAnsi" w:cstheme="minorHAnsi"/>
          <w:lang w:val="en-US"/>
        </w:rPr>
        <w:t xml:space="preserve"> a concept </w:t>
      </w:r>
      <w:r w:rsidR="00320954" w:rsidRPr="00C149AA">
        <w:rPr>
          <w:rFonts w:asciiTheme="minorHAnsi" w:hAnsiTheme="minorHAnsi" w:cstheme="minorHAnsi"/>
          <w:lang w:val="en-US"/>
        </w:rPr>
        <w:t>he names as</w:t>
      </w:r>
      <w:r w:rsidR="00B35158" w:rsidRPr="00C149AA">
        <w:rPr>
          <w:rFonts w:asciiTheme="minorHAnsi" w:hAnsiTheme="minorHAnsi" w:cstheme="minorHAnsi"/>
          <w:lang w:val="en-US"/>
        </w:rPr>
        <w:t xml:space="preserve"> ‘subjective duration’</w:t>
      </w:r>
      <w:r w:rsidR="00F449E0" w:rsidRPr="00C149AA">
        <w:rPr>
          <w:rFonts w:asciiTheme="minorHAnsi" w:hAnsiTheme="minorHAnsi" w:cstheme="minorHAnsi"/>
          <w:lang w:val="en-US"/>
        </w:rPr>
        <w:t xml:space="preserve">. </w:t>
      </w:r>
      <w:r w:rsidR="00435830" w:rsidRPr="00C149AA">
        <w:rPr>
          <w:rStyle w:val="FootnoteReference"/>
          <w:rFonts w:asciiTheme="minorHAnsi" w:hAnsiTheme="minorHAnsi" w:cstheme="minorHAnsi"/>
          <w:lang w:val="en-US"/>
        </w:rPr>
        <w:footnoteReference w:id="25"/>
      </w:r>
      <w:r w:rsidR="00C149AA" w:rsidRPr="00C149AA">
        <w:rPr>
          <w:rFonts w:asciiTheme="minorHAnsi" w:hAnsiTheme="minorHAnsi" w:cstheme="minorHAnsi"/>
          <w:lang w:val="en-US"/>
        </w:rPr>
        <w:t xml:space="preserve"> </w:t>
      </w:r>
      <w:r w:rsidR="00F449E0" w:rsidRPr="00C149AA">
        <w:rPr>
          <w:rFonts w:asciiTheme="minorHAnsi" w:hAnsiTheme="minorHAnsi" w:cstheme="minorHAnsi"/>
          <w:lang w:val="en-US"/>
        </w:rPr>
        <w:t>He describes this as</w:t>
      </w:r>
      <w:r w:rsidR="00B35158" w:rsidRPr="00C149AA">
        <w:rPr>
          <w:rFonts w:asciiTheme="minorHAnsi" w:hAnsiTheme="minorHAnsi" w:cstheme="minorHAnsi"/>
          <w:lang w:val="en-US"/>
        </w:rPr>
        <w:t xml:space="preserve"> </w:t>
      </w:r>
      <w:r w:rsidR="00D54850" w:rsidRPr="00C149AA">
        <w:rPr>
          <w:rFonts w:asciiTheme="minorHAnsi" w:hAnsiTheme="minorHAnsi" w:cstheme="minorHAnsi"/>
          <w:lang w:val="en-US"/>
        </w:rPr>
        <w:t>the</w:t>
      </w:r>
      <w:r w:rsidR="00B35158" w:rsidRPr="00C149AA">
        <w:rPr>
          <w:rFonts w:asciiTheme="minorHAnsi" w:hAnsiTheme="minorHAnsi" w:cstheme="minorHAnsi"/>
          <w:lang w:val="en-US"/>
        </w:rPr>
        <w:t xml:space="preserve"> </w:t>
      </w:r>
      <w:r w:rsidR="00D54850" w:rsidRPr="00C149AA">
        <w:rPr>
          <w:rFonts w:asciiTheme="minorHAnsi" w:hAnsiTheme="minorHAnsi" w:cstheme="minorHAnsi"/>
          <w:lang w:val="en-US"/>
        </w:rPr>
        <w:t>individual psychological</w:t>
      </w:r>
      <w:r w:rsidR="00D54850">
        <w:rPr>
          <w:rFonts w:asciiTheme="minorHAnsi" w:hAnsiTheme="minorHAnsi" w:cstheme="minorHAnsi"/>
          <w:lang w:val="en-US"/>
        </w:rPr>
        <w:t xml:space="preserve"> experience of time</w:t>
      </w:r>
      <w:r w:rsidR="00060E95">
        <w:rPr>
          <w:rFonts w:asciiTheme="minorHAnsi" w:hAnsiTheme="minorHAnsi" w:cstheme="minorHAnsi"/>
          <w:lang w:val="en-US"/>
        </w:rPr>
        <w:t xml:space="preserve"> which</w:t>
      </w:r>
      <w:r w:rsidR="00060E95" w:rsidRPr="00060E95">
        <w:rPr>
          <w:rFonts w:asciiTheme="minorHAnsi" w:hAnsiTheme="minorHAnsi" w:cstheme="minorHAnsi"/>
          <w:lang w:val="en-US"/>
        </w:rPr>
        <w:t xml:space="preserve"> </w:t>
      </w:r>
      <w:r w:rsidR="00060E95">
        <w:rPr>
          <w:rFonts w:asciiTheme="minorHAnsi" w:hAnsiTheme="minorHAnsi" w:cstheme="minorHAnsi"/>
          <w:lang w:val="en-US"/>
        </w:rPr>
        <w:t>liberates the individual from ‘generic and social patterns of living and behaving’.</w:t>
      </w:r>
      <w:r w:rsidR="00C149AA">
        <w:rPr>
          <w:rStyle w:val="FootnoteReference"/>
          <w:rFonts w:asciiTheme="minorHAnsi" w:hAnsiTheme="minorHAnsi" w:cstheme="minorHAnsi"/>
          <w:lang w:val="en-US"/>
        </w:rPr>
        <w:footnoteReference w:id="26"/>
      </w:r>
      <w:r w:rsidR="00060E95">
        <w:rPr>
          <w:rFonts w:asciiTheme="minorHAnsi" w:hAnsiTheme="minorHAnsi" w:cstheme="minorHAnsi"/>
          <w:lang w:val="en-US"/>
        </w:rPr>
        <w:t xml:space="preserve"> </w:t>
      </w:r>
      <w:r w:rsidR="00D64928">
        <w:rPr>
          <w:rFonts w:asciiTheme="minorHAnsi" w:hAnsiTheme="minorHAnsi" w:cstheme="minorHAnsi"/>
          <w:lang w:val="en-US"/>
        </w:rPr>
        <w:t xml:space="preserve"> </w:t>
      </w:r>
      <w:r w:rsidR="009D4FCC" w:rsidRPr="00C149AA">
        <w:rPr>
          <w:rFonts w:asciiTheme="minorHAnsi" w:hAnsiTheme="minorHAnsi" w:cstheme="minorHAnsi"/>
          <w:lang w:val="en-US"/>
        </w:rPr>
        <w:t xml:space="preserve">This </w:t>
      </w:r>
      <w:r w:rsidR="00BF1760" w:rsidRPr="00C149AA">
        <w:rPr>
          <w:rFonts w:asciiTheme="minorHAnsi" w:hAnsiTheme="minorHAnsi" w:cstheme="minorHAnsi"/>
          <w:lang w:val="en-US"/>
        </w:rPr>
        <w:t>may seem to</w:t>
      </w:r>
      <w:r w:rsidR="003409B6" w:rsidRPr="00C149AA">
        <w:rPr>
          <w:rFonts w:asciiTheme="minorHAnsi" w:hAnsiTheme="minorHAnsi" w:cstheme="minorHAnsi"/>
          <w:lang w:val="en-US"/>
        </w:rPr>
        <w:t xml:space="preserve"> </w:t>
      </w:r>
      <w:r w:rsidR="009D4FCC" w:rsidRPr="00C149AA">
        <w:rPr>
          <w:rFonts w:asciiTheme="minorHAnsi" w:hAnsiTheme="minorHAnsi" w:cstheme="minorHAnsi"/>
          <w:lang w:val="en-US"/>
        </w:rPr>
        <w:t xml:space="preserve">differ from </w:t>
      </w:r>
      <w:r w:rsidR="003409B6" w:rsidRPr="00C149AA">
        <w:rPr>
          <w:rFonts w:asciiTheme="minorHAnsi" w:hAnsiTheme="minorHAnsi" w:cstheme="minorHAnsi"/>
          <w:lang w:val="en-US"/>
        </w:rPr>
        <w:t xml:space="preserve">Boland’s approach to </w:t>
      </w:r>
      <w:r w:rsidR="00573457" w:rsidRPr="00C149AA">
        <w:rPr>
          <w:rFonts w:asciiTheme="minorHAnsi" w:hAnsiTheme="minorHAnsi" w:cstheme="minorHAnsi"/>
          <w:lang w:val="en-US"/>
        </w:rPr>
        <w:t xml:space="preserve">the </w:t>
      </w:r>
      <w:r w:rsidR="003409B6" w:rsidRPr="00C149AA">
        <w:rPr>
          <w:rFonts w:asciiTheme="minorHAnsi" w:hAnsiTheme="minorHAnsi" w:cstheme="minorHAnsi"/>
          <w:lang w:val="en-US"/>
        </w:rPr>
        <w:t xml:space="preserve">prediction of issues and </w:t>
      </w:r>
      <w:r w:rsidR="00FF5078">
        <w:rPr>
          <w:rFonts w:asciiTheme="minorHAnsi" w:hAnsiTheme="minorHAnsi" w:cstheme="minorHAnsi"/>
          <w:lang w:val="en-US"/>
        </w:rPr>
        <w:t>the moon omen’s</w:t>
      </w:r>
      <w:r w:rsidR="00FF5078" w:rsidRPr="00C149AA">
        <w:rPr>
          <w:rFonts w:asciiTheme="minorHAnsi" w:hAnsiTheme="minorHAnsi" w:cstheme="minorHAnsi"/>
          <w:lang w:val="en-US"/>
        </w:rPr>
        <w:t xml:space="preserve"> </w:t>
      </w:r>
      <w:r w:rsidR="009D4FCC" w:rsidRPr="00C149AA">
        <w:rPr>
          <w:rFonts w:asciiTheme="minorHAnsi" w:hAnsiTheme="minorHAnsi" w:cstheme="minorHAnsi"/>
          <w:lang w:val="en-US"/>
        </w:rPr>
        <w:t xml:space="preserve">timing of </w:t>
      </w:r>
      <w:r w:rsidR="003409B6" w:rsidRPr="00C149AA">
        <w:rPr>
          <w:rFonts w:asciiTheme="minorHAnsi" w:hAnsiTheme="minorHAnsi" w:cstheme="minorHAnsi"/>
          <w:lang w:val="en-US"/>
        </w:rPr>
        <w:t>the collective calendar</w:t>
      </w:r>
      <w:r w:rsidR="004B7573" w:rsidRPr="00C149AA">
        <w:rPr>
          <w:rFonts w:asciiTheme="minorHAnsi" w:hAnsiTheme="minorHAnsi" w:cstheme="minorHAnsi"/>
          <w:lang w:val="en-US"/>
        </w:rPr>
        <w:t>,</w:t>
      </w:r>
      <w:r w:rsidR="009D4FCC" w:rsidRPr="00C149AA">
        <w:rPr>
          <w:rFonts w:asciiTheme="minorHAnsi" w:hAnsiTheme="minorHAnsi" w:cstheme="minorHAnsi"/>
          <w:lang w:val="en-US"/>
        </w:rPr>
        <w:t xml:space="preserve"> </w:t>
      </w:r>
      <w:r w:rsidR="00C149AA" w:rsidRPr="00C149AA">
        <w:rPr>
          <w:rFonts w:asciiTheme="minorHAnsi" w:hAnsiTheme="minorHAnsi" w:cstheme="minorHAnsi"/>
          <w:lang w:val="en-US"/>
        </w:rPr>
        <w:t xml:space="preserve">yet </w:t>
      </w:r>
      <w:r w:rsidR="00BF1760" w:rsidRPr="00C149AA">
        <w:rPr>
          <w:rFonts w:asciiTheme="minorHAnsi" w:eastAsia="Times New Roman" w:hAnsiTheme="minorHAnsi" w:cstheme="minorHAnsi"/>
          <w:lang w:val="en-US" w:eastAsia="en-US"/>
        </w:rPr>
        <w:t xml:space="preserve">the importance and meaning of the </w:t>
      </w:r>
      <w:r w:rsidRPr="00C149AA">
        <w:rPr>
          <w:rFonts w:asciiTheme="minorHAnsi" w:eastAsia="Times New Roman" w:hAnsiTheme="minorHAnsi" w:cstheme="minorHAnsi"/>
          <w:lang w:val="en-US" w:eastAsia="en-US"/>
        </w:rPr>
        <w:t>new and full moon</w:t>
      </w:r>
      <w:r w:rsidR="00BF1760" w:rsidRPr="00C149AA">
        <w:rPr>
          <w:rFonts w:asciiTheme="minorHAnsi" w:eastAsia="Times New Roman" w:hAnsiTheme="minorHAnsi" w:cstheme="minorHAnsi"/>
          <w:lang w:val="en-US" w:eastAsia="en-US"/>
        </w:rPr>
        <w:t>, and other phases</w:t>
      </w:r>
      <w:r w:rsidRPr="00C149AA">
        <w:rPr>
          <w:rFonts w:asciiTheme="minorHAnsi" w:eastAsia="Times New Roman" w:hAnsiTheme="minorHAnsi" w:cstheme="minorHAnsi"/>
          <w:lang w:val="en-US" w:eastAsia="en-US"/>
        </w:rPr>
        <w:t xml:space="preserve"> is apparent in all texts</w:t>
      </w:r>
      <w:r w:rsidR="0019272A" w:rsidRPr="00C149AA">
        <w:rPr>
          <w:rFonts w:asciiTheme="minorHAnsi" w:eastAsia="Times New Roman" w:hAnsiTheme="minorHAnsi" w:cstheme="minorHAnsi"/>
          <w:lang w:val="en-US" w:eastAsia="en-US"/>
        </w:rPr>
        <w:t xml:space="preserve"> </w:t>
      </w:r>
      <w:r w:rsidR="00F449E0" w:rsidRPr="00C149AA">
        <w:rPr>
          <w:rFonts w:asciiTheme="minorHAnsi" w:eastAsia="Times New Roman" w:hAnsiTheme="minorHAnsi" w:cstheme="minorHAnsi"/>
          <w:lang w:val="en-US" w:eastAsia="en-US"/>
        </w:rPr>
        <w:t xml:space="preserve">and </w:t>
      </w:r>
      <w:r w:rsidR="0019272A" w:rsidRPr="00C149AA">
        <w:rPr>
          <w:rFonts w:asciiTheme="minorHAnsi" w:eastAsia="Times New Roman" w:hAnsiTheme="minorHAnsi" w:cstheme="minorHAnsi"/>
          <w:lang w:val="en-US" w:eastAsia="en-US"/>
        </w:rPr>
        <w:t>suggest</w:t>
      </w:r>
      <w:r w:rsidR="00F449E0" w:rsidRPr="00C149AA">
        <w:rPr>
          <w:rFonts w:asciiTheme="minorHAnsi" w:eastAsia="Times New Roman" w:hAnsiTheme="minorHAnsi" w:cstheme="minorHAnsi"/>
          <w:lang w:val="en-US" w:eastAsia="en-US"/>
        </w:rPr>
        <w:t>s</w:t>
      </w:r>
      <w:r w:rsidR="0019272A" w:rsidRPr="00C149AA">
        <w:rPr>
          <w:rFonts w:asciiTheme="minorHAnsi" w:eastAsia="Times New Roman" w:hAnsiTheme="minorHAnsi" w:cstheme="minorHAnsi"/>
          <w:lang w:val="en-US" w:eastAsia="en-US"/>
        </w:rPr>
        <w:t xml:space="preserve"> that </w:t>
      </w:r>
      <w:r w:rsidR="001E6C3E" w:rsidRPr="00C149AA">
        <w:rPr>
          <w:rFonts w:asciiTheme="minorHAnsi" w:eastAsia="Times New Roman" w:hAnsiTheme="minorHAnsi" w:cstheme="minorHAnsi"/>
          <w:lang w:val="en-US" w:eastAsia="en-US"/>
        </w:rPr>
        <w:t xml:space="preserve">no </w:t>
      </w:r>
      <w:r w:rsidR="008818E0">
        <w:rPr>
          <w:rFonts w:asciiTheme="minorHAnsi" w:eastAsia="Times New Roman" w:hAnsiTheme="minorHAnsi" w:cstheme="minorHAnsi"/>
          <w:lang w:val="en-US" w:eastAsia="en-US"/>
        </w:rPr>
        <w:t>single</w:t>
      </w:r>
      <w:r w:rsidR="008818E0" w:rsidRPr="00C149AA">
        <w:rPr>
          <w:rFonts w:asciiTheme="minorHAnsi" w:eastAsia="Times New Roman" w:hAnsiTheme="minorHAnsi" w:cstheme="minorHAnsi"/>
          <w:lang w:val="en-US" w:eastAsia="en-US"/>
        </w:rPr>
        <w:t xml:space="preserve"> </w:t>
      </w:r>
      <w:r w:rsidR="001E6C3E" w:rsidRPr="00C149AA">
        <w:rPr>
          <w:rFonts w:asciiTheme="minorHAnsi" w:eastAsia="Times New Roman" w:hAnsiTheme="minorHAnsi" w:cstheme="minorHAnsi"/>
          <w:lang w:val="en-US" w:eastAsia="en-US"/>
        </w:rPr>
        <w:t xml:space="preserve">approach </w:t>
      </w:r>
      <w:r w:rsidR="00C149AA">
        <w:rPr>
          <w:rFonts w:asciiTheme="minorHAnsi" w:eastAsia="Times New Roman" w:hAnsiTheme="minorHAnsi" w:cstheme="minorHAnsi"/>
          <w:lang w:val="en-US" w:eastAsia="en-US"/>
        </w:rPr>
        <w:t xml:space="preserve">to time </w:t>
      </w:r>
      <w:r w:rsidR="001E6C3E" w:rsidRPr="00C149AA">
        <w:rPr>
          <w:rFonts w:asciiTheme="minorHAnsi" w:eastAsia="Times New Roman" w:hAnsiTheme="minorHAnsi" w:cstheme="minorHAnsi"/>
          <w:lang w:val="en-US" w:eastAsia="en-US"/>
        </w:rPr>
        <w:t xml:space="preserve">can be </w:t>
      </w:r>
      <w:r w:rsidR="00C149AA">
        <w:rPr>
          <w:rFonts w:asciiTheme="minorHAnsi" w:eastAsia="Times New Roman" w:hAnsiTheme="minorHAnsi" w:cstheme="minorHAnsi"/>
          <w:lang w:val="en-US" w:eastAsia="en-US"/>
        </w:rPr>
        <w:t>distinguished</w:t>
      </w:r>
      <w:r w:rsidR="001E6C3E">
        <w:rPr>
          <w:rFonts w:ascii="Calibri" w:eastAsia="Times New Roman" w:hAnsi="Calibri" w:cs="Calibri"/>
          <w:lang w:val="en-US" w:eastAsia="en-US"/>
        </w:rPr>
        <w:t xml:space="preserve"> </w:t>
      </w:r>
      <w:r w:rsidRPr="00AB1BB8">
        <w:rPr>
          <w:rFonts w:ascii="Calibri" w:eastAsia="Times New Roman" w:hAnsi="Calibri" w:cs="Calibri"/>
          <w:lang w:val="en-US" w:eastAsia="en-US"/>
        </w:rPr>
        <w:t>.</w:t>
      </w:r>
      <w:r w:rsidRPr="00AB1BB8">
        <w:rPr>
          <w:rFonts w:ascii="Calibri" w:eastAsia="Times New Roman" w:hAnsi="Calibri" w:cs="Calibri"/>
          <w:vertAlign w:val="superscript"/>
          <w:lang w:val="en-US" w:eastAsia="en-US"/>
        </w:rPr>
        <w:footnoteReference w:id="27"/>
      </w:r>
      <w:r w:rsidRPr="00AB1BB8">
        <w:rPr>
          <w:rFonts w:ascii="Calibri" w:eastAsia="Times New Roman" w:hAnsi="Calibri" w:cs="Calibri"/>
          <w:lang w:val="en-US" w:eastAsia="en-US"/>
        </w:rPr>
        <w:t xml:space="preserve">  </w:t>
      </w:r>
      <w:r w:rsidRPr="00AB1BB8">
        <w:rPr>
          <w:rFonts w:ascii="Calibri" w:eastAsia="Times New Roman" w:hAnsi="Calibri" w:cs="Calibri"/>
          <w:lang w:eastAsia="en-US"/>
        </w:rPr>
        <w:t>According to Koch, ‘</w:t>
      </w:r>
      <w:r w:rsidRPr="00AB1BB8">
        <w:rPr>
          <w:rFonts w:ascii="Calibri" w:eastAsia="Times New Roman" w:hAnsi="Calibri"/>
          <w:lang w:eastAsia="en-US"/>
        </w:rPr>
        <w:t xml:space="preserve">when the moon was absent the Gods were considered to be in conference making decisions’. </w:t>
      </w:r>
      <w:r w:rsidRPr="00AB1BB8">
        <w:rPr>
          <w:rFonts w:ascii="Calibri" w:eastAsia="Times New Roman" w:hAnsi="Calibri"/>
          <w:vertAlign w:val="superscript"/>
          <w:lang w:eastAsia="en-US"/>
        </w:rPr>
        <w:footnoteReference w:id="28"/>
      </w:r>
      <w:r w:rsidRPr="00AB1BB8">
        <w:rPr>
          <w:rFonts w:ascii="Calibri" w:eastAsia="Times New Roman" w:hAnsi="Calibri"/>
          <w:lang w:eastAsia="en-US"/>
        </w:rPr>
        <w:t xml:space="preserve"> Similarly, both Rudhyar and Boland assign qualities not only to this ‘dark’ period, but to all phases of the lunar cycle. </w:t>
      </w:r>
      <w:r w:rsidRPr="00AB1BB8">
        <w:rPr>
          <w:rFonts w:ascii="Calibri" w:eastAsia="Times New Roman" w:hAnsi="Calibri"/>
          <w:vertAlign w:val="superscript"/>
          <w:lang w:eastAsia="en-US"/>
        </w:rPr>
        <w:footnoteReference w:id="29"/>
      </w:r>
      <w:r w:rsidRPr="00AB1BB8">
        <w:rPr>
          <w:rFonts w:ascii="Calibri" w:eastAsia="Times New Roman" w:hAnsi="Calibri"/>
          <w:lang w:eastAsia="en-US"/>
        </w:rPr>
        <w:t xml:space="preserve"> Rudhyar relates the moon phase at birth to the life-span of individual psychological growth and Boland provides practical activities to do at each time-phase on a monthly basis. For example, the new moon is a good time to relax in a ‘hot bath’ and the ‘disseminating moon’ is a good time to process the insights gained at the full moon.</w:t>
      </w:r>
      <w:r w:rsidRPr="00AB1BB8">
        <w:rPr>
          <w:rFonts w:ascii="Calibri" w:eastAsia="Times New Roman" w:hAnsi="Calibri"/>
          <w:vertAlign w:val="superscript"/>
          <w:lang w:eastAsia="en-US"/>
        </w:rPr>
        <w:footnoteReference w:id="30"/>
      </w:r>
      <w:r w:rsidRPr="00AB1BB8">
        <w:rPr>
          <w:rFonts w:ascii="Calibri" w:eastAsia="Times New Roman" w:hAnsi="Calibri"/>
          <w:lang w:eastAsia="en-US"/>
        </w:rPr>
        <w:t xml:space="preserve"> In a similar way, </w:t>
      </w:r>
      <w:proofErr w:type="spellStart"/>
      <w:r w:rsidRPr="00AB1BB8">
        <w:rPr>
          <w:rFonts w:ascii="Calibri" w:eastAsia="Times New Roman" w:hAnsi="Calibri"/>
          <w:lang w:eastAsia="en-US"/>
        </w:rPr>
        <w:t>Rudhyar’s</w:t>
      </w:r>
      <w:proofErr w:type="spellEnd"/>
      <w:r w:rsidRPr="00AB1BB8">
        <w:rPr>
          <w:rFonts w:ascii="Calibri" w:eastAsia="Times New Roman" w:hAnsi="Calibri"/>
          <w:lang w:eastAsia="en-US"/>
        </w:rPr>
        <w:t xml:space="preserve"> last quarter lunar birthday may be driven to share with others the conscious vision attained at the full moon stage of their evolution. </w:t>
      </w:r>
      <w:r w:rsidRPr="00AB1BB8">
        <w:rPr>
          <w:rFonts w:ascii="Calibri" w:eastAsia="Times New Roman" w:hAnsi="Calibri"/>
          <w:vertAlign w:val="superscript"/>
          <w:lang w:eastAsia="en-US"/>
        </w:rPr>
        <w:footnoteReference w:id="31"/>
      </w:r>
      <w:r w:rsidR="007D7DD4">
        <w:rPr>
          <w:rFonts w:ascii="Calibri" w:eastAsia="Times New Roman" w:hAnsi="Calibri"/>
          <w:lang w:eastAsia="en-US"/>
        </w:rPr>
        <w:t xml:space="preserve"> Thus, as we have seen the moon acts as a cosmic timer whose phases mark not only the passage of time, but their quality.  </w:t>
      </w:r>
      <w:r w:rsidR="00A82DC9">
        <w:rPr>
          <w:rFonts w:ascii="Calibri" w:eastAsia="Times New Roman" w:hAnsi="Calibri"/>
          <w:lang w:eastAsia="en-US"/>
        </w:rPr>
        <w:t>In the Babylonian texts the passage of time sets objective collective activitie</w:t>
      </w:r>
      <w:r w:rsidR="00FF5078">
        <w:rPr>
          <w:rFonts w:ascii="Calibri" w:eastAsia="Times New Roman" w:hAnsi="Calibri"/>
          <w:lang w:eastAsia="en-US"/>
        </w:rPr>
        <w:t>s and</w:t>
      </w:r>
      <w:r w:rsidR="00A82DC9">
        <w:rPr>
          <w:rFonts w:ascii="Calibri" w:eastAsia="Times New Roman" w:hAnsi="Calibri"/>
          <w:lang w:eastAsia="en-US"/>
        </w:rPr>
        <w:t xml:space="preserve"> the moon’s phase is imbued with </w:t>
      </w:r>
      <w:r w:rsidR="008818E0">
        <w:rPr>
          <w:rFonts w:ascii="Calibri" w:eastAsia="Times New Roman" w:hAnsi="Calibri"/>
          <w:lang w:eastAsia="en-US"/>
        </w:rPr>
        <w:t xml:space="preserve">cultural </w:t>
      </w:r>
      <w:r w:rsidR="00A82DC9">
        <w:rPr>
          <w:rFonts w:ascii="Calibri" w:eastAsia="Times New Roman" w:hAnsi="Calibri"/>
          <w:lang w:eastAsia="en-US"/>
        </w:rPr>
        <w:t>meaning</w:t>
      </w:r>
      <w:r w:rsidR="00990F73">
        <w:rPr>
          <w:rFonts w:ascii="Calibri" w:eastAsia="Times New Roman" w:hAnsi="Calibri"/>
          <w:lang w:eastAsia="en-US"/>
        </w:rPr>
        <w:t xml:space="preserve"> </w:t>
      </w:r>
      <w:r w:rsidR="00C149AA">
        <w:rPr>
          <w:rFonts w:ascii="Calibri" w:eastAsia="Times New Roman" w:hAnsi="Calibri"/>
          <w:lang w:eastAsia="en-US"/>
        </w:rPr>
        <w:t xml:space="preserve">especially </w:t>
      </w:r>
      <w:r w:rsidR="00990F73">
        <w:rPr>
          <w:rFonts w:ascii="Calibri" w:eastAsia="Times New Roman" w:hAnsi="Calibri"/>
          <w:lang w:eastAsia="en-US"/>
        </w:rPr>
        <w:t>regarding an ideal sacred calendar</w:t>
      </w:r>
      <w:r w:rsidR="00A82DC9">
        <w:rPr>
          <w:rFonts w:ascii="Calibri" w:eastAsia="Times New Roman" w:hAnsi="Calibri"/>
          <w:lang w:eastAsia="en-US"/>
        </w:rPr>
        <w:t xml:space="preserve">. </w:t>
      </w:r>
      <w:r w:rsidR="006560B4" w:rsidRPr="00AB1BB8">
        <w:rPr>
          <w:rFonts w:ascii="Calibri" w:eastAsia="Times New Roman" w:hAnsi="Calibri"/>
          <w:lang w:eastAsia="en-US"/>
        </w:rPr>
        <w:t xml:space="preserve">Boland applies </w:t>
      </w:r>
      <w:r w:rsidR="00990F73">
        <w:rPr>
          <w:rFonts w:ascii="Calibri" w:eastAsia="Times New Roman" w:hAnsi="Calibri"/>
          <w:lang w:eastAsia="en-US"/>
        </w:rPr>
        <w:t>the moon’s</w:t>
      </w:r>
      <w:r w:rsidR="006560B4" w:rsidRPr="00AB1BB8">
        <w:rPr>
          <w:rFonts w:ascii="Calibri" w:eastAsia="Times New Roman" w:hAnsi="Calibri"/>
          <w:lang w:eastAsia="en-US"/>
        </w:rPr>
        <w:t xml:space="preserve"> rhythm</w:t>
      </w:r>
      <w:r w:rsidR="006560B4">
        <w:rPr>
          <w:rFonts w:ascii="Calibri" w:eastAsia="Times New Roman" w:hAnsi="Calibri"/>
          <w:lang w:eastAsia="en-US"/>
        </w:rPr>
        <w:t>s</w:t>
      </w:r>
      <w:r w:rsidR="006560B4" w:rsidRPr="00AB1BB8">
        <w:rPr>
          <w:rFonts w:ascii="Calibri" w:eastAsia="Times New Roman" w:hAnsi="Calibri"/>
          <w:lang w:eastAsia="en-US"/>
        </w:rPr>
        <w:t xml:space="preserve"> to the most mundane </w:t>
      </w:r>
      <w:r w:rsidR="006560B4">
        <w:rPr>
          <w:rFonts w:ascii="Calibri" w:eastAsia="Times New Roman" w:hAnsi="Calibri"/>
          <w:lang w:eastAsia="en-US"/>
        </w:rPr>
        <w:t xml:space="preserve">daily </w:t>
      </w:r>
      <w:r w:rsidR="006560B4" w:rsidRPr="00AB1BB8">
        <w:rPr>
          <w:rFonts w:ascii="Calibri" w:eastAsia="Times New Roman" w:hAnsi="Calibri"/>
          <w:lang w:eastAsia="en-US"/>
        </w:rPr>
        <w:t>activities of human life</w:t>
      </w:r>
      <w:r w:rsidR="006560B4">
        <w:rPr>
          <w:rFonts w:ascii="Calibri" w:eastAsia="Times New Roman" w:hAnsi="Calibri"/>
          <w:lang w:eastAsia="en-US"/>
        </w:rPr>
        <w:t xml:space="preserve">, predicting events as well as the </w:t>
      </w:r>
      <w:r w:rsidR="00A82DC9">
        <w:rPr>
          <w:rFonts w:ascii="Calibri" w:eastAsia="Times New Roman" w:hAnsi="Calibri"/>
          <w:lang w:eastAsia="en-US"/>
        </w:rPr>
        <w:t xml:space="preserve">quality of particular </w:t>
      </w:r>
      <w:r w:rsidR="00A82DC9">
        <w:rPr>
          <w:rFonts w:ascii="Calibri" w:eastAsia="Times New Roman" w:hAnsi="Calibri"/>
          <w:lang w:eastAsia="en-US"/>
        </w:rPr>
        <w:lastRenderedPageBreak/>
        <w:t>periods</w:t>
      </w:r>
      <w:r w:rsidR="006560B4">
        <w:rPr>
          <w:rFonts w:ascii="Calibri" w:eastAsia="Times New Roman" w:hAnsi="Calibri"/>
          <w:lang w:eastAsia="en-US"/>
        </w:rPr>
        <w:t xml:space="preserve">. </w:t>
      </w:r>
      <w:r w:rsidR="00A82DC9">
        <w:rPr>
          <w:rFonts w:ascii="Calibri" w:eastAsia="Times New Roman" w:hAnsi="Calibri"/>
          <w:lang w:eastAsia="en-US"/>
        </w:rPr>
        <w:t xml:space="preserve"> Rudhyar uses objective astronomical cycles at the time of birth to determine the individual</w:t>
      </w:r>
      <w:r w:rsidR="00C149AA">
        <w:rPr>
          <w:rFonts w:ascii="Calibri" w:eastAsia="Times New Roman" w:hAnsi="Calibri"/>
          <w:lang w:eastAsia="en-US"/>
        </w:rPr>
        <w:t>’</w:t>
      </w:r>
      <w:r w:rsidR="00A82DC9">
        <w:rPr>
          <w:rFonts w:ascii="Calibri" w:eastAsia="Times New Roman" w:hAnsi="Calibri"/>
          <w:lang w:eastAsia="en-US"/>
        </w:rPr>
        <w:t xml:space="preserve">s moon phase, yet </w:t>
      </w:r>
      <w:r w:rsidR="00C149AA">
        <w:rPr>
          <w:rFonts w:ascii="Calibri" w:eastAsia="Times New Roman" w:hAnsi="Calibri"/>
          <w:lang w:eastAsia="en-US"/>
        </w:rPr>
        <w:t xml:space="preserve">he </w:t>
      </w:r>
      <w:r w:rsidR="00A82DC9">
        <w:rPr>
          <w:rFonts w:ascii="Calibri" w:eastAsia="Times New Roman" w:hAnsi="Calibri"/>
          <w:lang w:eastAsia="en-US"/>
        </w:rPr>
        <w:t>assigns a term ‘subjective duration’ to describe the individuals experience of the psychological growth that this represents.</w:t>
      </w:r>
      <w:r w:rsidR="002213EF">
        <w:rPr>
          <w:rStyle w:val="FootnoteReference"/>
          <w:rFonts w:ascii="Calibri" w:eastAsia="Times New Roman" w:hAnsi="Calibri"/>
          <w:lang w:eastAsia="en-US"/>
        </w:rPr>
        <w:footnoteReference w:id="32"/>
      </w:r>
      <w:r w:rsidR="00A82DC9">
        <w:rPr>
          <w:rFonts w:ascii="Calibri" w:eastAsia="Times New Roman" w:hAnsi="Calibri"/>
          <w:lang w:eastAsia="en-US"/>
        </w:rPr>
        <w:t xml:space="preserve"> </w:t>
      </w:r>
      <w:r w:rsidR="006560B4">
        <w:rPr>
          <w:rFonts w:ascii="Calibri" w:eastAsia="Times New Roman" w:hAnsi="Calibri"/>
          <w:lang w:eastAsia="en-US"/>
        </w:rPr>
        <w:t>E</w:t>
      </w:r>
      <w:r w:rsidR="001E6C3E">
        <w:rPr>
          <w:rFonts w:ascii="Calibri" w:eastAsia="Times New Roman" w:hAnsi="Calibri"/>
          <w:lang w:eastAsia="en-US"/>
        </w:rPr>
        <w:t>ach astrologer</w:t>
      </w:r>
      <w:r w:rsidR="00990F73">
        <w:rPr>
          <w:rFonts w:ascii="Calibri" w:eastAsia="Times New Roman" w:hAnsi="Calibri"/>
          <w:lang w:eastAsia="en-US"/>
        </w:rPr>
        <w:t xml:space="preserve">, therefore, </w:t>
      </w:r>
      <w:r w:rsidR="001E6C3E">
        <w:rPr>
          <w:rFonts w:ascii="Calibri" w:eastAsia="Times New Roman" w:hAnsi="Calibri"/>
          <w:lang w:eastAsia="en-US"/>
        </w:rPr>
        <w:t xml:space="preserve">utilizes the </w:t>
      </w:r>
      <w:r w:rsidR="006560B4">
        <w:rPr>
          <w:rFonts w:ascii="Calibri" w:eastAsia="Times New Roman" w:hAnsi="Calibri"/>
          <w:lang w:eastAsia="en-US"/>
        </w:rPr>
        <w:t xml:space="preserve">moon </w:t>
      </w:r>
      <w:r w:rsidR="001E6C3E">
        <w:rPr>
          <w:rFonts w:ascii="Calibri" w:eastAsia="Times New Roman" w:hAnsi="Calibri"/>
          <w:lang w:eastAsia="en-US"/>
        </w:rPr>
        <w:t xml:space="preserve">phases to predict in different ways, </w:t>
      </w:r>
      <w:r w:rsidR="00990F73">
        <w:rPr>
          <w:rFonts w:ascii="Calibri" w:eastAsia="Times New Roman" w:hAnsi="Calibri"/>
          <w:lang w:eastAsia="en-US"/>
        </w:rPr>
        <w:t>and</w:t>
      </w:r>
      <w:r w:rsidR="001E6C3E">
        <w:rPr>
          <w:rFonts w:ascii="Calibri" w:eastAsia="Times New Roman" w:hAnsi="Calibri"/>
          <w:lang w:eastAsia="en-US"/>
        </w:rPr>
        <w:t xml:space="preserve"> objective and subjective notions of time appear to </w:t>
      </w:r>
      <w:r w:rsidR="006560B4">
        <w:rPr>
          <w:rFonts w:ascii="Calibri" w:eastAsia="Times New Roman" w:hAnsi="Calibri"/>
          <w:lang w:eastAsia="en-US"/>
        </w:rPr>
        <w:t>blend</w:t>
      </w:r>
      <w:r w:rsidR="001E6C3E">
        <w:rPr>
          <w:rFonts w:ascii="Calibri" w:eastAsia="Times New Roman" w:hAnsi="Calibri"/>
          <w:lang w:eastAsia="en-US"/>
        </w:rPr>
        <w:t xml:space="preserve"> with each astrologer</w:t>
      </w:r>
      <w:r w:rsidR="002213EF">
        <w:rPr>
          <w:rFonts w:ascii="Calibri" w:eastAsia="Times New Roman" w:hAnsi="Calibri"/>
          <w:lang w:eastAsia="en-US"/>
        </w:rPr>
        <w:t xml:space="preserve"> in assigning meaning to its phases. </w:t>
      </w:r>
    </w:p>
    <w:p w:rsidR="00AB1BB8" w:rsidRPr="00AB1BB8" w:rsidRDefault="00AB1BB8" w:rsidP="00AB1BB8">
      <w:pPr>
        <w:rPr>
          <w:rFonts w:ascii="Calibri" w:eastAsia="Times New Roman" w:hAnsi="Calibri"/>
          <w:lang w:eastAsia="en-US"/>
        </w:rPr>
      </w:pPr>
    </w:p>
    <w:p w:rsidR="00AB1BB8" w:rsidRPr="00AB1BB8" w:rsidRDefault="00AB1BB8" w:rsidP="00AB1BB8">
      <w:pPr>
        <w:keepNext/>
        <w:keepLines/>
        <w:spacing w:before="40"/>
        <w:outlineLvl w:val="1"/>
        <w:rPr>
          <w:rFonts w:ascii="Calibri Light" w:eastAsia="Times New Roman" w:hAnsi="Calibri Light"/>
          <w:color w:val="2F5496"/>
          <w:sz w:val="26"/>
          <w:szCs w:val="26"/>
          <w:lang w:eastAsia="en-US"/>
        </w:rPr>
      </w:pPr>
      <w:r w:rsidRPr="00AB1BB8">
        <w:rPr>
          <w:rFonts w:ascii="Calibri Light" w:eastAsia="Times New Roman" w:hAnsi="Calibri Light"/>
          <w:color w:val="2F5496"/>
          <w:sz w:val="26"/>
          <w:szCs w:val="26"/>
          <w:lang w:eastAsia="en-US"/>
        </w:rPr>
        <w:t>Moon as a Magical Medium</w:t>
      </w:r>
    </w:p>
    <w:p w:rsidR="00AB1BB8" w:rsidRPr="00E77825" w:rsidRDefault="00AB1BB8" w:rsidP="00AB1BB8">
      <w:pPr>
        <w:rPr>
          <w:rFonts w:ascii="Calibri" w:eastAsia="Times New Roman" w:hAnsi="Calibri"/>
          <w:color w:val="000000"/>
          <w:lang w:eastAsia="en-US"/>
        </w:rPr>
      </w:pPr>
      <w:r w:rsidRPr="00AB1BB8">
        <w:rPr>
          <w:rFonts w:ascii="Calibri" w:eastAsia="Times New Roman" w:hAnsi="Calibri"/>
          <w:lang w:eastAsia="en-US"/>
        </w:rPr>
        <w:t xml:space="preserve">The moon as a symbol possessing ‘magical’ qualities is a theme which is also present in each author. </w:t>
      </w:r>
      <w:r w:rsidRPr="00AB1BB8">
        <w:rPr>
          <w:rFonts w:ascii="Calibri" w:eastAsia="Times New Roman" w:hAnsi="Calibri"/>
          <w:color w:val="000000"/>
          <w:lang w:eastAsia="en-US"/>
        </w:rPr>
        <w:t>Magic</w:t>
      </w:r>
      <w:r w:rsidR="002213EF">
        <w:rPr>
          <w:rFonts w:ascii="Calibri" w:eastAsia="Times New Roman" w:hAnsi="Calibri"/>
          <w:color w:val="000000"/>
          <w:lang w:eastAsia="en-US"/>
        </w:rPr>
        <w:t>,</w:t>
      </w:r>
      <w:r w:rsidRPr="00AB1BB8">
        <w:rPr>
          <w:rFonts w:ascii="Calibri" w:eastAsia="Times New Roman" w:hAnsi="Calibri"/>
          <w:color w:val="000000"/>
          <w:lang w:eastAsia="en-US"/>
        </w:rPr>
        <w:t xml:space="preserve"> in this context, is understood as the idea that one’s consciousness, via needs, mental processes, ritual or prayer can participate in the universal flow of the moon’s cycles and bring about material changes. </w:t>
      </w:r>
      <w:r w:rsidRPr="00AB1BB8">
        <w:rPr>
          <w:rFonts w:ascii="Calibri" w:eastAsia="Times New Roman" w:hAnsi="Calibri"/>
          <w:lang w:eastAsia="en-US"/>
        </w:rPr>
        <w:t>The primary importance of the moon to the Babylonian astrologers was not only related to its capacity to predict events and regulate the calendar, but as noted by Erica Reiner, its phases signalled ‘the timing of various ritual acts’.</w:t>
      </w:r>
      <w:r w:rsidRPr="00AB1BB8">
        <w:rPr>
          <w:rFonts w:ascii="Calibri" w:eastAsia="Times New Roman" w:hAnsi="Calibri"/>
          <w:vertAlign w:val="superscript"/>
          <w:lang w:eastAsia="en-US"/>
        </w:rPr>
        <w:footnoteReference w:id="33"/>
      </w:r>
      <w:r w:rsidRPr="00AB1BB8">
        <w:rPr>
          <w:rFonts w:ascii="Calibri" w:eastAsia="Times New Roman" w:hAnsi="Calibri"/>
          <w:lang w:eastAsia="en-US"/>
        </w:rPr>
        <w:t xml:space="preserve"> </w:t>
      </w:r>
      <w:bookmarkStart w:id="6" w:name="a.P237878_project-en"/>
      <w:r w:rsidRPr="00AB1BB8">
        <w:rPr>
          <w:rFonts w:ascii="Calibri" w:eastAsia="Times New Roman" w:hAnsi="Calibri" w:cs="Calibri"/>
          <w:color w:val="000000"/>
          <w:lang w:eastAsia="en-US"/>
        </w:rPr>
        <w:t xml:space="preserve">If the moon did not conform to the ideal calendar this could indicate unfavourable outcomes, such as an </w:t>
      </w:r>
      <w:bookmarkEnd w:id="6"/>
      <w:r w:rsidRPr="00AB1BB8">
        <w:rPr>
          <w:rFonts w:ascii="Calibri" w:eastAsia="Times New Roman" w:hAnsi="Calibri" w:cs="Calibri"/>
          <w:color w:val="000000"/>
          <w:lang w:eastAsia="en-US"/>
        </w:rPr>
        <w:t>‘attack of a ruling city.’</w:t>
      </w:r>
      <w:r w:rsidRPr="00AB1BB8">
        <w:rPr>
          <w:rFonts w:eastAsia="Times New Roman"/>
          <w:color w:val="000000"/>
          <w:vertAlign w:val="superscript"/>
          <w:lang w:eastAsia="en-US"/>
        </w:rPr>
        <w:footnoteReference w:id="34"/>
      </w:r>
      <w:r w:rsidRPr="00AB1BB8">
        <w:rPr>
          <w:rFonts w:eastAsia="Times New Roman"/>
          <w:color w:val="000000"/>
          <w:lang w:eastAsia="en-US"/>
        </w:rPr>
        <w:t xml:space="preserve">  </w:t>
      </w:r>
      <w:r w:rsidRPr="00AB1BB8">
        <w:rPr>
          <w:rFonts w:ascii="Calibri" w:eastAsia="Times New Roman" w:hAnsi="Calibri" w:cs="Calibri"/>
          <w:color w:val="000000"/>
          <w:lang w:eastAsia="en-US"/>
        </w:rPr>
        <w:t>Yet such omens were not deemed to be fixed, there was often an opportunity to avert negative portends through ‘prayer’ or what the astrologers referred to as a ‘</w:t>
      </w:r>
      <w:proofErr w:type="spellStart"/>
      <w:r w:rsidRPr="00AB1BB8">
        <w:rPr>
          <w:rFonts w:ascii="Calibri" w:eastAsia="Times New Roman" w:hAnsi="Calibri" w:cs="Calibri"/>
          <w:i/>
          <w:iCs/>
          <w:color w:val="000000"/>
          <w:lang w:eastAsia="en-US"/>
        </w:rPr>
        <w:t>namburbi</w:t>
      </w:r>
      <w:proofErr w:type="spellEnd"/>
      <w:r w:rsidRPr="00AB1BB8">
        <w:rPr>
          <w:rFonts w:ascii="Calibri" w:eastAsia="Times New Roman" w:hAnsi="Calibri" w:cs="Calibri"/>
          <w:i/>
          <w:iCs/>
          <w:color w:val="000000"/>
          <w:lang w:eastAsia="en-US"/>
        </w:rPr>
        <w:t xml:space="preserve">’ </w:t>
      </w:r>
      <w:r w:rsidRPr="00AB1BB8">
        <w:rPr>
          <w:rFonts w:ascii="Calibri" w:eastAsia="Times New Roman" w:hAnsi="Calibri" w:cs="Calibri"/>
          <w:iCs/>
          <w:color w:val="000000"/>
          <w:lang w:eastAsia="en-US"/>
        </w:rPr>
        <w:t>ritual</w:t>
      </w:r>
      <w:r w:rsidRPr="00AB1BB8">
        <w:rPr>
          <w:rFonts w:ascii="Calibri" w:eastAsia="Times New Roman" w:hAnsi="Calibri" w:cs="Calibri"/>
          <w:i/>
          <w:iCs/>
          <w:color w:val="000000"/>
          <w:lang w:eastAsia="en-US"/>
        </w:rPr>
        <w:t>.</w:t>
      </w:r>
      <w:r w:rsidRPr="00AB1BB8">
        <w:rPr>
          <w:rFonts w:ascii="Calibri" w:eastAsia="Times New Roman" w:hAnsi="Calibri" w:cs="Calibri"/>
          <w:i/>
          <w:iCs/>
          <w:color w:val="000000"/>
          <w:vertAlign w:val="superscript"/>
          <w:lang w:eastAsia="en-US"/>
        </w:rPr>
        <w:footnoteReference w:id="35"/>
      </w:r>
      <w:r w:rsidR="00E675F1">
        <w:rPr>
          <w:rFonts w:ascii="Calibri" w:eastAsia="Times New Roman" w:hAnsi="Calibri" w:cs="Calibri"/>
          <w:i/>
          <w:iCs/>
          <w:color w:val="000000"/>
          <w:lang w:eastAsia="en-US"/>
        </w:rPr>
        <w:t xml:space="preserve"> </w:t>
      </w:r>
      <w:r w:rsidRPr="00AB1BB8">
        <w:rPr>
          <w:rFonts w:ascii="Calibri" w:eastAsia="Times New Roman" w:hAnsi="Calibri" w:cs="Calibri"/>
          <w:iCs/>
          <w:color w:val="000000"/>
          <w:lang w:eastAsia="en-US"/>
        </w:rPr>
        <w:t xml:space="preserve">Good days for a ritual to take place also considered the moon’s cycle. For example, ‘Auspicious days for performing’ considered </w:t>
      </w:r>
      <w:r w:rsidRPr="00AB1BB8">
        <w:rPr>
          <w:rFonts w:ascii="Calibri" w:eastAsia="Times New Roman" w:hAnsi="Calibri"/>
          <w:lang w:eastAsia="en-US"/>
        </w:rPr>
        <w:t>‘[the 14th day], when the moon and sun [......]’ and ‘[the 27th day], when the moon in ... [......].’</w:t>
      </w:r>
      <w:r w:rsidRPr="00AB1BB8">
        <w:rPr>
          <w:rFonts w:ascii="Calibri" w:eastAsia="Times New Roman" w:hAnsi="Calibri"/>
          <w:vertAlign w:val="superscript"/>
          <w:lang w:eastAsia="en-US"/>
        </w:rPr>
        <w:footnoteReference w:id="36"/>
      </w:r>
      <w:r w:rsidRPr="00AB1BB8">
        <w:rPr>
          <w:rFonts w:ascii="Calibri" w:eastAsia="Times New Roman" w:hAnsi="Calibri"/>
          <w:lang w:eastAsia="en-US"/>
        </w:rPr>
        <w:t xml:space="preserve">  Such advice is similar to Boland who instructs others on how to work with the ‘magic’ of lunar cycles’ by performing rituals at the new and full moons.</w:t>
      </w:r>
      <w:r w:rsidRPr="00AB1BB8">
        <w:rPr>
          <w:rFonts w:ascii="Calibri" w:eastAsia="Times New Roman" w:hAnsi="Calibri"/>
          <w:vertAlign w:val="superscript"/>
          <w:lang w:eastAsia="en-US"/>
        </w:rPr>
        <w:footnoteReference w:id="37"/>
      </w:r>
      <w:r w:rsidRPr="00AB1BB8">
        <w:rPr>
          <w:rFonts w:ascii="Calibri" w:eastAsia="Times New Roman" w:hAnsi="Calibri"/>
          <w:lang w:eastAsia="en-US"/>
        </w:rPr>
        <w:t xml:space="preserve"> She personalises this process by considering the sign of the zodiac that the moon is in and how this relates to a person’s birth chart and then provides ideas for suitable activities, rituals or ‘affirmations’ i.e. actions intended to manifest one’s desires.</w:t>
      </w:r>
      <w:r w:rsidR="008818E0">
        <w:rPr>
          <w:rStyle w:val="FootnoteReference"/>
          <w:rFonts w:ascii="Calibri" w:eastAsia="Times New Roman" w:hAnsi="Calibri"/>
          <w:lang w:eastAsia="en-US"/>
        </w:rPr>
        <w:footnoteReference w:id="38"/>
      </w:r>
      <w:r w:rsidRPr="00AB1BB8">
        <w:rPr>
          <w:rFonts w:ascii="Calibri" w:eastAsia="Times New Roman" w:hAnsi="Calibri"/>
          <w:lang w:eastAsia="en-US"/>
        </w:rPr>
        <w:t xml:space="preserve"> </w:t>
      </w:r>
      <w:r w:rsidRPr="00AB1BB8">
        <w:rPr>
          <w:rFonts w:ascii="Calibri" w:eastAsia="Times New Roman" w:hAnsi="Calibri"/>
          <w:color w:val="000000"/>
          <w:lang w:eastAsia="en-US"/>
        </w:rPr>
        <w:t>This kind of mystical</w:t>
      </w:r>
      <w:r w:rsidR="002213EF">
        <w:rPr>
          <w:rFonts w:ascii="Calibri" w:eastAsia="Times New Roman" w:hAnsi="Calibri"/>
          <w:color w:val="000000"/>
          <w:lang w:eastAsia="en-US"/>
        </w:rPr>
        <w:t xml:space="preserve"> </w:t>
      </w:r>
      <w:r w:rsidRPr="00AB1BB8">
        <w:rPr>
          <w:rFonts w:ascii="Calibri" w:eastAsia="Times New Roman" w:hAnsi="Calibri"/>
          <w:color w:val="000000"/>
          <w:lang w:eastAsia="en-US"/>
        </w:rPr>
        <w:t xml:space="preserve">thinking can also be detected in </w:t>
      </w:r>
      <w:proofErr w:type="spellStart"/>
      <w:r w:rsidRPr="00AB1BB8">
        <w:rPr>
          <w:rFonts w:ascii="Calibri" w:eastAsia="Times New Roman" w:hAnsi="Calibri"/>
          <w:color w:val="000000"/>
          <w:lang w:eastAsia="en-US"/>
        </w:rPr>
        <w:t>Rudhyar’s</w:t>
      </w:r>
      <w:proofErr w:type="spellEnd"/>
      <w:r w:rsidRPr="00AB1BB8">
        <w:rPr>
          <w:rFonts w:ascii="Calibri" w:eastAsia="Times New Roman" w:hAnsi="Calibri"/>
          <w:color w:val="000000"/>
          <w:lang w:eastAsia="en-US"/>
        </w:rPr>
        <w:t xml:space="preserve"> account of the lunar cycle when he describes the moon as a mediatrix, who </w:t>
      </w:r>
      <w:r w:rsidR="007B1441">
        <w:rPr>
          <w:rFonts w:ascii="Calibri" w:eastAsia="Times New Roman" w:hAnsi="Calibri"/>
          <w:color w:val="000000"/>
          <w:lang w:eastAsia="en-US"/>
        </w:rPr>
        <w:t xml:space="preserve">as a ‘servant of the earth’ </w:t>
      </w:r>
      <w:r w:rsidRPr="00AB1BB8">
        <w:rPr>
          <w:rFonts w:ascii="Calibri" w:eastAsia="Times New Roman" w:hAnsi="Calibri"/>
          <w:color w:val="000000"/>
          <w:lang w:eastAsia="en-US"/>
        </w:rPr>
        <w:t>transmits the light of the sun for the ‘sole purpose of fulfilling the need’ of the earth</w:t>
      </w:r>
      <w:r w:rsidR="002213EF" w:rsidRPr="002213EF">
        <w:rPr>
          <w:rFonts w:ascii="Calibri" w:eastAsia="Times New Roman" w:hAnsi="Calibri"/>
          <w:color w:val="000000"/>
          <w:lang w:eastAsia="en-US"/>
        </w:rPr>
        <w:t xml:space="preserve"> </w:t>
      </w:r>
      <w:r w:rsidR="002213EF">
        <w:rPr>
          <w:rFonts w:ascii="Calibri" w:eastAsia="Times New Roman" w:hAnsi="Calibri"/>
          <w:color w:val="000000"/>
          <w:lang w:eastAsia="en-US"/>
        </w:rPr>
        <w:t>‘</w:t>
      </w:r>
      <w:r w:rsidR="002213EF" w:rsidRPr="00AB1BB8">
        <w:rPr>
          <w:rFonts w:ascii="Calibri" w:eastAsia="Times New Roman" w:hAnsi="Calibri"/>
          <w:color w:val="000000"/>
          <w:lang w:eastAsia="en-US"/>
        </w:rPr>
        <w:t>for organic and psychic life.’</w:t>
      </w:r>
      <w:r w:rsidR="002213EF" w:rsidRPr="00AB1BB8">
        <w:rPr>
          <w:rFonts w:ascii="Calibri" w:eastAsia="Times New Roman" w:hAnsi="Calibri"/>
          <w:color w:val="000000"/>
          <w:vertAlign w:val="superscript"/>
          <w:lang w:eastAsia="en-US"/>
        </w:rPr>
        <w:footnoteReference w:id="39"/>
      </w:r>
      <w:r w:rsidR="007B1441">
        <w:rPr>
          <w:rFonts w:ascii="Calibri" w:eastAsia="Times New Roman" w:hAnsi="Calibri"/>
          <w:color w:val="000000"/>
          <w:lang w:eastAsia="en-US"/>
        </w:rPr>
        <w:t xml:space="preserve"> </w:t>
      </w:r>
      <w:r w:rsidRPr="00AB1BB8">
        <w:rPr>
          <w:rFonts w:ascii="Calibri" w:eastAsia="Times New Roman" w:hAnsi="Calibri"/>
          <w:color w:val="000000"/>
          <w:lang w:eastAsia="en-US"/>
        </w:rPr>
        <w:t xml:space="preserve">Highlighting the function of the moon as a ‘symbol of relatedness’, he states ‘spirit is relatedness; … because spirit is that which fulfils all needs.’ </w:t>
      </w:r>
      <w:r w:rsidRPr="00AB1BB8">
        <w:rPr>
          <w:rFonts w:ascii="Calibri" w:eastAsia="Times New Roman" w:hAnsi="Calibri"/>
          <w:color w:val="000000"/>
          <w:vertAlign w:val="superscript"/>
          <w:lang w:eastAsia="en-US"/>
        </w:rPr>
        <w:footnoteReference w:id="40"/>
      </w:r>
      <w:r w:rsidR="006D3E43">
        <w:rPr>
          <w:rFonts w:ascii="Calibri" w:eastAsia="Times New Roman" w:hAnsi="Calibri"/>
          <w:color w:val="000000"/>
          <w:lang w:eastAsia="en-US"/>
        </w:rPr>
        <w:t xml:space="preserve"> </w:t>
      </w:r>
      <w:r w:rsidRPr="00AB1BB8">
        <w:rPr>
          <w:rFonts w:ascii="Calibri" w:eastAsia="Times New Roman" w:hAnsi="Calibri"/>
          <w:color w:val="000000"/>
          <w:lang w:eastAsia="en-US"/>
        </w:rPr>
        <w:t xml:space="preserve">Thus, each astrologer in different ways views the moon as a magical symbol of the unity operating within the cosmos, and a channel through which </w:t>
      </w:r>
      <w:r w:rsidR="007B1441">
        <w:rPr>
          <w:rFonts w:ascii="Calibri" w:eastAsia="Times New Roman" w:hAnsi="Calibri"/>
          <w:color w:val="000000"/>
          <w:lang w:eastAsia="en-US"/>
        </w:rPr>
        <w:t>needs may be</w:t>
      </w:r>
      <w:r w:rsidRPr="00AB1BB8">
        <w:rPr>
          <w:rFonts w:ascii="Calibri" w:eastAsia="Times New Roman" w:hAnsi="Calibri"/>
          <w:color w:val="000000"/>
          <w:lang w:eastAsia="en-US"/>
        </w:rPr>
        <w:t xml:space="preserve"> communicate</w:t>
      </w:r>
      <w:r w:rsidR="007B1441">
        <w:rPr>
          <w:rFonts w:ascii="Calibri" w:eastAsia="Times New Roman" w:hAnsi="Calibri"/>
          <w:color w:val="000000"/>
          <w:lang w:eastAsia="en-US"/>
        </w:rPr>
        <w:t>d</w:t>
      </w:r>
      <w:r w:rsidRPr="00AB1BB8">
        <w:rPr>
          <w:rFonts w:ascii="Calibri" w:eastAsia="Times New Roman" w:hAnsi="Calibri"/>
          <w:color w:val="000000"/>
          <w:lang w:eastAsia="en-US"/>
        </w:rPr>
        <w:t xml:space="preserve"> and </w:t>
      </w:r>
      <w:r w:rsidR="007B1441">
        <w:rPr>
          <w:rFonts w:ascii="Calibri" w:eastAsia="Times New Roman" w:hAnsi="Calibri"/>
          <w:color w:val="000000"/>
          <w:lang w:eastAsia="en-US"/>
        </w:rPr>
        <w:t xml:space="preserve">where divine and earthly life </w:t>
      </w:r>
      <w:r w:rsidRPr="00AB1BB8">
        <w:rPr>
          <w:rFonts w:ascii="Calibri" w:eastAsia="Times New Roman" w:hAnsi="Calibri"/>
          <w:color w:val="000000"/>
          <w:lang w:eastAsia="en-US"/>
        </w:rPr>
        <w:t xml:space="preserve">participate within its constantly shifting patterns. </w:t>
      </w:r>
    </w:p>
    <w:p w:rsidR="00AB1BB8" w:rsidRPr="00AB1BB8" w:rsidRDefault="00AB1BB8" w:rsidP="00AB1BB8">
      <w:pPr>
        <w:rPr>
          <w:rFonts w:ascii="Calibri" w:eastAsia="Times New Roman" w:hAnsi="Calibri"/>
          <w:color w:val="000000"/>
          <w:lang w:eastAsia="en-US"/>
        </w:rPr>
      </w:pPr>
    </w:p>
    <w:p w:rsidR="00AB1BB8" w:rsidRPr="00AB1BB8" w:rsidRDefault="00AB1BB8" w:rsidP="00AB1BB8">
      <w:pPr>
        <w:rPr>
          <w:rFonts w:ascii="Calibri" w:eastAsia="Times New Roman" w:hAnsi="Calibri"/>
          <w:lang w:eastAsia="en-US"/>
        </w:rPr>
      </w:pPr>
    </w:p>
    <w:p w:rsidR="00AB1BB8" w:rsidRPr="00AB1BB8" w:rsidRDefault="00AB1BB8" w:rsidP="00AB1BB8">
      <w:pPr>
        <w:pStyle w:val="Heading2"/>
        <w:rPr>
          <w:rFonts w:eastAsia="Times New Roman"/>
        </w:rPr>
      </w:pPr>
      <w:r w:rsidRPr="00AB1BB8">
        <w:rPr>
          <w:rFonts w:eastAsia="Times New Roman"/>
        </w:rPr>
        <w:lastRenderedPageBreak/>
        <w:t>Conclusion</w:t>
      </w:r>
    </w:p>
    <w:p w:rsidR="00AB1BB8" w:rsidRPr="00AB1BB8" w:rsidRDefault="00AB1BB8" w:rsidP="00AB1BB8">
      <w:pPr>
        <w:rPr>
          <w:rFonts w:ascii="Calibri" w:eastAsia="Times New Roman" w:hAnsi="Calibri"/>
          <w:lang w:eastAsia="en-US"/>
        </w:rPr>
      </w:pPr>
      <w:r w:rsidRPr="00AB1BB8">
        <w:rPr>
          <w:rFonts w:ascii="Calibri" w:eastAsia="Times New Roman" w:hAnsi="Calibri"/>
          <w:lang w:eastAsia="en-US"/>
        </w:rPr>
        <w:t>This paper has compared and contrasted the treatment of the moon in three astrological texts.</w:t>
      </w:r>
      <w:r>
        <w:rPr>
          <w:rFonts w:ascii="Calibri" w:eastAsia="Times New Roman" w:hAnsi="Calibri"/>
          <w:lang w:eastAsia="en-US"/>
        </w:rPr>
        <w:t xml:space="preserve"> </w:t>
      </w:r>
      <w:r w:rsidRPr="00AB1BB8">
        <w:rPr>
          <w:rFonts w:ascii="Calibri" w:eastAsia="Times New Roman" w:hAnsi="Calibri" w:cs="Calibri"/>
          <w:lang w:eastAsia="en-US"/>
        </w:rPr>
        <w:t xml:space="preserve">Each author views the moon as a divine force operating within the universe, whose capacity to regularly change its appearance in the sky, signals changes in the cosmic environment.  </w:t>
      </w:r>
      <w:r w:rsidR="00E77825">
        <w:rPr>
          <w:rFonts w:ascii="Calibri" w:eastAsia="Times New Roman" w:hAnsi="Calibri" w:cs="Calibri"/>
          <w:lang w:eastAsia="en-US"/>
        </w:rPr>
        <w:t xml:space="preserve">In Hunger the astrologer portrays the God as male, in Boland </w:t>
      </w:r>
      <w:r w:rsidR="009F2E3F">
        <w:rPr>
          <w:rFonts w:ascii="Calibri" w:eastAsia="Times New Roman" w:hAnsi="Calibri" w:cs="Calibri"/>
          <w:lang w:eastAsia="en-US"/>
        </w:rPr>
        <w:t>the moon is portrayed as a</w:t>
      </w:r>
      <w:r w:rsidR="00E77825">
        <w:rPr>
          <w:rFonts w:ascii="Calibri" w:eastAsia="Times New Roman" w:hAnsi="Calibri" w:cs="Calibri"/>
          <w:lang w:eastAsia="en-US"/>
        </w:rPr>
        <w:t xml:space="preserve"> Goddess and with Rudhyar it is counterpart to the sun and a primary symbol of the spiritual significance of relationship. </w:t>
      </w:r>
      <w:r w:rsidRPr="00AB1BB8">
        <w:rPr>
          <w:rFonts w:ascii="Calibri" w:eastAsia="Times New Roman" w:hAnsi="Calibri" w:cs="Calibri"/>
          <w:lang w:eastAsia="en-US"/>
        </w:rPr>
        <w:t>The full moon as a symbol of divinity had great significance—in Hunger’s text it was a union of Gods, with Rudhyar and Boland, it was a symbol of divine illumination, and for all it was associated with ideas of increased perception.</w:t>
      </w:r>
      <w:r w:rsidR="00C53E85">
        <w:rPr>
          <w:rFonts w:ascii="Calibri" w:eastAsia="Times New Roman" w:hAnsi="Calibri" w:cs="Calibri"/>
          <w:lang w:eastAsia="en-US"/>
        </w:rPr>
        <w:t xml:space="preserve">  </w:t>
      </w:r>
      <w:r w:rsidRPr="00AB1BB8">
        <w:rPr>
          <w:rFonts w:ascii="Calibri" w:eastAsia="Times New Roman" w:hAnsi="Calibri" w:cs="Calibri"/>
          <w:lang w:eastAsia="en-US"/>
        </w:rPr>
        <w:t xml:space="preserve">Although the full moon had great significance, all phases of the moon had meaning. The moon’s capacity to track the passage of time and predict was apparent in all. However, the purpose for which it was applied was different.  In Hunger’s texts, it marked conformity to a sacred calendar and communicated the Moon-God’s plans for the King and land. With Boland it was a cosmic timer which could predict the key issues which may arise on a monthly basis </w:t>
      </w:r>
      <w:r w:rsidR="007B1441">
        <w:rPr>
          <w:rFonts w:ascii="Calibri" w:eastAsia="Times New Roman" w:hAnsi="Calibri" w:cs="Calibri"/>
          <w:lang w:eastAsia="en-US"/>
        </w:rPr>
        <w:t xml:space="preserve">for individuals </w:t>
      </w:r>
      <w:r w:rsidRPr="00AB1BB8">
        <w:rPr>
          <w:rFonts w:ascii="Calibri" w:eastAsia="Times New Roman" w:hAnsi="Calibri" w:cs="Calibri"/>
          <w:lang w:eastAsia="en-US"/>
        </w:rPr>
        <w:t xml:space="preserve">and with Rudhyar, the moon’s phase at birth set limits on the individual’s orientation to life. Each astrologer also endowed the moon with magical qualities which could not only communicate divine will, but could enable others to participate in it. In </w:t>
      </w:r>
      <w:r w:rsidR="007B1441">
        <w:rPr>
          <w:rFonts w:ascii="Calibri" w:eastAsia="Times New Roman" w:hAnsi="Calibri" w:cs="Calibri"/>
          <w:lang w:eastAsia="en-US"/>
        </w:rPr>
        <w:t>Hunger’s</w:t>
      </w:r>
      <w:r w:rsidR="007B1441" w:rsidRPr="00AB1BB8">
        <w:rPr>
          <w:rFonts w:ascii="Calibri" w:eastAsia="Times New Roman" w:hAnsi="Calibri" w:cs="Calibri"/>
          <w:lang w:eastAsia="en-US"/>
        </w:rPr>
        <w:t xml:space="preserve"> </w:t>
      </w:r>
      <w:r w:rsidRPr="00AB1BB8">
        <w:rPr>
          <w:rFonts w:ascii="Calibri" w:eastAsia="Times New Roman" w:hAnsi="Calibri" w:cs="Calibri"/>
          <w:lang w:eastAsia="en-US"/>
        </w:rPr>
        <w:t xml:space="preserve">text the moon phase indicated ‘auspicious’ times for rituals to avert unfavourable omens. </w:t>
      </w:r>
      <w:r w:rsidRPr="00AB1BB8">
        <w:rPr>
          <w:rFonts w:ascii="Calibri" w:eastAsia="Times New Roman" w:hAnsi="Calibri" w:cs="Calibri"/>
          <w:vertAlign w:val="superscript"/>
          <w:lang w:eastAsia="en-US"/>
        </w:rPr>
        <w:footnoteReference w:id="41"/>
      </w:r>
      <w:r w:rsidRPr="00AB1BB8">
        <w:rPr>
          <w:rFonts w:ascii="Calibri" w:eastAsia="Times New Roman" w:hAnsi="Calibri" w:cs="Calibri"/>
          <w:lang w:eastAsia="en-US"/>
        </w:rPr>
        <w:t xml:space="preserve">With Boland the moon phase qualities were used to signal </w:t>
      </w:r>
      <w:r w:rsidR="00594A3A">
        <w:rPr>
          <w:rFonts w:ascii="Calibri" w:eastAsia="Times New Roman" w:hAnsi="Calibri" w:cs="Calibri"/>
          <w:lang w:eastAsia="en-US"/>
        </w:rPr>
        <w:t>good times</w:t>
      </w:r>
      <w:r w:rsidRPr="00AB1BB8">
        <w:rPr>
          <w:rFonts w:ascii="Calibri" w:eastAsia="Times New Roman" w:hAnsi="Calibri" w:cs="Calibri"/>
          <w:lang w:eastAsia="en-US"/>
        </w:rPr>
        <w:t xml:space="preserve"> for ritual practices, aimed to ‘plan’, ‘predict’ and ultimately, to ‘co-create’ one’s life.</w:t>
      </w:r>
      <w:r w:rsidRPr="00AB1BB8">
        <w:rPr>
          <w:rFonts w:ascii="Calibri" w:eastAsia="Times New Roman" w:hAnsi="Calibri" w:cs="Calibri"/>
          <w:vertAlign w:val="superscript"/>
          <w:lang w:eastAsia="en-US"/>
        </w:rPr>
        <w:footnoteReference w:id="42"/>
      </w:r>
      <w:r w:rsidRPr="00AB1BB8">
        <w:rPr>
          <w:rFonts w:ascii="Calibri" w:eastAsia="Times New Roman" w:hAnsi="Calibri" w:cs="Calibri"/>
          <w:lang w:eastAsia="en-US"/>
        </w:rPr>
        <w:t xml:space="preserve"> With Rudhyar</w:t>
      </w:r>
      <w:r w:rsidR="00F92EC0">
        <w:rPr>
          <w:rFonts w:ascii="Calibri" w:eastAsia="Times New Roman" w:hAnsi="Calibri" w:cs="Calibri"/>
          <w:lang w:eastAsia="en-US"/>
        </w:rPr>
        <w:t xml:space="preserve">, </w:t>
      </w:r>
      <w:r w:rsidRPr="00AB1BB8">
        <w:rPr>
          <w:rFonts w:ascii="Calibri" w:eastAsia="Times New Roman" w:hAnsi="Calibri" w:cs="Calibri"/>
          <w:lang w:eastAsia="en-US"/>
        </w:rPr>
        <w:t xml:space="preserve">the moon was viewed in terms </w:t>
      </w:r>
      <w:r w:rsidR="007B1441">
        <w:rPr>
          <w:rFonts w:ascii="Calibri" w:eastAsia="Times New Roman" w:hAnsi="Calibri" w:cs="Calibri"/>
          <w:lang w:eastAsia="en-US"/>
        </w:rPr>
        <w:t>of a</w:t>
      </w:r>
      <w:r w:rsidR="007B1441" w:rsidRPr="00AB1BB8">
        <w:rPr>
          <w:rFonts w:ascii="Calibri" w:eastAsia="Times New Roman" w:hAnsi="Calibri" w:cs="Calibri"/>
          <w:lang w:eastAsia="en-US"/>
        </w:rPr>
        <w:t xml:space="preserve"> </w:t>
      </w:r>
      <w:r w:rsidRPr="00AB1BB8">
        <w:rPr>
          <w:rFonts w:ascii="Calibri" w:eastAsia="Times New Roman" w:hAnsi="Calibri" w:cs="Calibri"/>
          <w:lang w:eastAsia="en-US"/>
        </w:rPr>
        <w:t>mediatrix whose primary function was to ‘serve the need[s] of the earth’ and ‘psychic life’.</w:t>
      </w:r>
      <w:r w:rsidRPr="00AB1BB8">
        <w:rPr>
          <w:rFonts w:ascii="Calibri" w:eastAsia="Times New Roman" w:hAnsi="Calibri" w:cs="Calibri"/>
          <w:vertAlign w:val="superscript"/>
          <w:lang w:eastAsia="en-US"/>
        </w:rPr>
        <w:footnoteReference w:id="43"/>
      </w:r>
    </w:p>
    <w:p w:rsidR="00AB1BB8" w:rsidRPr="00AB1BB8" w:rsidRDefault="00AB1BB8" w:rsidP="00AB1BB8">
      <w:pPr>
        <w:rPr>
          <w:rFonts w:ascii="Calibri" w:eastAsia="Times New Roman" w:hAnsi="Calibri" w:cs="Calibri"/>
          <w:lang w:eastAsia="en-US"/>
        </w:rPr>
      </w:pPr>
    </w:p>
    <w:p w:rsidR="00832BB5" w:rsidRDefault="00832BB5" w:rsidP="00AB1BB8">
      <w:pPr>
        <w:pStyle w:val="Heading2"/>
        <w:rPr>
          <w:rFonts w:eastAsia="Times New Roman"/>
        </w:rPr>
      </w:pPr>
    </w:p>
    <w:p w:rsidR="00832BB5" w:rsidRDefault="00832BB5" w:rsidP="00AB1BB8">
      <w:pPr>
        <w:pStyle w:val="Heading2"/>
        <w:rPr>
          <w:rFonts w:eastAsia="Times New Roman"/>
        </w:rPr>
      </w:pPr>
    </w:p>
    <w:p w:rsidR="00832BB5" w:rsidRDefault="00832BB5" w:rsidP="00AB1BB8">
      <w:pPr>
        <w:pStyle w:val="Heading2"/>
        <w:rPr>
          <w:rFonts w:eastAsia="Times New Roman"/>
        </w:rPr>
      </w:pPr>
    </w:p>
    <w:p w:rsidR="00832BB5" w:rsidRDefault="00832BB5" w:rsidP="00AB1BB8">
      <w:pPr>
        <w:pStyle w:val="Heading2"/>
        <w:rPr>
          <w:rFonts w:eastAsia="Times New Roman"/>
        </w:rPr>
      </w:pPr>
    </w:p>
    <w:p w:rsidR="00AB1BB8" w:rsidRPr="00AB1BB8" w:rsidRDefault="00AB1BB8" w:rsidP="00832BB5">
      <w:pPr>
        <w:pStyle w:val="Heading2"/>
        <w:rPr>
          <w:rFonts w:eastAsia="Times New Roman"/>
        </w:rPr>
      </w:pPr>
      <w:r w:rsidRPr="00832BB5">
        <w:t>Bibliography</w:t>
      </w:r>
    </w:p>
    <w:p w:rsidR="00AB1BB8" w:rsidRPr="00C53E85" w:rsidRDefault="00AB1BB8" w:rsidP="00AB1BB8">
      <w:pPr>
        <w:pStyle w:val="Heading1"/>
        <w:rPr>
          <w:rFonts w:asciiTheme="minorHAnsi" w:hAnsiTheme="minorHAnsi" w:cstheme="minorHAnsi"/>
          <w:bCs/>
          <w:sz w:val="24"/>
          <w:szCs w:val="24"/>
        </w:rPr>
      </w:pPr>
    </w:p>
    <w:p w:rsidR="00E03A40" w:rsidRPr="00E03A40" w:rsidRDefault="00AB1BB8" w:rsidP="00E03A40">
      <w:pPr>
        <w:pStyle w:val="EndNoteBibliography"/>
        <w:ind w:left="720" w:hanging="720"/>
        <w:rPr>
          <w:noProof/>
        </w:rPr>
      </w:pPr>
      <w:r w:rsidRPr="00C53E85">
        <w:rPr>
          <w:rFonts w:asciiTheme="minorHAnsi" w:hAnsiTheme="minorHAnsi" w:cstheme="minorHAnsi"/>
          <w:bCs/>
          <w:sz w:val="24"/>
        </w:rPr>
        <w:fldChar w:fldCharType="begin"/>
      </w:r>
      <w:r w:rsidRPr="00C53E85">
        <w:rPr>
          <w:rFonts w:asciiTheme="minorHAnsi" w:hAnsiTheme="minorHAnsi" w:cstheme="minorHAnsi"/>
          <w:bCs/>
          <w:sz w:val="24"/>
        </w:rPr>
        <w:instrText xml:space="preserve"> ADDIN EN.REFLIST </w:instrText>
      </w:r>
      <w:r w:rsidRPr="00C53E85">
        <w:rPr>
          <w:rFonts w:asciiTheme="minorHAnsi" w:hAnsiTheme="minorHAnsi" w:cstheme="minorHAnsi"/>
          <w:bCs/>
          <w:sz w:val="24"/>
        </w:rPr>
        <w:fldChar w:fldCharType="separate"/>
      </w:r>
      <w:bookmarkStart w:id="7" w:name="_ENREF_1"/>
      <w:r w:rsidR="00E03A40" w:rsidRPr="00E03A40">
        <w:rPr>
          <w:noProof/>
        </w:rPr>
        <w:t>Boland, Yasmin, 'Moonology : Working with the Magic of Lunar Cycles',  (Carlsbad, California: Hay House, 2016).</w:t>
      </w:r>
      <w:bookmarkEnd w:id="7"/>
    </w:p>
    <w:p w:rsidR="00E03A40" w:rsidRPr="00E03A40" w:rsidRDefault="00E03A40" w:rsidP="00E03A40">
      <w:pPr>
        <w:pStyle w:val="EndNoteBibliography"/>
        <w:ind w:left="720" w:hanging="720"/>
        <w:rPr>
          <w:noProof/>
        </w:rPr>
      </w:pPr>
      <w:bookmarkStart w:id="8" w:name="_ENREF_2"/>
      <w:r w:rsidRPr="00E03A40">
        <w:rPr>
          <w:noProof/>
        </w:rPr>
        <w:t xml:space="preserve">Campion, Nicholas, </w:t>
      </w:r>
      <w:r w:rsidRPr="00E03A40">
        <w:rPr>
          <w:i/>
          <w:noProof/>
        </w:rPr>
        <w:t>The Dawn of Astrology : A Cultural History of Western Astrology</w:t>
      </w:r>
      <w:r w:rsidRPr="00E03A40">
        <w:rPr>
          <w:noProof/>
        </w:rPr>
        <w:t xml:space="preserve"> (London ; New York: Continuum, 2008).</w:t>
      </w:r>
      <w:bookmarkEnd w:id="8"/>
    </w:p>
    <w:p w:rsidR="00E03A40" w:rsidRPr="00E03A40" w:rsidRDefault="00E03A40" w:rsidP="00E03A40">
      <w:pPr>
        <w:pStyle w:val="EndNoteBibliography"/>
        <w:ind w:left="720" w:hanging="720"/>
        <w:rPr>
          <w:noProof/>
        </w:rPr>
      </w:pPr>
      <w:bookmarkStart w:id="9" w:name="_ENREF_3"/>
      <w:r w:rsidRPr="00E03A40">
        <w:rPr>
          <w:noProof/>
        </w:rPr>
        <w:t xml:space="preserve">———, </w:t>
      </w:r>
      <w:r w:rsidRPr="00E03A40">
        <w:rPr>
          <w:i/>
          <w:noProof/>
        </w:rPr>
        <w:t>History of Western Astrology. Volume Ii, the Medieval and Modern Worlds</w:t>
      </w:r>
      <w:r w:rsidRPr="00E03A40">
        <w:rPr>
          <w:noProof/>
        </w:rPr>
        <w:t xml:space="preserve"> (London ; New York: Continuum, 2009).</w:t>
      </w:r>
      <w:bookmarkEnd w:id="9"/>
    </w:p>
    <w:p w:rsidR="00E03A40" w:rsidRPr="00E03A40" w:rsidRDefault="00E03A40" w:rsidP="00E03A40">
      <w:pPr>
        <w:pStyle w:val="EndNoteBibliography"/>
        <w:ind w:left="720" w:hanging="720"/>
        <w:rPr>
          <w:noProof/>
        </w:rPr>
      </w:pPr>
      <w:bookmarkStart w:id="10" w:name="_ENREF_4"/>
      <w:r w:rsidRPr="00E03A40">
        <w:rPr>
          <w:noProof/>
        </w:rPr>
        <w:t xml:space="preserve">Hunger, Hermann, </w:t>
      </w:r>
      <w:r w:rsidRPr="00E03A40">
        <w:rPr>
          <w:i/>
          <w:noProof/>
        </w:rPr>
        <w:t>Astrological Reports to Assyrian Kings</w:t>
      </w:r>
      <w:r w:rsidRPr="00E03A40">
        <w:rPr>
          <w:noProof/>
        </w:rPr>
        <w:t xml:space="preserve">, </w:t>
      </w:r>
      <w:r w:rsidRPr="00E03A40">
        <w:rPr>
          <w:i/>
          <w:noProof/>
        </w:rPr>
        <w:t>State Archives of Assyria</w:t>
      </w:r>
      <w:r w:rsidRPr="00E03A40">
        <w:rPr>
          <w:noProof/>
        </w:rPr>
        <w:t xml:space="preserve"> (Helsinki, Finland: Helsinki University Press, 1992).</w:t>
      </w:r>
      <w:bookmarkEnd w:id="10"/>
    </w:p>
    <w:p w:rsidR="00E03A40" w:rsidRPr="00E03A40" w:rsidRDefault="00E03A40" w:rsidP="00E03A40">
      <w:pPr>
        <w:pStyle w:val="EndNoteBibliography"/>
        <w:ind w:left="720" w:hanging="720"/>
        <w:rPr>
          <w:noProof/>
        </w:rPr>
      </w:pPr>
      <w:bookmarkStart w:id="11" w:name="_ENREF_5"/>
      <w:r w:rsidRPr="00E03A40">
        <w:rPr>
          <w:noProof/>
        </w:rPr>
        <w:t xml:space="preserve">King, L. W., </w:t>
      </w:r>
      <w:r w:rsidRPr="00E03A40">
        <w:rPr>
          <w:i/>
          <w:noProof/>
        </w:rPr>
        <w:t>The Seven Tablets of Creation</w:t>
      </w:r>
      <w:r w:rsidRPr="00E03A40">
        <w:rPr>
          <w:noProof/>
        </w:rPr>
        <w:t>. Vol. 12-13 (London: Luzac and Co., 1902).</w:t>
      </w:r>
      <w:bookmarkEnd w:id="11"/>
    </w:p>
    <w:p w:rsidR="00E03A40" w:rsidRPr="00E03A40" w:rsidRDefault="00E03A40" w:rsidP="00E03A40">
      <w:pPr>
        <w:pStyle w:val="EndNoteBibliography"/>
        <w:ind w:left="720" w:hanging="720"/>
        <w:rPr>
          <w:noProof/>
        </w:rPr>
      </w:pPr>
      <w:bookmarkStart w:id="12" w:name="_ENREF_6"/>
      <w:r w:rsidRPr="00E03A40">
        <w:rPr>
          <w:noProof/>
        </w:rPr>
        <w:t xml:space="preserve">Koch, Ulla Susanne, </w:t>
      </w:r>
      <w:r w:rsidRPr="00E03A40">
        <w:rPr>
          <w:i/>
          <w:noProof/>
        </w:rPr>
        <w:t>Mesopotamian Astrology : An Introduction to Babylonian and Assyrian Celestial Divination</w:t>
      </w:r>
      <w:r w:rsidRPr="00E03A40">
        <w:rPr>
          <w:noProof/>
        </w:rPr>
        <w:t xml:space="preserve">, </w:t>
      </w:r>
      <w:r w:rsidRPr="00E03A40">
        <w:rPr>
          <w:i/>
          <w:noProof/>
        </w:rPr>
        <w:t>Cni Publications</w:t>
      </w:r>
      <w:r w:rsidRPr="00E03A40">
        <w:rPr>
          <w:noProof/>
        </w:rPr>
        <w:t xml:space="preserve"> (Copenhagen: Carsten Niebuhr Institute of Near Eastern Studies : Museum Tusculanum Press, University of Copenhagen, 1995).</w:t>
      </w:r>
      <w:bookmarkEnd w:id="12"/>
    </w:p>
    <w:p w:rsidR="00E03A40" w:rsidRPr="00E03A40" w:rsidRDefault="00E03A40" w:rsidP="00E03A40">
      <w:pPr>
        <w:pStyle w:val="EndNoteBibliography"/>
        <w:ind w:left="720" w:hanging="720"/>
        <w:rPr>
          <w:noProof/>
        </w:rPr>
      </w:pPr>
      <w:bookmarkStart w:id="13" w:name="_ENREF_7"/>
      <w:r w:rsidRPr="00E03A40">
        <w:rPr>
          <w:noProof/>
        </w:rPr>
        <w:t xml:space="preserve">Marvin, A. Powell, </w:t>
      </w:r>
      <w:r w:rsidRPr="00E03A40">
        <w:rPr>
          <w:i/>
          <w:noProof/>
        </w:rPr>
        <w:t>Journal of the American Oriental Society,</w:t>
      </w:r>
      <w:r w:rsidRPr="00E03A40">
        <w:rPr>
          <w:noProof/>
        </w:rPr>
        <w:t xml:space="preserve"> 115 (1995), 127-28.</w:t>
      </w:r>
      <w:bookmarkEnd w:id="13"/>
    </w:p>
    <w:p w:rsidR="00E03A40" w:rsidRPr="00E03A40" w:rsidRDefault="00E03A40" w:rsidP="00E03A40">
      <w:pPr>
        <w:pStyle w:val="EndNoteBibliography"/>
        <w:ind w:left="720" w:hanging="720"/>
        <w:rPr>
          <w:noProof/>
        </w:rPr>
      </w:pPr>
      <w:bookmarkStart w:id="14" w:name="_ENREF_8"/>
      <w:r w:rsidRPr="00E03A40">
        <w:rPr>
          <w:noProof/>
        </w:rPr>
        <w:t xml:space="preserve">Reiner, Erica, 'Astral Magic in Babylonia', </w:t>
      </w:r>
      <w:r w:rsidRPr="00E03A40">
        <w:rPr>
          <w:i/>
          <w:noProof/>
        </w:rPr>
        <w:t>Transactions of the American Philosophical Society,</w:t>
      </w:r>
      <w:r w:rsidRPr="00E03A40">
        <w:rPr>
          <w:noProof/>
        </w:rPr>
        <w:t xml:space="preserve"> 85 (1995).</w:t>
      </w:r>
      <w:bookmarkEnd w:id="14"/>
    </w:p>
    <w:p w:rsidR="00E03A40" w:rsidRPr="00E03A40" w:rsidRDefault="00E03A40" w:rsidP="00E03A40">
      <w:pPr>
        <w:pStyle w:val="EndNoteBibliography"/>
        <w:ind w:left="720" w:hanging="720"/>
        <w:rPr>
          <w:noProof/>
        </w:rPr>
      </w:pPr>
      <w:bookmarkStart w:id="15" w:name="_ENREF_9"/>
      <w:r w:rsidRPr="00E03A40">
        <w:rPr>
          <w:noProof/>
        </w:rPr>
        <w:t xml:space="preserve">Rudhyar, Dane, </w:t>
      </w:r>
      <w:r w:rsidRPr="00E03A40">
        <w:rPr>
          <w:i/>
          <w:noProof/>
        </w:rPr>
        <w:t>The Moon; the Cycles and Fortunes of Life</w:t>
      </w:r>
      <w:r w:rsidRPr="00E03A40">
        <w:rPr>
          <w:noProof/>
        </w:rPr>
        <w:t xml:space="preserve"> (Philadelphia,: David McKay company, 1946).</w:t>
      </w:r>
      <w:bookmarkEnd w:id="15"/>
    </w:p>
    <w:p w:rsidR="00990F73" w:rsidRDefault="00AB1BB8" w:rsidP="00990F73">
      <w:r w:rsidRPr="00C53E85">
        <w:rPr>
          <w:rFonts w:asciiTheme="minorHAnsi" w:hAnsiTheme="minorHAnsi" w:cstheme="minorHAnsi"/>
          <w:bCs/>
        </w:rPr>
        <w:lastRenderedPageBreak/>
        <w:fldChar w:fldCharType="end"/>
      </w:r>
      <w:r w:rsidR="00990F73" w:rsidRPr="00990F73">
        <w:t xml:space="preserve"> </w:t>
      </w:r>
    </w:p>
    <w:p w:rsidR="00D56932" w:rsidRPr="00832BB5" w:rsidRDefault="00D56932" w:rsidP="00AB1BB8">
      <w:pPr>
        <w:pStyle w:val="Heading1"/>
        <w:rPr>
          <w:rFonts w:asciiTheme="minorHAnsi" w:hAnsiTheme="minorHAnsi" w:cstheme="minorHAnsi"/>
          <w:bCs/>
          <w:sz w:val="22"/>
          <w:szCs w:val="22"/>
        </w:rPr>
      </w:pPr>
    </w:p>
    <w:sectPr w:rsidR="00D56932" w:rsidRPr="00832BB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57B6" w:rsidRDefault="00ED57B6" w:rsidP="00305F8B">
      <w:r>
        <w:separator/>
      </w:r>
    </w:p>
  </w:endnote>
  <w:endnote w:type="continuationSeparator" w:id="0">
    <w:p w:rsidR="00ED57B6" w:rsidRDefault="00ED57B6" w:rsidP="00305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57B6" w:rsidRDefault="00ED57B6" w:rsidP="00305F8B">
      <w:r>
        <w:separator/>
      </w:r>
    </w:p>
  </w:footnote>
  <w:footnote w:type="continuationSeparator" w:id="0">
    <w:p w:rsidR="00ED57B6" w:rsidRDefault="00ED57B6" w:rsidP="00305F8B">
      <w:r>
        <w:continuationSeparator/>
      </w:r>
    </w:p>
  </w:footnote>
  <w:footnote w:id="1">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&lt;EndNote&gt;&lt;Cite&gt;&lt;Author&gt;Hunger&lt;/Author&gt;&lt;Year&gt;1992&lt;/Year&gt;&lt;RecNum&gt;241&lt;/RecNum&gt;&lt;Suffix&gt; &amp;apos;Moonology&amp;apos;. Kindle Book.&lt;/Suffix&gt;&lt;Pages&gt;21/213&lt;/Pages&gt;&lt;DisplayText&gt;Hermann Hunger, &lt;style face="italic"&gt;Astrological Reports to Assyrian Kings&lt;/style&gt;,  (Helsinki, Finland: Helsinki University Press, 1992), p. 21/213. &amp;apos;Moonology&amp;apos;. Kindle Book.&lt;/DisplayText&gt;&lt;record&gt;&lt;rec-number&gt;241&lt;/rec-number&gt;&lt;foreign-keys&gt;&lt;key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Pr>
          <w:noProof/>
        </w:rPr>
        <w:t xml:space="preserve">Hermann Hunger, </w:t>
      </w:r>
      <w:r w:rsidRPr="00FE1500">
        <w:rPr>
          <w:i/>
          <w:noProof/>
        </w:rPr>
        <w:t>Astrological Reports to Assyrian Kings</w:t>
      </w:r>
      <w:r>
        <w:rPr>
          <w:noProof/>
        </w:rPr>
        <w:t>,  (Helsinki, Finland: Helsinki University Press, 1992), p. 21/213. 'Moonology'. Kindle Book.</w:t>
      </w:r>
      <w:r>
        <w:fldChar w:fldCharType="end"/>
      </w:r>
    </w:p>
  </w:footnote>
  <w:footnote w:id="2">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&lt;EndNote&gt;&lt;Cite&gt;&lt;Author&gt;Rudhyar&lt;/Author&gt;&lt;Year&gt;1946&lt;/Year&gt;&lt;RecNum&gt;244&lt;/RecNum&gt;&lt;DisplayText&gt;Dane Rudhyar, &lt;style face="italic"&gt;The Moon; the Cycles and Fortunes of Life&lt;/style&gt;,  (Philadelphia,: David McKay company, 1946).&lt;/DisplayText&gt;&lt;record&gt;&lt;rec-number&gt;244&lt;/rec-number&gt;&lt;foreign-keys&gt;&lt;key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 xml:space="preserve">Dane Rudhyar, </w:t>
      </w:r>
      <w:r w:rsidRPr="00D91236">
        <w:rPr>
          <w:i/>
          <w:noProof/>
        </w:rPr>
        <w:t>The Moon; the Cycles and Fortunes of Life</w:t>
      </w:r>
      <w:r>
        <w:rPr>
          <w:noProof/>
        </w:rPr>
        <w:t>,  (Philadelphia,: David McKay company, 1946).</w:t>
      </w:r>
      <w:r>
        <w:fldChar w:fldCharType="end"/>
      </w:r>
      <w:r>
        <w:t>;</w:t>
      </w:r>
      <w:r>
        <w:fldChar w:fldCharType="begin"/>
      </w:r>
      <w:r>
        <w:instrText xml:space="preserve"> ADDIN EN.CITE &lt;EndNote&gt;&lt;Cite&gt;&lt;Author&gt;Boland&lt;/Author&gt;&lt;Year&gt;2016&lt;/Year&gt;&lt;RecNum&gt;245&lt;/RecNum&gt;&lt;DisplayText&gt;Yasmin Boland, &amp;apos;Moonology : Working with the Magic of Lunar Cycles&amp;apos;&lt;style face="italic"&gt;, &lt;/style&gt;(Carlsbad, California: Hay House, 2016).&lt;/DisplayText&gt;&lt;record&gt;&lt;rec-number&gt;245&lt;/rec-number&gt;&lt;foreign-keys&gt;&lt;key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Yasmin Boland, 'Moonology : Working with the Magic of Lunar Cycles'</w:t>
      </w:r>
      <w:r w:rsidRPr="00D91236">
        <w:rPr>
          <w:i/>
          <w:noProof/>
        </w:rPr>
        <w:t xml:space="preserve">, </w:t>
      </w:r>
      <w:r>
        <w:rPr>
          <w:noProof/>
        </w:rPr>
        <w:t>(Carlsbad, California: Hay House, 2016).</w:t>
      </w:r>
      <w:r>
        <w:fldChar w:fldCharType="end"/>
      </w:r>
    </w:p>
  </w:footnote>
  <w:footnote w:id="3">
    <w:p w:rsidR="00832BB5" w:rsidRPr="008E6B07" w:rsidRDefault="00832BB5" w:rsidP="00AB1BB8">
      <w:pPr>
        <w:pStyle w:val="FootnoteText"/>
        <w:rPr>
          <w:u w:val="single"/>
        </w:rPr>
      </w:pPr>
      <w:r>
        <w:rPr>
          <w:rStyle w:val="FootnoteReference"/>
        </w:rPr>
        <w:footnoteRef/>
      </w:r>
      <w:r>
        <w:t xml:space="preserve"> Available Electronically at &lt;&lt;</w:t>
      </w:r>
      <w:hyperlink r:id="rId1" w:history="1">
        <w:r w:rsidRPr="00DC00D5">
          <w:rPr>
            <w:rStyle w:val="Hyperlink"/>
          </w:rPr>
          <w:t>http://oracc.museum.upenn.edu/saao/saa08/pager</w:t>
        </w:r>
      </w:hyperlink>
      <w:r>
        <w:t>&gt;&gt; [Date Accessed:24/02/2020]</w:t>
      </w:r>
    </w:p>
  </w:footnote>
  <w:footnote w:id="4">
    <w:p w:rsidR="00DB3EE0" w:rsidRDefault="00DB3EE0">
      <w:pPr>
        <w:pStyle w:val="FootnoteText"/>
      </w:pPr>
      <w:r>
        <w:rPr>
          <w:rStyle w:val="FootnoteReference"/>
        </w:rPr>
        <w:footnoteRef/>
      </w:r>
      <w:r>
        <w:t xml:space="preserve"> </w:t>
      </w:r>
      <w:r>
        <w:fldChar w:fldCharType="begin"/>
      </w:r>
      <w:r>
        <w:instrText xml:space="preserve"> ADDIN EN.CITE &lt;EndNote&gt;&lt;Cite&gt;&lt;Author&gt;Campion&lt;/Author&gt;&lt;Year&gt;2009&lt;/Year&gt;&lt;RecNum&gt;249&lt;/RecNum&gt;&lt;Pages&gt;241&lt;/Pages&gt;&lt;DisplayText&gt;Nicholas Campion, &lt;style face="italic"&gt;History of Western Astrology. Volume Ii, the Medieval and Modern Worlds&lt;/style&gt;,  (London ; New York: Continuum, 2009), p. 241.&lt;/DisplayText&gt;&lt;record&gt;&lt;rec-number&gt;249&lt;/rec-number&gt;&lt;foreign-keys&gt;&lt;key app="EN" db-id="s5pe520dttp5a0e09pvvr2xx2vvfr2xszett" timestamp="1582487074"&gt;249&lt;/key&gt;&lt;/foreign-keys&gt;&lt;ref-type name="Book"&gt;6&lt;/ref-type&gt;&lt;contributors&gt;&lt;authors&gt;&lt;author&gt;Campion, Nicholas&lt;/author&gt;&lt;/authors&gt;&lt;/contributors&gt;&lt;titles&gt;&lt;title&gt;History of western astrology. Volume II, The medieval and modern worlds&lt;/title&gt;&lt;/titles&gt;&lt;keywords&gt;&lt;keyword&gt;Astrology History.&lt;/keyword&gt;&lt;/keywords&gt;&lt;dates&gt;&lt;year&gt;2009&lt;/year&gt;&lt;/dates&gt;&lt;pub-location&gt;London ; New York&lt;/pub-location&gt;&lt;publisher&gt;Continuum&lt;/publisher&gt;&lt;isbn&gt;9781847252241 (hbk.)&amp;#xD;1847252249 (hbk.)&amp;#xD;1441181296 (pbk.)&amp;#xD;9781441181299 (pbk.)&lt;/isbn&gt;&lt;accession-num&gt;15879057&lt;/accession-num&gt;&lt;call-num&gt;BF1671 .C37 2009&lt;/call-num&gt;&lt;urls&gt;&lt;/urls&gt;&lt;/record&gt;&lt;/Cite&gt;&lt;/EndNote&gt;</w:instrText>
      </w:r>
      <w:r>
        <w:fldChar w:fldCharType="separate"/>
      </w:r>
      <w:r>
        <w:rPr>
          <w:noProof/>
        </w:rPr>
        <w:t xml:space="preserve">Nicholas Campion, </w:t>
      </w:r>
      <w:r w:rsidRPr="00DB3EE0">
        <w:rPr>
          <w:i/>
          <w:noProof/>
        </w:rPr>
        <w:t>History of Western Astrology. Volume Ii, the Medieval and Modern Worlds</w:t>
      </w:r>
      <w:r>
        <w:rPr>
          <w:noProof/>
        </w:rPr>
        <w:t>,  (London ; New York: Continuum, 2009), p. 241.</w:t>
      </w:r>
      <w:r>
        <w:fldChar w:fldCharType="end"/>
      </w:r>
      <w:r>
        <w:t>; &lt;</w:t>
      </w:r>
      <w:r>
        <w:t>&lt;</w:t>
      </w:r>
      <w:hyperlink r:id="rId2" w:history="1">
        <w:r w:rsidRPr="00BD0111">
          <w:rPr>
            <w:rStyle w:val="Hyperlink"/>
          </w:rPr>
          <w:t>https://www.hayhouse.com/authorbio/yasmin-boland</w:t>
        </w:r>
      </w:hyperlink>
      <w:r>
        <w:t>&gt;</w:t>
      </w:r>
      <w:proofErr w:type="gramStart"/>
      <w:r>
        <w:t>&gt;[</w:t>
      </w:r>
      <w:proofErr w:type="gramEnd"/>
      <w:r>
        <w:t>Date Accessed:24/02/2020]</w:t>
      </w:r>
    </w:p>
  </w:footnote>
  <w:footnote w:id="5">
    <w:p w:rsidR="00DB3EE0" w:rsidRDefault="00DB3EE0">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&lt;EndNote&gt;&lt;Cite&gt;&lt;Author&gt;Rudhyar&lt;/Author&gt;&lt;Year&gt;1946&lt;/Year&gt;&lt;RecNum&gt;244&lt;/RecNum&gt;&lt;Pages&gt;14 -24&lt;/Pages&gt;&lt;DisplayText&gt;Rudhyar, pp. 14 -24.&lt;/DisplayText&gt;&lt;record&gt;&lt;rec-number&gt;244&lt;/rec-number&gt;&lt;foreign-keys&gt;&lt;key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pp. 14 -24.</w:t>
      </w:r>
      <w:r>
        <w:fldChar w:fldCharType="end"/>
      </w:r>
      <w:r>
        <w:t xml:space="preserve"> Rudhyar treats the phenomena and spiritual significance of the cycle in most depth.</w:t>
      </w:r>
    </w:p>
  </w:footnote>
  <w:footnote w:id="6">
    <w:p w:rsidR="00DE68A3" w:rsidRDefault="00DE68A3">
      <w:pPr>
        <w:pStyle w:val="FootnoteText"/>
      </w:pPr>
      <w:r>
        <w:rPr>
          <w:rStyle w:val="FootnoteReference"/>
        </w:rPr>
        <w:footnoteRef/>
      </w:r>
      <w:r>
        <w:t xml:space="preserve"> </w:t>
      </w:r>
      <w:r w:rsidR="008818E0">
        <w:fldChar w:fldCharType="begin"/>
      </w:r>
      <w:r w:rsidR="008818E0">
        <w:instrText xml:space="preserve"> ADDIN EN.CITE &lt;EndNote&gt;&lt;Cite&gt;&lt;Author&gt;Marvin&lt;/Author&gt;&lt;Year&gt;1995&lt;/Year&gt;&lt;RecNum&gt;250&lt;/RecNum&gt;&lt;Pages&gt;128&lt;/Pages&gt;&lt;DisplayText&gt;A. Powell Marvin, &lt;style face="italic"&gt;Journal of the American Oriental Society, &lt;/style&gt;115 (1995), 128.&lt;/DisplayText&gt;&lt;record&gt;&lt;rec-number&gt;250&lt;/rec-number&gt;&lt;foreign-keys&gt;&lt;key app="EN" db-id="s5pe520dttp5a0e09pvvr2xx2vvfr2xszett" timestamp="1582574242"&gt;250&lt;/key&gt;&lt;/foreign-keys&gt;&lt;ref-type name="Journal Article"&gt;17&lt;/ref-type&gt;&lt;contributors&gt;&lt;authors&gt;&lt;author&gt;Marvin, A. Powell&lt;/author&gt;&lt;/authors&gt;&lt;secondary-authors&gt;&lt;author&gt;Hermann, Hunger&lt;/author&gt;&lt;/secondary-authors&gt;&lt;/contributors&gt;&lt;titles&gt;&lt;secondary-title&gt;Journal of the American Oriental Society&lt;/secondary-title&gt;&lt;/titles&gt;&lt;periodical&gt;&lt;full-title&gt;Journal of the American Oriental Society&lt;/full-title&gt;&lt;/periodical&gt;&lt;pages&gt;127-128&lt;/pages&gt;&lt;volume&gt;115&lt;/volume&gt;&lt;number&gt;1&lt;/number&gt;&lt;dates&gt;&lt;year&gt;1995&lt;/year&gt;&lt;/dates&gt;&lt;publisher&gt;American Oriental Society&lt;/publisher&gt;&lt;isbn&gt;00030279&lt;/isbn&gt;&lt;reviewed-item&gt;Astrological Reports to Assyrian Kings, Hermann Hunger&lt;/reviewed-item&gt;&lt;urls&gt;&lt;related-urls&gt;&lt;url&gt;www.jstor.org/stable/605328&lt;/url&gt;&lt;/related-urls&gt;&lt;/urls&gt;&lt;custom1&gt;Full publication date: Jan. - Mar., 1995&lt;/custom1&gt;&lt;electronic-resource-num&gt;10.2307/605328&lt;/electronic-resource-num&gt;&lt;remote-database-name&gt;JSTOR&lt;/remote-database-name&gt;&lt;/record&gt;&lt;/Cite&gt;&lt;/EndNote&gt;</w:instrText>
      </w:r>
      <w:r w:rsidR="008818E0">
        <w:fldChar w:fldCharType="separate"/>
      </w:r>
      <w:r w:rsidR="008818E0">
        <w:rPr>
          <w:noProof/>
        </w:rPr>
        <w:t xml:space="preserve">A. Powell Marvin, </w:t>
      </w:r>
      <w:r w:rsidR="008818E0" w:rsidRPr="008818E0">
        <w:rPr>
          <w:i/>
          <w:noProof/>
        </w:rPr>
        <w:t xml:space="preserve">Journal of the American Oriental Society, </w:t>
      </w:r>
      <w:r w:rsidR="008818E0">
        <w:rPr>
          <w:noProof/>
        </w:rPr>
        <w:t>115 (1995), 128.</w:t>
      </w:r>
      <w:r w:rsidR="008818E0">
        <w:fldChar w:fldCharType="end"/>
      </w:r>
    </w:p>
  </w:footnote>
  <w:footnote w:id="7">
    <w:p w:rsidR="00832BB5" w:rsidRDefault="00832BB5" w:rsidP="00AB1BB8">
      <w:pPr>
        <w:pStyle w:val="FootnoteText"/>
      </w:pPr>
      <w:r>
        <w:rPr>
          <w:rStyle w:val="FootnoteReference"/>
        </w:rPr>
        <w:footnoteRef/>
      </w:r>
      <w:r>
        <w:t xml:space="preserve"> </w:t>
      </w:r>
    </w:p>
  </w:footnote>
  <w:footnote w:id="8">
    <w:p w:rsidR="00832BB5" w:rsidRDefault="00832BB5" w:rsidP="00AB1BB8">
      <w:pPr>
        <w:pStyle w:val="FootnoteText"/>
      </w:pPr>
      <w:r>
        <w:rPr>
          <w:rStyle w:val="FootnoteReference"/>
        </w:rPr>
        <w:footnoteRef/>
      </w:r>
      <w:r>
        <w:t xml:space="preserve"> </w:t>
      </w:r>
      <w:r>
        <w:fldChar w:fldCharType="begin"/>
      </w:r>
      <w:r w:rsidR="00E051D0">
        <w:instrText xml:space="preserve"> ADDIN EN.CITE &lt;EndNote&gt;&lt;Cite&gt;&lt;Author&gt;Hunger&lt;/Author&gt;&lt;Year&gt;1992&lt;/Year&gt;&lt;RecNum&gt;241&lt;/RecNum&gt;&lt;Suffix&gt;&amp;apos;Astrological Reports&amp;apos;.&lt;/Suffix&gt;&lt;Pages&gt;SAA 08 065`,1`; SAA 08 395`, 1&lt;/Pages&gt;&lt;DisplayText&gt;Hunger, pp. SAA 08 065,1; SAA 08 395, 1.&amp;apos;Astrological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sidR="00E051D0">
        <w:rPr>
          <w:noProof/>
        </w:rPr>
        <w:t>Hunger, pp. SAA 08 065,1; SAA 08 395, 1.'Astrological Reports'.</w:t>
      </w:r>
      <w:r>
        <w:fldChar w:fldCharType="end"/>
      </w:r>
    </w:p>
  </w:footnote>
  <w:footnote w:id="9">
    <w:p w:rsidR="00832BB5" w:rsidRDefault="00832BB5" w:rsidP="00AB1BB8">
      <w:pPr>
        <w:pStyle w:val="FootnoteText"/>
      </w:pPr>
      <w:r>
        <w:rPr>
          <w:rStyle w:val="FootnoteReference"/>
        </w:rPr>
        <w:footnoteRef/>
      </w:r>
      <w:r>
        <w:t xml:space="preserve"> </w:t>
      </w:r>
      <w:r>
        <w:fldChar w:fldCharType="begin"/>
      </w:r>
      <w:r w:rsidR="00E051D0">
        <w:instrText xml:space="preserve"> ADDIN EN.CITE &lt;EndNote&gt;&lt;Cite&gt;&lt;Author&gt;Hunger&lt;/Author&gt;&lt;Year&gt;1992&lt;/Year&gt;&lt;RecNum&gt;241&lt;/RecNum&gt;&lt;Suffix&gt; &amp;apos;Astrological Reports&amp;apos;.&lt;/Suffix&gt;&lt;Pages&gt;SAA 08 395`,1`,6`; SAA 08 109`, 2&lt;/Pages&gt;&lt;DisplayText&gt;Hunger, pp. SAA 08 395,1,6; SAA 08 109, 2.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sidR="00E051D0">
        <w:rPr>
          <w:noProof/>
        </w:rPr>
        <w:t>Hunger, pp. SAA 08 395,1,6; SAA 08 109, 2. 'Astrological Reports'.</w:t>
      </w:r>
      <w:r>
        <w:fldChar w:fldCharType="end"/>
      </w:r>
    </w:p>
  </w:footnote>
  <w:footnote w:id="10">
    <w:p w:rsidR="00832BB5" w:rsidRDefault="00832BB5" w:rsidP="00AB1BB8">
      <w:pPr>
        <w:pStyle w:val="FootnoteText"/>
      </w:pPr>
      <w:r>
        <w:rPr>
          <w:rStyle w:val="FootnoteReference"/>
        </w:rPr>
        <w:footnoteRef/>
      </w:r>
      <w:r>
        <w:t xml:space="preserve"> </w:t>
      </w:r>
      <w:r>
        <w:fldChar w:fldCharType="begin"/>
      </w:r>
      <w:r>
        <w:instrText xml:space="preserve"> ADDIN EN.CITE &lt;EndNote&gt;&lt;Cite AuthorYear="1"&gt;&lt;Author&gt;Rudhyar&lt;/Author&gt;&lt;Year&gt;1946&lt;/Year&gt;&lt;RecNum&gt;244&lt;/RecNum&gt;&lt;Suffix&gt; &amp;apos;The Moon&amp;apos;.&lt;/Suffix&gt;&lt;Pages&gt;21&lt;/Pages&gt;&lt;DisplayText&gt;Rudhyar, p. 21.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 21. 'The Moon'.</w:t>
      </w:r>
      <w:r>
        <w:fldChar w:fldCharType="end"/>
      </w:r>
      <w:r>
        <w:t>.</w:t>
      </w:r>
    </w:p>
  </w:footnote>
  <w:footnote w:id="11">
    <w:p w:rsidR="00832BB5" w:rsidRDefault="00832BB5" w:rsidP="00AB1BB8">
      <w:pPr>
        <w:pStyle w:val="FootnoteText"/>
      </w:pPr>
      <w:r>
        <w:rPr>
          <w:rStyle w:val="FootnoteReference"/>
        </w:rPr>
        <w:footnoteRef/>
      </w:r>
      <w:r>
        <w:t xml:space="preserve"> </w:t>
      </w:r>
      <w:r>
        <w:fldChar w:fldCharType="begin"/>
      </w:r>
      <w:r w:rsidR="00E051D0">
        <w:instrText xml:space="preserve"> ADDIN EN.CITE &lt;EndNote&gt;&lt;Cite&gt;&lt;Author&gt;Rudhyar&lt;/Author&gt;&lt;Year&gt;1946&lt;/Year&gt;&lt;RecNum&gt;244&lt;/RecNum&gt;&lt;Suffix&gt;&amp;apos;The Moon&amp;apos;.&lt;/Suffix&gt;&lt;Pages&gt;21&lt;/Pages&gt;&lt;DisplayText&gt;Rudhyar, p. 21.&amp;apos;The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sidR="00E051D0">
        <w:rPr>
          <w:noProof/>
        </w:rPr>
        <w:t>Rudhyar, p. 21.'The Moon'.</w:t>
      </w:r>
      <w:r>
        <w:fldChar w:fldCharType="end"/>
      </w:r>
    </w:p>
  </w:footnote>
  <w:footnote w:id="12">
    <w:p w:rsidR="00E051D0" w:rsidRDefault="00E051D0">
      <w:pPr>
        <w:pStyle w:val="FootnoteText"/>
      </w:pPr>
      <w:r>
        <w:rPr>
          <w:rStyle w:val="FootnoteReference"/>
        </w:rPr>
        <w:footnoteRef/>
      </w:r>
      <w:r>
        <w:t xml:space="preserve"> </w:t>
      </w:r>
      <w:r>
        <w:fldChar w:fldCharType="begin"/>
      </w:r>
      <w:r>
        <w:instrText xml:space="preserve"> ADDIN EN.CITE &lt;EndNote&gt;&lt;Cite&gt;&lt;Author&gt;Boland&lt;/Author&gt;&lt;Year&gt;2016&lt;/Year&gt;&lt;RecNum&gt;245&lt;/RecNum&gt;&lt;Suffix&gt; &amp;apos;Moonology&amp;apos;. Kindle Book.&lt;/Suffix&gt;&lt;Pages&gt;8/213&lt;/Pages&gt;&lt;DisplayText&gt;Boland, p. 8/213. &amp;apos;Moonology&amp;apos;. Kindle Book.&lt;/DisplayText&gt;&lt;record&gt;&lt;rec-number&gt;245&lt;/rec-number&gt;&lt;foreign-keys&gt;&lt;key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 8/213. 'Moonology'. Kindle Book.</w:t>
      </w:r>
      <w:r>
        <w:fldChar w:fldCharType="end"/>
      </w:r>
    </w:p>
  </w:footnote>
  <w:footnote w:id="13">
    <w:p w:rsidR="00E051D0" w:rsidRDefault="00E051D0">
      <w:pPr>
        <w:pStyle w:val="FootnoteText"/>
      </w:pPr>
      <w:r>
        <w:rPr>
          <w:rStyle w:val="FootnoteReference"/>
        </w:rPr>
        <w:footnoteRef/>
      </w:r>
      <w:r>
        <w:t xml:space="preserve"> </w:t>
      </w:r>
      <w:r>
        <w:fldChar w:fldCharType="begin"/>
      </w:r>
      <w:r>
        <w:instrText xml:space="preserve"> ADDIN EN.CITE &lt;EndNote&gt;&lt;Cite&gt;&lt;Author&gt;Boland&lt;/Author&gt;&lt;Year&gt;2016&lt;/Year&gt;&lt;RecNum&gt;245&lt;/RecNum&gt;&lt;Suffix&gt; &amp;apos;Moonology&amp;apos;. Kindle Book.&lt;/Suffix&gt;&lt;Pages&gt;7/213&lt;/Pages&gt;&lt;DisplayText&gt;Boland, p. 7/213. &amp;apos;Moonology&amp;apos;. Kindle Book.&lt;/DisplayText&gt;&lt;record&gt;&lt;rec-number&gt;245&lt;/rec-number&gt;&lt;foreign-keys&gt;&lt;key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 7/213. 'Moonology'. Kindle Book.</w:t>
      </w:r>
      <w:r>
        <w:fldChar w:fldCharType="end"/>
      </w:r>
    </w:p>
  </w:footnote>
  <w:footnote w:id="14">
    <w:p w:rsidR="00832BB5" w:rsidRDefault="00832BB5" w:rsidP="00AB1BB8">
      <w:pPr>
        <w:pStyle w:val="FootnoteText"/>
      </w:pPr>
      <w:r>
        <w:rPr>
          <w:rStyle w:val="FootnoteReference"/>
        </w:rPr>
        <w:footnoteRef/>
      </w:r>
      <w:r>
        <w:t xml:space="preserve"> </w:t>
      </w:r>
      <w:r>
        <w:fldChar w:fldCharType="begin"/>
      </w:r>
      <w:r w:rsidR="001908F2">
        <w:instrText xml:space="preserve"> ADDIN EN.CITE &lt;EndNote&gt;&lt;Cite&gt;&lt;Author&gt;Rudhyar&lt;/Author&gt;&lt;Year&gt;1946&lt;/Year&gt;&lt;RecNum&gt;244&lt;/RecNum&gt;&lt;Suffix&gt; &amp;apos;The Moon&amp;apos;.&lt;/Suffix&gt;&lt;Pages&gt;17`, 25`, 6&lt;/Pages&gt;&lt;DisplayText&gt;Rudhyar, pp. 17, 25, 6.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sidR="001908F2">
        <w:rPr>
          <w:noProof/>
        </w:rPr>
        <w:t>Rudhyar, pp. 17, 25, 6. 'The Moon'.</w:t>
      </w:r>
      <w:r>
        <w:fldChar w:fldCharType="end"/>
      </w:r>
    </w:p>
  </w:footnote>
  <w:footnote w:id="15">
    <w:p w:rsidR="00832BB5" w:rsidRDefault="00832BB5" w:rsidP="00AB1BB8">
      <w:pPr>
        <w:pStyle w:val="FootnoteText"/>
      </w:pPr>
      <w:r>
        <w:rPr>
          <w:rStyle w:val="FootnoteReference"/>
        </w:rPr>
        <w:footnoteRef/>
      </w:r>
      <w:r>
        <w:t xml:space="preserve"> </w:t>
      </w:r>
      <w:r>
        <w:fldChar w:fldCharType="begin"/>
      </w:r>
      <w:r w:rsidR="00C53E85">
        <w:instrText xml:space="preserve"> ADDIN EN.CITE &lt;EndNote&gt;&lt;Cite&gt;&lt;Author&gt;Rudhyar&lt;/Author&gt;&lt;Year&gt;1946&lt;/Year&gt;&lt;RecNum&gt;244&lt;/RecNum&gt;&lt;Suffix&gt; &amp;apos;The Moon&amp;apos;.&lt;/Suffix&gt;&lt;Pages&gt;21&lt;/Pages&gt;&lt;DisplayText&gt;Rudhyar, p. 21.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sidR="00C53E85">
        <w:rPr>
          <w:noProof/>
        </w:rPr>
        <w:t>Rudhyar, p. 21. 'The Moon'.</w:t>
      </w:r>
      <w:r>
        <w:fldChar w:fldCharType="end"/>
      </w:r>
    </w:p>
  </w:footnote>
  <w:footnote w:id="16">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&lt;EndNote&gt;&lt;Cite&gt;&lt;Author&gt;Hunger&lt;/Author&gt;&lt;Year&gt;1992&lt;/Year&gt;&lt;RecNum&gt;241&lt;/RecNum&gt;&lt;Suffix&gt;&amp;apos;Astrological Reports&amp;apos;&lt;/Suffix&gt;&lt;Pages&gt;SAA 08 395`,1`,6`; SAA 08 109`, r 2&lt;/Pages&gt;&lt;DisplayText&gt;Hunger, pp. SAA 08 395,1,6; SAA 08 109, r 2.&amp;apos;Astrological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Pr>
          <w:noProof/>
        </w:rPr>
        <w:t>Hunger, pp. SAA 08 395,1,6; SAA 08 109, r 2.'Astrological Reports'</w:t>
      </w:r>
      <w:r>
        <w:fldChar w:fldCharType="end"/>
      </w:r>
      <w:r>
        <w:t xml:space="preserve">; </w:t>
      </w:r>
      <w:r>
        <w:fldChar w:fldCharType="begin"/>
      </w:r>
      <w:r>
        <w:instrText xml:space="preserve"> ADDIN EN.CITE &lt;EndNote&gt;&lt;Cite&gt;&lt;Author&gt;Rudhyar&lt;/Author&gt;&lt;Year&gt;1946&lt;/Year&gt;&lt;RecNum&gt;244&lt;/RecNum&gt;&lt;Suffix&gt; &amp;apos;The Moon&amp;apos;.&lt;/Suffix&gt;&lt;Pages&gt;59&lt;/Pages&gt;&lt;DisplayText&gt;Rudhyar, p. 59.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 59. 'The Moon'.</w:t>
      </w:r>
      <w:r>
        <w:fldChar w:fldCharType="end"/>
      </w:r>
    </w:p>
  </w:footnote>
  <w:footnote w:id="17">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&lt;EndNote&gt;&lt;Cite&gt;&lt;Author&gt;Boland&lt;/Author&gt;&lt;Year&gt;2016&lt;/Year&gt;&lt;RecNum&gt;245&lt;/RecNum&gt;&lt;Suffix&gt; &amp;apos;Moonology&amp;apos;. Kindle Book.&lt;/Suffix&gt;&lt;Pages&gt;21/213&lt;/Pages&gt;&lt;DisplayText&gt;Boland, p. 21/213. &amp;apos;Moonology&amp;apos;. Kindle Book.&lt;/DisplayText&gt;&lt;record&gt;&lt;rec-number&gt;245&lt;/rec-number&gt;&lt;foreign-keys&gt;&lt;key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 21/213. 'Moonology'. Kindle Book.</w:t>
      </w:r>
      <w:r>
        <w:fldChar w:fldCharType="end"/>
      </w:r>
    </w:p>
  </w:footnote>
  <w:footnote w:id="18">
    <w:p w:rsidR="00AF2782" w:rsidRDefault="00AF2782" w:rsidP="00AF2782">
      <w:pPr>
        <w:pStyle w:val="FootnoteText"/>
      </w:pPr>
      <w:r>
        <w:rPr>
          <w:rStyle w:val="FootnoteReference"/>
        </w:rPr>
        <w:footnoteRef/>
      </w:r>
      <w:r>
        <w:t xml:space="preserve"> </w:t>
      </w:r>
      <w:r w:rsidR="00E03A40">
        <w:fldChar w:fldCharType="begin"/>
      </w:r>
      <w:r w:rsidR="00E03A40">
        <w:instrText xml:space="preserve"> ADDIN EN.CITE &lt;EndNote&gt;&lt;Cite&gt;&lt;Author&gt;King&lt;/Author&gt;&lt;Year&gt;1902&lt;/Year&gt;&lt;RecNum&gt;253&lt;/RecNum&gt;&lt;DisplayText&gt;L. W. King, &lt;style face="italic"&gt;The Seven Tablets of Creation&lt;/style&gt;,  (London: Luzac and Co., 1902).&lt;/DisplayText&gt;&lt;record&gt;&lt;rec-number&gt;253&lt;/rec-number&gt;&lt;foreign-keys&gt;&lt;key app="EN" db-id="s5pe520dttp5a0e09pvvr2xx2vvfr2xszett" timestamp="1583064495"&gt;253&lt;/key&gt;&lt;/foreign-keys&gt;&lt;ref-type name="Book"&gt;6&lt;/ref-type&gt;&lt;contributors&gt;&lt;authors&gt;&lt;author&gt;King, L. W.&lt;/author&gt;&lt;/authors&gt;&lt;/contributors&gt;&lt;titles&gt;&lt;title&gt;The seven tablets of creation&lt;/title&gt;&lt;/titles&gt;&lt;volume&gt;12-13&lt;/volume&gt;&lt;keywords&gt;&lt;keyword&gt;Creation.&lt;/keyword&gt;&lt;keyword&gt;Cosmogony, Babylonian.&lt;/keyword&gt;&lt;keyword&gt;Akkadian language Texts.&lt;/keyword&gt;&lt;/keywords&gt;&lt;dates&gt;&lt;year&gt;1902&lt;/year&gt;&lt;/dates&gt;&lt;pub-location&gt;London&lt;/pub-location&gt;&lt;publisher&gt;Luzac and Co.&lt;/publisher&gt;&lt;urls&gt;&lt;/urls&gt;&lt;/record&gt;&lt;/Cite&gt;&lt;/EndNote&gt;</w:instrText>
      </w:r>
      <w:r w:rsidR="00E03A40">
        <w:fldChar w:fldCharType="separate"/>
      </w:r>
      <w:r w:rsidR="00E03A40">
        <w:rPr>
          <w:noProof/>
        </w:rPr>
        <w:t xml:space="preserve">L. W. King, </w:t>
      </w:r>
      <w:r w:rsidR="00E03A40" w:rsidRPr="00E03A40">
        <w:rPr>
          <w:i/>
          <w:noProof/>
        </w:rPr>
        <w:t>The Seven Tablets of Creation</w:t>
      </w:r>
      <w:r w:rsidR="00E03A40">
        <w:rPr>
          <w:noProof/>
        </w:rPr>
        <w:t>,  (London: Luzac and Co., 1902).</w:t>
      </w:r>
      <w:r w:rsidR="00E03A40">
        <w:fldChar w:fldCharType="end"/>
      </w:r>
      <w:r w:rsidR="00C53E85">
        <w:t>&lt;</w:t>
      </w:r>
      <w:r>
        <w:t>&lt;</w:t>
      </w:r>
      <w:hyperlink r:id="rId3" w:history="1">
        <w:r w:rsidRPr="00BD0111">
          <w:rPr>
            <w:rStyle w:val="Hyperlink"/>
          </w:rPr>
          <w:t>https://www.sacred-texts.com/ane/enuma.htm</w:t>
        </w:r>
      </w:hyperlink>
      <w:r>
        <w:t>&gt;</w:t>
      </w:r>
      <w:proofErr w:type="gramStart"/>
      <w:r>
        <w:t>&gt;[</w:t>
      </w:r>
      <w:proofErr w:type="gramEnd"/>
      <w:r>
        <w:t>Date Accessed:24/02/2020]</w:t>
      </w:r>
    </w:p>
    <w:p w:rsidR="00AF2782" w:rsidRDefault="00AF2782" w:rsidP="00AF2782">
      <w:pPr>
        <w:pStyle w:val="FootnoteText"/>
      </w:pPr>
    </w:p>
  </w:footnote>
  <w:footnote w:id="19">
    <w:p w:rsidR="00AF2782" w:rsidRDefault="00AF2782" w:rsidP="00AF2782">
      <w:pPr>
        <w:pStyle w:val="FootnoteText"/>
      </w:pPr>
      <w:r>
        <w:rPr>
          <w:rStyle w:val="FootnoteReference"/>
        </w:rPr>
        <w:footnoteRef/>
      </w:r>
      <w:r>
        <w:t xml:space="preserve"> </w:t>
      </w:r>
      <w:r>
        <w:fldChar w:fldCharType="begin"/>
      </w:r>
      <w:r>
        <w:instrText xml:space="preserve"> ADDIN EN.CITE &lt;EndNote&gt;&lt;Cite&gt;&lt;Author&gt;Hunger&lt;/Author&gt;&lt;Year&gt;1992&lt;/Year&gt;&lt;RecNum&gt;241&lt;/RecNum&gt;&lt;Suffix&gt; &amp;apos;Astrological Reports&amp;apos;.&lt;/Suffix&gt;&lt;Pages&gt;SAA 08 087`, 5&lt;/Pages&gt;&lt;DisplayText&gt;Hunger, pp. SAA 08 087, 5.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Pr>
          <w:noProof/>
        </w:rPr>
        <w:t>Hunger, pp. SAA 08 087, 5. 'Astrological Reports'.</w:t>
      </w:r>
      <w:r>
        <w:fldChar w:fldCharType="end"/>
      </w:r>
      <w:r>
        <w:t xml:space="preserve">; </w:t>
      </w:r>
      <w:r>
        <w:fldChar w:fldCharType="begin"/>
      </w:r>
      <w:r>
        <w:instrText xml:space="preserve"> ADDIN EN.CITE &lt;EndNote&gt;&lt;Cite&gt;&lt;Author&gt;Koch&lt;/Author&gt;&lt;Year&gt;1995&lt;/Year&gt;&lt;RecNum&gt;247&lt;/RecNum&gt;&lt;Pages&gt;102-103&lt;/Pages&gt;&lt;DisplayText&gt;Ulla Susanne Koch, &lt;style face="italic"&gt;Mesopotamian Astrology : An Introduction to Babylonian and Assyrian Celestial Divination&lt;/style&gt;,  (Copenhagen: Carsten Niebuhr Institute of Near Eastern Studies : Museum Tusculanum Press, University of Copenhagen, 1995), pp. 102-03.&lt;/DisplayText&gt;&lt;record&gt;&lt;rec-number&gt;247&lt;/rec-number&gt;&lt;foreign-keys&gt;&lt;key app="EN" db-id="s5pe520dttp5a0e09pvvr2xx2vvfr2xszett" timestamp="1582147115"&gt;247&lt;/key&gt;&lt;/foreign-keys&gt;&lt;ref-type name="Book"&gt;6&lt;/ref-type&gt;&lt;contributors&gt;&lt;authors&gt;&lt;author&gt;Koch, Ulla Susanne&lt;/author&gt;&lt;/authors&gt;&lt;/contributors&gt;&lt;titles&gt;&lt;title&gt;Mesopotamian astrology : an introduction to Babylonian and Assyrian celestial divination&lt;/title&gt;&lt;secondary-title&gt;CNI publications&lt;/secondary-title&gt;&lt;/titles&gt;&lt;number&gt;19&lt;/number&gt;&lt;keywords&gt;&lt;keyword&gt;Astrology, Assyro-Babylonian.&lt;/keyword&gt;&lt;keyword&gt;Civilization, Assyro-Babylonian.&lt;/keyword&gt;&lt;/keywords&gt;&lt;dates&gt;&lt;year&gt;1995&lt;/year&gt;&lt;/dates&gt;&lt;pub-location&gt;Copenhagen&lt;/pub-location&gt;&lt;publisher&gt;Carsten Niebuhr Institute of Near Eastern Studies : Museum Tusculanum Press, University of Copenhagen&lt;/publisher&gt;&lt;isbn&gt;8772892870&lt;/isbn&gt;&lt;accession-num&gt;4957877&lt;/accession-num&gt;&lt;call-num&gt;BF1714.A86 K63 1995&lt;/call-num&gt;&lt;urls&gt;&lt;/urls&gt;&lt;/record&gt;&lt;/Cite&gt;&lt;/EndNote&gt;</w:instrText>
      </w:r>
      <w:r>
        <w:fldChar w:fldCharType="separate"/>
      </w:r>
      <w:r>
        <w:rPr>
          <w:noProof/>
        </w:rPr>
        <w:t xml:space="preserve">Ulla Susanne Koch, </w:t>
      </w:r>
      <w:r w:rsidRPr="00E675F1">
        <w:rPr>
          <w:i/>
          <w:noProof/>
        </w:rPr>
        <w:t>Mesopotamian Astrology : An Introduction to Babylonian and Assyrian Celestial Divination</w:t>
      </w:r>
      <w:r>
        <w:rPr>
          <w:noProof/>
        </w:rPr>
        <w:t>,  (Copenhagen: Carsten Niebuhr Institute of Near Eastern Studies : Museum Tusculanum Press, University of Copenhagen, 1995), pp. 102-03.</w:t>
      </w:r>
      <w:r>
        <w:fldChar w:fldCharType="end"/>
      </w:r>
    </w:p>
  </w:footnote>
  <w:footnote w:id="20">
    <w:p w:rsidR="00832BB5" w:rsidRDefault="00832BB5" w:rsidP="00AB1BB8">
      <w:pPr>
        <w:pStyle w:val="FootnoteText"/>
      </w:pPr>
      <w:r>
        <w:rPr>
          <w:rStyle w:val="FootnoteReference"/>
        </w:rPr>
        <w:footnoteRef/>
      </w:r>
      <w:r>
        <w:t xml:space="preserve"> </w:t>
      </w:r>
      <w:r>
        <w:fldChar w:fldCharType="begin"/>
      </w:r>
      <w:r w:rsidR="00AF2782">
        <w:instrText xml:space="preserve"> ADDIN EN.CITE &lt;EndNote&gt;&lt;Cite&gt;&lt;Author&gt;Koch&lt;/Author&gt;&lt;Year&gt;1995&lt;/Year&gt;&lt;RecNum&gt;247&lt;/RecNum&gt;&lt;Suffix&gt; &amp;apos;Mesopotamian Astrology&amp;apos;.&lt;/Suffix&gt;&lt;Pages&gt;102&lt;/Pages&gt;&lt;DisplayText&gt;Koch, p. 102. &amp;apos;Mesopotamian Astrology&amp;apos;.&lt;/DisplayText&gt;&lt;record&gt;&lt;rec-number&gt;247&lt;/rec-number&gt;&lt;foreign-keys&gt;&lt;key app="EN" db-id="s5pe520dttp5a0e09pvvr2xx2vvfr2xszett" timestamp="1582147115"&gt;247&lt;/key&gt;&lt;/foreign-keys&gt;&lt;ref-type name="Book"&gt;6&lt;/ref-type&gt;&lt;contributors&gt;&lt;authors&gt;&lt;author&gt;Koch, Ulla Susanne&lt;/author&gt;&lt;/authors&gt;&lt;/contributors&gt;&lt;titles&gt;&lt;title&gt;Mesopotamian astrology : an introduction to Babylonian and Assyrian celestial divination&lt;/title&gt;&lt;secondary-title&gt;CNI publications&lt;/secondary-title&gt;&lt;/titles&gt;&lt;number&gt;19&lt;/number&gt;&lt;keywords&gt;&lt;keyword&gt;Astrology, Assyro-Babylonian.&lt;/keyword&gt;&lt;keyword&gt;Civilization, Assyro-Babylonian.&lt;/keyword&gt;&lt;/keywords&gt;&lt;dates&gt;&lt;year&gt;1995&lt;/year&gt;&lt;/dates&gt;&lt;pub-location&gt;Copenhagen&lt;/pub-location&gt;&lt;publisher&gt;Carsten Niebuhr Institute of Near Eastern Studies : Museum Tusculanum Press, University of Copenhagen&lt;/publisher&gt;&lt;isbn&gt;8772892870&lt;/isbn&gt;&lt;accession-num&gt;4957877&lt;/accession-num&gt;&lt;call-num&gt;BF1714.A86 K63 1995&lt;/call-num&gt;&lt;urls&gt;&lt;/urls&gt;&lt;/record&gt;&lt;/Cite&gt;&lt;/EndNote&gt;</w:instrText>
      </w:r>
      <w:r>
        <w:fldChar w:fldCharType="separate"/>
      </w:r>
      <w:r w:rsidR="00AF2782">
        <w:rPr>
          <w:noProof/>
        </w:rPr>
        <w:t>Koch, p. 102. 'Mesopotamian Astrology'.</w:t>
      </w:r>
      <w:r>
        <w:fldChar w:fldCharType="end"/>
      </w:r>
      <w:r>
        <w:t xml:space="preserve">; </w:t>
      </w:r>
      <w:r>
        <w:fldChar w:fldCharType="begin"/>
      </w:r>
      <w:r>
        <w:instrText xml:space="preserve"> ADDIN EN.CITE &lt;EndNote&gt;&lt;Cite&gt;&lt;Author&gt;Hunger&lt;/Author&gt;&lt;Year&gt;1992&lt;/Year&gt;&lt;RecNum&gt;241&lt;/RecNum&gt;&lt;Suffix&gt; &amp;apos;Astrological Reports&amp;apos;&lt;/Suffix&gt;&lt;Pages&gt;SAA 08 011`, 1`; SAA 08 087`, 5&lt;/Pages&gt;&lt;DisplayText&gt;Hunger, pp. SAA 08 011, 1; SAA 08 87, 5.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Pr>
          <w:noProof/>
        </w:rPr>
        <w:t>Hunger, pp. SAA 08 011, 1; SAA 08 87, 5. 'Astrological Reports'</w:t>
      </w:r>
      <w:r>
        <w:fldChar w:fldCharType="end"/>
      </w:r>
    </w:p>
  </w:footnote>
  <w:footnote w:id="21">
    <w:p w:rsidR="00F449E0" w:rsidRDefault="00F449E0" w:rsidP="00F449E0">
      <w:pPr>
        <w:pStyle w:val="FootnoteText"/>
      </w:pPr>
      <w:r>
        <w:rPr>
          <w:rStyle w:val="FootnoteReference"/>
        </w:rPr>
        <w:footnoteRef/>
      </w:r>
      <w:r>
        <w:t xml:space="preserve"> </w:t>
      </w:r>
      <w:r>
        <w:fldChar w:fldCharType="begin"/>
      </w:r>
      <w:r>
        <w:instrText xml:space="preserve"> ADDIN EN.CITE &lt;EndNote&gt;&lt;Cite&gt;&lt;Author&gt;Hunger&lt;/Author&gt;&lt;Year&gt;1992&lt;/Year&gt;&lt;RecNum&gt;241&lt;/RecNum&gt;&lt;Suffix&gt; &amp;apos;Astrological Reports&amp;apos;.&lt;/Suffix&gt;&lt;Pages&gt;SAA 08 057`, 6&lt;/Pages&gt;&lt;DisplayText&gt;Hunger, pp. SAA 08 057, 6.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Pr>
          <w:noProof/>
        </w:rPr>
        <w:t>Hunger, pp. SAA 08 057, 6. 'Astrological Reports'.</w:t>
      </w:r>
      <w:r>
        <w:fldChar w:fldCharType="end"/>
      </w:r>
    </w:p>
  </w:footnote>
  <w:footnote w:id="22">
    <w:p w:rsidR="00832BB5" w:rsidRDefault="00832BB5" w:rsidP="008818E0">
      <w:pPr>
        <w:pStyle w:val="FootnoteText"/>
      </w:pPr>
      <w:r>
        <w:rPr>
          <w:rStyle w:val="FootnoteReference"/>
        </w:rPr>
        <w:footnoteRef/>
      </w:r>
      <w:r>
        <w:t xml:space="preserve"> </w:t>
      </w:r>
      <w:r>
        <w:fldChar w:fldCharType="begin"/>
      </w:r>
      <w:r>
        <w:instrText xml:space="preserve"> ADDIN EN.CITE &lt;EndNote&gt;&lt;Cite&gt;&lt;Author&gt;Campion&lt;/Author&gt;&lt;Year&gt;2008&lt;/Year&gt;&lt;RecNum&gt;248&lt;/RecNum&gt;&lt;Pages&gt;45&lt;/Pages&gt;&lt;DisplayText&gt;Nicholas Campion, &lt;style face="italic"&gt;The Dawn of Astrology : A Cultural History of Western Astrology&lt;/style&gt;,  (London ; New York: Continuum, 2008), p. 45.&lt;/DisplayText&gt;&lt;record&gt;&lt;rec-number&gt;248&lt;/rec-number&gt;&lt;foreign-keys&gt;&lt;key app="EN" db-id="s5pe520dttp5a0e09pvvr2xx2vvfr2xszett" timestamp="1582487074"&gt;248&lt;/key&gt;&lt;/foreign-keys&gt;&lt;ref-type name="Book"&gt;6&lt;/ref-type&gt;&lt;contributors&gt;&lt;authors&gt;&lt;author&gt;Campion, Nicholas&lt;/author&gt;&lt;/authors&gt;&lt;/contributors&gt;&lt;titles&gt;&lt;title&gt;The dawn of astrology : a cultural history of Western astrology&lt;/title&gt;&lt;/titles&gt;&lt;keywords&gt;&lt;keyword&gt;Astrology History.&lt;/keyword&gt;&lt;/keywords&gt;&lt;dates&gt;&lt;year&gt;2008&lt;/year&gt;&lt;/dates&gt;&lt;pub-location&gt;London ; New York&lt;/pub-location&gt;&lt;publisher&gt;Continuum&lt;/publisher&gt;&lt;isbn&gt;9781847252142 (v. 1 hbk)&amp;#xD;1847252141 (v. 1 hbk)&lt;/isbn&gt;&lt;accession-num&gt;15388811&lt;/accession-num&gt;&lt;call-num&gt;BF1671 .C36 2008&lt;/call-num&gt;&lt;urls&gt;&lt;/urls&gt;&lt;/record&gt;&lt;/Cite&gt;&lt;/EndNote&gt;</w:instrText>
      </w:r>
      <w:r>
        <w:fldChar w:fldCharType="separate"/>
      </w:r>
      <w:r>
        <w:rPr>
          <w:noProof/>
        </w:rPr>
        <w:t xml:space="preserve">Nicholas Campion, </w:t>
      </w:r>
      <w:r w:rsidRPr="00F47CF0">
        <w:rPr>
          <w:i/>
          <w:noProof/>
        </w:rPr>
        <w:t>The Dawn of Astrology : A Cultural History of Western Astrology</w:t>
      </w:r>
      <w:r>
        <w:rPr>
          <w:noProof/>
        </w:rPr>
        <w:t>,  (London ; New York: Continuum, 2008), p. 45.</w:t>
      </w:r>
      <w:r>
        <w:fldChar w:fldCharType="end"/>
      </w:r>
      <w:r>
        <w:t xml:space="preserve">; </w:t>
      </w:r>
      <w:proofErr w:type="spellStart"/>
      <w:proofErr w:type="gramStart"/>
      <w:r w:rsidR="008818E0">
        <w:t>Eg.</w:t>
      </w:r>
      <w:proofErr w:type="spellEnd"/>
      <w:r>
        <w:t>.</w:t>
      </w:r>
      <w:proofErr w:type="gramEnd"/>
      <w:r>
        <w:t xml:space="preserve"> The ‘</w:t>
      </w:r>
      <w:proofErr w:type="spellStart"/>
      <w:r>
        <w:t>Akitu</w:t>
      </w:r>
      <w:proofErr w:type="spellEnd"/>
      <w:r>
        <w:t xml:space="preserve">’ festival. The </w:t>
      </w:r>
      <w:proofErr w:type="spellStart"/>
      <w:r>
        <w:t>Akitu</w:t>
      </w:r>
      <w:proofErr w:type="spellEnd"/>
      <w:r>
        <w:t xml:space="preserve"> </w:t>
      </w:r>
      <w:r w:rsidR="008818E0">
        <w:t xml:space="preserve">house </w:t>
      </w:r>
      <w:r>
        <w:t>is frequently</w:t>
      </w:r>
      <w:r w:rsidR="008818E0">
        <w:t xml:space="preserve"> mentioned</w:t>
      </w:r>
      <w:r>
        <w:t xml:space="preserve"> in the Hunger texts.</w:t>
      </w:r>
    </w:p>
  </w:footnote>
  <w:footnote w:id="23">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&lt;EndNote&gt;&lt;Cite&gt;&lt;Author&gt;Rudhyar&lt;/Author&gt;&lt;Year&gt;1946&lt;/Year&gt;&lt;RecNum&gt;244&lt;/RecNum&gt;&lt;Suffix&gt; &amp;apos;The Moon&amp;apos;.&lt;/Suffix&gt;&lt;Pages&gt;4&lt;/Pages&gt;&lt;DisplayText&gt;Rudhyar, p. 4.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 4. 'The Moon'.</w:t>
      </w:r>
      <w:r>
        <w:fldChar w:fldCharType="end"/>
      </w:r>
    </w:p>
  </w:footnote>
  <w:footnote w:id="24">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&lt;EndNote&gt;&lt;Cite&gt;&lt;Author&gt;Boland&lt;/Author&gt;&lt;Year&gt;2016&lt;/Year&gt;&lt;RecNum&gt;245&lt;/RecNum&gt;&lt;Suffix&gt; &amp;apos;Moonology&amp;apos;. Kindle Book.&lt;/Suffix&gt;&lt;Pages&gt;p.1`; 78/213&lt;/Pages&gt;&lt;DisplayText&gt;Boland, p. p.1; 78/213. &amp;apos;Moonology&amp;apos;. Kindle Book.&lt;/DisplayText&gt;&lt;record&gt;&lt;rec-number&gt;245&lt;/rec-number&gt;&lt;foreign-keys&gt;&lt;key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 p.1; 78/213. 'Moonology'. Kindle Book.</w:t>
      </w:r>
      <w:r>
        <w:fldChar w:fldCharType="end"/>
      </w:r>
    </w:p>
  </w:footnote>
  <w:footnote w:id="25">
    <w:p w:rsidR="00435830" w:rsidRDefault="00435830">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&lt;EndNote&gt;&lt;Cite&gt;&lt;Author&gt;Rudhyar&lt;/Author&gt;&lt;Year&gt;1946&lt;/Year&gt;&lt;RecNum&gt;244&lt;/RecNum&gt;&lt;Suffix&gt; &amp;apos;The Moon&amp;apos;.&lt;/Suffix&gt;&lt;Pages&gt;3-5&lt;/Pages&gt;&lt;DisplayText&gt;Rudhyar, pp. 3-5.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pp. 3-5. 'The Moon'.</w:t>
      </w:r>
      <w:r>
        <w:fldChar w:fldCharType="end"/>
      </w:r>
    </w:p>
  </w:footnote>
  <w:footnote w:id="26">
    <w:p w:rsidR="00C149AA" w:rsidRDefault="00C149AA">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&lt;EndNote&gt;&lt;Cite&gt;&lt;Author&gt;Rudhyar&lt;/Author&gt;&lt;Year&gt;1946&lt;/Year&gt;&lt;RecNum&gt;244&lt;/RecNum&gt;&lt;Suffix&gt; &amp;apos;The Moon&amp;apos;.&lt;/Suffix&gt;&lt;Pages&gt;6&lt;/Pages&gt;&lt;DisplayText&gt;Rudhyar, p. 6.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 6. 'The Moon'.</w:t>
      </w:r>
      <w:r>
        <w:fldChar w:fldCharType="end"/>
      </w:r>
    </w:p>
  </w:footnote>
  <w:footnote w:id="27">
    <w:p w:rsidR="00832BB5" w:rsidRDefault="00832BB5" w:rsidP="00AB1BB8">
      <w:pPr>
        <w:pStyle w:val="FootnoteText"/>
      </w:pPr>
      <w:r>
        <w:rPr>
          <w:rStyle w:val="FootnoteReference"/>
        </w:rPr>
        <w:footnoteRef/>
      </w:r>
      <w:r>
        <w:t xml:space="preserve"> </w:t>
      </w:r>
      <w:r>
        <w:fldChar w:fldCharType="begin"/>
      </w:r>
      <w:r w:rsidR="008818E0">
        <w:instrText xml:space="preserve"> ADDIN EN.CITE &lt;EndNote&gt;&lt;Cite&gt;&lt;Author&gt;Marvin&lt;/Author&gt;&lt;Year&gt;1995&lt;/Year&gt;&lt;RecNum&gt;250&lt;/RecNum&gt;&lt;Pages&gt;128&lt;/Pages&gt;&lt;DisplayText&gt;Marvin, p. 128.&lt;/DisplayText&gt;&lt;record&gt;&lt;rec-number&gt;250&lt;/rec-number&gt;&lt;foreign-keys&gt;&lt;key app="EN" db-id="s5pe520dttp5a0e09pvvr2xx2vvfr2xszett" timestamp="1582574242"&gt;250&lt;/key&gt;&lt;/foreign-keys&gt;&lt;ref-type name="Journal Article"&gt;17&lt;/ref-type&gt;&lt;contributors&gt;&lt;authors&gt;&lt;author&gt;Marvin, A. Powell&lt;/author&gt;&lt;/authors&gt;&lt;secondary-authors&gt;&lt;author&gt;Hermann, Hunger&lt;/author&gt;&lt;/secondary-authors&gt;&lt;/contributors&gt;&lt;titles&gt;&lt;secondary-title&gt;Journal of the American Oriental Society&lt;/secondary-title&gt;&lt;/titles&gt;&lt;periodical&gt;&lt;full-title&gt;Journal of the American Oriental Society&lt;/full-title&gt;&lt;/periodical&gt;&lt;pages&gt;127-128&lt;/pages&gt;&lt;volume&gt;115&lt;/volume&gt;&lt;number&gt;1&lt;/number&gt;&lt;dates&gt;&lt;year&gt;1995&lt;/year&gt;&lt;/dates&gt;&lt;publisher&gt;American Oriental Society&lt;/publisher&gt;&lt;isbn&gt;00030279&lt;/isbn&gt;&lt;reviewed-item&gt;Astrological Reports to Assyrian Kings, Hermann Hunger&lt;/reviewed-item&gt;&lt;urls&gt;&lt;related-urls&gt;&lt;url&gt;www.jstor.org/stable/605328&lt;/url&gt;&lt;/related-urls&gt;&lt;/urls&gt;&lt;custom1&gt;Full publication date: Jan. - Mar., 1995&lt;/custom1&gt;&lt;electronic-resource-num&gt;10.2307/605328&lt;/electronic-resource-num&gt;&lt;remote-database-name&gt;JSTOR&lt;/remote-database-name&gt;&lt;/record&gt;&lt;/Cite&gt;&lt;/EndNote&gt;</w:instrText>
      </w:r>
      <w:r>
        <w:fldChar w:fldCharType="separate"/>
      </w:r>
      <w:r w:rsidR="008818E0">
        <w:rPr>
          <w:noProof/>
        </w:rPr>
        <w:t>Marvin, p. 128.</w:t>
      </w:r>
      <w:r>
        <w:fldChar w:fldCharType="end"/>
      </w:r>
      <w:r>
        <w:t xml:space="preserve"> Note: Powel notes the preoccupation with the new and full moon in Hunger’s text.</w:t>
      </w:r>
    </w:p>
  </w:footnote>
  <w:footnote w:id="28">
    <w:p w:rsidR="00832BB5" w:rsidRDefault="00832BB5" w:rsidP="00AB1BB8">
      <w:pPr>
        <w:pStyle w:val="FootnoteText"/>
      </w:pPr>
      <w:r>
        <w:rPr>
          <w:rStyle w:val="FootnoteReference"/>
        </w:rPr>
        <w:footnoteRef/>
      </w:r>
      <w:r>
        <w:t xml:space="preserve"> </w:t>
      </w:r>
      <w:r>
        <w:fldChar w:fldCharType="begin"/>
      </w:r>
      <w:r w:rsidR="00C53E85">
        <w:instrText xml:space="preserve"> ADDIN EN.CITE &lt;EndNote&gt;&lt;Cite&gt;&lt;Author&gt;Koch&lt;/Author&gt;&lt;Year&gt;1995&lt;/Year&gt;&lt;RecNum&gt;247&lt;/RecNum&gt;&lt;Suffix&gt; &amp;apos;Mesopotamian Astrology&amp;apos;.&lt;/Suffix&gt;&lt;Pages&gt;103&lt;/Pages&gt;&lt;DisplayText&gt;Koch, p. 103. &amp;apos;Mesopotamian Astrology&amp;apos;.&lt;/DisplayText&gt;&lt;record&gt;&lt;rec-number&gt;247&lt;/rec-number&gt;&lt;foreign-keys&gt;&lt;key app="EN" db-id="s5pe520dttp5a0e09pvvr2xx2vvfr2xszett" timestamp="1582147115"&gt;247&lt;/key&gt;&lt;/foreign-keys&gt;&lt;ref-type name="Book"&gt;6&lt;/ref-type&gt;&lt;contributors&gt;&lt;authors&gt;&lt;author&gt;Koch, Ulla Susanne&lt;/author&gt;&lt;/authors&gt;&lt;/contributors&gt;&lt;titles&gt;&lt;title&gt;Mesopotamian astrology : an introduction to Babylonian and Assyrian celestial divination&lt;/title&gt;&lt;secondary-title&gt;CNI publications&lt;/secondary-title&gt;&lt;/titles&gt;&lt;number&gt;19&lt;/number&gt;&lt;keywords&gt;&lt;keyword&gt;Astrology, Assyro-Babylonian.&lt;/keyword&gt;&lt;keyword&gt;Civilization, Assyro-Babylonian.&lt;/keyword&gt;&lt;/keywords&gt;&lt;dates&gt;&lt;year&gt;1995&lt;/year&gt;&lt;/dates&gt;&lt;pub-location&gt;Copenhagen&lt;/pub-location&gt;&lt;publisher&gt;Carsten Niebuhr Institute of Near Eastern Studies : Museum Tusculanum Press, University of Copenhagen&lt;/publisher&gt;&lt;isbn&gt;8772892870&lt;/isbn&gt;&lt;accession-num&gt;4957877&lt;/accession-num&gt;&lt;call-num&gt;BF1714.A86 K63 1995&lt;/call-num&gt;&lt;urls&gt;&lt;/urls&gt;&lt;/record&gt;&lt;/Cite&gt;&lt;/EndNote&gt;</w:instrText>
      </w:r>
      <w:r>
        <w:fldChar w:fldCharType="separate"/>
      </w:r>
      <w:r w:rsidR="00C53E85">
        <w:rPr>
          <w:noProof/>
        </w:rPr>
        <w:t>Koch, p. 103. 'Mesopotamian Astrology'.</w:t>
      </w:r>
      <w:r>
        <w:fldChar w:fldCharType="end"/>
      </w:r>
    </w:p>
  </w:footnote>
  <w:footnote w:id="29">
    <w:p w:rsidR="00832BB5" w:rsidRDefault="00832BB5" w:rsidP="00AB1BB8">
      <w:pPr>
        <w:pStyle w:val="FootnoteText"/>
      </w:pPr>
      <w:r>
        <w:rPr>
          <w:rStyle w:val="FootnoteReference"/>
        </w:rPr>
        <w:footnoteRef/>
      </w:r>
      <w:r>
        <w:t xml:space="preserve"> </w:t>
      </w:r>
      <w:r w:rsidRPr="00AB1BB8">
        <w:rPr>
          <w:color w:val="000000"/>
        </w:rPr>
        <w:t>The Lunar cycle represents the reflected light of the sun onto the moon, rather than any inherent capability.</w:t>
      </w:r>
    </w:p>
  </w:footnote>
  <w:footnote w:id="30">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&lt;EndNote&gt;&lt;Cite&gt;&lt;Author&gt;Boland&lt;/Author&gt;&lt;Year&gt;2016&lt;/Year&gt;&lt;RecNum&gt;245&lt;/RecNum&gt;&lt;Suffix&gt; &amp;apos;Moonology&amp;apos;`, Kindle Book.&lt;/Suffix&gt;&lt;Pages&gt;18/`; 12/213&lt;/Pages&gt;&lt;DisplayText&gt;Boland, p. 18/; 12/213. &amp;apos;Moonology&amp;apos;, Kindle Book.&lt;/DisplayText&gt;&lt;record&gt;&lt;rec-number&gt;245&lt;/rec-number&gt;&lt;foreign-keys&gt;&lt;key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 18/; 12/213. 'Moonology', Kindle Book.</w:t>
      </w:r>
      <w:r>
        <w:fldChar w:fldCharType="end"/>
      </w:r>
      <w:r>
        <w:t xml:space="preserve"> Note: The disseminating moon falls with the ‘Full Moon to Last Quarter Division of </w:t>
      </w:r>
      <w:proofErr w:type="spellStart"/>
      <w:r>
        <w:t>Rudhyar’s</w:t>
      </w:r>
      <w:proofErr w:type="spellEnd"/>
      <w:r>
        <w:t xml:space="preserve"> fourfold division. </w:t>
      </w:r>
    </w:p>
  </w:footnote>
  <w:footnote w:id="31">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&lt;EndNote&gt;&lt;Cite&gt;&lt;Author&gt;Rudhyar&lt;/Author&gt;&lt;Year&gt;1946&lt;/Year&gt;&lt;RecNum&gt;244&lt;/RecNum&gt;&lt;Suffix&gt;&amp;apos;The Moon&amp;apos;.&lt;/Suffix&gt;&lt;Pages&gt;43`, 88&lt;/Pages&gt;&lt;DisplayText&gt;Rudhyar, pp. 43, 88.&amp;apos;The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pp. 43, 88.'The Moon'.</w:t>
      </w:r>
      <w:r>
        <w:fldChar w:fldCharType="end"/>
      </w:r>
      <w:r>
        <w:t>;</w:t>
      </w:r>
      <w:r>
        <w:fldChar w:fldCharType="begin"/>
      </w:r>
      <w:r>
        <w:instrText xml:space="preserve"> ADDIN EN.CITE &lt;EndNote&gt;&lt;Cite&gt;&lt;Author&gt;Boland&lt;/Author&gt;&lt;Year&gt;2016&lt;/Year&gt;&lt;RecNum&gt;245&lt;/RecNum&gt;&lt;Suffix&gt; &amp;apos;Moonology&amp;apos;&lt;/Suffix&gt;&lt;Pages&gt;11&lt;/Pages&gt;&lt;DisplayText&gt;Boland, p. 11. &amp;apos;Moonology&amp;apos;&lt;/DisplayText&gt;&lt;record&gt;&lt;rec-number&gt;245&lt;/rec-number&gt;&lt;foreign-keys&gt;&lt;key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 11. 'Moonology'</w:t>
      </w:r>
      <w:r>
        <w:fldChar w:fldCharType="end"/>
      </w:r>
      <w:r>
        <w:t>. Note:</w:t>
      </w:r>
      <w:r w:rsidRPr="00C9051C">
        <w:t xml:space="preserve"> </w:t>
      </w:r>
      <w:r>
        <w:t xml:space="preserve">It is possibly due to Boland’s familiarity with </w:t>
      </w:r>
      <w:proofErr w:type="spellStart"/>
      <w:r>
        <w:t>Rudhyar’s</w:t>
      </w:r>
      <w:proofErr w:type="spellEnd"/>
      <w:r>
        <w:t xml:space="preserve"> work, that the parallels between them are clear.</w:t>
      </w:r>
    </w:p>
  </w:footnote>
  <w:footnote w:id="32">
    <w:p w:rsidR="002213EF" w:rsidRDefault="002213EF">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&lt;EndNote&gt;&lt;Cite&gt;&lt;Author&gt;Rudhyar&lt;/Author&gt;&lt;Year&gt;1946&lt;/Year&gt;&lt;RecNum&gt;244&lt;/RecNum&gt;&lt;Suffix&gt; &amp;apos;The Moon&amp;apos;.&lt;/Suffix&gt;&lt;Pages&gt;4&lt;/Pages&gt;&lt;DisplayText&gt;Rudhyar, p. 4.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 4. 'The Moon'.</w:t>
      </w:r>
      <w:r>
        <w:fldChar w:fldCharType="end"/>
      </w:r>
    </w:p>
  </w:footnote>
  <w:footnote w:id="33">
    <w:p w:rsidR="00832BB5" w:rsidRPr="00550C63" w:rsidRDefault="00832BB5" w:rsidP="00AB1BB8">
      <w:pPr>
        <w:pStyle w:val="FootnoteText"/>
        <w:rPr>
          <w:rFonts w:cstheme="minorHAnsi"/>
        </w:rPr>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Pr="00550C63">
        <w:rPr>
          <w:rFonts w:cstheme="minorHAnsi"/>
        </w:rPr>
        <w:instrText xml:space="preserve"> ADDIN EN.CITE &lt;EndNote&gt;&lt;Cite&gt;&lt;Author&gt;Reiner&lt;/Author&gt;&lt;Year&gt;1995&lt;/Year&gt;&lt;RecNum&gt;251&lt;/RecNum&gt;&lt;Pages&gt;8&lt;/Pages&gt;&lt;DisplayText&gt;Erica Reiner, &amp;apos;Astral Magic in Babylonia&amp;apos;, &lt;style face="italic"&gt;Transactions of the American Philosophical Society, &lt;/style&gt;85 (1995), 8.&lt;/DisplayText&gt;&lt;record&gt;&lt;rec-number&gt;251&lt;/rec-number&gt;&lt;foreign-keys&gt;&lt;key app="EN" db-id="s5pe520dttp5a0e09pvvr2xx2vvfr2xszett" timestamp="1582576704"&gt;251&lt;/key&gt;&lt;/foreign-keys&gt;&lt;ref-type name="Journal Article"&gt;17&lt;/ref-type&gt;&lt;contributors&gt;&lt;authors&gt;&lt;author&gt;Reiner, Erica&lt;/author&gt;&lt;/authors&gt;&lt;/contributors&gt;&lt;titles&gt;&lt;title&gt;Astral Magic in Babylonia&lt;/title&gt;&lt;secondary-title&gt;Transactions of the American Philosophical Society&lt;/secondary-title&gt;&lt;/titles&gt;&lt;periodical&gt;&lt;full-title&gt;Transactions of the American Philosophical Society&lt;/full-title&gt;&lt;/periodical&gt;&lt;volume&gt;85&lt;/volume&gt;&lt;number&gt;4&lt;/number&gt;&lt;dates&gt;&lt;year&gt;1995&lt;/year&gt;&lt;/dates&gt;&lt;publisher&gt;American Philosophical Society&lt;/publisher&gt;&lt;isbn&gt;00659746&lt;/isbn&gt;&lt;urls&gt;&lt;related-urls&gt;&lt;url&gt;www.jstor.org/stable/1006642&lt;/url&gt;&lt;/related-urls&gt;&lt;/urls&gt;&lt;custom1&gt;Full publication date: 1995&lt;/custom1&gt;&lt;electronic-resource-num&gt;10.2307/1006642&lt;/electronic-resource-num&gt;&lt;remote-database-name&gt;JSTOR&lt;/remote-database-name&gt;&lt;access-date&gt;2020/02/24/&lt;/access-date&gt;&lt;/record&gt;&lt;/Cite&gt;&lt;/EndNote&gt;</w:instrText>
      </w:r>
      <w:r w:rsidRPr="00550C63">
        <w:rPr>
          <w:rFonts w:cstheme="minorHAnsi"/>
        </w:rPr>
        <w:fldChar w:fldCharType="separate"/>
      </w:r>
      <w:r w:rsidRPr="00550C63">
        <w:rPr>
          <w:rFonts w:cstheme="minorHAnsi"/>
          <w:noProof/>
        </w:rPr>
        <w:t xml:space="preserve">Erica Reiner, 'Astral Magic in Babylonia', </w:t>
      </w:r>
      <w:r w:rsidRPr="00550C63">
        <w:rPr>
          <w:rFonts w:cstheme="minorHAnsi"/>
          <w:i/>
          <w:noProof/>
        </w:rPr>
        <w:t xml:space="preserve">Transactions of the American Philosophical Society, </w:t>
      </w:r>
      <w:r w:rsidRPr="00550C63">
        <w:rPr>
          <w:rFonts w:cstheme="minorHAnsi"/>
          <w:noProof/>
        </w:rPr>
        <w:t>85 (1995), 8.</w:t>
      </w:r>
      <w:r w:rsidRPr="00550C63">
        <w:rPr>
          <w:rFonts w:cstheme="minorHAnsi"/>
        </w:rPr>
        <w:fldChar w:fldCharType="end"/>
      </w:r>
    </w:p>
  </w:footnote>
  <w:footnote w:id="34">
    <w:p w:rsidR="00832BB5" w:rsidRPr="00550C63" w:rsidRDefault="00832BB5" w:rsidP="00AB1BB8">
      <w:pPr>
        <w:pStyle w:val="FootnoteText"/>
        <w:rPr>
          <w:rFonts w:cstheme="minorHAnsi"/>
        </w:rPr>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00550C63">
        <w:rPr>
          <w:rFonts w:cstheme="minorHAnsi"/>
        </w:rPr>
        <w:instrText xml:space="preserve"> ADDIN EN.CITE &lt;EndNote&gt;&lt;Cite&gt;&lt;Author&gt;Hunger&lt;/Author&gt;&lt;Year&gt;1992&lt;/Year&gt;&lt;RecNum&gt;241&lt;/RecNum&gt;&lt;Suffix&gt; &amp;apos;Astrological Reports&amp;apos;.&lt;/Suffix&gt;&lt;Pages&gt;SAA 08 464`, 2`; SAA 08 320`,1&lt;/Pages&gt;&lt;DisplayText&gt;Hunger, pp. SAA 08 464, 2; SAA 08 320,1.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rsidRPr="00550C63">
        <w:rPr>
          <w:rFonts w:cstheme="minorHAnsi"/>
        </w:rPr>
        <w:fldChar w:fldCharType="separate"/>
      </w:r>
      <w:r w:rsidR="00550C63">
        <w:rPr>
          <w:rFonts w:cstheme="minorHAnsi"/>
          <w:noProof/>
        </w:rPr>
        <w:t>Hunger, pp. SAA 08 464, 2; SAA 08 320,1. 'Astrological Reports'.</w:t>
      </w:r>
      <w:r w:rsidRPr="00550C63">
        <w:rPr>
          <w:rFonts w:cstheme="minorHAnsi"/>
        </w:rPr>
        <w:fldChar w:fldCharType="end"/>
      </w:r>
      <w:r w:rsidRPr="00550C63">
        <w:rPr>
          <w:rFonts w:cstheme="minorHAnsi"/>
        </w:rPr>
        <w:t xml:space="preserve"> </w:t>
      </w:r>
    </w:p>
  </w:footnote>
  <w:footnote w:id="35">
    <w:p w:rsidR="00832BB5" w:rsidRPr="00550C63" w:rsidRDefault="00832BB5" w:rsidP="00AB1BB8">
      <w:pPr>
        <w:pStyle w:val="FootnoteText"/>
        <w:rPr>
          <w:rFonts w:cstheme="minorHAnsi"/>
        </w:rPr>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Pr="00550C63">
        <w:rPr>
          <w:rFonts w:cstheme="minorHAnsi"/>
        </w:rPr>
        <w:instrText xml:space="preserve"> ADDIN EN.CITE &lt;EndNote&gt;&lt;Cite&gt;&lt;Author&gt;Hunger&lt;/Author&gt;&lt;Year&gt;1992&lt;/Year&gt;&lt;RecNum&gt;241&lt;/RecNum&gt;&lt;Suffix&gt; &amp;apos;Astrological Reports&amp;apos;&lt;/Suffix&gt;&lt;Pages&gt;SAA 08 320`,6&lt;/Pages&gt;&lt;DisplayText&gt;Hunger, pp. SAA 08 320,6.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rsidRPr="00550C63">
        <w:rPr>
          <w:rFonts w:cstheme="minorHAnsi"/>
        </w:rPr>
        <w:fldChar w:fldCharType="separate"/>
      </w:r>
      <w:r w:rsidRPr="00550C63">
        <w:rPr>
          <w:rFonts w:cstheme="minorHAnsi"/>
          <w:noProof/>
        </w:rPr>
        <w:t>Hunger, pp. SAA 08 320,6. 'Astrological Reports'</w:t>
      </w:r>
      <w:r w:rsidRPr="00550C63">
        <w:rPr>
          <w:rFonts w:cstheme="minorHAnsi"/>
        </w:rPr>
        <w:fldChar w:fldCharType="end"/>
      </w:r>
      <w:r w:rsidR="00C53E85">
        <w:rPr>
          <w:rFonts w:cstheme="minorHAnsi"/>
        </w:rPr>
        <w:t>.</w:t>
      </w:r>
    </w:p>
  </w:footnote>
  <w:footnote w:id="36">
    <w:p w:rsidR="00832BB5" w:rsidRPr="00550C63" w:rsidRDefault="00832BB5" w:rsidP="00AB1BB8">
      <w:pPr>
        <w:rPr>
          <w:rFonts w:asciiTheme="minorHAnsi" w:hAnsiTheme="minorHAnsi" w:cstheme="minorHAnsi"/>
          <w:sz w:val="20"/>
          <w:szCs w:val="20"/>
        </w:rPr>
      </w:pPr>
      <w:r w:rsidRPr="00550C63">
        <w:rPr>
          <w:rStyle w:val="FootnoteReference"/>
          <w:rFonts w:asciiTheme="minorHAnsi" w:hAnsiTheme="minorHAnsi" w:cstheme="minorHAnsi"/>
          <w:sz w:val="20"/>
          <w:szCs w:val="20"/>
        </w:rPr>
        <w:footnoteRef/>
      </w:r>
      <w:r w:rsidRPr="00550C63">
        <w:rPr>
          <w:rFonts w:asciiTheme="minorHAnsi" w:hAnsiTheme="minorHAnsi" w:cstheme="minorHAnsi"/>
          <w:sz w:val="20"/>
          <w:szCs w:val="20"/>
        </w:rPr>
        <w:t xml:space="preserve"> </w:t>
      </w:r>
      <w:r w:rsidRPr="00550C63">
        <w:rPr>
          <w:rFonts w:asciiTheme="minorHAnsi" w:hAnsiTheme="minorHAnsi" w:cstheme="minorHAnsi"/>
          <w:sz w:val="20"/>
          <w:szCs w:val="20"/>
        </w:rPr>
        <w:fldChar w:fldCharType="begin"/>
      </w:r>
      <w:r w:rsidRPr="00550C63">
        <w:rPr>
          <w:rFonts w:asciiTheme="minorHAnsi" w:hAnsiTheme="minorHAnsi" w:cstheme="minorHAnsi"/>
          <w:sz w:val="20"/>
          <w:szCs w:val="20"/>
        </w:rPr>
        <w:instrText xml:space="preserve"> ADDIN EN.CITE &lt;EndNote&gt;&lt;Cite&gt;&lt;Author&gt;Hunger&lt;/Author&gt;&lt;Year&gt;1992&lt;/Year&gt;&lt;RecNum&gt;241&lt;/RecNum&gt;&lt;Suffix&gt; &amp;apos;Astrological Reports&amp;apos;.&lt;/Suffix&gt;&lt;Pages&gt;SAA 08 235`,6`; SAA 08 235`,11&lt;/Pages&gt;&lt;DisplayText&gt;Hunger, pp. SAA 08 235,6; SAA 08 35,11.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rsidRPr="00550C63">
        <w:rPr>
          <w:rFonts w:asciiTheme="minorHAnsi" w:hAnsiTheme="minorHAnsi" w:cstheme="minorHAnsi"/>
          <w:sz w:val="20"/>
          <w:szCs w:val="20"/>
        </w:rPr>
        <w:fldChar w:fldCharType="separate"/>
      </w:r>
      <w:r w:rsidRPr="00550C63">
        <w:rPr>
          <w:rFonts w:asciiTheme="minorHAnsi" w:hAnsiTheme="minorHAnsi" w:cstheme="minorHAnsi"/>
          <w:noProof/>
          <w:sz w:val="20"/>
          <w:szCs w:val="20"/>
        </w:rPr>
        <w:t>Hunger, pp. SAA 08 235,6; SAA 08 35,11. 'Astrological Reports'.</w:t>
      </w:r>
      <w:r w:rsidRPr="00550C63">
        <w:rPr>
          <w:rFonts w:asciiTheme="minorHAnsi" w:hAnsiTheme="minorHAnsi" w:cstheme="minorHAnsi"/>
          <w:sz w:val="20"/>
          <w:szCs w:val="20"/>
        </w:rPr>
        <w:fldChar w:fldCharType="end"/>
      </w:r>
      <w:r w:rsidRPr="00550C63">
        <w:rPr>
          <w:rFonts w:asciiTheme="minorHAnsi" w:hAnsiTheme="minorHAnsi" w:cstheme="minorHAnsi"/>
          <w:sz w:val="20"/>
          <w:szCs w:val="20"/>
        </w:rPr>
        <w:t xml:space="preserve"> Note: [The text is missing from the source.]. However, SAA 10 061, 11 also supports the new moon as ‘auspicious’.</w:t>
      </w:r>
    </w:p>
  </w:footnote>
  <w:footnote w:id="37">
    <w:p w:rsidR="00832BB5" w:rsidRPr="00550C63" w:rsidRDefault="00832BB5" w:rsidP="00AB1BB8">
      <w:pPr>
        <w:pStyle w:val="FootnoteText"/>
        <w:rPr>
          <w:rFonts w:cstheme="minorHAnsi"/>
        </w:rPr>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Pr="00550C63">
        <w:rPr>
          <w:rFonts w:cstheme="minorHAnsi"/>
        </w:rPr>
        <w:instrText xml:space="preserve"> ADDIN EN.CITE &lt;EndNote&gt;&lt;Cite&gt;&lt;Author&gt;Boland&lt;/Author&gt;&lt;Year&gt;2016&lt;/Year&gt;&lt;RecNum&gt;245&lt;/RecNum&gt;&lt;Suffix&gt; &amp;apos;Moonology&amp;apos;.&lt;/Suffix&gt;&lt;Pages&gt;1`, 29&lt;/Pages&gt;&lt;DisplayText&gt;Boland, pp. 1, 29. &amp;apos;Moonology&amp;apos;.&lt;/DisplayText&gt;&lt;record&gt;&lt;rec-number&gt;245&lt;/rec-number&gt;&lt;foreign-keys&gt;&lt;key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rsidRPr="00550C63">
        <w:rPr>
          <w:rFonts w:cstheme="minorHAnsi"/>
        </w:rPr>
        <w:fldChar w:fldCharType="separate"/>
      </w:r>
      <w:r w:rsidRPr="00550C63">
        <w:rPr>
          <w:rFonts w:cstheme="minorHAnsi"/>
          <w:noProof/>
        </w:rPr>
        <w:t>Boland, pp. 1, 29. 'Moonology'.</w:t>
      </w:r>
      <w:r w:rsidRPr="00550C63">
        <w:rPr>
          <w:rFonts w:cstheme="minorHAnsi"/>
        </w:rPr>
        <w:fldChar w:fldCharType="end"/>
      </w:r>
    </w:p>
  </w:footnote>
  <w:footnote w:id="38">
    <w:p w:rsidR="008818E0" w:rsidRPr="00550C63" w:rsidRDefault="008818E0">
      <w:pPr>
        <w:pStyle w:val="FootnoteText"/>
        <w:rPr>
          <w:rFonts w:cstheme="minorHAnsi"/>
        </w:rPr>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00550C63" w:rsidRPr="00550C63">
        <w:rPr>
          <w:rFonts w:cstheme="minorHAnsi"/>
        </w:rPr>
        <w:instrText xml:space="preserve"> ADDIN EN.CITE &lt;EndNote&gt;&lt;Cite&gt;&lt;Author&gt;Boland&lt;/Author&gt;&lt;Year&gt;2016&lt;/Year&gt;&lt;RecNum&gt;245&lt;/RecNum&gt;&lt;Suffix&gt; &amp;apos;Moonology&amp;apos;.&lt;/Suffix&gt;&lt;Pages&gt;30&lt;/Pages&gt;&lt;DisplayText&gt;Boland, p. 30. &amp;apos;Moonology&amp;apos;.&lt;/DisplayText&gt;&lt;record&gt;&lt;rec-number&gt;245&lt;/rec-number&gt;&lt;foreign-keys&gt;&lt;key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rsidRPr="00550C63">
        <w:rPr>
          <w:rFonts w:cstheme="minorHAnsi"/>
        </w:rPr>
        <w:fldChar w:fldCharType="separate"/>
      </w:r>
      <w:r w:rsidR="00550C63" w:rsidRPr="00550C63">
        <w:rPr>
          <w:rFonts w:cstheme="minorHAnsi"/>
          <w:noProof/>
        </w:rPr>
        <w:t>Boland, p. 30. 'Moonology'.</w:t>
      </w:r>
      <w:r w:rsidRPr="00550C63">
        <w:rPr>
          <w:rFonts w:cstheme="minorHAnsi"/>
        </w:rPr>
        <w:fldChar w:fldCharType="end"/>
      </w:r>
    </w:p>
  </w:footnote>
  <w:footnote w:id="39">
    <w:p w:rsidR="002213EF" w:rsidRPr="00550C63" w:rsidRDefault="002213EF" w:rsidP="002213EF">
      <w:pPr>
        <w:pStyle w:val="FootnoteText"/>
        <w:rPr>
          <w:rFonts w:cstheme="minorHAnsi"/>
        </w:rPr>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007B1441">
        <w:rPr>
          <w:rFonts w:cstheme="minorHAnsi"/>
        </w:rPr>
        <w:instrText xml:space="preserve"> ADDIN EN.CITE &lt;EndNote&gt;&lt;Cite&gt;&lt;Author&gt;Rudhyar&lt;/Author&gt;&lt;Year&gt;1946&lt;/Year&gt;&lt;RecNum&gt;244&lt;/RecNum&gt;&lt;Suffix&gt; &amp;apos;The Moon&amp;apos;.&lt;/Suffix&gt;&lt;Pages&gt;23-24&lt;/Pages&gt;&lt;DisplayText&gt;Rudhyar, pp. 23-24.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rsidRPr="00550C63">
        <w:rPr>
          <w:rFonts w:cstheme="minorHAnsi"/>
        </w:rPr>
        <w:fldChar w:fldCharType="separate"/>
      </w:r>
      <w:r w:rsidR="007B1441">
        <w:rPr>
          <w:rFonts w:cstheme="minorHAnsi"/>
          <w:noProof/>
        </w:rPr>
        <w:t>Rudhyar, pp. 23-24. 'The Moon'.</w:t>
      </w:r>
      <w:r w:rsidRPr="00550C63">
        <w:rPr>
          <w:rFonts w:cstheme="minorHAnsi"/>
        </w:rPr>
        <w:fldChar w:fldCharType="end"/>
      </w:r>
    </w:p>
  </w:footnote>
  <w:footnote w:id="40">
    <w:p w:rsidR="00832BB5" w:rsidRDefault="00832BB5" w:rsidP="00AB1BB8">
      <w:pPr>
        <w:pStyle w:val="FootnoteText"/>
      </w:pPr>
      <w:r w:rsidRPr="00550C63">
        <w:rPr>
          <w:rStyle w:val="FootnoteReference"/>
          <w:rFonts w:cstheme="minorHAnsi"/>
        </w:rPr>
        <w:footnoteRef/>
      </w:r>
      <w:r w:rsidRPr="00550C63">
        <w:rPr>
          <w:rFonts w:cstheme="minorHAnsi"/>
        </w:rPr>
        <w:t xml:space="preserve"> </w:t>
      </w:r>
      <w:r w:rsidRPr="00550C63">
        <w:rPr>
          <w:rFonts w:cstheme="minorHAnsi"/>
        </w:rPr>
        <w:fldChar w:fldCharType="begin"/>
      </w:r>
      <w:r w:rsidRPr="00550C63">
        <w:rPr>
          <w:rFonts w:cstheme="minorHAnsi"/>
        </w:rPr>
        <w:instrText xml:space="preserve"> ADDIN EN.CITE &lt;EndNote&gt;&lt;Cite&gt;&lt;Author&gt;Rudhyar&lt;/Author&gt;&lt;Year&gt;1946&lt;/Year&gt;&lt;RecNum&gt;244&lt;/RecNum&gt;&lt;Suffix&gt; &amp;apos;The Moon&amp;apos;.&lt;/Suffix&gt;&lt;Pages&gt;23&lt;/Pages&gt;&lt;DisplayText&gt;Rudhyar, p. 23.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rsidRPr="00550C63">
        <w:rPr>
          <w:rFonts w:cstheme="minorHAnsi"/>
        </w:rPr>
        <w:fldChar w:fldCharType="separate"/>
      </w:r>
      <w:r w:rsidRPr="00550C63">
        <w:rPr>
          <w:rFonts w:cstheme="minorHAnsi"/>
          <w:noProof/>
        </w:rPr>
        <w:t>Rudhyar, p. 23. 'The Moon'.</w:t>
      </w:r>
      <w:r w:rsidRPr="00550C63">
        <w:rPr>
          <w:rFonts w:cstheme="minorHAnsi"/>
        </w:rPr>
        <w:fldChar w:fldCharType="end"/>
      </w:r>
    </w:p>
  </w:footnote>
  <w:footnote w:id="41">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&lt;EndNote&gt;&lt;Cite&gt;&lt;Author&gt;Hunger&lt;/Author&gt;&lt;Year&gt;1992&lt;/Year&gt;&lt;RecNum&gt;241&lt;/RecNum&gt;&lt;Suffix&gt; &amp;apos;Astrological Reports&amp;apos;.&lt;/Suffix&gt;&lt;Pages&gt;SAA 10 061`, 11&lt;/Pages&gt;&lt;DisplayText&gt;Hunger, pp. SAA 10 061, 11. &amp;apos;Astrological Reports&amp;apos;.&lt;/DisplayText&gt;&lt;record&gt;&lt;rec-number&gt;241&lt;/rec-number&gt;&lt;foreign-keys&gt;&lt;key app="EN" db-id="s5pe520dttp5a0e09pvvr2xx2vvfr2xszett" timestamp="1582140346"&gt;241&lt;/key&gt;&lt;/foreign-keys&gt;&lt;ref-type name="Book"&gt;6&lt;/ref-type&gt;&lt;contributors&gt;&lt;authors&gt;&lt;author&gt;Hunger, Hermann&lt;/author&gt;&lt;/authors&gt;&lt;/contributors&gt;&lt;titles&gt;&lt;title&gt;Astrological reports to Assyrian kings&lt;/title&gt;&lt;secondary-title&gt;State archives of Assyria&lt;/secondary-title&gt;&lt;/titles&gt;&lt;number&gt;8&lt;/number&gt;&lt;keywords&gt;&lt;keyword&gt;Astrology, Assyro-Babylonian.&lt;/keyword&gt;&lt;keyword&gt;Omens Early works to 1800.&lt;/keyword&gt;&lt;keyword&gt;Akkadian language Texts.&lt;/keyword&gt;&lt;keyword&gt;Cuneiform tablets.&lt;/keyword&gt;&lt;/keywords&gt;&lt;dates&gt;&lt;year&gt;1992&lt;/year&gt;&lt;/dates&gt;&lt;pub-location&gt;Helsinki, Finland&lt;/pub-location&gt;&lt;publisher&gt;Helsinki University Press&lt;/publisher&gt;&lt;isbn&gt;9515700019 (whole series pbk.)&amp;#xD;9515700027 (whole series hbk.)&amp;#xD;9515701317 (v. 8 hbk.)&lt;/isbn&gt;&lt;accession-num&gt;639825&lt;/accession-num&gt;&lt;call-num&gt;BF1714.A86 A87 1992&lt;/call-num&gt;&lt;urls&gt;&lt;/urls&gt;&lt;/record&gt;&lt;/Cite&gt;&lt;/EndNote&gt;</w:instrText>
      </w:r>
      <w:r>
        <w:fldChar w:fldCharType="separate"/>
      </w:r>
      <w:r>
        <w:rPr>
          <w:noProof/>
        </w:rPr>
        <w:t>Hunger, pp. SAA 10 061, 11. 'Astrological Reports'.</w:t>
      </w:r>
      <w:r>
        <w:fldChar w:fldCharType="end"/>
      </w:r>
    </w:p>
  </w:footnote>
  <w:footnote w:id="42">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&lt;EndNote&gt;&lt;Cite&gt;&lt;Author&gt;Boland&lt;/Author&gt;&lt;Year&gt;2016&lt;/Year&gt;&lt;RecNum&gt;245&lt;/RecNum&gt;&lt;Suffix&gt; &amp;apos;Moonology&amp;apos;.&lt;/Suffix&gt;&lt;Pages&gt;TOC`, 132&lt;/Pages&gt;&lt;DisplayText&gt;Boland, pp. TOC, 132. &amp;apos;Moonology&amp;apos;.&lt;/DisplayText&gt;&lt;record&gt;&lt;rec-number&gt;245&lt;/rec-number&gt;&lt;foreign-keys&gt;&lt;key app="EN" db-id="s5pe520dttp5a0e09pvvr2xx2vvfr2xszett" timestamp="1582146024"&gt;245&lt;/key&gt;&lt;/foreign-keys&gt;&lt;ref-type name="Electronic Book"&gt;44&lt;/ref-type&gt;&lt;contributors&gt;&lt;authors&gt;&lt;author&gt;Boland, Yasmin&lt;/author&gt;&lt;/authors&gt;&lt;/contributors&gt;&lt;titles&gt;&lt;title&gt;Moonology : working with the magic of lunar cycles&lt;/title&gt;&lt;/titles&gt;&lt;keywords&gt;&lt;keyword&gt;Moon Phases.&lt;/keyword&gt;&lt;keyword&gt;Human beings Effect of the moon on.&lt;/keyword&gt;&lt;keyword&gt;Astrology.&lt;/keyword&gt;&lt;/keywords&gt;&lt;dates&gt;&lt;year&gt;2016&lt;/year&gt;&lt;/dates&gt;&lt;pub-location&gt;Carlsbad, California&lt;/pub-location&gt;&lt;publisher&gt;Hay House&lt;/publisher&gt;&lt;isbn&gt;9781781807422&amp;#xD;1781807426&lt;/isbn&gt;&lt;accession-num&gt;19596145&lt;/accession-num&gt;&lt;call-num&gt;BF1723 .B65 2016&lt;/call-num&gt;&lt;work-type&gt;Kindle Book&lt;/work-type&gt;&lt;urls&gt;&lt;/urls&gt;&lt;/record&gt;&lt;/Cite&gt;&lt;/EndNote&gt;</w:instrText>
      </w:r>
      <w:r>
        <w:fldChar w:fldCharType="separate"/>
      </w:r>
      <w:r>
        <w:rPr>
          <w:noProof/>
        </w:rPr>
        <w:t>Boland, pp. TOC, 132. 'Moonology'.</w:t>
      </w:r>
      <w:r>
        <w:fldChar w:fldCharType="end"/>
      </w:r>
    </w:p>
  </w:footnote>
  <w:footnote w:id="43">
    <w:p w:rsidR="00832BB5" w:rsidRDefault="00832BB5" w:rsidP="00AB1BB8">
      <w:pPr>
        <w:pStyle w:val="FootnoteText"/>
      </w:pPr>
      <w:r>
        <w:rPr>
          <w:rStyle w:val="FootnoteReference"/>
        </w:rPr>
        <w:footnoteRef/>
      </w:r>
      <w:r>
        <w:t xml:space="preserve"> </w:t>
      </w:r>
      <w:r>
        <w:fldChar w:fldCharType="begin"/>
      </w:r>
      <w:r>
        <w:instrText xml:space="preserve"> ADDIN EN.CITE &lt;EndNote&gt;&lt;Cite&gt;&lt;Author&gt;Rudhyar&lt;/Author&gt;&lt;Year&gt;1946&lt;/Year&gt;&lt;RecNum&gt;244&lt;/RecNum&gt;&lt;Suffix&gt; &amp;apos;The Moon&amp;apos;.&lt;/Suffix&gt;&lt;Pages&gt;24&lt;/Pages&gt;&lt;DisplayText&gt;Rudhyar, p. 24. &amp;apos;The Moon&amp;apos;.&lt;/DisplayText&gt;&lt;record&gt;&lt;rec-number&gt;244&lt;/rec-number&gt;&lt;foreign-keys&gt;&lt;key app="EN" db-id="s5pe520dttp5a0e09pvvr2xx2vvfr2xszett" timestamp="1582145657"&gt;244&lt;/key&gt;&lt;/foreign-keys&gt;&lt;ref-type name="Book"&gt;6&lt;/ref-type&gt;&lt;contributors&gt;&lt;authors&gt;&lt;author&gt;Rudhyar, Dane&lt;/author&gt;&lt;/authors&gt;&lt;/contributors&gt;&lt;titles&gt;&lt;title&gt;The moon; the cycles and fortunes of life&lt;/title&gt;&lt;/titles&gt;&lt;keywords&gt;&lt;keyword&gt;Astrology.&lt;/keyword&gt;&lt;/keywords&gt;&lt;dates&gt;&lt;year&gt;1946&lt;/year&gt;&lt;/dates&gt;&lt;pub-location&gt;Philadelphia,&lt;/pub-location&gt;&lt;publisher&gt;David McKay company&lt;/publisher&gt;&lt;accession-num&gt;9279008&lt;/accession-num&gt;&lt;call-num&gt;BF1701 .R784&lt;/call-num&gt;&lt;urls&gt;&lt;/urls&gt;&lt;/record&gt;&lt;/Cite&gt;&lt;/EndNote&gt;</w:instrText>
      </w:r>
      <w:r>
        <w:fldChar w:fldCharType="separate"/>
      </w:r>
      <w:r>
        <w:rPr>
          <w:noProof/>
        </w:rPr>
        <w:t>Rudhyar, p. 24. 'The Moon'.</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2BB5" w:rsidRDefault="00832BB5">
    <w:pPr>
      <w:pStyle w:val="Header"/>
    </w:pPr>
    <w:r>
      <w:t xml:space="preserve">   Jacqueline Ginty, 29001041, </w:t>
    </w:r>
    <w:r w:rsidRPr="00305F8B">
      <w:t xml:space="preserve">Page </w:t>
    </w:r>
    <w:r w:rsidRPr="00305F8B">
      <w:fldChar w:fldCharType="begin"/>
    </w:r>
    <w:r w:rsidRPr="00305F8B">
      <w:instrText xml:space="preserve"> PAGE  \* Arabic  \* MERGEFORMAT </w:instrText>
    </w:r>
    <w:r w:rsidRPr="00305F8B">
      <w:fldChar w:fldCharType="separate"/>
    </w:r>
    <w:r>
      <w:rPr>
        <w:noProof/>
      </w:rPr>
      <w:t>1</w:t>
    </w:r>
    <w:r w:rsidRPr="00305F8B">
      <w:fldChar w:fldCharType="end"/>
    </w:r>
    <w:r w:rsidRPr="00305F8B">
      <w:t xml:space="preserve"> of </w:t>
    </w:r>
    <w:fldSimple w:instr=" NUMPAGES  \* Arabic  \* MERGEFORMAT ">
      <w:r>
        <w:rPr>
          <w:noProof/>
        </w:rPr>
        <w:t>6</w:t>
      </w:r>
    </w:fldSimple>
  </w:p>
  <w:p w:rsidR="00832BB5" w:rsidRDefault="00832B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E4B2E"/>
    <w:multiLevelType w:val="hybridMultilevel"/>
    <w:tmpl w:val="0168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4338E"/>
    <w:multiLevelType w:val="hybridMultilevel"/>
    <w:tmpl w:val="FF70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Georgia&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5pe520dttp5a0e09pvvr2xx2vvfr2xszett&quot;&gt;My EndNote Library-Converted&lt;record-ids&gt;&lt;item&gt;241&lt;/item&gt;&lt;item&gt;244&lt;/item&gt;&lt;item&gt;245&lt;/item&gt;&lt;item&gt;247&lt;/item&gt;&lt;item&gt;248&lt;/item&gt;&lt;item&gt;249&lt;/item&gt;&lt;item&gt;250&lt;/item&gt;&lt;item&gt;251&lt;/item&gt;&lt;item&gt;253&lt;/item&gt;&lt;/record-ids&gt;&lt;/item&gt;&lt;/Libraries&gt;"/>
  </w:docVars>
  <w:rsids>
    <w:rsidRoot w:val="00305F8B"/>
    <w:rsid w:val="000009A7"/>
    <w:rsid w:val="00004BC0"/>
    <w:rsid w:val="000115BF"/>
    <w:rsid w:val="00060E95"/>
    <w:rsid w:val="000733FF"/>
    <w:rsid w:val="000E5EEC"/>
    <w:rsid w:val="00161A74"/>
    <w:rsid w:val="00185CE6"/>
    <w:rsid w:val="001908F2"/>
    <w:rsid w:val="0019272A"/>
    <w:rsid w:val="001C3FBA"/>
    <w:rsid w:val="001D4B8F"/>
    <w:rsid w:val="001D5327"/>
    <w:rsid w:val="001E6C3E"/>
    <w:rsid w:val="0021028E"/>
    <w:rsid w:val="002213EF"/>
    <w:rsid w:val="0026600C"/>
    <w:rsid w:val="002724F5"/>
    <w:rsid w:val="002F4D69"/>
    <w:rsid w:val="00305F8B"/>
    <w:rsid w:val="00320954"/>
    <w:rsid w:val="003409B6"/>
    <w:rsid w:val="00342791"/>
    <w:rsid w:val="00367802"/>
    <w:rsid w:val="003D1247"/>
    <w:rsid w:val="003E4934"/>
    <w:rsid w:val="003F30EF"/>
    <w:rsid w:val="00435830"/>
    <w:rsid w:val="00441691"/>
    <w:rsid w:val="00443708"/>
    <w:rsid w:val="00464AFA"/>
    <w:rsid w:val="00467032"/>
    <w:rsid w:val="00473AFE"/>
    <w:rsid w:val="004753D3"/>
    <w:rsid w:val="004B7573"/>
    <w:rsid w:val="004D5A1A"/>
    <w:rsid w:val="00550C63"/>
    <w:rsid w:val="00573457"/>
    <w:rsid w:val="00593DB7"/>
    <w:rsid w:val="00594A3A"/>
    <w:rsid w:val="00626A2B"/>
    <w:rsid w:val="006560B4"/>
    <w:rsid w:val="006A0B01"/>
    <w:rsid w:val="006B672C"/>
    <w:rsid w:val="006C199F"/>
    <w:rsid w:val="006D3E43"/>
    <w:rsid w:val="00747C00"/>
    <w:rsid w:val="007878A1"/>
    <w:rsid w:val="007B1441"/>
    <w:rsid w:val="007B3068"/>
    <w:rsid w:val="007C7004"/>
    <w:rsid w:val="007D7DD4"/>
    <w:rsid w:val="00832BB5"/>
    <w:rsid w:val="0084735D"/>
    <w:rsid w:val="00875821"/>
    <w:rsid w:val="008818E0"/>
    <w:rsid w:val="0088512F"/>
    <w:rsid w:val="00894052"/>
    <w:rsid w:val="00894859"/>
    <w:rsid w:val="008A2368"/>
    <w:rsid w:val="008E62D8"/>
    <w:rsid w:val="00946B50"/>
    <w:rsid w:val="00990F73"/>
    <w:rsid w:val="009B014C"/>
    <w:rsid w:val="009D2811"/>
    <w:rsid w:val="009D4FCC"/>
    <w:rsid w:val="009F2E3F"/>
    <w:rsid w:val="00A14086"/>
    <w:rsid w:val="00A63860"/>
    <w:rsid w:val="00A82DC9"/>
    <w:rsid w:val="00A8306E"/>
    <w:rsid w:val="00AB1BB8"/>
    <w:rsid w:val="00AF2782"/>
    <w:rsid w:val="00B05283"/>
    <w:rsid w:val="00B35158"/>
    <w:rsid w:val="00B54392"/>
    <w:rsid w:val="00B63356"/>
    <w:rsid w:val="00B82B73"/>
    <w:rsid w:val="00B830D4"/>
    <w:rsid w:val="00BB6149"/>
    <w:rsid w:val="00BC0336"/>
    <w:rsid w:val="00BF1760"/>
    <w:rsid w:val="00C149AA"/>
    <w:rsid w:val="00C53E85"/>
    <w:rsid w:val="00C94B3B"/>
    <w:rsid w:val="00CB13DD"/>
    <w:rsid w:val="00D317D4"/>
    <w:rsid w:val="00D54850"/>
    <w:rsid w:val="00D56932"/>
    <w:rsid w:val="00D64928"/>
    <w:rsid w:val="00D86AC8"/>
    <w:rsid w:val="00DA6C5F"/>
    <w:rsid w:val="00DB3EE0"/>
    <w:rsid w:val="00DE68A3"/>
    <w:rsid w:val="00E03A40"/>
    <w:rsid w:val="00E051D0"/>
    <w:rsid w:val="00E30C0A"/>
    <w:rsid w:val="00E675F1"/>
    <w:rsid w:val="00E77825"/>
    <w:rsid w:val="00EB1044"/>
    <w:rsid w:val="00EB40AB"/>
    <w:rsid w:val="00EB6564"/>
    <w:rsid w:val="00EC2C5D"/>
    <w:rsid w:val="00ED1963"/>
    <w:rsid w:val="00ED1BBB"/>
    <w:rsid w:val="00ED546B"/>
    <w:rsid w:val="00ED57B6"/>
    <w:rsid w:val="00EE7492"/>
    <w:rsid w:val="00F11EEF"/>
    <w:rsid w:val="00F12ADD"/>
    <w:rsid w:val="00F15B67"/>
    <w:rsid w:val="00F449E0"/>
    <w:rsid w:val="00F92EC0"/>
    <w:rsid w:val="00F93AC9"/>
    <w:rsid w:val="00FB3137"/>
    <w:rsid w:val="00FE0FC4"/>
    <w:rsid w:val="00FF50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CBED80"/>
  <w15:docId w15:val="{56863A4F-CC15-8449-80F0-31774374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4B8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D56932"/>
    <w:pPr>
      <w:keepNext/>
      <w:keepLines/>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Heading2">
    <w:name w:val="heading 2"/>
    <w:basedOn w:val="Normal"/>
    <w:next w:val="Normal"/>
    <w:link w:val="Heading2Char"/>
    <w:uiPriority w:val="9"/>
    <w:unhideWhenUsed/>
    <w:qFormat/>
    <w:rsid w:val="00D56932"/>
    <w:pPr>
      <w:keepNext/>
      <w:keepLines/>
      <w:spacing w:before="40"/>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link w:val="Heading3Char"/>
    <w:qFormat/>
    <w:rsid w:val="001D4B8F"/>
    <w:pPr>
      <w:keepNext/>
      <w:ind w:left="720"/>
      <w:jc w:val="both"/>
      <w:outlineLvl w:val="2"/>
    </w:pPr>
    <w:rPr>
      <w:rFonts w:ascii="Tahoma" w:hAnsi="Tahoma" w:cs="Tahoma"/>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F8B"/>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305F8B"/>
  </w:style>
  <w:style w:type="paragraph" w:styleId="Footer">
    <w:name w:val="footer"/>
    <w:basedOn w:val="Normal"/>
    <w:link w:val="FooterChar"/>
    <w:uiPriority w:val="99"/>
    <w:unhideWhenUsed/>
    <w:rsid w:val="00305F8B"/>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305F8B"/>
  </w:style>
  <w:style w:type="paragraph" w:styleId="BalloonText">
    <w:name w:val="Balloon Text"/>
    <w:basedOn w:val="Normal"/>
    <w:link w:val="BalloonTextChar"/>
    <w:uiPriority w:val="99"/>
    <w:semiHidden/>
    <w:unhideWhenUsed/>
    <w:rsid w:val="00305F8B"/>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305F8B"/>
    <w:rPr>
      <w:rFonts w:ascii="Tahoma" w:hAnsi="Tahoma" w:cs="Tahoma"/>
      <w:sz w:val="16"/>
      <w:szCs w:val="16"/>
    </w:rPr>
  </w:style>
  <w:style w:type="character" w:customStyle="1" w:styleId="Heading3Char">
    <w:name w:val="Heading 3 Char"/>
    <w:basedOn w:val="DefaultParagraphFont"/>
    <w:link w:val="Heading3"/>
    <w:rsid w:val="001D4B8F"/>
    <w:rPr>
      <w:rFonts w:ascii="Tahoma" w:eastAsia="SimSun" w:hAnsi="Tahoma" w:cs="Tahoma"/>
      <w:b/>
      <w:bCs/>
      <w:sz w:val="20"/>
      <w:szCs w:val="20"/>
      <w:lang w:eastAsia="zh-CN"/>
    </w:rPr>
  </w:style>
  <w:style w:type="paragraph" w:styleId="NormalWeb">
    <w:name w:val="Normal (Web)"/>
    <w:basedOn w:val="Normal"/>
    <w:rsid w:val="001D4B8F"/>
    <w:pPr>
      <w:spacing w:before="100" w:beforeAutospacing="1" w:after="100" w:afterAutospacing="1"/>
    </w:pPr>
    <w:rPr>
      <w:rFonts w:ascii="Georgia" w:hAnsi="Georgia"/>
      <w:color w:val="000000"/>
      <w:sz w:val="21"/>
      <w:szCs w:val="21"/>
    </w:rPr>
  </w:style>
  <w:style w:type="paragraph" w:styleId="FootnoteText">
    <w:name w:val="footnote text"/>
    <w:basedOn w:val="Normal"/>
    <w:link w:val="FootnoteTextChar"/>
    <w:uiPriority w:val="99"/>
    <w:unhideWhenUsed/>
    <w:rsid w:val="0026600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26600C"/>
    <w:rPr>
      <w:sz w:val="20"/>
      <w:szCs w:val="20"/>
    </w:rPr>
  </w:style>
  <w:style w:type="character" w:styleId="FootnoteReference">
    <w:name w:val="footnote reference"/>
    <w:basedOn w:val="DefaultParagraphFont"/>
    <w:uiPriority w:val="99"/>
    <w:semiHidden/>
    <w:unhideWhenUsed/>
    <w:rsid w:val="0026600C"/>
    <w:rPr>
      <w:vertAlign w:val="superscript"/>
    </w:rPr>
  </w:style>
  <w:style w:type="character" w:styleId="Hyperlink">
    <w:name w:val="Hyperlink"/>
    <w:basedOn w:val="DefaultParagraphFont"/>
    <w:uiPriority w:val="99"/>
    <w:unhideWhenUsed/>
    <w:rsid w:val="000115BF"/>
    <w:rPr>
      <w:color w:val="0000FF" w:themeColor="hyperlink"/>
      <w:u w:val="single"/>
    </w:rPr>
  </w:style>
  <w:style w:type="character" w:customStyle="1" w:styleId="Heading1Char">
    <w:name w:val="Heading 1 Char"/>
    <w:basedOn w:val="DefaultParagraphFont"/>
    <w:link w:val="Heading1"/>
    <w:uiPriority w:val="9"/>
    <w:rsid w:val="00D5693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6932"/>
    <w:rPr>
      <w:rFonts w:asciiTheme="majorHAnsi" w:eastAsiaTheme="majorEastAsia" w:hAnsiTheme="majorHAnsi" w:cstheme="majorBidi"/>
      <w:color w:val="365F91" w:themeColor="accent1" w:themeShade="BF"/>
      <w:sz w:val="26"/>
      <w:szCs w:val="26"/>
    </w:rPr>
  </w:style>
  <w:style w:type="paragraph" w:customStyle="1" w:styleId="EndNoteBibliography">
    <w:name w:val="EndNote Bibliography"/>
    <w:basedOn w:val="Normal"/>
    <w:link w:val="EndNoteBibliographyChar"/>
    <w:rsid w:val="00D56932"/>
    <w:rPr>
      <w:rFonts w:ascii="Georgia" w:eastAsiaTheme="minorHAnsi" w:hAnsi="Georgia" w:cs="Calibri"/>
      <w:sz w:val="20"/>
      <w:lang w:val="en-US" w:eastAsia="en-US"/>
    </w:rPr>
  </w:style>
  <w:style w:type="character" w:customStyle="1" w:styleId="EndNoteBibliographyChar">
    <w:name w:val="EndNote Bibliography Char"/>
    <w:basedOn w:val="DefaultParagraphFont"/>
    <w:link w:val="EndNoteBibliography"/>
    <w:rsid w:val="00D56932"/>
    <w:rPr>
      <w:rFonts w:ascii="Georgia" w:hAnsi="Georgia" w:cs="Calibri"/>
      <w:sz w:val="20"/>
      <w:szCs w:val="24"/>
      <w:lang w:val="en-US"/>
    </w:rPr>
  </w:style>
  <w:style w:type="paragraph" w:customStyle="1" w:styleId="EndNoteBibliographyTitle">
    <w:name w:val="EndNote Bibliography Title"/>
    <w:basedOn w:val="Normal"/>
    <w:link w:val="EndNoteBibliographyTitleChar"/>
    <w:rsid w:val="00F93AC9"/>
    <w:pPr>
      <w:jc w:val="center"/>
    </w:pPr>
    <w:rPr>
      <w:rFonts w:ascii="Georgia" w:hAnsi="Georgia"/>
      <w:sz w:val="20"/>
    </w:rPr>
  </w:style>
  <w:style w:type="character" w:customStyle="1" w:styleId="EndNoteBibliographyTitleChar">
    <w:name w:val="EndNote Bibliography Title Char"/>
    <w:basedOn w:val="FootnoteTextChar"/>
    <w:link w:val="EndNoteBibliographyTitle"/>
    <w:rsid w:val="00F93AC9"/>
    <w:rPr>
      <w:rFonts w:ascii="Georgia" w:eastAsia="SimSun" w:hAnsi="Georgia" w:cs="Times New Roman"/>
      <w:sz w:val="20"/>
      <w:szCs w:val="24"/>
      <w:lang w:eastAsia="zh-CN"/>
    </w:rPr>
  </w:style>
  <w:style w:type="character" w:styleId="UnresolvedMention">
    <w:name w:val="Unresolved Mention"/>
    <w:basedOn w:val="DefaultParagraphFont"/>
    <w:uiPriority w:val="99"/>
    <w:semiHidden/>
    <w:unhideWhenUsed/>
    <w:rsid w:val="00F93AC9"/>
    <w:rPr>
      <w:color w:val="808080"/>
      <w:shd w:val="clear" w:color="auto" w:fill="E6E6E6"/>
    </w:rPr>
  </w:style>
  <w:style w:type="character" w:customStyle="1" w:styleId="w">
    <w:name w:val="w"/>
    <w:basedOn w:val="DefaultParagraphFont"/>
    <w:rsid w:val="00ED546B"/>
  </w:style>
  <w:style w:type="character" w:customStyle="1" w:styleId="apple-converted-space">
    <w:name w:val="apple-converted-space"/>
    <w:basedOn w:val="DefaultParagraphFont"/>
    <w:rsid w:val="00ED546B"/>
  </w:style>
  <w:style w:type="character" w:customStyle="1" w:styleId="cell">
    <w:name w:val="cell"/>
    <w:basedOn w:val="DefaultParagraphFont"/>
    <w:rsid w:val="00ED546B"/>
  </w:style>
  <w:style w:type="character" w:customStyle="1" w:styleId="r">
    <w:name w:val="r"/>
    <w:basedOn w:val="DefaultParagraphFont"/>
    <w:rsid w:val="00ED546B"/>
  </w:style>
  <w:style w:type="paragraph" w:customStyle="1" w:styleId="refline">
    <w:name w:val="refline"/>
    <w:basedOn w:val="Normal"/>
    <w:rsid w:val="00ED546B"/>
    <w:pPr>
      <w:spacing w:before="100" w:beforeAutospacing="1" w:after="100" w:afterAutospacing="1"/>
    </w:pPr>
    <w:rPr>
      <w:rFonts w:eastAsia="Times New Roman"/>
      <w:lang w:eastAsia="en-US"/>
    </w:rPr>
  </w:style>
  <w:style w:type="paragraph" w:customStyle="1" w:styleId="label">
    <w:name w:val="label"/>
    <w:basedOn w:val="Normal"/>
    <w:rsid w:val="00ED546B"/>
    <w:pPr>
      <w:spacing w:before="100" w:beforeAutospacing="1" w:after="100" w:afterAutospacing="1"/>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075059">
      <w:bodyDiv w:val="1"/>
      <w:marLeft w:val="0"/>
      <w:marRight w:val="0"/>
      <w:marTop w:val="0"/>
      <w:marBottom w:val="0"/>
      <w:divBdr>
        <w:top w:val="none" w:sz="0" w:space="0" w:color="auto"/>
        <w:left w:val="none" w:sz="0" w:space="0" w:color="auto"/>
        <w:bottom w:val="none" w:sz="0" w:space="0" w:color="auto"/>
        <w:right w:val="none" w:sz="0" w:space="0" w:color="auto"/>
      </w:divBdr>
    </w:div>
    <w:div w:id="1661423839">
      <w:bodyDiv w:val="1"/>
      <w:marLeft w:val="0"/>
      <w:marRight w:val="0"/>
      <w:marTop w:val="0"/>
      <w:marBottom w:val="0"/>
      <w:divBdr>
        <w:top w:val="none" w:sz="0" w:space="0" w:color="auto"/>
        <w:left w:val="none" w:sz="0" w:space="0" w:color="auto"/>
        <w:bottom w:val="none" w:sz="0" w:space="0" w:color="auto"/>
        <w:right w:val="none" w:sz="0" w:space="0" w:color="auto"/>
      </w:divBdr>
    </w:div>
    <w:div w:id="170498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sacred-texts.com/ane/enuma.htm" TargetMode="External"/><Relationship Id="rId2" Type="http://schemas.openxmlformats.org/officeDocument/2006/relationships/hyperlink" Target="https://www.hayhouse.com/authorbio/yasmin-boland" TargetMode="External"/><Relationship Id="rId1" Type="http://schemas.openxmlformats.org/officeDocument/2006/relationships/hyperlink" Target="http://oracc.museum.upenn.edu/saao/saa08/p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2DCBD-F64E-B54A-9CAD-42EC815FD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2304</Words>
  <Characters>13138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Ginty</dc:creator>
  <cp:lastModifiedBy>Jacqueline Ginty</cp:lastModifiedBy>
  <cp:revision>3</cp:revision>
  <cp:lastPrinted>2020-02-27T21:37:00Z</cp:lastPrinted>
  <dcterms:created xsi:type="dcterms:W3CDTF">2020-03-01T12:26:00Z</dcterms:created>
  <dcterms:modified xsi:type="dcterms:W3CDTF">2020-03-01T12:33:00Z</dcterms:modified>
</cp:coreProperties>
</file>