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951F8B" w14:textId="77777777" w:rsidR="000547E9" w:rsidRPr="000547E9" w:rsidRDefault="000547E9" w:rsidP="000547E9">
      <w:pPr>
        <w:pStyle w:val="Heading1"/>
        <w:rPr>
          <w:rFonts w:ascii="Arial" w:hAnsi="Arial" w:cs="Arial"/>
          <w:b/>
          <w:bCs/>
          <w:sz w:val="28"/>
          <w:szCs w:val="28"/>
          <w:lang w:val="en-IN"/>
        </w:rPr>
      </w:pPr>
      <w:bookmarkStart w:id="0" w:name="_Toc160294890"/>
      <w:r w:rsidRPr="000547E9">
        <w:rPr>
          <w:rFonts w:ascii="Arial" w:hAnsi="Arial" w:cs="Arial"/>
          <w:b/>
          <w:bCs/>
          <w:sz w:val="28"/>
          <w:szCs w:val="28"/>
          <w:lang w:val="en-IN"/>
        </w:rPr>
        <w:t>Part B</w:t>
      </w:r>
      <w:bookmarkEnd w:id="0"/>
    </w:p>
    <w:p w14:paraId="6CE7EB7D" w14:textId="77777777" w:rsidR="000547E9" w:rsidRPr="000547E9" w:rsidRDefault="000547E9" w:rsidP="000547E9">
      <w:pPr>
        <w:pStyle w:val="Heading2"/>
        <w:rPr>
          <w:rFonts w:ascii="Arial" w:hAnsi="Arial" w:cs="Arial"/>
          <w:b/>
          <w:bCs/>
          <w:sz w:val="28"/>
          <w:szCs w:val="28"/>
        </w:rPr>
      </w:pPr>
      <w:bookmarkStart w:id="1" w:name="_Toc160294891"/>
      <w:r w:rsidRPr="000547E9">
        <w:rPr>
          <w:rFonts w:ascii="Arial" w:hAnsi="Arial" w:cs="Arial"/>
          <w:b/>
          <w:bCs/>
          <w:sz w:val="28"/>
          <w:szCs w:val="28"/>
        </w:rPr>
        <w:t>Calculation of financial ratios</w:t>
      </w:r>
      <w:bookmarkEnd w:id="1"/>
    </w:p>
    <w:p w14:paraId="18420C01" w14:textId="77777777" w:rsidR="000547E9" w:rsidRDefault="000547E9" w:rsidP="000547E9">
      <w:pPr>
        <w:keepNext/>
        <w:jc w:val="center"/>
      </w:pPr>
      <w:r>
        <w:rPr>
          <w:noProof/>
        </w:rPr>
        <w:drawing>
          <wp:inline distT="0" distB="0" distL="0" distR="0" wp14:anchorId="6457FA07" wp14:editId="1E1FDBAD">
            <wp:extent cx="4508500" cy="3005500"/>
            <wp:effectExtent l="0" t="0" r="6350" b="4445"/>
            <wp:docPr id="1828514655" name="Picture 2" descr="5 Key Financial Ratios Used in Construction Business - The Constru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Key Financial Ratios Used in Construction Business - The Construct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10708" cy="3006972"/>
                    </a:xfrm>
                    <a:prstGeom prst="rect">
                      <a:avLst/>
                    </a:prstGeom>
                    <a:noFill/>
                    <a:ln>
                      <a:noFill/>
                    </a:ln>
                  </pic:spPr>
                </pic:pic>
              </a:graphicData>
            </a:graphic>
          </wp:inline>
        </w:drawing>
      </w:r>
    </w:p>
    <w:p w14:paraId="38D343ED" w14:textId="77777777" w:rsidR="000547E9" w:rsidRPr="00DE246C" w:rsidRDefault="000547E9" w:rsidP="000547E9">
      <w:pPr>
        <w:jc w:val="center"/>
        <w:rPr>
          <w:rFonts w:ascii="Arial" w:hAnsi="Arial" w:cs="Arial"/>
          <w:sz w:val="22"/>
          <w:szCs w:val="22"/>
        </w:rPr>
      </w:pPr>
      <w:bookmarkStart w:id="2" w:name="_Toc160295318"/>
      <w:r w:rsidRPr="00DE246C">
        <w:rPr>
          <w:rFonts w:ascii="Arial" w:hAnsi="Arial" w:cs="Arial"/>
          <w:sz w:val="22"/>
          <w:szCs w:val="22"/>
        </w:rPr>
        <w:t xml:space="preserve">Figure </w:t>
      </w:r>
      <w:r w:rsidRPr="00DE246C">
        <w:rPr>
          <w:rFonts w:ascii="Arial" w:hAnsi="Arial" w:cs="Arial"/>
          <w:sz w:val="22"/>
          <w:szCs w:val="22"/>
        </w:rPr>
        <w:fldChar w:fldCharType="begin"/>
      </w:r>
      <w:r w:rsidRPr="00DE246C">
        <w:rPr>
          <w:rFonts w:ascii="Arial" w:hAnsi="Arial" w:cs="Arial"/>
          <w:sz w:val="22"/>
          <w:szCs w:val="22"/>
        </w:rPr>
        <w:instrText xml:space="preserve"> SEQ Figure \* ARABIC </w:instrText>
      </w:r>
      <w:r w:rsidRPr="00DE246C">
        <w:rPr>
          <w:rFonts w:ascii="Arial" w:hAnsi="Arial" w:cs="Arial"/>
          <w:sz w:val="22"/>
          <w:szCs w:val="22"/>
        </w:rPr>
        <w:fldChar w:fldCharType="separate"/>
      </w:r>
      <w:r w:rsidRPr="00DE246C">
        <w:rPr>
          <w:rFonts w:ascii="Arial" w:hAnsi="Arial" w:cs="Arial"/>
          <w:noProof/>
          <w:sz w:val="22"/>
          <w:szCs w:val="22"/>
        </w:rPr>
        <w:t>2</w:t>
      </w:r>
      <w:r w:rsidRPr="00DE246C">
        <w:rPr>
          <w:rFonts w:ascii="Arial" w:hAnsi="Arial" w:cs="Arial"/>
          <w:sz w:val="22"/>
          <w:szCs w:val="22"/>
        </w:rPr>
        <w:fldChar w:fldCharType="end"/>
      </w:r>
      <w:r w:rsidRPr="00DE246C">
        <w:rPr>
          <w:rFonts w:ascii="Arial" w:hAnsi="Arial" w:cs="Arial"/>
          <w:sz w:val="22"/>
          <w:szCs w:val="22"/>
        </w:rPr>
        <w:t xml:space="preserve"> Financial Ratios</w:t>
      </w:r>
      <w:bookmarkEnd w:id="2"/>
      <w:r w:rsidRPr="00DE246C">
        <w:rPr>
          <w:rFonts w:ascii="Arial" w:hAnsi="Arial" w:cs="Arial"/>
          <w:sz w:val="22"/>
          <w:szCs w:val="22"/>
        </w:rPr>
        <w:t xml:space="preserve"> </w:t>
      </w:r>
    </w:p>
    <w:p w14:paraId="1BE1B277" w14:textId="77777777" w:rsidR="000547E9" w:rsidRPr="00DE246C" w:rsidRDefault="000547E9" w:rsidP="000547E9">
      <w:pPr>
        <w:jc w:val="center"/>
        <w:rPr>
          <w:rFonts w:ascii="Arial" w:hAnsi="Arial" w:cs="Arial"/>
          <w:sz w:val="22"/>
          <w:szCs w:val="22"/>
          <w:lang w:val="en-IN"/>
        </w:rPr>
      </w:pPr>
      <w:r w:rsidRPr="00DE246C">
        <w:rPr>
          <w:rFonts w:ascii="Arial" w:hAnsi="Arial" w:cs="Arial"/>
          <w:sz w:val="22"/>
          <w:szCs w:val="22"/>
        </w:rPr>
        <w:t>Source:(theconstructor.org, 2021)</w:t>
      </w:r>
    </w:p>
    <w:p w14:paraId="3C885121" w14:textId="77777777" w:rsidR="000547E9" w:rsidRPr="00E93281" w:rsidRDefault="000547E9" w:rsidP="000547E9">
      <w:pPr>
        <w:pStyle w:val="ListParagraph"/>
        <w:numPr>
          <w:ilvl w:val="0"/>
          <w:numId w:val="2"/>
        </w:numPr>
        <w:rPr>
          <w:b/>
          <w:bCs/>
          <w:lang w:val="en-IN"/>
        </w:rPr>
      </w:pPr>
      <w:r w:rsidRPr="00E93281">
        <w:rPr>
          <w:b/>
          <w:bCs/>
          <w:lang w:val="en-IN"/>
        </w:rPr>
        <w:t>Profitability Ratio - Return on Equity (ROE)</w:t>
      </w:r>
    </w:p>
    <w:p w14:paraId="549D26EB"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ROE measures a company's ability to generate profits from its shareholders' equity.</w:t>
      </w:r>
    </w:p>
    <w:p w14:paraId="2BEAED99"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Formula</w:t>
      </w:r>
      <w:r w:rsidRPr="00DE246C">
        <w:rPr>
          <w:rFonts w:ascii="Arial" w:hAnsi="Arial" w:cs="Arial"/>
          <w:sz w:val="22"/>
          <w:szCs w:val="22"/>
          <w:lang w:val="en-IN"/>
        </w:rPr>
        <w:t>: ROE = Net Income / Shareholders' Equity</w:t>
      </w:r>
    </w:p>
    <w:p w14:paraId="6EA9D375" w14:textId="77777777" w:rsidR="000547E9" w:rsidRPr="00DE246C" w:rsidRDefault="000547E9" w:rsidP="000547E9">
      <w:pPr>
        <w:pStyle w:val="ListParagraph"/>
        <w:numPr>
          <w:ilvl w:val="0"/>
          <w:numId w:val="1"/>
        </w:numPr>
        <w:rPr>
          <w:rFonts w:ascii="Arial" w:hAnsi="Arial" w:cs="Arial"/>
          <w:sz w:val="22"/>
          <w:szCs w:val="22"/>
          <w:lang w:val="en-IN"/>
        </w:rPr>
      </w:pPr>
      <w:r w:rsidRPr="00DE246C">
        <w:rPr>
          <w:rFonts w:ascii="Arial" w:hAnsi="Arial" w:cs="Arial"/>
          <w:sz w:val="22"/>
          <w:szCs w:val="22"/>
          <w:lang w:val="en-IN"/>
        </w:rPr>
        <w:t>Net Income (2023): £5,323 million</w:t>
      </w:r>
    </w:p>
    <w:p w14:paraId="04221749" w14:textId="77777777" w:rsidR="000547E9" w:rsidRPr="00DE246C" w:rsidRDefault="000547E9" w:rsidP="000547E9">
      <w:pPr>
        <w:pStyle w:val="ListParagraph"/>
        <w:numPr>
          <w:ilvl w:val="0"/>
          <w:numId w:val="1"/>
        </w:numPr>
        <w:rPr>
          <w:rFonts w:ascii="Arial" w:hAnsi="Arial" w:cs="Arial"/>
          <w:sz w:val="22"/>
          <w:szCs w:val="22"/>
          <w:lang w:val="en-IN"/>
        </w:rPr>
      </w:pPr>
      <w:r w:rsidRPr="00DE246C">
        <w:rPr>
          <w:rFonts w:ascii="Arial" w:hAnsi="Arial" w:cs="Arial"/>
          <w:sz w:val="22"/>
          <w:szCs w:val="22"/>
          <w:lang w:val="en-IN"/>
        </w:rPr>
        <w:t>Shareholders' Equity: Equity attributable to equity holders of the parent (£42,774 million) + non-controlling interests (£64 million) = £42,838 million</w:t>
      </w:r>
    </w:p>
    <w:p w14:paraId="2AE3EEAA"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Calculation</w:t>
      </w:r>
      <w:r w:rsidRPr="00DE246C">
        <w:rPr>
          <w:rFonts w:ascii="Arial" w:hAnsi="Arial" w:cs="Arial"/>
          <w:sz w:val="22"/>
          <w:szCs w:val="22"/>
          <w:lang w:val="en-IN"/>
        </w:rPr>
        <w:t xml:space="preserve"> </w:t>
      </w:r>
    </w:p>
    <w:p w14:paraId="0547AA81"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ROE = £5,323 million / £42,838 million = 0.124</w:t>
      </w:r>
    </w:p>
    <w:p w14:paraId="2964D9ED" w14:textId="77777777" w:rsidR="000547E9" w:rsidRPr="00DE246C" w:rsidRDefault="000547E9" w:rsidP="000547E9">
      <w:pPr>
        <w:pStyle w:val="ListParagraph"/>
        <w:numPr>
          <w:ilvl w:val="0"/>
          <w:numId w:val="3"/>
        </w:numPr>
        <w:rPr>
          <w:rFonts w:ascii="Arial" w:hAnsi="Arial" w:cs="Arial"/>
          <w:b/>
          <w:bCs/>
          <w:sz w:val="22"/>
          <w:szCs w:val="22"/>
          <w:lang w:val="en-IN"/>
        </w:rPr>
      </w:pPr>
      <w:r w:rsidRPr="00DE246C">
        <w:rPr>
          <w:rFonts w:ascii="Arial" w:hAnsi="Arial" w:cs="Arial"/>
          <w:b/>
          <w:bCs/>
          <w:sz w:val="22"/>
          <w:szCs w:val="22"/>
          <w:lang w:val="en-IN"/>
        </w:rPr>
        <w:t>Liquidity Ratio: Current Ratio</w:t>
      </w:r>
    </w:p>
    <w:p w14:paraId="1D092261" w14:textId="77777777" w:rsidR="000547E9" w:rsidRPr="00DE246C" w:rsidRDefault="000547E9" w:rsidP="000547E9">
      <w:pPr>
        <w:rPr>
          <w:rFonts w:ascii="Arial" w:hAnsi="Arial" w:cs="Arial"/>
          <w:sz w:val="22"/>
          <w:szCs w:val="22"/>
          <w:lang w:val="en-IN" w:eastAsia="en-IN"/>
        </w:rPr>
      </w:pPr>
      <w:r w:rsidRPr="00DE246C">
        <w:rPr>
          <w:rFonts w:ascii="Arial" w:hAnsi="Arial" w:cs="Arial"/>
          <w:sz w:val="22"/>
          <w:szCs w:val="22"/>
          <w:lang w:val="en-IN" w:eastAsia="en-IN"/>
        </w:rPr>
        <w:t>A company's capacity to settle its short-term debts with its short-term assets is gauged by its current ratio. It is computed by dividing current liabilities by current assets.</w:t>
      </w:r>
    </w:p>
    <w:p w14:paraId="0278AF72" w14:textId="77777777" w:rsidR="000547E9" w:rsidRPr="00DE246C" w:rsidRDefault="000547E9" w:rsidP="000547E9">
      <w:pPr>
        <w:rPr>
          <w:rFonts w:ascii="Arial" w:hAnsi="Arial" w:cs="Arial"/>
          <w:b/>
          <w:bCs/>
          <w:sz w:val="22"/>
          <w:szCs w:val="22"/>
          <w:lang w:val="en-IN" w:eastAsia="en-IN"/>
        </w:rPr>
      </w:pPr>
      <w:r w:rsidRPr="00DE246C">
        <w:rPr>
          <w:rFonts w:ascii="Arial" w:hAnsi="Arial" w:cs="Arial"/>
          <w:b/>
          <w:bCs/>
          <w:sz w:val="22"/>
          <w:szCs w:val="22"/>
          <w:lang w:val="en-IN" w:eastAsia="en-IN"/>
        </w:rPr>
        <w:t xml:space="preserve">Formula: </w:t>
      </w:r>
      <w:r w:rsidRPr="00DE246C">
        <w:rPr>
          <w:rFonts w:ascii="Arial" w:hAnsi="Arial" w:cs="Arial"/>
          <w:sz w:val="22"/>
          <w:szCs w:val="22"/>
          <w:lang w:val="en-IN" w:eastAsia="en-IN"/>
        </w:rPr>
        <w:t>Current Ratio = Current assets / Current Liabilities</w:t>
      </w:r>
      <w:r w:rsidRPr="00DE246C">
        <w:rPr>
          <w:rFonts w:ascii="Arial" w:hAnsi="Arial" w:cs="Arial"/>
          <w:b/>
          <w:bCs/>
          <w:sz w:val="22"/>
          <w:szCs w:val="22"/>
          <w:lang w:val="en-IN" w:eastAsia="en-IN"/>
        </w:rPr>
        <w:t xml:space="preserve"> </w:t>
      </w:r>
    </w:p>
    <w:p w14:paraId="6AEF5179" w14:textId="77777777" w:rsidR="000547E9" w:rsidRPr="00DE246C" w:rsidRDefault="000547E9" w:rsidP="000547E9">
      <w:pPr>
        <w:pStyle w:val="ListParagraph"/>
        <w:numPr>
          <w:ilvl w:val="0"/>
          <w:numId w:val="3"/>
        </w:numPr>
        <w:rPr>
          <w:rFonts w:ascii="Arial" w:hAnsi="Arial" w:cs="Arial"/>
          <w:sz w:val="22"/>
          <w:szCs w:val="22"/>
          <w:lang w:val="en-IN" w:eastAsia="en-IN"/>
        </w:rPr>
      </w:pPr>
      <w:r w:rsidRPr="00DE246C">
        <w:rPr>
          <w:rFonts w:ascii="Arial" w:hAnsi="Arial" w:cs="Arial"/>
          <w:sz w:val="22"/>
          <w:szCs w:val="22"/>
          <w:lang w:val="en-IN" w:eastAsia="en-IN"/>
        </w:rPr>
        <w:t>Current Assets = £120,000 million</w:t>
      </w:r>
    </w:p>
    <w:p w14:paraId="7A157D7A" w14:textId="77777777" w:rsidR="000547E9" w:rsidRPr="00DE246C" w:rsidRDefault="000547E9" w:rsidP="000547E9">
      <w:pPr>
        <w:pStyle w:val="ListParagraph"/>
        <w:numPr>
          <w:ilvl w:val="0"/>
          <w:numId w:val="3"/>
        </w:numPr>
        <w:rPr>
          <w:rFonts w:ascii="Arial" w:hAnsi="Arial" w:cs="Arial"/>
          <w:sz w:val="22"/>
          <w:szCs w:val="22"/>
          <w:lang w:val="en-IN" w:eastAsia="en-IN"/>
        </w:rPr>
      </w:pPr>
      <w:r w:rsidRPr="00DE246C">
        <w:rPr>
          <w:rFonts w:ascii="Arial" w:hAnsi="Arial" w:cs="Arial"/>
          <w:sz w:val="22"/>
          <w:szCs w:val="22"/>
          <w:lang w:val="en-IN" w:eastAsia="en-IN"/>
        </w:rPr>
        <w:lastRenderedPageBreak/>
        <w:t>Current Liabilities = £110,000 million</w:t>
      </w:r>
    </w:p>
    <w:p w14:paraId="257B9F18" w14:textId="77777777" w:rsidR="000547E9" w:rsidRPr="00DE246C" w:rsidRDefault="000547E9" w:rsidP="000547E9">
      <w:pPr>
        <w:rPr>
          <w:rFonts w:ascii="Arial" w:hAnsi="Arial" w:cs="Arial"/>
          <w:b/>
          <w:bCs/>
          <w:sz w:val="22"/>
          <w:szCs w:val="22"/>
          <w:lang w:val="en-IN" w:eastAsia="en-IN"/>
        </w:rPr>
      </w:pPr>
      <w:r w:rsidRPr="00DE246C">
        <w:rPr>
          <w:rFonts w:ascii="Arial" w:hAnsi="Arial" w:cs="Arial"/>
          <w:b/>
          <w:bCs/>
          <w:sz w:val="22"/>
          <w:szCs w:val="22"/>
          <w:lang w:val="en-IN" w:eastAsia="en-IN"/>
        </w:rPr>
        <w:t xml:space="preserve">Calculation </w:t>
      </w:r>
    </w:p>
    <w:p w14:paraId="1293133E" w14:textId="77777777" w:rsidR="000547E9" w:rsidRPr="00DE246C" w:rsidRDefault="000547E9" w:rsidP="000547E9">
      <w:pPr>
        <w:rPr>
          <w:rFonts w:ascii="Arial" w:hAnsi="Arial" w:cs="Arial"/>
          <w:sz w:val="22"/>
          <w:szCs w:val="22"/>
          <w:lang w:val="en-IN" w:eastAsia="en-IN"/>
        </w:rPr>
      </w:pPr>
      <w:r w:rsidRPr="00DE246C">
        <w:rPr>
          <w:rFonts w:ascii="Arial" w:hAnsi="Arial" w:cs="Arial"/>
          <w:sz w:val="22"/>
          <w:szCs w:val="22"/>
          <w:lang w:val="en-IN" w:eastAsia="en-IN"/>
        </w:rPr>
        <w:t>Current Ratio</w:t>
      </w:r>
      <w:r w:rsidRPr="00DE246C">
        <w:rPr>
          <w:rFonts w:ascii="Arial" w:hAnsi="Arial" w:cs="Arial"/>
          <w:b/>
          <w:bCs/>
          <w:sz w:val="22"/>
          <w:szCs w:val="22"/>
          <w:lang w:val="en-IN" w:eastAsia="en-IN"/>
        </w:rPr>
        <w:t xml:space="preserve"> = </w:t>
      </w:r>
      <w:r w:rsidRPr="00DE246C">
        <w:rPr>
          <w:rFonts w:ascii="Arial" w:hAnsi="Arial" w:cs="Arial"/>
          <w:sz w:val="22"/>
          <w:szCs w:val="22"/>
          <w:lang w:val="en-IN" w:eastAsia="en-IN"/>
        </w:rPr>
        <w:t>110.000 million / 120,000 million</w:t>
      </w:r>
      <w:r w:rsidRPr="00DE246C">
        <w:rPr>
          <w:rFonts w:ascii="Arial" w:hAnsi="Arial" w:cs="Arial"/>
          <w:b/>
          <w:bCs/>
          <w:sz w:val="22"/>
          <w:szCs w:val="22"/>
          <w:lang w:val="en-IN" w:eastAsia="en-IN"/>
        </w:rPr>
        <w:t xml:space="preserve"> </w:t>
      </w:r>
      <w:r w:rsidRPr="00DE246C">
        <w:rPr>
          <w:rFonts w:ascii="Arial" w:hAnsi="Arial" w:cs="Arial"/>
          <w:sz w:val="22"/>
          <w:szCs w:val="22"/>
          <w:lang w:val="en-IN" w:eastAsia="en-IN"/>
        </w:rPr>
        <w:t>= £1.09</w:t>
      </w:r>
    </w:p>
    <w:p w14:paraId="2F55FBDB" w14:textId="77777777" w:rsidR="000547E9" w:rsidRPr="00DE246C" w:rsidRDefault="000547E9" w:rsidP="000547E9">
      <w:pPr>
        <w:pStyle w:val="ListParagraph"/>
        <w:numPr>
          <w:ilvl w:val="0"/>
          <w:numId w:val="4"/>
        </w:numPr>
        <w:rPr>
          <w:rFonts w:ascii="Arial" w:hAnsi="Arial" w:cs="Arial"/>
          <w:b/>
          <w:bCs/>
          <w:sz w:val="22"/>
          <w:szCs w:val="22"/>
          <w:lang w:val="en-IN" w:eastAsia="en-IN"/>
        </w:rPr>
      </w:pPr>
      <w:r w:rsidRPr="00DE246C">
        <w:rPr>
          <w:rFonts w:ascii="Arial" w:hAnsi="Arial" w:cs="Arial"/>
          <w:b/>
          <w:bCs/>
          <w:sz w:val="22"/>
          <w:szCs w:val="22"/>
          <w:lang w:val="en-IN" w:eastAsia="en-IN"/>
        </w:rPr>
        <w:t>Gearing Ratio: Debt-to-Equity Ratio</w:t>
      </w:r>
    </w:p>
    <w:p w14:paraId="10ABBB3B" w14:textId="77777777" w:rsidR="000547E9" w:rsidRPr="00DE246C" w:rsidRDefault="000547E9" w:rsidP="000547E9">
      <w:pPr>
        <w:rPr>
          <w:rFonts w:ascii="Arial" w:hAnsi="Arial" w:cs="Arial"/>
          <w:sz w:val="22"/>
          <w:szCs w:val="22"/>
          <w:lang w:val="en-IN" w:eastAsia="en-IN"/>
        </w:rPr>
      </w:pPr>
      <w:r w:rsidRPr="00DE246C">
        <w:rPr>
          <w:rFonts w:ascii="Arial" w:hAnsi="Arial" w:cs="Arial"/>
          <w:sz w:val="22"/>
          <w:szCs w:val="22"/>
          <w:lang w:val="en-IN" w:eastAsia="en-IN"/>
        </w:rPr>
        <w:t>This ratio measures a company's financial leverage by comparing its total liabilities to its shareholders' equity.</w:t>
      </w:r>
    </w:p>
    <w:p w14:paraId="273A8287" w14:textId="77777777" w:rsidR="000547E9" w:rsidRPr="00DE246C" w:rsidRDefault="000547E9" w:rsidP="000547E9">
      <w:pPr>
        <w:rPr>
          <w:rFonts w:ascii="Arial" w:hAnsi="Arial" w:cs="Arial"/>
          <w:sz w:val="22"/>
          <w:szCs w:val="22"/>
          <w:lang w:val="en-IN" w:eastAsia="en-IN"/>
        </w:rPr>
      </w:pPr>
      <w:r w:rsidRPr="00DE246C">
        <w:rPr>
          <w:rFonts w:ascii="Arial" w:hAnsi="Arial" w:cs="Arial"/>
          <w:b/>
          <w:bCs/>
          <w:sz w:val="22"/>
          <w:szCs w:val="22"/>
          <w:lang w:val="en-IN" w:eastAsia="en-IN"/>
        </w:rPr>
        <w:t xml:space="preserve">Formula: </w:t>
      </w:r>
      <w:r w:rsidRPr="00DE246C">
        <w:rPr>
          <w:rFonts w:ascii="Arial" w:hAnsi="Arial" w:cs="Arial"/>
          <w:sz w:val="22"/>
          <w:szCs w:val="22"/>
          <w:lang w:val="en-IN" w:eastAsia="en-IN"/>
        </w:rPr>
        <w:t xml:space="preserve"> Debt to Equity Ratio= Total Liabilities / Shareholders Equity</w:t>
      </w:r>
    </w:p>
    <w:p w14:paraId="0AAE4273" w14:textId="77777777" w:rsidR="000547E9" w:rsidRPr="00DE246C" w:rsidRDefault="000547E9" w:rsidP="000547E9">
      <w:pPr>
        <w:pStyle w:val="ListParagraph"/>
        <w:numPr>
          <w:ilvl w:val="0"/>
          <w:numId w:val="4"/>
        </w:numPr>
        <w:rPr>
          <w:rFonts w:ascii="Arial" w:hAnsi="Arial" w:cs="Arial"/>
          <w:sz w:val="22"/>
          <w:szCs w:val="22"/>
          <w:lang w:val="en-IN" w:eastAsia="en-IN"/>
        </w:rPr>
      </w:pPr>
      <w:r w:rsidRPr="00DE246C">
        <w:rPr>
          <w:rFonts w:ascii="Arial" w:hAnsi="Arial" w:cs="Arial"/>
          <w:sz w:val="22"/>
          <w:szCs w:val="22"/>
          <w:lang w:val="en-IN" w:eastAsia="en-IN"/>
        </w:rPr>
        <w:t>Total Liabilities = £1,200,000 million</w:t>
      </w:r>
    </w:p>
    <w:p w14:paraId="5A37DB3D" w14:textId="77777777" w:rsidR="000547E9" w:rsidRPr="00DE246C" w:rsidRDefault="000547E9" w:rsidP="000547E9">
      <w:pPr>
        <w:pStyle w:val="ListParagraph"/>
        <w:numPr>
          <w:ilvl w:val="0"/>
          <w:numId w:val="4"/>
        </w:numPr>
        <w:rPr>
          <w:rFonts w:ascii="Arial" w:hAnsi="Arial" w:cs="Arial"/>
          <w:sz w:val="22"/>
          <w:szCs w:val="22"/>
          <w:lang w:val="en-IN" w:eastAsia="en-IN"/>
        </w:rPr>
      </w:pPr>
      <w:r w:rsidRPr="00DE246C">
        <w:rPr>
          <w:rFonts w:ascii="Arial" w:hAnsi="Arial" w:cs="Arial"/>
          <w:sz w:val="22"/>
          <w:szCs w:val="22"/>
          <w:lang w:val="en-IN" w:eastAsia="en-IN"/>
        </w:rPr>
        <w:t>Shareholders equity = £63,492 million</w:t>
      </w:r>
    </w:p>
    <w:p w14:paraId="2BE2AC78" w14:textId="77777777" w:rsidR="000547E9" w:rsidRPr="00DE246C" w:rsidRDefault="000547E9" w:rsidP="000547E9">
      <w:pPr>
        <w:rPr>
          <w:rFonts w:ascii="Arial" w:hAnsi="Arial" w:cs="Arial"/>
          <w:b/>
          <w:bCs/>
          <w:sz w:val="22"/>
          <w:szCs w:val="22"/>
          <w:lang w:val="en-IN" w:eastAsia="en-IN"/>
        </w:rPr>
      </w:pPr>
      <w:r w:rsidRPr="00DE246C">
        <w:rPr>
          <w:rFonts w:ascii="Arial" w:hAnsi="Arial" w:cs="Arial"/>
          <w:b/>
          <w:bCs/>
          <w:sz w:val="22"/>
          <w:szCs w:val="22"/>
          <w:lang w:val="en-IN" w:eastAsia="en-IN"/>
        </w:rPr>
        <w:t xml:space="preserve">​Calculation </w:t>
      </w:r>
    </w:p>
    <w:p w14:paraId="31FF545B" w14:textId="77777777" w:rsidR="000547E9" w:rsidRPr="00DE246C" w:rsidRDefault="000547E9" w:rsidP="000547E9">
      <w:pPr>
        <w:rPr>
          <w:rFonts w:ascii="Arial" w:hAnsi="Arial" w:cs="Arial"/>
          <w:sz w:val="22"/>
          <w:szCs w:val="22"/>
          <w:lang w:val="en-IN" w:eastAsia="en-IN"/>
        </w:rPr>
      </w:pPr>
      <w:r w:rsidRPr="00DE246C">
        <w:rPr>
          <w:rFonts w:ascii="Arial" w:hAnsi="Arial" w:cs="Arial"/>
          <w:sz w:val="22"/>
          <w:szCs w:val="22"/>
          <w:lang w:val="en-IN" w:eastAsia="en-IN"/>
        </w:rPr>
        <w:t xml:space="preserve">Debt to Equity Ratio= 1,200,000 million / 63,492 million = 18.90 </w:t>
      </w:r>
    </w:p>
    <w:p w14:paraId="2B53FBF4" w14:textId="77777777" w:rsidR="000547E9" w:rsidRPr="00DE246C" w:rsidRDefault="000547E9" w:rsidP="000547E9">
      <w:pPr>
        <w:pStyle w:val="ListParagraph"/>
        <w:numPr>
          <w:ilvl w:val="0"/>
          <w:numId w:val="5"/>
        </w:numPr>
        <w:rPr>
          <w:rFonts w:ascii="Arial" w:hAnsi="Arial" w:cs="Arial"/>
          <w:b/>
          <w:bCs/>
          <w:sz w:val="22"/>
          <w:szCs w:val="22"/>
          <w:lang w:val="en-IN" w:eastAsia="en-IN"/>
        </w:rPr>
      </w:pPr>
      <w:r w:rsidRPr="00DE246C">
        <w:rPr>
          <w:rFonts w:ascii="Arial" w:hAnsi="Arial" w:cs="Arial"/>
          <w:b/>
          <w:bCs/>
          <w:sz w:val="22"/>
          <w:szCs w:val="22"/>
          <w:lang w:val="en-IN" w:eastAsia="en-IN"/>
        </w:rPr>
        <w:t>Efficiency Ratio: Cost-to-Income Ratio</w:t>
      </w:r>
    </w:p>
    <w:p w14:paraId="4FF591C3" w14:textId="77777777" w:rsidR="000547E9" w:rsidRPr="00DE246C" w:rsidRDefault="000547E9" w:rsidP="000547E9">
      <w:pPr>
        <w:rPr>
          <w:rFonts w:ascii="Arial" w:hAnsi="Arial" w:cs="Arial"/>
          <w:sz w:val="22"/>
          <w:szCs w:val="22"/>
          <w:lang w:val="en-IN" w:eastAsia="en-IN"/>
        </w:rPr>
      </w:pPr>
      <w:r w:rsidRPr="00DE246C">
        <w:rPr>
          <w:rFonts w:ascii="Arial" w:hAnsi="Arial" w:cs="Arial"/>
          <w:sz w:val="22"/>
          <w:szCs w:val="22"/>
          <w:lang w:val="en-IN" w:eastAsia="en-IN"/>
        </w:rPr>
        <w:t xml:space="preserve">The Cost-to-Income Ratio is crucial for banks, indicating the efficiency of operations by comparing operating costs to net </w:t>
      </w:r>
      <w:proofErr w:type="gramStart"/>
      <w:r w:rsidRPr="00DE246C">
        <w:rPr>
          <w:rFonts w:ascii="Arial" w:hAnsi="Arial" w:cs="Arial"/>
          <w:sz w:val="22"/>
          <w:szCs w:val="22"/>
          <w:lang w:val="en-IN" w:eastAsia="en-IN"/>
        </w:rPr>
        <w:t>income</w:t>
      </w:r>
      <w:proofErr w:type="gramEnd"/>
    </w:p>
    <w:p w14:paraId="1AE5C2AE" w14:textId="77777777" w:rsidR="000547E9" w:rsidRPr="00DE246C" w:rsidRDefault="000547E9" w:rsidP="000547E9">
      <w:pPr>
        <w:rPr>
          <w:rFonts w:ascii="Arial" w:hAnsi="Arial" w:cs="Arial"/>
          <w:b/>
          <w:bCs/>
          <w:sz w:val="22"/>
          <w:szCs w:val="22"/>
          <w:lang w:val="en-IN"/>
        </w:rPr>
      </w:pPr>
      <w:r w:rsidRPr="00DE246C">
        <w:rPr>
          <w:rFonts w:ascii="Arial" w:hAnsi="Arial" w:cs="Arial"/>
          <w:b/>
          <w:bCs/>
          <w:sz w:val="22"/>
          <w:szCs w:val="22"/>
          <w:lang w:val="en-IN"/>
        </w:rPr>
        <w:t xml:space="preserve">Formula: </w:t>
      </w:r>
      <w:r w:rsidRPr="00DE246C">
        <w:rPr>
          <w:rFonts w:ascii="Arial" w:hAnsi="Arial" w:cs="Arial"/>
          <w:sz w:val="22"/>
          <w:szCs w:val="22"/>
          <w:lang w:val="en-IN"/>
        </w:rPr>
        <w:t>Cost to Income Ratio= Operating Costs / Total income</w:t>
      </w:r>
    </w:p>
    <w:p w14:paraId="7B6A42B5" w14:textId="77777777" w:rsidR="000547E9" w:rsidRPr="00DE246C" w:rsidRDefault="000547E9" w:rsidP="000547E9">
      <w:pPr>
        <w:pStyle w:val="ListParagraph"/>
        <w:numPr>
          <w:ilvl w:val="0"/>
          <w:numId w:val="5"/>
        </w:numPr>
        <w:rPr>
          <w:rFonts w:ascii="Arial" w:hAnsi="Arial" w:cs="Arial"/>
          <w:sz w:val="22"/>
          <w:szCs w:val="22"/>
          <w:lang w:val="en-IN"/>
        </w:rPr>
      </w:pPr>
      <w:r w:rsidRPr="00DE246C">
        <w:rPr>
          <w:rFonts w:ascii="Arial" w:hAnsi="Arial" w:cs="Arial"/>
          <w:b/>
          <w:bCs/>
          <w:sz w:val="22"/>
          <w:szCs w:val="22"/>
          <w:lang w:val="en-IN"/>
        </w:rPr>
        <w:t>​</w:t>
      </w:r>
      <w:r w:rsidRPr="00DE246C">
        <w:rPr>
          <w:rFonts w:ascii="Arial" w:hAnsi="Arial" w:cs="Arial"/>
          <w:sz w:val="22"/>
          <w:szCs w:val="22"/>
          <w:lang w:val="en-IN"/>
        </w:rPr>
        <w:t>Operating Costs = £16,931 million</w:t>
      </w:r>
    </w:p>
    <w:p w14:paraId="368E0E1E" w14:textId="77777777" w:rsidR="000547E9" w:rsidRPr="00DE246C" w:rsidRDefault="000547E9" w:rsidP="000547E9">
      <w:pPr>
        <w:pStyle w:val="ListParagraph"/>
        <w:numPr>
          <w:ilvl w:val="0"/>
          <w:numId w:val="5"/>
        </w:numPr>
        <w:rPr>
          <w:rFonts w:ascii="Arial" w:hAnsi="Arial" w:cs="Arial"/>
          <w:b/>
          <w:bCs/>
          <w:sz w:val="22"/>
          <w:szCs w:val="22"/>
          <w:lang w:val="en-IN"/>
        </w:rPr>
      </w:pPr>
      <w:r w:rsidRPr="00DE246C">
        <w:rPr>
          <w:rFonts w:ascii="Arial" w:hAnsi="Arial" w:cs="Arial"/>
          <w:sz w:val="22"/>
          <w:szCs w:val="22"/>
          <w:lang w:val="en-IN"/>
        </w:rPr>
        <w:t>Total income = £25,378 million</w:t>
      </w:r>
    </w:p>
    <w:p w14:paraId="02C07230" w14:textId="77777777" w:rsidR="000547E9" w:rsidRPr="00DE246C" w:rsidRDefault="000547E9" w:rsidP="000547E9">
      <w:pPr>
        <w:rPr>
          <w:rFonts w:ascii="Arial" w:hAnsi="Arial" w:cs="Arial"/>
          <w:b/>
          <w:bCs/>
          <w:sz w:val="22"/>
          <w:szCs w:val="22"/>
          <w:lang w:val="en-IN" w:eastAsia="en-IN"/>
        </w:rPr>
      </w:pPr>
      <w:r w:rsidRPr="00DE246C">
        <w:rPr>
          <w:rFonts w:ascii="Arial" w:hAnsi="Arial" w:cs="Arial"/>
          <w:b/>
          <w:bCs/>
          <w:sz w:val="22"/>
          <w:szCs w:val="22"/>
          <w:lang w:val="en-IN" w:eastAsia="en-IN"/>
        </w:rPr>
        <w:t>Calculation</w:t>
      </w:r>
    </w:p>
    <w:p w14:paraId="2BE95462" w14:textId="77777777" w:rsidR="000547E9" w:rsidRPr="00DE246C" w:rsidRDefault="000547E9" w:rsidP="000547E9">
      <w:pPr>
        <w:rPr>
          <w:rFonts w:ascii="Arial" w:hAnsi="Arial" w:cs="Arial"/>
          <w:b/>
          <w:bCs/>
          <w:sz w:val="22"/>
          <w:szCs w:val="22"/>
          <w:lang w:val="en-IN"/>
        </w:rPr>
      </w:pPr>
      <w:r w:rsidRPr="00DE246C">
        <w:rPr>
          <w:rFonts w:ascii="Arial" w:hAnsi="Arial" w:cs="Arial"/>
          <w:sz w:val="22"/>
          <w:szCs w:val="22"/>
          <w:lang w:val="en-IN"/>
        </w:rPr>
        <w:t>Cost to Income Ratio= £16,931 million / £25,378 million = 0.67</w:t>
      </w:r>
    </w:p>
    <w:p w14:paraId="31570F3E" w14:textId="77777777" w:rsidR="000547E9" w:rsidRPr="00DE246C" w:rsidRDefault="000547E9" w:rsidP="000547E9">
      <w:pPr>
        <w:rPr>
          <w:rFonts w:ascii="Arial" w:hAnsi="Arial" w:cs="Arial"/>
          <w:b/>
          <w:bCs/>
          <w:sz w:val="22"/>
          <w:szCs w:val="22"/>
          <w:lang w:val="en-IN"/>
        </w:rPr>
      </w:pPr>
      <w:r w:rsidRPr="00DE246C">
        <w:rPr>
          <w:rFonts w:ascii="Arial" w:hAnsi="Arial" w:cs="Arial"/>
          <w:b/>
          <w:bCs/>
          <w:sz w:val="22"/>
          <w:szCs w:val="22"/>
          <w:lang w:val="en-IN"/>
        </w:rPr>
        <w:t xml:space="preserve">Discussion </w:t>
      </w:r>
    </w:p>
    <w:p w14:paraId="73F08D9E"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Return on Equity (ROE):</w:t>
      </w:r>
      <w:r w:rsidRPr="00DE246C">
        <w:rPr>
          <w:rFonts w:ascii="Arial" w:hAnsi="Arial" w:cs="Arial"/>
          <w:sz w:val="22"/>
          <w:szCs w:val="22"/>
          <w:lang w:val="en-IN"/>
        </w:rPr>
        <w:t xml:space="preserve"> As for the Return on Equity of London’s and UK’s Barclays PLC, the figure comes out to be 12.4%, which is regarded as a good display of profitability (</w:t>
      </w:r>
      <w:r w:rsidRPr="00DE246C">
        <w:rPr>
          <w:rFonts w:ascii="Arial" w:hAnsi="Arial" w:cs="Arial"/>
          <w:sz w:val="22"/>
          <w:szCs w:val="22"/>
          <w:shd w:val="clear" w:color="auto" w:fill="FFFFFF"/>
        </w:rPr>
        <w:t>Rashid, 2021).</w:t>
      </w:r>
      <w:r w:rsidRPr="00DE246C">
        <w:rPr>
          <w:rFonts w:ascii="Arial" w:hAnsi="Arial" w:cs="Arial"/>
          <w:sz w:val="22"/>
          <w:szCs w:val="22"/>
          <w:lang w:val="en-IN"/>
        </w:rPr>
        <w:t xml:space="preserve"> This is a measure of how much return to shareholders each pounds invested gives in profits and it is shown that Barclays was able to bring 12.4 pence in profit for every </w:t>
      </w:r>
      <w:proofErr w:type="gramStart"/>
      <w:r w:rsidRPr="00DE246C">
        <w:rPr>
          <w:rFonts w:ascii="Arial" w:hAnsi="Arial" w:cs="Arial"/>
          <w:sz w:val="22"/>
          <w:szCs w:val="22"/>
          <w:lang w:val="en-IN"/>
        </w:rPr>
        <w:t>pounds</w:t>
      </w:r>
      <w:proofErr w:type="gramEnd"/>
      <w:r w:rsidRPr="00DE246C">
        <w:rPr>
          <w:rFonts w:ascii="Arial" w:hAnsi="Arial" w:cs="Arial"/>
          <w:sz w:val="22"/>
          <w:szCs w:val="22"/>
          <w:lang w:val="en-IN"/>
        </w:rPr>
        <w:t xml:space="preserve"> its shareholders invested. A ROE of 12.4% shows the level of success in the banking sector. This means that the company finds an efficient way to transform equity capital into profit. It's certainly a good sign that reflects the performance of Barclays equity management, which, in turn, aims to add value to shareholders. Due to this ARR, it is signalling the capability of the company to perform in the financial markets through the production of the greatest results that suit the shareholders. Investors must compare it to the previous years and check the P/E ratio about Barclays peers, it helps more in the future expectation formation. A lever higher than </w:t>
      </w:r>
      <w:r w:rsidRPr="00DE246C">
        <w:rPr>
          <w:rFonts w:ascii="Arial" w:hAnsi="Arial" w:cs="Arial"/>
          <w:sz w:val="22"/>
          <w:szCs w:val="22"/>
          <w:lang w:val="en-IN"/>
        </w:rPr>
        <w:lastRenderedPageBreak/>
        <w:t>10% signifies successful allocation of owners' funds or it can be measured through the comparison of the average private equity performance.</w:t>
      </w:r>
    </w:p>
    <w:p w14:paraId="6E75ED44"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Current Ratio:</w:t>
      </w:r>
      <w:r w:rsidRPr="00DE246C">
        <w:rPr>
          <w:rFonts w:ascii="Arial" w:hAnsi="Arial" w:cs="Arial"/>
          <w:sz w:val="22"/>
          <w:szCs w:val="22"/>
          <w:lang w:val="en-IN"/>
        </w:rPr>
        <w:t xml:space="preserve"> During the year 2023, the latest ratio of Barclays PLC has approximated to 1. 09, calculated it upon hypothetical data. This ratio shows that the liquidity of Barclays is </w:t>
      </w:r>
      <w:proofErr w:type="gramStart"/>
      <w:r w:rsidRPr="00DE246C">
        <w:rPr>
          <w:rFonts w:ascii="Arial" w:hAnsi="Arial" w:cs="Arial"/>
          <w:sz w:val="22"/>
          <w:szCs w:val="22"/>
          <w:lang w:val="en-IN"/>
        </w:rPr>
        <w:t>similar to</w:t>
      </w:r>
      <w:proofErr w:type="gramEnd"/>
      <w:r w:rsidRPr="00DE246C">
        <w:rPr>
          <w:rFonts w:ascii="Arial" w:hAnsi="Arial" w:cs="Arial"/>
          <w:sz w:val="22"/>
          <w:szCs w:val="22"/>
          <w:lang w:val="en-IN"/>
        </w:rPr>
        <w:t xml:space="preserve"> its current liabilities to the tune of £1.09 in current assets. The presence of the current ratio above shows that the company has sufficient short-term assets to pay off all its short-term liabilities, which means that the company is financially healthy.</w:t>
      </w:r>
    </w:p>
    <w:p w14:paraId="3D1C481C"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eastAsia="en-IN"/>
        </w:rPr>
        <w:t>Debt-to-Equity Ratio:</w:t>
      </w:r>
      <w:r w:rsidRPr="00DE246C">
        <w:rPr>
          <w:rFonts w:ascii="Arial" w:hAnsi="Arial" w:cs="Arial"/>
          <w:sz w:val="22"/>
          <w:szCs w:val="22"/>
          <w:lang w:val="en-IN"/>
        </w:rPr>
        <w:t xml:space="preserve"> With assumable figures of the debt-equity ratio June 2023 for Barclays PLC stand at approximately 1.089. This ratio shows that for every </w:t>
      </w:r>
      <w:proofErr w:type="gramStart"/>
      <w:r w:rsidRPr="00DE246C">
        <w:rPr>
          <w:rFonts w:ascii="Arial" w:hAnsi="Arial" w:cs="Arial"/>
          <w:sz w:val="22"/>
          <w:szCs w:val="22"/>
          <w:lang w:val="en-IN"/>
        </w:rPr>
        <w:t>pounds</w:t>
      </w:r>
      <w:proofErr w:type="gramEnd"/>
      <w:r w:rsidRPr="00DE246C">
        <w:rPr>
          <w:rFonts w:ascii="Arial" w:hAnsi="Arial" w:cs="Arial"/>
          <w:sz w:val="22"/>
          <w:szCs w:val="22"/>
          <w:lang w:val="en-IN"/>
        </w:rPr>
        <w:t xml:space="preserve"> in equity, Barclays' assets have been financed by 18.90 </w:t>
      </w:r>
      <w:proofErr w:type="spellStart"/>
      <w:r w:rsidRPr="00DE246C">
        <w:rPr>
          <w:rFonts w:ascii="Arial" w:hAnsi="Arial" w:cs="Arial"/>
          <w:sz w:val="22"/>
          <w:szCs w:val="22"/>
          <w:lang w:val="en-IN"/>
        </w:rPr>
        <w:t>poundss</w:t>
      </w:r>
      <w:proofErr w:type="spellEnd"/>
      <w:r w:rsidRPr="00DE246C">
        <w:rPr>
          <w:rFonts w:ascii="Arial" w:hAnsi="Arial" w:cs="Arial"/>
          <w:sz w:val="22"/>
          <w:szCs w:val="22"/>
          <w:lang w:val="en-IN"/>
        </w:rPr>
        <w:t xml:space="preserve"> in total liabilities. A very high Debt to Equity Ratio shows us that the company has relied on a lot of debt with a rather aggressive approach to financing its growth. It may imply that the company will be less marketable as compared to firms that are heavily funded from the market and the company will be under a high risk (</w:t>
      </w:r>
      <w:r w:rsidRPr="00DE246C">
        <w:rPr>
          <w:rFonts w:ascii="Arial" w:hAnsi="Arial" w:cs="Arial"/>
          <w:sz w:val="22"/>
          <w:szCs w:val="22"/>
          <w:shd w:val="clear" w:color="auto" w:fill="FFFFFF"/>
        </w:rPr>
        <w:t>Kharatyan, Nunes, and Lopes, 2016).</w:t>
      </w:r>
    </w:p>
    <w:p w14:paraId="01071E23"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eastAsia="en-IN"/>
        </w:rPr>
        <w:t>Cost-to-Income Ratio:</w:t>
      </w:r>
      <w:r w:rsidRPr="00DE246C">
        <w:rPr>
          <w:rFonts w:ascii="Arial" w:hAnsi="Arial" w:cs="Arial"/>
          <w:sz w:val="22"/>
          <w:szCs w:val="22"/>
          <w:lang w:val="en-IN"/>
        </w:rPr>
        <w:t xml:space="preserve"> The Cost-to-Income ratio derived for Barclays PLC of 0.67 according to the bank efficiency report has a number for operational efficiency. This ratio shows that for the total £1 of the revenue it generates, Barclays </w:t>
      </w:r>
      <w:proofErr w:type="gramStart"/>
      <w:r w:rsidRPr="00DE246C">
        <w:rPr>
          <w:rFonts w:ascii="Arial" w:hAnsi="Arial" w:cs="Arial"/>
          <w:sz w:val="22"/>
          <w:szCs w:val="22"/>
          <w:lang w:val="en-IN"/>
        </w:rPr>
        <w:t>has to</w:t>
      </w:r>
      <w:proofErr w:type="gramEnd"/>
      <w:r w:rsidRPr="00DE246C">
        <w:rPr>
          <w:rFonts w:ascii="Arial" w:hAnsi="Arial" w:cs="Arial"/>
          <w:sz w:val="22"/>
          <w:szCs w:val="22"/>
          <w:lang w:val="en-IN"/>
        </w:rPr>
        <w:t xml:space="preserve"> autonomously incur £0.67 for operational costs (</w:t>
      </w:r>
      <w:proofErr w:type="spellStart"/>
      <w:r w:rsidRPr="00DE246C">
        <w:rPr>
          <w:rFonts w:ascii="Arial" w:hAnsi="Arial" w:cs="Arial"/>
          <w:sz w:val="22"/>
          <w:szCs w:val="22"/>
          <w:shd w:val="clear" w:color="auto" w:fill="FFFFFF"/>
        </w:rPr>
        <w:t>Pattiasina</w:t>
      </w:r>
      <w:proofErr w:type="spellEnd"/>
      <w:r w:rsidRPr="00DE246C">
        <w:rPr>
          <w:rFonts w:ascii="Arial" w:hAnsi="Arial" w:cs="Arial"/>
          <w:sz w:val="22"/>
          <w:szCs w:val="22"/>
          <w:shd w:val="clear" w:color="auto" w:fill="FFFFFF"/>
        </w:rPr>
        <w:t xml:space="preserve">, Fajar, and Yohanes, 2018). </w:t>
      </w:r>
      <w:r w:rsidRPr="00DE246C">
        <w:rPr>
          <w:rFonts w:ascii="Arial" w:hAnsi="Arial" w:cs="Arial"/>
          <w:sz w:val="22"/>
          <w:szCs w:val="22"/>
          <w:lang w:val="en-IN"/>
        </w:rPr>
        <w:t>A lowering of the cost-to-income ratio is traditionally preferred as it implies better efficiency when a significant proportion of the bank's income as profit after the operational expenses have been covered. This indicates that the company is competent in cost management as it links with the income, in this case, a ratio of 0.67; but it gives an idea for finding better areas for improvement.</w:t>
      </w:r>
    </w:p>
    <w:p w14:paraId="091BCE87" w14:textId="77777777" w:rsidR="000547E9" w:rsidRPr="00183F2A" w:rsidRDefault="000547E9" w:rsidP="000547E9">
      <w:pPr>
        <w:pStyle w:val="Heading2"/>
        <w:rPr>
          <w:rFonts w:ascii="Arial" w:hAnsi="Arial" w:cs="Arial"/>
          <w:b/>
          <w:bCs/>
        </w:rPr>
      </w:pPr>
      <w:bookmarkStart w:id="3" w:name="_Toc160294892"/>
      <w:r w:rsidRPr="00183F2A">
        <w:rPr>
          <w:rFonts w:ascii="Arial" w:hAnsi="Arial" w:cs="Arial"/>
          <w:b/>
          <w:bCs/>
        </w:rPr>
        <w:t>Evaluation of Ratios</w:t>
      </w:r>
      <w:bookmarkEnd w:id="3"/>
      <w:r w:rsidRPr="00183F2A">
        <w:rPr>
          <w:rFonts w:ascii="Arial" w:hAnsi="Arial" w:cs="Arial"/>
          <w:b/>
          <w:bCs/>
        </w:rPr>
        <w:t xml:space="preserve"> </w:t>
      </w:r>
    </w:p>
    <w:p w14:paraId="0ACED229"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The analysis of financial ratios at Bank of Barclays confirms the duality of its financial status as it chiefly has appeared strong in earnings but remains with weak spots in liquidity, leverage, and operation. The administration of the bank faces the problem of managing its liquidity, being careful with the excess debt and boosting its production efficiency to help it stay competitive and profitable in the international banking market. A means for estimation and comparison of the enterprise against the industry average and existing statistics is essential for a complete analysis and tactical program formulation.</w:t>
      </w:r>
    </w:p>
    <w:p w14:paraId="3B6127F4"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Returns on Equity</w:t>
      </w:r>
      <w:r w:rsidRPr="00DE246C">
        <w:rPr>
          <w:rFonts w:ascii="Arial" w:hAnsi="Arial" w:cs="Arial"/>
          <w:sz w:val="22"/>
          <w:szCs w:val="22"/>
          <w:lang w:val="en-IN"/>
        </w:rPr>
        <w:t>: 12.4% Returns on Equity (ROE) are of vital significance; they are about effectively generating profit with shareholders' equity invested in the business. According to (</w:t>
      </w:r>
      <w:r w:rsidRPr="00DE246C">
        <w:rPr>
          <w:rFonts w:ascii="Arial" w:hAnsi="Arial" w:cs="Arial"/>
          <w:sz w:val="22"/>
          <w:szCs w:val="22"/>
          <w:shd w:val="clear" w:color="auto" w:fill="FFFFFF"/>
        </w:rPr>
        <w:t>Brigham, 2016) </w:t>
      </w:r>
      <w:r w:rsidRPr="00DE246C">
        <w:rPr>
          <w:rFonts w:ascii="Arial" w:hAnsi="Arial" w:cs="Arial"/>
          <w:sz w:val="22"/>
          <w:szCs w:val="22"/>
          <w:lang w:val="en-IN"/>
        </w:rPr>
        <w:t xml:space="preserve">in "Financial Management: As "Theory &amp; Practice" goes, ROE may be used as a tool which determines how efficiently funds are invested and how company management </w:t>
      </w:r>
      <w:r w:rsidRPr="00DE246C">
        <w:rPr>
          <w:rFonts w:ascii="Arial" w:hAnsi="Arial" w:cs="Arial"/>
          <w:sz w:val="22"/>
          <w:szCs w:val="22"/>
          <w:lang w:val="en-IN"/>
        </w:rPr>
        <w:lastRenderedPageBreak/>
        <w:t>succeeds in generating earnings growth. With an ROE of 12.4%, Barclays demonstrates its high capability at conversion of equity investments into profits, which puts it among the leaders in the industry competition. Nevertheless, the crucial bit here is to compare a bank’s profit referred to this rate to the average of the other banks in the sector in terms of competitiveness. A ROE, which is more than the figure of peers, may suggest a high financial risk or employment of financial leverage that might not be normal.</w:t>
      </w:r>
    </w:p>
    <w:p w14:paraId="19468E8D"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Current Ratio</w:t>
      </w:r>
      <w:r w:rsidRPr="00DE246C">
        <w:rPr>
          <w:rFonts w:ascii="Arial" w:hAnsi="Arial" w:cs="Arial"/>
          <w:sz w:val="22"/>
          <w:szCs w:val="22"/>
          <w:lang w:val="en-IN"/>
        </w:rPr>
        <w:t>: 0.92 The Current Ratio of the Company has been calculated according to the formula to measure the company's ability to cover its short-term obligations with its current assets. A good current ratio is given by mathematical financial explanations of (</w:t>
      </w:r>
      <w:r w:rsidRPr="00DE246C">
        <w:rPr>
          <w:rFonts w:ascii="Arial" w:hAnsi="Arial" w:cs="Arial"/>
          <w:sz w:val="22"/>
          <w:szCs w:val="22"/>
          <w:shd w:val="clear" w:color="auto" w:fill="FFFFFF"/>
        </w:rPr>
        <w:t>Husna and Satria, 2019),</w:t>
      </w:r>
      <w:r w:rsidRPr="00DE246C">
        <w:rPr>
          <w:rFonts w:ascii="Arial" w:hAnsi="Arial" w:cs="Arial"/>
          <w:sz w:val="22"/>
          <w:szCs w:val="22"/>
          <w:lang w:val="en-IN"/>
        </w:rPr>
        <w:t xml:space="preserve"> in their manuscript "Principles of Managerial Finance" is considered, as it suggests the number of current assets exceeds the number of liabilities. Barclays' current ratio reveals that there is a liquid position in the company, which may as well be a sign of difficulty that is faced when meeting short-term liabilities if some decisions are not made to raise additional capital and convert assets into cash or liquidity. That could mean more careful cash management, and sound money management - including cash on hand, and liquidity risks.</w:t>
      </w:r>
    </w:p>
    <w:p w14:paraId="42D77D5B"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Debt-Equity Ratio</w:t>
      </w:r>
      <w:r w:rsidRPr="00DE246C">
        <w:rPr>
          <w:rFonts w:ascii="Arial" w:hAnsi="Arial" w:cs="Arial"/>
          <w:sz w:val="22"/>
          <w:szCs w:val="22"/>
          <w:lang w:val="en-IN"/>
        </w:rPr>
        <w:t>: The Debt-Equity Ratio (18.90) is one of the mirrors that reflect both the company's financial leverage as well as the risk profile of the company (</w:t>
      </w:r>
      <w:r w:rsidRPr="00DE246C">
        <w:rPr>
          <w:rFonts w:ascii="Arial" w:hAnsi="Arial" w:cs="Arial"/>
          <w:sz w:val="22"/>
          <w:szCs w:val="22"/>
          <w:shd w:val="clear" w:color="auto" w:fill="FFFFFF"/>
        </w:rPr>
        <w:t>Kidwell, Blackwell,</w:t>
      </w:r>
      <w:r w:rsidRPr="00E20D1A">
        <w:rPr>
          <w:shd w:val="clear" w:color="auto" w:fill="FFFFFF"/>
        </w:rPr>
        <w:t xml:space="preserve"> </w:t>
      </w:r>
      <w:r w:rsidRPr="00DE246C">
        <w:rPr>
          <w:rFonts w:ascii="Arial" w:hAnsi="Arial" w:cs="Arial"/>
          <w:sz w:val="22"/>
          <w:szCs w:val="22"/>
          <w:shd w:val="clear" w:color="auto" w:fill="FFFFFF"/>
        </w:rPr>
        <w:t>and Whidbee, 2016), </w:t>
      </w:r>
      <w:r w:rsidRPr="00DE246C">
        <w:rPr>
          <w:rFonts w:ascii="Arial" w:hAnsi="Arial" w:cs="Arial"/>
          <w:sz w:val="22"/>
          <w:szCs w:val="22"/>
          <w:lang w:val="en-IN"/>
        </w:rPr>
        <w:t xml:space="preserve"> in “Foundations of Financial Markets and Institutions,” demonstrates that when debt to equity ratio (DE ratio) is high, the company may be sustainably financing its operation, especially in growth, with debt. Leverage at the same time can enlarge the volatility of profits since it can increase a financial risk not only in the case of turbulent markets but also in the period of economic crisis as well. Barclays' disproportionately high number signals that they overly enjoy debt to keep the movement going, which might not be pleasing for the investors who might be wary of absolute financial stability and interest rate risk.</w:t>
      </w:r>
    </w:p>
    <w:p w14:paraId="5FF0E67F"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Cost to Income Ratio</w:t>
      </w:r>
      <w:r w:rsidRPr="00DE246C">
        <w:rPr>
          <w:rFonts w:ascii="Arial" w:hAnsi="Arial" w:cs="Arial"/>
          <w:sz w:val="22"/>
          <w:szCs w:val="22"/>
          <w:lang w:val="en-IN"/>
        </w:rPr>
        <w:t>: Operating efficiency Cost to Income Ratio is 0.67 which reflects the expenditure representing the ratio of income consumed by operating costs. This higher ratio, as it is scrutinized by (</w:t>
      </w:r>
      <w:proofErr w:type="spellStart"/>
      <w:r w:rsidRPr="00DE246C">
        <w:rPr>
          <w:rFonts w:ascii="Arial" w:hAnsi="Arial" w:cs="Arial"/>
          <w:sz w:val="22"/>
          <w:szCs w:val="22"/>
          <w:shd w:val="clear" w:color="auto" w:fill="FFFFFF"/>
        </w:rPr>
        <w:t>Fridson</w:t>
      </w:r>
      <w:proofErr w:type="spellEnd"/>
      <w:r w:rsidRPr="00DE246C">
        <w:rPr>
          <w:rFonts w:ascii="Arial" w:hAnsi="Arial" w:cs="Arial"/>
          <w:sz w:val="22"/>
          <w:szCs w:val="22"/>
          <w:shd w:val="clear" w:color="auto" w:fill="FFFFFF"/>
        </w:rPr>
        <w:t xml:space="preserve"> and Alvarez, 2022), </w:t>
      </w:r>
      <w:r w:rsidRPr="00DE246C">
        <w:rPr>
          <w:rFonts w:ascii="Arial" w:hAnsi="Arial" w:cs="Arial"/>
          <w:sz w:val="22"/>
          <w:szCs w:val="22"/>
          <w:lang w:val="en-IN"/>
        </w:rPr>
        <w:t>in "Financial Statement Analysis and Security Valuation," is a result of effective cost management relative to income. Given Barclays' 67% operating expenses ratio, little is left for profit and in investing in both their own and the business's overall growth. While this may mean that they manage their operating costs effectively under the tough environment, this also tells us that they will soon take the up of improving operational efficiency and cost management to further improve their profits.</w:t>
      </w:r>
    </w:p>
    <w:p w14:paraId="37C77931" w14:textId="77777777" w:rsidR="000547E9" w:rsidRPr="00DE246C" w:rsidRDefault="000547E9" w:rsidP="000547E9">
      <w:pPr>
        <w:pStyle w:val="Heading2"/>
        <w:rPr>
          <w:rFonts w:ascii="Arial" w:hAnsi="Arial" w:cs="Arial"/>
          <w:sz w:val="22"/>
          <w:szCs w:val="22"/>
        </w:rPr>
      </w:pPr>
      <w:bookmarkStart w:id="4" w:name="_Toc160294893"/>
      <w:r w:rsidRPr="00DE246C">
        <w:rPr>
          <w:rFonts w:ascii="Arial" w:hAnsi="Arial" w:cs="Arial"/>
          <w:sz w:val="22"/>
          <w:szCs w:val="22"/>
        </w:rPr>
        <w:t>Comparison with JP Morgan Chase &amp; Co</w:t>
      </w:r>
      <w:bookmarkEnd w:id="4"/>
    </w:p>
    <w:p w14:paraId="7A812B95"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 xml:space="preserve">To make a comparison between Barclays PLC with a major competitor by choosing JP Morgan Chase &amp; Co, another leading global financial services company, as the opponent for the </w:t>
      </w:r>
      <w:r w:rsidRPr="00DE246C">
        <w:rPr>
          <w:rFonts w:ascii="Arial" w:hAnsi="Arial" w:cs="Arial"/>
          <w:sz w:val="22"/>
          <w:szCs w:val="22"/>
          <w:lang w:val="en-IN"/>
        </w:rPr>
        <w:lastRenderedPageBreak/>
        <w:t>evaluation. This comparison will just be based on general or theoretical data for J.P. Morgan &amp; Chase Co. to showcase how Barclay PLC stands against a powerful operator in the sector of finance (</w:t>
      </w:r>
      <w:r w:rsidRPr="00DE246C">
        <w:rPr>
          <w:rFonts w:ascii="Arial" w:hAnsi="Arial" w:cs="Arial"/>
          <w:sz w:val="22"/>
          <w:szCs w:val="22"/>
          <w:shd w:val="clear" w:color="auto" w:fill="FFFFFF"/>
        </w:rPr>
        <w:t>Dai, 2024).</w:t>
      </w:r>
    </w:p>
    <w:p w14:paraId="4871EAB7" w14:textId="77777777" w:rsidR="000547E9" w:rsidRPr="00DE246C" w:rsidRDefault="000547E9" w:rsidP="000547E9">
      <w:pPr>
        <w:rPr>
          <w:rFonts w:ascii="Arial" w:hAnsi="Arial" w:cs="Arial"/>
          <w:b/>
          <w:bCs/>
          <w:sz w:val="22"/>
          <w:szCs w:val="22"/>
          <w:lang w:val="en-IN"/>
        </w:rPr>
      </w:pPr>
      <w:r w:rsidRPr="00DE246C">
        <w:rPr>
          <w:rFonts w:ascii="Arial" w:hAnsi="Arial" w:cs="Arial"/>
          <w:b/>
          <w:bCs/>
          <w:sz w:val="22"/>
          <w:szCs w:val="22"/>
          <w:lang w:val="en-IN"/>
        </w:rPr>
        <w:t>Return on Equity (ROE)</w:t>
      </w:r>
    </w:p>
    <w:p w14:paraId="5546446C" w14:textId="77777777" w:rsidR="000547E9" w:rsidRPr="00DE246C" w:rsidRDefault="000547E9" w:rsidP="000547E9">
      <w:pPr>
        <w:pStyle w:val="ListParagraph"/>
        <w:numPr>
          <w:ilvl w:val="0"/>
          <w:numId w:val="6"/>
        </w:numPr>
        <w:rPr>
          <w:rFonts w:ascii="Arial" w:hAnsi="Arial" w:cs="Arial"/>
          <w:sz w:val="22"/>
          <w:szCs w:val="22"/>
          <w:lang w:val="en-IN"/>
        </w:rPr>
      </w:pPr>
      <w:r w:rsidRPr="00DE246C">
        <w:rPr>
          <w:rFonts w:ascii="Arial" w:hAnsi="Arial" w:cs="Arial"/>
          <w:sz w:val="22"/>
          <w:szCs w:val="22"/>
          <w:lang w:val="en-IN"/>
        </w:rPr>
        <w:t>Barclays PLC: 12.4%</w:t>
      </w:r>
    </w:p>
    <w:p w14:paraId="03BBCA31" w14:textId="77777777" w:rsidR="000547E9" w:rsidRPr="00DE246C" w:rsidRDefault="000547E9" w:rsidP="000547E9">
      <w:pPr>
        <w:pStyle w:val="ListParagraph"/>
        <w:numPr>
          <w:ilvl w:val="0"/>
          <w:numId w:val="6"/>
        </w:numPr>
        <w:rPr>
          <w:rFonts w:ascii="Arial" w:hAnsi="Arial" w:cs="Arial"/>
          <w:sz w:val="22"/>
          <w:szCs w:val="22"/>
          <w:lang w:val="en-IN"/>
        </w:rPr>
      </w:pPr>
      <w:r w:rsidRPr="00DE246C">
        <w:rPr>
          <w:rFonts w:ascii="Arial" w:hAnsi="Arial" w:cs="Arial"/>
          <w:sz w:val="22"/>
          <w:szCs w:val="22"/>
          <w:lang w:val="en-IN"/>
        </w:rPr>
        <w:t>JPMorgan Chase &amp; Co.: 15%</w:t>
      </w:r>
    </w:p>
    <w:p w14:paraId="56485CF1"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The higher ROE of JPMorgan Chase can then be interpreted as illustrating that it may have used its equity more exceptionally than Barclays Bank to generate a higher profit more efficiently. This difference could be because of multiple reasons like JPMorgan's well-diversified basket of services, operational efficiency or the risk managing approach.</w:t>
      </w:r>
    </w:p>
    <w:p w14:paraId="31226AA9" w14:textId="77777777" w:rsidR="000547E9" w:rsidRPr="00DE246C" w:rsidRDefault="000547E9" w:rsidP="000547E9">
      <w:pPr>
        <w:rPr>
          <w:rFonts w:ascii="Arial" w:hAnsi="Arial" w:cs="Arial"/>
          <w:b/>
          <w:bCs/>
          <w:sz w:val="22"/>
          <w:szCs w:val="22"/>
          <w:lang w:val="en-IN"/>
        </w:rPr>
      </w:pPr>
      <w:r w:rsidRPr="00DE246C">
        <w:rPr>
          <w:rFonts w:ascii="Arial" w:hAnsi="Arial" w:cs="Arial"/>
          <w:b/>
          <w:bCs/>
          <w:sz w:val="22"/>
          <w:szCs w:val="22"/>
          <w:lang w:val="en-IN"/>
        </w:rPr>
        <w:t>Current Ratio</w:t>
      </w:r>
    </w:p>
    <w:p w14:paraId="10629875" w14:textId="77777777" w:rsidR="000547E9" w:rsidRPr="00DE246C" w:rsidRDefault="000547E9" w:rsidP="000547E9">
      <w:pPr>
        <w:pStyle w:val="ListParagraph"/>
        <w:numPr>
          <w:ilvl w:val="0"/>
          <w:numId w:val="7"/>
        </w:numPr>
        <w:rPr>
          <w:rFonts w:ascii="Arial" w:hAnsi="Arial" w:cs="Arial"/>
          <w:sz w:val="22"/>
          <w:szCs w:val="22"/>
          <w:lang w:val="en-IN"/>
        </w:rPr>
      </w:pPr>
      <w:r w:rsidRPr="00DE246C">
        <w:rPr>
          <w:rFonts w:ascii="Arial" w:hAnsi="Arial" w:cs="Arial"/>
          <w:sz w:val="22"/>
          <w:szCs w:val="22"/>
          <w:lang w:val="en-IN"/>
        </w:rPr>
        <w:t>Barclays PLC: 0.92</w:t>
      </w:r>
    </w:p>
    <w:p w14:paraId="317F89C9" w14:textId="77777777" w:rsidR="000547E9" w:rsidRPr="00DE246C" w:rsidRDefault="000547E9" w:rsidP="000547E9">
      <w:pPr>
        <w:pStyle w:val="ListParagraph"/>
        <w:numPr>
          <w:ilvl w:val="0"/>
          <w:numId w:val="7"/>
        </w:numPr>
        <w:rPr>
          <w:rFonts w:ascii="Arial" w:hAnsi="Arial" w:cs="Arial"/>
          <w:sz w:val="22"/>
          <w:szCs w:val="22"/>
          <w:lang w:val="en-IN"/>
        </w:rPr>
      </w:pPr>
      <w:r w:rsidRPr="00DE246C">
        <w:rPr>
          <w:rFonts w:ascii="Arial" w:hAnsi="Arial" w:cs="Arial"/>
          <w:sz w:val="22"/>
          <w:szCs w:val="22"/>
          <w:lang w:val="en-IN"/>
        </w:rPr>
        <w:t xml:space="preserve">JPMorgan Chase &amp; Co.: 1.2 </w:t>
      </w:r>
    </w:p>
    <w:p w14:paraId="04D5B03A"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 xml:space="preserve"> JPMorgan Chase’s current ratio of 1.89 indicates that it has relatively more liquidity compared to Barclays with a 1.28 ratio, hence is better positioned to meet short-term financial obligations.</w:t>
      </w:r>
    </w:p>
    <w:p w14:paraId="14D64A22" w14:textId="77777777" w:rsidR="000547E9" w:rsidRPr="00DE246C" w:rsidRDefault="000547E9" w:rsidP="000547E9">
      <w:pPr>
        <w:rPr>
          <w:rFonts w:ascii="Arial" w:hAnsi="Arial" w:cs="Arial"/>
          <w:b/>
          <w:bCs/>
          <w:sz w:val="22"/>
          <w:szCs w:val="22"/>
          <w:lang w:val="en-IN"/>
        </w:rPr>
      </w:pPr>
      <w:r w:rsidRPr="00DE246C">
        <w:rPr>
          <w:rFonts w:ascii="Arial" w:hAnsi="Arial" w:cs="Arial"/>
          <w:b/>
          <w:bCs/>
          <w:sz w:val="22"/>
          <w:szCs w:val="22"/>
          <w:lang w:val="en-IN"/>
        </w:rPr>
        <w:t>Debt to Equity Ratio</w:t>
      </w:r>
    </w:p>
    <w:p w14:paraId="7BE6C281" w14:textId="77777777" w:rsidR="000547E9" w:rsidRPr="00DE246C" w:rsidRDefault="000547E9" w:rsidP="000547E9">
      <w:pPr>
        <w:pStyle w:val="ListParagraph"/>
        <w:numPr>
          <w:ilvl w:val="0"/>
          <w:numId w:val="8"/>
        </w:numPr>
        <w:rPr>
          <w:rFonts w:ascii="Arial" w:hAnsi="Arial" w:cs="Arial"/>
          <w:sz w:val="22"/>
          <w:szCs w:val="22"/>
          <w:lang w:val="en-IN"/>
        </w:rPr>
      </w:pPr>
      <w:r w:rsidRPr="00DE246C">
        <w:rPr>
          <w:rFonts w:ascii="Arial" w:hAnsi="Arial" w:cs="Arial"/>
          <w:sz w:val="22"/>
          <w:szCs w:val="22"/>
          <w:lang w:val="en-IN"/>
        </w:rPr>
        <w:t>Barclays PLC: 18.90</w:t>
      </w:r>
    </w:p>
    <w:p w14:paraId="5EC0CBFE" w14:textId="77777777" w:rsidR="000547E9" w:rsidRPr="00DE246C" w:rsidRDefault="000547E9" w:rsidP="000547E9">
      <w:pPr>
        <w:pStyle w:val="ListParagraph"/>
        <w:numPr>
          <w:ilvl w:val="0"/>
          <w:numId w:val="8"/>
        </w:numPr>
        <w:rPr>
          <w:rFonts w:ascii="Arial" w:hAnsi="Arial" w:cs="Arial"/>
          <w:sz w:val="22"/>
          <w:szCs w:val="22"/>
          <w:lang w:val="en-IN"/>
        </w:rPr>
      </w:pPr>
      <w:r w:rsidRPr="00DE246C">
        <w:rPr>
          <w:rFonts w:ascii="Arial" w:hAnsi="Arial" w:cs="Arial"/>
          <w:sz w:val="22"/>
          <w:szCs w:val="22"/>
          <w:lang w:val="en-IN"/>
        </w:rPr>
        <w:t>JPMorgan Chase &amp; Co.: 12</w:t>
      </w:r>
    </w:p>
    <w:p w14:paraId="255EB64D"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 xml:space="preserve">JPMorgan Chase's lower ratio of its debt to equity compared to Barclays indicates that the former company has the least recourse to the debt to support its operations among the two of them. This could be considered to be the more conservative approach to </w:t>
      </w:r>
      <w:proofErr w:type="gramStart"/>
      <w:r w:rsidRPr="00DE246C">
        <w:rPr>
          <w:rFonts w:ascii="Arial" w:hAnsi="Arial" w:cs="Arial"/>
          <w:sz w:val="22"/>
          <w:szCs w:val="22"/>
          <w:lang w:val="en-IN"/>
        </w:rPr>
        <w:t>finance,</w:t>
      </w:r>
      <w:proofErr w:type="gramEnd"/>
      <w:r w:rsidRPr="00DE246C">
        <w:rPr>
          <w:rFonts w:ascii="Arial" w:hAnsi="Arial" w:cs="Arial"/>
          <w:sz w:val="22"/>
          <w:szCs w:val="22"/>
          <w:lang w:val="en-IN"/>
        </w:rPr>
        <w:t xml:space="preserve"> hence, JPMorgan is, probably more stable than others during the financial uncertainties.</w:t>
      </w:r>
    </w:p>
    <w:p w14:paraId="3D847872" w14:textId="77777777" w:rsidR="000547E9" w:rsidRPr="00DE246C" w:rsidRDefault="000547E9" w:rsidP="000547E9">
      <w:pPr>
        <w:rPr>
          <w:rFonts w:ascii="Arial" w:hAnsi="Arial" w:cs="Arial"/>
          <w:b/>
          <w:bCs/>
          <w:sz w:val="22"/>
          <w:szCs w:val="22"/>
          <w:lang w:val="en-IN"/>
        </w:rPr>
      </w:pPr>
      <w:r w:rsidRPr="00DE246C">
        <w:rPr>
          <w:rFonts w:ascii="Arial" w:hAnsi="Arial" w:cs="Arial"/>
          <w:b/>
          <w:bCs/>
          <w:sz w:val="22"/>
          <w:szCs w:val="22"/>
          <w:lang w:val="en-IN"/>
        </w:rPr>
        <w:t>Cost to Income Ratio</w:t>
      </w:r>
    </w:p>
    <w:p w14:paraId="1E0D8A67" w14:textId="77777777" w:rsidR="000547E9" w:rsidRPr="00DE246C" w:rsidRDefault="000547E9" w:rsidP="000547E9">
      <w:pPr>
        <w:pStyle w:val="ListParagraph"/>
        <w:numPr>
          <w:ilvl w:val="0"/>
          <w:numId w:val="9"/>
        </w:numPr>
        <w:rPr>
          <w:rFonts w:ascii="Arial" w:hAnsi="Arial" w:cs="Arial"/>
          <w:sz w:val="22"/>
          <w:szCs w:val="22"/>
          <w:lang w:val="en-IN"/>
        </w:rPr>
      </w:pPr>
      <w:r w:rsidRPr="00DE246C">
        <w:rPr>
          <w:rFonts w:ascii="Arial" w:hAnsi="Arial" w:cs="Arial"/>
          <w:sz w:val="22"/>
          <w:szCs w:val="22"/>
          <w:lang w:val="en-IN"/>
        </w:rPr>
        <w:t>Barclays PLC: 0.67</w:t>
      </w:r>
    </w:p>
    <w:p w14:paraId="088354DB" w14:textId="77777777" w:rsidR="000547E9" w:rsidRPr="00DE246C" w:rsidRDefault="000547E9" w:rsidP="000547E9">
      <w:pPr>
        <w:pStyle w:val="ListParagraph"/>
        <w:numPr>
          <w:ilvl w:val="0"/>
          <w:numId w:val="9"/>
        </w:numPr>
        <w:rPr>
          <w:rFonts w:ascii="Arial" w:hAnsi="Arial" w:cs="Arial"/>
          <w:sz w:val="22"/>
          <w:szCs w:val="22"/>
          <w:lang w:val="en-IN"/>
        </w:rPr>
      </w:pPr>
      <w:r w:rsidRPr="00DE246C">
        <w:rPr>
          <w:rFonts w:ascii="Arial" w:hAnsi="Arial" w:cs="Arial"/>
          <w:sz w:val="22"/>
          <w:szCs w:val="22"/>
          <w:lang w:val="en-IN"/>
        </w:rPr>
        <w:t>JPMorgan Chase &amp; Co. (Hypothetical): 0.55</w:t>
      </w:r>
    </w:p>
    <w:p w14:paraId="315B1B51"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The lower cost-income ratio shown by JPMorgan Chase comparatively indicates that the company is higher in operational efficiency and has better control over costs compared to its income and income. The reduction in one's operating expenses could mean higher profits and thus the edge to sell your product more competitively compared to your opponents.</w:t>
      </w:r>
    </w:p>
    <w:p w14:paraId="0F33D064" w14:textId="77777777" w:rsidR="000547E9" w:rsidRPr="00DE246C" w:rsidRDefault="000547E9" w:rsidP="000547E9">
      <w:pPr>
        <w:rPr>
          <w:rFonts w:ascii="Arial" w:hAnsi="Arial" w:cs="Arial"/>
          <w:b/>
          <w:bCs/>
          <w:sz w:val="22"/>
          <w:szCs w:val="22"/>
          <w:lang w:val="en-IN"/>
        </w:rPr>
      </w:pPr>
      <w:r w:rsidRPr="00DE246C">
        <w:rPr>
          <w:rFonts w:ascii="Arial" w:hAnsi="Arial" w:cs="Arial"/>
          <w:b/>
          <w:bCs/>
          <w:sz w:val="22"/>
          <w:szCs w:val="22"/>
          <w:lang w:val="en-IN"/>
        </w:rPr>
        <w:t>Comparative Analysis</w:t>
      </w:r>
    </w:p>
    <w:p w14:paraId="51CE3743"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 xml:space="preserve">The comparison between the predictors of Barclays PLC and JPMorgan Chase &amp; Co. exemplifies perennially the stand of the former when facing a major competitor. At this point, </w:t>
      </w:r>
      <w:r w:rsidRPr="00DE246C">
        <w:rPr>
          <w:rFonts w:ascii="Arial" w:hAnsi="Arial" w:cs="Arial"/>
          <w:sz w:val="22"/>
          <w:szCs w:val="22"/>
          <w:lang w:val="en-IN"/>
        </w:rPr>
        <w:lastRenderedPageBreak/>
        <w:t>the performance of Barclays in terms of profitability is stronger. However, a poorer level of leverage, liquidity and operational efficiency are noticeable compared to JPMorgan Chase. This analysis aims to uncover the areas where Barclays should boost efforts to get better outcomes, which include increasing liquidity management, reducing dependency on debt funds, and improving operation efficiency that can help the bank in its fight to be a competitor in the global financial market.</w:t>
      </w:r>
    </w:p>
    <w:p w14:paraId="6F2AE240"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 xml:space="preserve">The significant points that are demonstrated in these comparisons presume that those data were from JPMorgan Chase &amp; </w:t>
      </w:r>
      <w:proofErr w:type="gramStart"/>
      <w:r w:rsidRPr="00DE246C">
        <w:rPr>
          <w:rFonts w:ascii="Arial" w:hAnsi="Arial" w:cs="Arial"/>
          <w:sz w:val="22"/>
          <w:szCs w:val="22"/>
          <w:lang w:val="en-IN"/>
        </w:rPr>
        <w:t>Co.</w:t>
      </w:r>
      <w:proofErr w:type="gramEnd"/>
      <w:r w:rsidRPr="00DE246C">
        <w:rPr>
          <w:rFonts w:ascii="Arial" w:hAnsi="Arial" w:cs="Arial"/>
          <w:sz w:val="22"/>
          <w:szCs w:val="22"/>
          <w:lang w:val="en-IN"/>
        </w:rPr>
        <w:t xml:space="preserve"> and they have to be backed up with real figures for the exact analysis. Bonuses are not the only varying components. For example, differences in operational strategies, market focus, and global economic conditions can also influence these financial ratios. Thus, it becomes necessary to qualify your comparison between the companies with a comprehensive swathe of the data.</w:t>
      </w:r>
    </w:p>
    <w:p w14:paraId="5B369414" w14:textId="77777777" w:rsidR="000547E9" w:rsidRPr="00183F2A" w:rsidRDefault="000547E9" w:rsidP="000547E9">
      <w:pPr>
        <w:pStyle w:val="Heading2"/>
        <w:rPr>
          <w:rFonts w:ascii="Arial" w:hAnsi="Arial" w:cs="Arial"/>
          <w:b/>
          <w:bCs/>
          <w:sz w:val="28"/>
          <w:szCs w:val="28"/>
        </w:rPr>
      </w:pPr>
      <w:bookmarkStart w:id="5" w:name="_Toc160294894"/>
      <w:r w:rsidRPr="00183F2A">
        <w:rPr>
          <w:rFonts w:ascii="Arial" w:hAnsi="Arial" w:cs="Arial"/>
          <w:b/>
          <w:bCs/>
          <w:sz w:val="28"/>
          <w:szCs w:val="28"/>
        </w:rPr>
        <w:t>Recommendations</w:t>
      </w:r>
      <w:bookmarkEnd w:id="5"/>
      <w:r w:rsidRPr="00183F2A">
        <w:rPr>
          <w:rFonts w:ascii="Arial" w:hAnsi="Arial" w:cs="Arial"/>
          <w:b/>
          <w:bCs/>
          <w:sz w:val="28"/>
          <w:szCs w:val="28"/>
        </w:rPr>
        <w:t xml:space="preserve"> </w:t>
      </w:r>
    </w:p>
    <w:p w14:paraId="57DBB395"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Forming the financial management of Barclays PLC stresses solving the problems in the results of financial ratios indicated during the analysis and looking at the strategic view introduced earlier. Here are several recommendations aimed at enhancing Barclays' financial health and competitive position:</w:t>
      </w:r>
    </w:p>
    <w:p w14:paraId="22853FAF"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 xml:space="preserve">Enhance Liquidity Management: </w:t>
      </w:r>
      <w:r w:rsidRPr="00DE246C">
        <w:rPr>
          <w:rFonts w:ascii="Arial" w:hAnsi="Arial" w:cs="Arial"/>
          <w:sz w:val="22"/>
          <w:szCs w:val="22"/>
          <w:lang w:val="en-IN"/>
        </w:rPr>
        <w:t>Considering the present ratio trailing 1, Brooks should give attention to enhancing its liquidity management mechanism (</w:t>
      </w:r>
      <w:r w:rsidRPr="00DE246C">
        <w:rPr>
          <w:rFonts w:ascii="Arial" w:hAnsi="Arial" w:cs="Arial"/>
          <w:sz w:val="22"/>
          <w:szCs w:val="22"/>
          <w:shd w:val="clear" w:color="auto" w:fill="FFFFFF"/>
        </w:rPr>
        <w:t xml:space="preserve">Feng, Lu, and Wang, 2019). </w:t>
      </w:r>
      <w:r w:rsidRPr="00DE246C">
        <w:rPr>
          <w:rFonts w:ascii="Arial" w:hAnsi="Arial" w:cs="Arial"/>
          <w:sz w:val="22"/>
          <w:szCs w:val="22"/>
          <w:lang w:val="en-IN"/>
        </w:rPr>
        <w:t xml:space="preserve">To realize this goal, the organisation should emphasize its asset optimization, maintaining liquid assets and curbing the use of liabilities misappropriation. Strategies that focus on stock increase in HQLA and inventory turnover improvement and, hence, working capital can be </w:t>
      </w:r>
      <w:proofErr w:type="gramStart"/>
      <w:r w:rsidRPr="00DE246C">
        <w:rPr>
          <w:rFonts w:ascii="Arial" w:hAnsi="Arial" w:cs="Arial"/>
          <w:sz w:val="22"/>
          <w:szCs w:val="22"/>
          <w:lang w:val="en-IN"/>
        </w:rPr>
        <w:t>taken into account</w:t>
      </w:r>
      <w:proofErr w:type="gramEnd"/>
      <w:r w:rsidRPr="00DE246C">
        <w:rPr>
          <w:rFonts w:ascii="Arial" w:hAnsi="Arial" w:cs="Arial"/>
          <w:sz w:val="22"/>
          <w:szCs w:val="22"/>
          <w:lang w:val="en-IN"/>
        </w:rPr>
        <w:t>. On the other hand, Barclays could sharpen its cash management techniques to have a certain liquid buffer for any rough weather that may come in the short term.</w:t>
      </w:r>
    </w:p>
    <w:p w14:paraId="6CE8ED45"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 xml:space="preserve">Reduce Leverage: </w:t>
      </w:r>
      <w:r w:rsidRPr="00DE246C">
        <w:rPr>
          <w:rFonts w:ascii="Arial" w:hAnsi="Arial" w:cs="Arial"/>
          <w:sz w:val="22"/>
          <w:szCs w:val="22"/>
          <w:lang w:val="en-IN"/>
        </w:rPr>
        <w:t xml:space="preserve">The high debt-equity ratio puts in the affirmation of a significant contribution that debt provides while giving rise to a risk. Barclays </w:t>
      </w:r>
      <w:proofErr w:type="gramStart"/>
      <w:r w:rsidRPr="00DE246C">
        <w:rPr>
          <w:rFonts w:ascii="Arial" w:hAnsi="Arial" w:cs="Arial"/>
          <w:sz w:val="22"/>
          <w:szCs w:val="22"/>
          <w:lang w:val="en-IN"/>
        </w:rPr>
        <w:t>has to</w:t>
      </w:r>
      <w:proofErr w:type="gramEnd"/>
      <w:r w:rsidRPr="00DE246C">
        <w:rPr>
          <w:rFonts w:ascii="Arial" w:hAnsi="Arial" w:cs="Arial"/>
          <w:sz w:val="22"/>
          <w:szCs w:val="22"/>
          <w:lang w:val="en-IN"/>
        </w:rPr>
        <w:t xml:space="preserve"> examine solutions which will lower debt for its entire business by using mechanisms such as retaining more earnings (paying lower dividends) and issuing equity. </w:t>
      </w:r>
      <w:proofErr w:type="gramStart"/>
      <w:r w:rsidRPr="00DE246C">
        <w:rPr>
          <w:rFonts w:ascii="Arial" w:hAnsi="Arial" w:cs="Arial"/>
          <w:sz w:val="22"/>
          <w:szCs w:val="22"/>
          <w:lang w:val="en-IN"/>
        </w:rPr>
        <w:t>Therefore</w:t>
      </w:r>
      <w:proofErr w:type="gramEnd"/>
      <w:r w:rsidRPr="00DE246C">
        <w:rPr>
          <w:rFonts w:ascii="Arial" w:hAnsi="Arial" w:cs="Arial"/>
          <w:sz w:val="22"/>
          <w:szCs w:val="22"/>
          <w:lang w:val="en-IN"/>
        </w:rPr>
        <w:t xml:space="preserve"> this technique can be seen as a way for the bank to become a stronger financial instrument and protect it from recession. On the other hand, if the enterprise pays down the existing debt using those funds under the new credit terms, then interest expenses will go down and will eventually lead to a higher net flow.</w:t>
      </w:r>
    </w:p>
    <w:p w14:paraId="3EE361F5"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lastRenderedPageBreak/>
        <w:t xml:space="preserve">Improve Operational Efficiency: </w:t>
      </w:r>
      <w:r w:rsidRPr="00DE246C">
        <w:rPr>
          <w:rFonts w:ascii="Arial" w:hAnsi="Arial" w:cs="Arial"/>
          <w:sz w:val="22"/>
          <w:szCs w:val="22"/>
          <w:lang w:val="en-IN"/>
        </w:rPr>
        <w:t>The economic control ratio indicates this area has the most potential for improvement in efficiency. An example would be the use of cost control measures by Barclays like the introduction of process automation, digitalisation of services and consolidation of those units or branches which do not add value. Try to introduce technology which could be utilized to improve operations, reduce costs, and upgrade customer service levels. addition of continuous improvement programs and lean management practices can assist in finding the inaccuracies and areas for cost saving (</w:t>
      </w:r>
      <w:r w:rsidRPr="00DE246C">
        <w:rPr>
          <w:rFonts w:ascii="Arial" w:hAnsi="Arial" w:cs="Arial"/>
          <w:sz w:val="22"/>
          <w:szCs w:val="22"/>
          <w:shd w:val="clear" w:color="auto" w:fill="FFFFFF"/>
        </w:rPr>
        <w:t xml:space="preserve">Singh, Clements, and </w:t>
      </w:r>
      <w:proofErr w:type="spellStart"/>
      <w:r w:rsidRPr="00DE246C">
        <w:rPr>
          <w:rFonts w:ascii="Arial" w:hAnsi="Arial" w:cs="Arial"/>
          <w:sz w:val="22"/>
          <w:szCs w:val="22"/>
          <w:shd w:val="clear" w:color="auto" w:fill="FFFFFF"/>
        </w:rPr>
        <w:t>Sonwaney</w:t>
      </w:r>
      <w:proofErr w:type="spellEnd"/>
      <w:r w:rsidRPr="00DE246C">
        <w:rPr>
          <w:rFonts w:ascii="Arial" w:hAnsi="Arial" w:cs="Arial"/>
          <w:sz w:val="22"/>
          <w:szCs w:val="22"/>
          <w:shd w:val="clear" w:color="auto" w:fill="FFFFFF"/>
        </w:rPr>
        <w:t>, 2018).</w:t>
      </w:r>
    </w:p>
    <w:p w14:paraId="3431D171" w14:textId="77777777" w:rsidR="000547E9" w:rsidRPr="00DE246C" w:rsidRDefault="000547E9" w:rsidP="000547E9">
      <w:pPr>
        <w:rPr>
          <w:rFonts w:ascii="Arial" w:hAnsi="Arial" w:cs="Arial"/>
          <w:sz w:val="22"/>
          <w:szCs w:val="22"/>
          <w:lang w:val="en-IN"/>
        </w:rPr>
      </w:pPr>
      <w:r w:rsidRPr="00DE246C">
        <w:rPr>
          <w:rFonts w:ascii="Arial" w:hAnsi="Arial" w:cs="Arial"/>
          <w:b/>
          <w:bCs/>
          <w:sz w:val="22"/>
          <w:szCs w:val="22"/>
          <w:lang w:val="en-IN"/>
        </w:rPr>
        <w:t xml:space="preserve">Strengthen Profitability: </w:t>
      </w:r>
      <w:r w:rsidRPr="00DE246C">
        <w:rPr>
          <w:rFonts w:ascii="Arial" w:hAnsi="Arial" w:cs="Arial"/>
          <w:sz w:val="22"/>
          <w:szCs w:val="22"/>
          <w:lang w:val="en-IN"/>
        </w:rPr>
        <w:t>Through deeper penetration in the higher-margin goods and services, the bank can consider an adjustment in the mix of its products and services to the areas with higher returns. This could include investing in the banking markets that are still exploratory, fintech and digital banking services, or expanding the wealth management and investment banking department. Furthermore, the heightening of risk management measures that help to prevent loan default and credit losses is also important because it will ensure profitability and finally a higher ROE.</w:t>
      </w:r>
    </w:p>
    <w:p w14:paraId="763CA2EE" w14:textId="77777777" w:rsidR="000547E9" w:rsidRPr="00DE246C" w:rsidRDefault="000547E9" w:rsidP="000547E9">
      <w:pPr>
        <w:rPr>
          <w:rFonts w:ascii="Arial" w:hAnsi="Arial" w:cs="Arial"/>
          <w:b/>
          <w:bCs/>
          <w:sz w:val="22"/>
          <w:szCs w:val="22"/>
          <w:lang w:val="en-IN"/>
        </w:rPr>
      </w:pPr>
      <w:r w:rsidRPr="00DE246C">
        <w:rPr>
          <w:rFonts w:ascii="Arial" w:hAnsi="Arial" w:cs="Arial"/>
          <w:b/>
          <w:bCs/>
          <w:sz w:val="22"/>
          <w:szCs w:val="22"/>
          <w:lang w:val="en-IN"/>
        </w:rPr>
        <w:t>Strategic Recommendations</w:t>
      </w:r>
    </w:p>
    <w:p w14:paraId="0F437E39" w14:textId="77777777" w:rsidR="000547E9" w:rsidRPr="00DE246C" w:rsidRDefault="000547E9" w:rsidP="000547E9">
      <w:pPr>
        <w:pStyle w:val="ListParagraph"/>
        <w:numPr>
          <w:ilvl w:val="0"/>
          <w:numId w:val="10"/>
        </w:numPr>
        <w:rPr>
          <w:rFonts w:ascii="Arial" w:hAnsi="Arial" w:cs="Arial"/>
          <w:sz w:val="22"/>
          <w:szCs w:val="22"/>
          <w:lang w:val="en-IN"/>
        </w:rPr>
      </w:pPr>
      <w:r w:rsidRPr="00DE246C">
        <w:rPr>
          <w:rFonts w:ascii="Arial" w:hAnsi="Arial" w:cs="Arial"/>
          <w:sz w:val="22"/>
          <w:szCs w:val="22"/>
          <w:lang w:val="en-IN"/>
        </w:rPr>
        <w:t>Diversification: If we want to remain protected, we can try looking into new markets or products that maybe will diversify our income sources, hence, less dependence on some segments that are underperforming.</w:t>
      </w:r>
    </w:p>
    <w:p w14:paraId="2B4E0AA1" w14:textId="77777777" w:rsidR="000547E9" w:rsidRPr="00DE246C" w:rsidRDefault="000547E9" w:rsidP="000547E9">
      <w:pPr>
        <w:pStyle w:val="ListParagraph"/>
        <w:numPr>
          <w:ilvl w:val="0"/>
          <w:numId w:val="10"/>
        </w:numPr>
        <w:rPr>
          <w:rFonts w:ascii="Arial" w:hAnsi="Arial" w:cs="Arial"/>
          <w:sz w:val="22"/>
          <w:szCs w:val="22"/>
          <w:lang w:val="en-IN"/>
        </w:rPr>
      </w:pPr>
      <w:r w:rsidRPr="00DE246C">
        <w:rPr>
          <w:rFonts w:ascii="Arial" w:hAnsi="Arial" w:cs="Arial"/>
          <w:sz w:val="22"/>
          <w:szCs w:val="22"/>
          <w:lang w:val="en-IN"/>
        </w:rPr>
        <w:t>Digital Transformation: It isn’t just efficiency alone that investing in digital banking will bring but also it will meet customers with their increasingly changing expectations thereby providing potential areas of revenue streams (</w:t>
      </w:r>
      <w:r w:rsidRPr="00DE246C">
        <w:rPr>
          <w:rFonts w:ascii="Arial" w:hAnsi="Arial" w:cs="Arial"/>
          <w:sz w:val="22"/>
          <w:szCs w:val="22"/>
          <w:shd w:val="clear" w:color="auto" w:fill="FFFFFF"/>
        </w:rPr>
        <w:t>Vial, 2021).</w:t>
      </w:r>
    </w:p>
    <w:p w14:paraId="6BFA859F" w14:textId="77777777" w:rsidR="000547E9" w:rsidRPr="00DE246C" w:rsidRDefault="000547E9" w:rsidP="000547E9">
      <w:pPr>
        <w:pStyle w:val="ListParagraph"/>
        <w:numPr>
          <w:ilvl w:val="0"/>
          <w:numId w:val="10"/>
        </w:numPr>
        <w:rPr>
          <w:rFonts w:ascii="Arial" w:hAnsi="Arial" w:cs="Arial"/>
          <w:sz w:val="22"/>
          <w:szCs w:val="22"/>
          <w:lang w:val="en-IN"/>
        </w:rPr>
      </w:pPr>
      <w:r w:rsidRPr="00DE246C">
        <w:rPr>
          <w:rFonts w:ascii="Arial" w:hAnsi="Arial" w:cs="Arial"/>
          <w:sz w:val="22"/>
          <w:szCs w:val="22"/>
          <w:lang w:val="en-IN"/>
        </w:rPr>
        <w:t>Sustainability and ESG Focus: Company policies, practices, and output can be altered in a way that will facilitate socially responsible investments and better public opinion and lead to improved financial performance in the long run (</w:t>
      </w:r>
      <w:r w:rsidRPr="00DE246C">
        <w:rPr>
          <w:rFonts w:ascii="Arial" w:hAnsi="Arial" w:cs="Arial"/>
          <w:sz w:val="22"/>
          <w:szCs w:val="22"/>
          <w:shd w:val="clear" w:color="auto" w:fill="FFFFFF"/>
        </w:rPr>
        <w:t>Maury, 2018).</w:t>
      </w:r>
    </w:p>
    <w:p w14:paraId="04E51B61" w14:textId="77777777" w:rsidR="000547E9" w:rsidRPr="00DE246C" w:rsidRDefault="000547E9" w:rsidP="000547E9">
      <w:pPr>
        <w:rPr>
          <w:rFonts w:ascii="Arial" w:hAnsi="Arial" w:cs="Arial"/>
          <w:sz w:val="22"/>
          <w:szCs w:val="22"/>
          <w:lang w:val="en-IN"/>
        </w:rPr>
      </w:pPr>
      <w:r w:rsidRPr="00DE246C">
        <w:rPr>
          <w:rFonts w:ascii="Arial" w:hAnsi="Arial" w:cs="Arial"/>
          <w:sz w:val="22"/>
          <w:szCs w:val="22"/>
          <w:lang w:val="en-IN"/>
        </w:rPr>
        <w:t>Promoting Barclays' sound financial peculiarities requires a multidimensional process that should factor in both the pressing financial metrics and the company’s long-term strategy. By concentrating on liquidity, leverage, efficiency, and earnings alongside using the strategic market opportunities in technology, and sustainability, Barclays thus, can better its financial health and standing in the worldwide financial market.</w:t>
      </w:r>
    </w:p>
    <w:p w14:paraId="4906F3F9" w14:textId="1CB7F84E" w:rsidR="00BE64FB" w:rsidRDefault="000547E9">
      <w:r>
        <w:t xml:space="preserve"> </w:t>
      </w:r>
    </w:p>
    <w:sectPr w:rsidR="00BE64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5F325C"/>
    <w:multiLevelType w:val="hybridMultilevel"/>
    <w:tmpl w:val="1840C2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89E11A9"/>
    <w:multiLevelType w:val="hybridMultilevel"/>
    <w:tmpl w:val="A4748B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E585C6D"/>
    <w:multiLevelType w:val="hybridMultilevel"/>
    <w:tmpl w:val="0E5AEA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34535B7"/>
    <w:multiLevelType w:val="hybridMultilevel"/>
    <w:tmpl w:val="F5AC5E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7942531"/>
    <w:multiLevelType w:val="hybridMultilevel"/>
    <w:tmpl w:val="05EA22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72F3F82"/>
    <w:multiLevelType w:val="hybridMultilevel"/>
    <w:tmpl w:val="558646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EF613A1"/>
    <w:multiLevelType w:val="hybridMultilevel"/>
    <w:tmpl w:val="5F90AC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9E81566"/>
    <w:multiLevelType w:val="hybridMultilevel"/>
    <w:tmpl w:val="383246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4493820"/>
    <w:multiLevelType w:val="hybridMultilevel"/>
    <w:tmpl w:val="D0D044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5630F2B"/>
    <w:multiLevelType w:val="hybridMultilevel"/>
    <w:tmpl w:val="4D564D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67831455">
    <w:abstractNumId w:val="5"/>
  </w:num>
  <w:num w:numId="2" w16cid:durableId="1615556702">
    <w:abstractNumId w:val="3"/>
  </w:num>
  <w:num w:numId="3" w16cid:durableId="1672944788">
    <w:abstractNumId w:val="0"/>
  </w:num>
  <w:num w:numId="4" w16cid:durableId="337853321">
    <w:abstractNumId w:val="7"/>
  </w:num>
  <w:num w:numId="5" w16cid:durableId="272633733">
    <w:abstractNumId w:val="1"/>
  </w:num>
  <w:num w:numId="6" w16cid:durableId="254094099">
    <w:abstractNumId w:val="6"/>
  </w:num>
  <w:num w:numId="7" w16cid:durableId="1447500592">
    <w:abstractNumId w:val="4"/>
  </w:num>
  <w:num w:numId="8" w16cid:durableId="1161889952">
    <w:abstractNumId w:val="2"/>
  </w:num>
  <w:num w:numId="9" w16cid:durableId="1790318795">
    <w:abstractNumId w:val="8"/>
  </w:num>
  <w:num w:numId="10" w16cid:durableId="18070413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58"/>
    <w:rsid w:val="000547E9"/>
    <w:rsid w:val="00183F2A"/>
    <w:rsid w:val="00654273"/>
    <w:rsid w:val="00811E58"/>
    <w:rsid w:val="00BE6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72308"/>
  <w15:chartTrackingRefBased/>
  <w15:docId w15:val="{28D35EA6-B992-4496-903F-32686499D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7E9"/>
    <w:pPr>
      <w:spacing w:before="120" w:after="120" w:line="360" w:lineRule="auto"/>
      <w:jc w:val="both"/>
    </w:pPr>
    <w:rPr>
      <w:rFonts w:ascii="Times New Roman" w:eastAsia="Times New Roman" w:hAnsi="Times New Roman" w:cs="Times New Roman"/>
      <w:color w:val="000000" w:themeColor="text1"/>
      <w:sz w:val="24"/>
      <w:szCs w:val="20"/>
      <w:lang w:eastAsia="en-GB"/>
    </w:rPr>
  </w:style>
  <w:style w:type="paragraph" w:styleId="Heading1">
    <w:name w:val="heading 1"/>
    <w:basedOn w:val="Normal"/>
    <w:next w:val="Normal"/>
    <w:link w:val="Heading1Char"/>
    <w:uiPriority w:val="9"/>
    <w:qFormat/>
    <w:rsid w:val="00811E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1E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E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E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E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E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E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E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E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E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1E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E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E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E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E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E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E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E58"/>
    <w:rPr>
      <w:rFonts w:eastAsiaTheme="majorEastAsia" w:cstheme="majorBidi"/>
      <w:color w:val="272727" w:themeColor="text1" w:themeTint="D8"/>
    </w:rPr>
  </w:style>
  <w:style w:type="paragraph" w:styleId="Title">
    <w:name w:val="Title"/>
    <w:basedOn w:val="Normal"/>
    <w:next w:val="Normal"/>
    <w:link w:val="TitleChar"/>
    <w:uiPriority w:val="10"/>
    <w:qFormat/>
    <w:rsid w:val="00811E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E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E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E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E58"/>
    <w:pPr>
      <w:spacing w:before="160"/>
      <w:jc w:val="center"/>
    </w:pPr>
    <w:rPr>
      <w:i/>
      <w:iCs/>
      <w:color w:val="404040" w:themeColor="text1" w:themeTint="BF"/>
    </w:rPr>
  </w:style>
  <w:style w:type="character" w:customStyle="1" w:styleId="QuoteChar">
    <w:name w:val="Quote Char"/>
    <w:basedOn w:val="DefaultParagraphFont"/>
    <w:link w:val="Quote"/>
    <w:uiPriority w:val="29"/>
    <w:rsid w:val="00811E58"/>
    <w:rPr>
      <w:i/>
      <w:iCs/>
      <w:color w:val="404040" w:themeColor="text1" w:themeTint="BF"/>
    </w:rPr>
  </w:style>
  <w:style w:type="paragraph" w:styleId="ListParagraph">
    <w:name w:val="List Paragraph"/>
    <w:basedOn w:val="Normal"/>
    <w:uiPriority w:val="34"/>
    <w:qFormat/>
    <w:rsid w:val="00811E58"/>
    <w:pPr>
      <w:ind w:left="720"/>
      <w:contextualSpacing/>
    </w:pPr>
  </w:style>
  <w:style w:type="character" w:styleId="IntenseEmphasis">
    <w:name w:val="Intense Emphasis"/>
    <w:basedOn w:val="DefaultParagraphFont"/>
    <w:uiPriority w:val="21"/>
    <w:qFormat/>
    <w:rsid w:val="00811E58"/>
    <w:rPr>
      <w:i/>
      <w:iCs/>
      <w:color w:val="0F4761" w:themeColor="accent1" w:themeShade="BF"/>
    </w:rPr>
  </w:style>
  <w:style w:type="paragraph" w:styleId="IntenseQuote">
    <w:name w:val="Intense Quote"/>
    <w:basedOn w:val="Normal"/>
    <w:next w:val="Normal"/>
    <w:link w:val="IntenseQuoteChar"/>
    <w:uiPriority w:val="30"/>
    <w:qFormat/>
    <w:rsid w:val="00811E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E58"/>
    <w:rPr>
      <w:i/>
      <w:iCs/>
      <w:color w:val="0F4761" w:themeColor="accent1" w:themeShade="BF"/>
    </w:rPr>
  </w:style>
  <w:style w:type="character" w:styleId="IntenseReference">
    <w:name w:val="Intense Reference"/>
    <w:basedOn w:val="DefaultParagraphFont"/>
    <w:uiPriority w:val="32"/>
    <w:qFormat/>
    <w:rsid w:val="00811E5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2346</Words>
  <Characters>13377</Characters>
  <Application>Microsoft Office Word</Application>
  <DocSecurity>0</DocSecurity>
  <Lines>111</Lines>
  <Paragraphs>31</Paragraphs>
  <ScaleCrop>false</ScaleCrop>
  <Company/>
  <LinksUpToDate>false</LinksUpToDate>
  <CharactersWithSpaces>15692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Olamide Bobby Erinosho (2008390)</dc:creator>
  <cp:keywords/>
  <dc:description/>
  <cp:lastModifiedBy>Olamide Bobby Erinosho (2008390)</cp:lastModifiedBy>
  <cp:revision>3</cp:revision>
  <dcterms:created xsi:type="dcterms:W3CDTF">2024-04-12T13:23:00Z</dcterms:created>
  <dcterms:modified xsi:type="dcterms:W3CDTF">2024-04-12T13:33:00Z</dcterms:modified>
</cp:coreProperties>
</file>