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8132A" w14:textId="6DEF868C" w:rsidR="00E62A68" w:rsidRDefault="000918E0" w:rsidP="00436436">
      <w:pPr>
        <w:rPr>
          <w:b/>
          <w:bCs/>
          <w:sz w:val="28"/>
          <w:szCs w:val="28"/>
          <w:u w:val="single"/>
        </w:rPr>
      </w:pPr>
      <w:r>
        <w:rPr>
          <w:noProof/>
        </w:rPr>
        <mc:AlternateContent>
          <mc:Choice Requires="wps">
            <w:drawing>
              <wp:anchor distT="0" distB="0" distL="114300" distR="114300" simplePos="0" relativeHeight="251660289" behindDoc="0" locked="0" layoutInCell="1" allowOverlap="1" wp14:anchorId="1909A82A" wp14:editId="3E2AED4F">
                <wp:simplePos x="0" y="0"/>
                <wp:positionH relativeFrom="column">
                  <wp:posOffset>-864870</wp:posOffset>
                </wp:positionH>
                <wp:positionV relativeFrom="paragraph">
                  <wp:posOffset>3853180</wp:posOffset>
                </wp:positionV>
                <wp:extent cx="2021840" cy="635"/>
                <wp:effectExtent l="0" t="0" r="0" b="12065"/>
                <wp:wrapSquare wrapText="bothSides"/>
                <wp:docPr id="4" name="Text Box 4"/>
                <wp:cNvGraphicFramePr/>
                <a:graphic xmlns:a="http://schemas.openxmlformats.org/drawingml/2006/main">
                  <a:graphicData uri="http://schemas.microsoft.com/office/word/2010/wordprocessingShape">
                    <wps:wsp>
                      <wps:cNvSpPr txBox="1"/>
                      <wps:spPr>
                        <a:xfrm>
                          <a:off x="0" y="0"/>
                          <a:ext cx="2021840" cy="635"/>
                        </a:xfrm>
                        <a:prstGeom prst="rect">
                          <a:avLst/>
                        </a:prstGeom>
                        <a:solidFill>
                          <a:prstClr val="white"/>
                        </a:solidFill>
                        <a:ln>
                          <a:noFill/>
                        </a:ln>
                      </wps:spPr>
                      <wps:txbx>
                        <w:txbxContent>
                          <w:p w14:paraId="20B5F65B" w14:textId="5095393E" w:rsidR="000918E0" w:rsidRPr="000918E0" w:rsidRDefault="000918E0" w:rsidP="000918E0">
                            <w:pPr>
                              <w:pStyle w:val="Caption"/>
                              <w:jc w:val="center"/>
                              <w:rPr>
                                <w:rFonts w:ascii="Times New Roman" w:eastAsia="Times New Roman" w:hAnsi="Times New Roman" w:cs="Times New Roman"/>
                                <w:noProof/>
                                <w:sz w:val="10"/>
                                <w:szCs w:val="10"/>
                              </w:rPr>
                            </w:pPr>
                            <w:r w:rsidRPr="000918E0">
                              <w:rPr>
                                <w:sz w:val="10"/>
                                <w:szCs w:val="10"/>
                              </w:rPr>
                              <w:t xml:space="preserve">Figure </w:t>
                            </w:r>
                            <w:r w:rsidRPr="000918E0">
                              <w:rPr>
                                <w:sz w:val="10"/>
                                <w:szCs w:val="10"/>
                              </w:rPr>
                              <w:fldChar w:fldCharType="begin"/>
                            </w:r>
                            <w:r w:rsidRPr="000918E0">
                              <w:rPr>
                                <w:sz w:val="10"/>
                                <w:szCs w:val="10"/>
                              </w:rPr>
                              <w:instrText xml:space="preserve"> SEQ Figure \* ARABIC </w:instrText>
                            </w:r>
                            <w:r w:rsidRPr="000918E0">
                              <w:rPr>
                                <w:sz w:val="10"/>
                                <w:szCs w:val="10"/>
                              </w:rPr>
                              <w:fldChar w:fldCharType="separate"/>
                            </w:r>
                            <w:r>
                              <w:rPr>
                                <w:noProof/>
                                <w:sz w:val="10"/>
                                <w:szCs w:val="10"/>
                              </w:rPr>
                              <w:t>1</w:t>
                            </w:r>
                            <w:r w:rsidRPr="000918E0">
                              <w:rPr>
                                <w:sz w:val="10"/>
                                <w:szCs w:val="10"/>
                              </w:rPr>
                              <w:fldChar w:fldCharType="end"/>
                            </w:r>
                            <w:r w:rsidRPr="000918E0">
                              <w:rPr>
                                <w:sz w:val="10"/>
                                <w:szCs w:val="10"/>
                              </w:rPr>
                              <w:t>: A marble copy of Lysippos ‘Farnese of Hercules’, sourced from: https://commons.wikimedia.org/wiki/File:Herakles_Farnese_MAN_Napoli_Inv6001_n01.jpg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909A82A" id="_x0000_t202" coordsize="21600,21600" o:spt="202" path="m,l,21600r21600,l21600,xe">
                <v:stroke joinstyle="miter"/>
                <v:path gradientshapeok="t" o:connecttype="rect"/>
              </v:shapetype>
              <v:shape id="Text Box 4" o:spid="_x0000_s1026" type="#_x0000_t202" style="position:absolute;margin-left:-68.1pt;margin-top:303.4pt;width:159.2pt;height:.05pt;z-index:2516602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" stroked="f">
                <v:textbox style="mso-fit-shape-to-text:t" inset="0,0,0,0">
                  <w:txbxContent>
                    <w:p w14:paraId="20B5F65B" w14:textId="5095393E" w:rsidR="000918E0" w:rsidRPr="000918E0" w:rsidRDefault="000918E0" w:rsidP="000918E0">
                      <w:pPr>
                        <w:pStyle w:val="Caption"/>
                        <w:jc w:val="center"/>
                        <w:rPr>
                          <w:rFonts w:ascii="Times New Roman" w:eastAsia="Times New Roman" w:hAnsi="Times New Roman" w:cs="Times New Roman"/>
                          <w:noProof/>
                          <w:sz w:val="10"/>
                          <w:szCs w:val="10"/>
                        </w:rPr>
                      </w:pPr>
                      <w:r w:rsidRPr="000918E0">
                        <w:rPr>
                          <w:sz w:val="10"/>
                          <w:szCs w:val="10"/>
                        </w:rPr>
                        <w:t xml:space="preserve">Figure </w:t>
                      </w:r>
                      <w:r w:rsidRPr="000918E0">
                        <w:rPr>
                          <w:sz w:val="10"/>
                          <w:szCs w:val="10"/>
                        </w:rPr>
                        <w:fldChar w:fldCharType="begin"/>
                      </w:r>
                      <w:r w:rsidRPr="000918E0">
                        <w:rPr>
                          <w:sz w:val="10"/>
                          <w:szCs w:val="10"/>
                        </w:rPr>
                        <w:instrText xml:space="preserve"> SEQ Figure \* ARABIC </w:instrText>
                      </w:r>
                      <w:r w:rsidRPr="000918E0">
                        <w:rPr>
                          <w:sz w:val="10"/>
                          <w:szCs w:val="10"/>
                        </w:rPr>
                        <w:fldChar w:fldCharType="separate"/>
                      </w:r>
                      <w:r>
                        <w:rPr>
                          <w:noProof/>
                          <w:sz w:val="10"/>
                          <w:szCs w:val="10"/>
                        </w:rPr>
                        <w:t>1</w:t>
                      </w:r>
                      <w:r w:rsidRPr="000918E0">
                        <w:rPr>
                          <w:sz w:val="10"/>
                          <w:szCs w:val="10"/>
                        </w:rPr>
                        <w:fldChar w:fldCharType="end"/>
                      </w:r>
                      <w:r w:rsidRPr="000918E0">
                        <w:rPr>
                          <w:sz w:val="10"/>
                          <w:szCs w:val="10"/>
                        </w:rPr>
                        <w:t>: A marble copy of Lysippos ‘Farnese of Hercules’, sourced from: https://commons.wikimedia.org/wiki/File:Herakles_Farnese_MAN_Napoli_Inv6001_n01.jpg</w:t>
                      </w:r>
                    </w:p>
                  </w:txbxContent>
                </v:textbox>
                <w10:wrap type="square"/>
              </v:shape>
            </w:pict>
          </mc:Fallback>
        </mc:AlternateContent>
      </w:r>
      <w:r w:rsidR="00081315" w:rsidRPr="00EA5240">
        <w:rPr>
          <w:rFonts w:ascii="Times New Roman" w:eastAsia="Times New Roman" w:hAnsi="Times New Roman" w:cs="Times New Roman"/>
          <w:noProof/>
          <w:lang w:eastAsia="en-GB"/>
        </w:rPr>
        <w:drawing>
          <wp:anchor distT="0" distB="0" distL="114300" distR="114300" simplePos="0" relativeHeight="251658241" behindDoc="0" locked="0" layoutInCell="1" allowOverlap="1" wp14:anchorId="47899D26" wp14:editId="49E18F84">
            <wp:simplePos x="0" y="0"/>
            <wp:positionH relativeFrom="margin">
              <wp:posOffset>-864870</wp:posOffset>
            </wp:positionH>
            <wp:positionV relativeFrom="margin">
              <wp:posOffset>257921</wp:posOffset>
            </wp:positionV>
            <wp:extent cx="2021840" cy="3538220"/>
            <wp:effectExtent l="0" t="0" r="0" b="5080"/>
            <wp:wrapSquare wrapText="bothSides"/>
            <wp:docPr id="3" name="Picture 3" descr="A sculp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1840" cy="3538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2A68" w:rsidRPr="00E62A68">
        <w:rPr>
          <w:b/>
          <w:bCs/>
          <w:sz w:val="28"/>
          <w:szCs w:val="28"/>
          <w:u w:val="single"/>
        </w:rPr>
        <w:t>The Farnese of Hercules</w:t>
      </w:r>
    </w:p>
    <w:p w14:paraId="514F126F" w14:textId="18ED1918" w:rsidR="00636B41" w:rsidRDefault="00FB746A">
      <w:pPr>
        <w:rPr>
          <w:bCs/>
        </w:rPr>
      </w:pPr>
      <w:r>
        <w:rPr>
          <w:bCs/>
        </w:rPr>
        <w:t xml:space="preserve">This statue was </w:t>
      </w:r>
      <w:r w:rsidR="00E714EC">
        <w:rPr>
          <w:bCs/>
        </w:rPr>
        <w:t xml:space="preserve">crafted by </w:t>
      </w:r>
      <w:r w:rsidR="00D145DC" w:rsidRPr="00D145DC">
        <w:rPr>
          <w:bCs/>
        </w:rPr>
        <w:t>Lysippos</w:t>
      </w:r>
      <w:r w:rsidR="00CC59BC">
        <w:rPr>
          <w:bCs/>
        </w:rPr>
        <w:t xml:space="preserve">, </w:t>
      </w:r>
      <w:r w:rsidR="00E861E9">
        <w:rPr>
          <w:bCs/>
        </w:rPr>
        <w:t xml:space="preserve">who is considered </w:t>
      </w:r>
      <w:r w:rsidR="00C5346D">
        <w:rPr>
          <w:bCs/>
        </w:rPr>
        <w:t>to b</w:t>
      </w:r>
      <w:r w:rsidR="00D61526">
        <w:rPr>
          <w:bCs/>
        </w:rPr>
        <w:t xml:space="preserve">e </w:t>
      </w:r>
      <w:r w:rsidR="00252CD3" w:rsidRPr="00252CD3">
        <w:rPr>
          <w:bCs/>
        </w:rPr>
        <w:t xml:space="preserve">one of the greatest sculptors of the Late Classical period </w:t>
      </w:r>
      <w:r w:rsidR="00D61526">
        <w:rPr>
          <w:bCs/>
        </w:rPr>
        <w:t xml:space="preserve">(), </w:t>
      </w:r>
      <w:r w:rsidR="16AE6CF7">
        <w:t>sometime</w:t>
      </w:r>
      <w:r w:rsidR="00C5346D">
        <w:rPr>
          <w:bCs/>
        </w:rPr>
        <w:t xml:space="preserve"> between </w:t>
      </w:r>
      <w:r w:rsidR="00D61526">
        <w:rPr>
          <w:bCs/>
        </w:rPr>
        <w:t>350-300 BC</w:t>
      </w:r>
      <w:r w:rsidR="00CC59BC">
        <w:rPr>
          <w:bCs/>
        </w:rPr>
        <w:t xml:space="preserve">. </w:t>
      </w:r>
      <w:r w:rsidR="00420366">
        <w:rPr>
          <w:bCs/>
        </w:rPr>
        <w:t>The original</w:t>
      </w:r>
      <w:r w:rsidR="005B54B9">
        <w:rPr>
          <w:bCs/>
        </w:rPr>
        <w:t xml:space="preserve"> would have</w:t>
      </w:r>
      <w:r w:rsidR="00420366">
        <w:rPr>
          <w:bCs/>
        </w:rPr>
        <w:t xml:space="preserve"> been </w:t>
      </w:r>
      <w:r w:rsidR="16AE6CF7">
        <w:t>cast</w:t>
      </w:r>
      <w:r w:rsidR="00420366">
        <w:rPr>
          <w:bCs/>
        </w:rPr>
        <w:t xml:space="preserve"> in bronze using the </w:t>
      </w:r>
      <w:r w:rsidR="005B54B9">
        <w:rPr>
          <w:bCs/>
        </w:rPr>
        <w:t>lost-wax method</w:t>
      </w:r>
      <w:r w:rsidR="00636B41">
        <w:rPr>
          <w:bCs/>
        </w:rPr>
        <w:t xml:space="preserve"> (Hyde, 1907</w:t>
      </w:r>
      <w:r w:rsidR="008424A2">
        <w:rPr>
          <w:bCs/>
        </w:rPr>
        <w:t>, p396</w:t>
      </w:r>
      <w:r w:rsidR="00636B41">
        <w:rPr>
          <w:bCs/>
        </w:rPr>
        <w:t>)</w:t>
      </w:r>
      <w:r w:rsidR="005B54B9">
        <w:rPr>
          <w:bCs/>
        </w:rPr>
        <w:t>, but it has since been lost to time and only Roman marble copies survive</w:t>
      </w:r>
      <w:r w:rsidR="00636B41">
        <w:rPr>
          <w:bCs/>
        </w:rPr>
        <w:t>.</w:t>
      </w:r>
      <w:r w:rsidR="00F232BF" w:rsidRPr="00F232BF">
        <w:rPr>
          <w:bCs/>
        </w:rPr>
        <w:t xml:space="preserve"> </w:t>
      </w:r>
      <w:r w:rsidR="00F232BF">
        <w:rPr>
          <w:bCs/>
        </w:rPr>
        <w:t>The statue conveys Hercules in the late prime of his life</w:t>
      </w:r>
      <w:r w:rsidR="000B105C">
        <w:rPr>
          <w:bCs/>
        </w:rPr>
        <w:t xml:space="preserve"> after </w:t>
      </w:r>
      <w:r w:rsidR="0024740D">
        <w:rPr>
          <w:bCs/>
        </w:rPr>
        <w:t>doing his 12 labours</w:t>
      </w:r>
      <w:r w:rsidR="00F232BF">
        <w:rPr>
          <w:bCs/>
        </w:rPr>
        <w:t xml:space="preserve"> (</w:t>
      </w:r>
      <w:r w:rsidR="00F232BF">
        <w:t>Vermeule, 1975</w:t>
      </w:r>
      <w:r w:rsidR="00F232BF">
        <w:rPr>
          <w:bCs/>
        </w:rPr>
        <w:t>).</w:t>
      </w:r>
    </w:p>
    <w:p w14:paraId="338E3107" w14:textId="586CC577" w:rsidR="00081315" w:rsidRDefault="00FB746A">
      <w:pPr>
        <w:rPr>
          <w:bCs/>
        </w:rPr>
      </w:pPr>
      <w:r>
        <w:rPr>
          <w:bCs/>
        </w:rPr>
        <w:t xml:space="preserve">This statue was </w:t>
      </w:r>
      <w:r w:rsidR="00E714EC">
        <w:rPr>
          <w:bCs/>
        </w:rPr>
        <w:t xml:space="preserve">crafted by </w:t>
      </w:r>
      <w:r w:rsidR="00D145DC" w:rsidRPr="00D145DC">
        <w:rPr>
          <w:bCs/>
        </w:rPr>
        <w:t>Lysipp</w:t>
      </w:r>
      <w:r w:rsidR="00081315">
        <w:rPr>
          <w:bCs/>
        </w:rPr>
        <w:t>u</w:t>
      </w:r>
      <w:r w:rsidR="00D145DC" w:rsidRPr="00D145DC">
        <w:rPr>
          <w:bCs/>
        </w:rPr>
        <w:t>s</w:t>
      </w:r>
      <w:r w:rsidR="00CC59BC">
        <w:rPr>
          <w:bCs/>
        </w:rPr>
        <w:t xml:space="preserve">, </w:t>
      </w:r>
      <w:r w:rsidR="00E861E9">
        <w:rPr>
          <w:bCs/>
        </w:rPr>
        <w:t xml:space="preserve">who is considered </w:t>
      </w:r>
      <w:r w:rsidR="00C5346D">
        <w:rPr>
          <w:bCs/>
        </w:rPr>
        <w:t>to b</w:t>
      </w:r>
      <w:r w:rsidR="00D61526">
        <w:rPr>
          <w:bCs/>
        </w:rPr>
        <w:t xml:space="preserve">e </w:t>
      </w:r>
      <w:r w:rsidR="00252CD3" w:rsidRPr="00252CD3">
        <w:rPr>
          <w:bCs/>
        </w:rPr>
        <w:t xml:space="preserve">one of the </w:t>
      </w:r>
      <w:r w:rsidR="00081315">
        <w:rPr>
          <w:bCs/>
        </w:rPr>
        <w:t xml:space="preserve">last </w:t>
      </w:r>
      <w:r w:rsidR="00252CD3" w:rsidRPr="00252CD3">
        <w:rPr>
          <w:bCs/>
        </w:rPr>
        <w:t xml:space="preserve">greatest sculptors of the Late Classical period </w:t>
      </w:r>
      <w:r w:rsidR="00D61526">
        <w:rPr>
          <w:bCs/>
        </w:rPr>
        <w:t>(</w:t>
      </w:r>
      <w:r w:rsidR="00081315">
        <w:t>Boardman, 1995, p57</w:t>
      </w:r>
      <w:r w:rsidR="00D61526">
        <w:rPr>
          <w:bCs/>
        </w:rPr>
        <w:t xml:space="preserve">), </w:t>
      </w:r>
      <w:r w:rsidR="00C5346D">
        <w:rPr>
          <w:bCs/>
        </w:rPr>
        <w:t xml:space="preserve">Sometime between </w:t>
      </w:r>
      <w:r w:rsidR="00D61526">
        <w:rPr>
          <w:bCs/>
        </w:rPr>
        <w:t>350-300 BC</w:t>
      </w:r>
      <w:r w:rsidR="00CC59BC">
        <w:rPr>
          <w:bCs/>
        </w:rPr>
        <w:t xml:space="preserve">. </w:t>
      </w:r>
      <w:r w:rsidR="00420366">
        <w:rPr>
          <w:bCs/>
        </w:rPr>
        <w:t>The original</w:t>
      </w:r>
      <w:r w:rsidR="005B54B9">
        <w:rPr>
          <w:bCs/>
        </w:rPr>
        <w:t xml:space="preserve"> would have</w:t>
      </w:r>
      <w:r w:rsidR="00420366">
        <w:rPr>
          <w:bCs/>
        </w:rPr>
        <w:t xml:space="preserve"> been casted in bronze using the </w:t>
      </w:r>
      <w:r w:rsidR="005B54B9">
        <w:rPr>
          <w:bCs/>
        </w:rPr>
        <w:t>lost-wax method</w:t>
      </w:r>
      <w:r w:rsidR="00636B41">
        <w:rPr>
          <w:bCs/>
        </w:rPr>
        <w:t xml:space="preserve"> (Hyde, 1907</w:t>
      </w:r>
      <w:r w:rsidR="008424A2">
        <w:rPr>
          <w:bCs/>
        </w:rPr>
        <w:t>, p396</w:t>
      </w:r>
      <w:r w:rsidR="00636B41">
        <w:rPr>
          <w:bCs/>
        </w:rPr>
        <w:t>)</w:t>
      </w:r>
      <w:r w:rsidR="005B54B9">
        <w:rPr>
          <w:bCs/>
        </w:rPr>
        <w:t>, but it has since been lost to time and only Roman marble copies survive</w:t>
      </w:r>
      <w:r w:rsidR="00081315">
        <w:rPr>
          <w:bCs/>
        </w:rPr>
        <w:t xml:space="preserve"> (</w:t>
      </w:r>
      <w:r w:rsidR="00081315">
        <w:t>Boardman, 1995</w:t>
      </w:r>
      <w:r w:rsidR="00081315">
        <w:rPr>
          <w:bCs/>
        </w:rPr>
        <w:t>)</w:t>
      </w:r>
      <w:r w:rsidR="00636B41">
        <w:rPr>
          <w:bCs/>
        </w:rPr>
        <w:t>.</w:t>
      </w:r>
      <w:r w:rsidR="00F232BF" w:rsidRPr="00F232BF">
        <w:rPr>
          <w:bCs/>
        </w:rPr>
        <w:t xml:space="preserve"> </w:t>
      </w:r>
      <w:r w:rsidR="00A908CF">
        <w:rPr>
          <w:bCs/>
        </w:rPr>
        <w:t>This portrayal of Hercules is considered by</w:t>
      </w:r>
      <w:r w:rsidR="007F5B20">
        <w:rPr>
          <w:bCs/>
        </w:rPr>
        <w:t xml:space="preserve"> scholars such as </w:t>
      </w:r>
      <w:r w:rsidR="0024740D">
        <w:rPr>
          <w:bCs/>
        </w:rPr>
        <w:t>Boardman</w:t>
      </w:r>
      <w:r w:rsidR="007F5B20">
        <w:rPr>
          <w:bCs/>
        </w:rPr>
        <w:t xml:space="preserve"> to be the most common way </w:t>
      </w:r>
      <w:r w:rsidR="00DE5D0E">
        <w:rPr>
          <w:bCs/>
        </w:rPr>
        <w:t xml:space="preserve">that </w:t>
      </w:r>
      <w:r w:rsidR="007F5B20">
        <w:rPr>
          <w:bCs/>
        </w:rPr>
        <w:t xml:space="preserve">Hercules </w:t>
      </w:r>
      <w:r w:rsidR="00DE5D0E">
        <w:rPr>
          <w:bCs/>
        </w:rPr>
        <w:t xml:space="preserve">is presented </w:t>
      </w:r>
      <w:r w:rsidR="007F5B20">
        <w:rPr>
          <w:bCs/>
        </w:rPr>
        <w:t xml:space="preserve">in </w:t>
      </w:r>
      <w:r w:rsidR="00081315">
        <w:rPr>
          <w:bCs/>
        </w:rPr>
        <w:t xml:space="preserve">‘Greece’ during </w:t>
      </w:r>
      <w:r w:rsidR="007F5B20">
        <w:rPr>
          <w:bCs/>
        </w:rPr>
        <w:t xml:space="preserve">the </w:t>
      </w:r>
      <w:r w:rsidR="00E617E0">
        <w:rPr>
          <w:bCs/>
        </w:rPr>
        <w:t>5</w:t>
      </w:r>
      <w:r w:rsidR="00E617E0" w:rsidRPr="00E617E0">
        <w:rPr>
          <w:bCs/>
          <w:vertAlign w:val="superscript"/>
        </w:rPr>
        <w:t>th</w:t>
      </w:r>
      <w:r w:rsidR="00E617E0">
        <w:rPr>
          <w:bCs/>
        </w:rPr>
        <w:t xml:space="preserve"> and 4</w:t>
      </w:r>
      <w:r w:rsidR="00E617E0" w:rsidRPr="00E617E0">
        <w:rPr>
          <w:bCs/>
          <w:vertAlign w:val="superscript"/>
        </w:rPr>
        <w:t>th</w:t>
      </w:r>
      <w:r w:rsidR="00E617E0">
        <w:rPr>
          <w:bCs/>
        </w:rPr>
        <w:t xml:space="preserve"> Century</w:t>
      </w:r>
      <w:r w:rsidR="00081315">
        <w:rPr>
          <w:bCs/>
        </w:rPr>
        <w:t xml:space="preserve"> BC</w:t>
      </w:r>
      <w:r w:rsidR="00E617E0">
        <w:rPr>
          <w:bCs/>
        </w:rPr>
        <w:t xml:space="preserve"> (</w:t>
      </w:r>
      <w:r w:rsidR="00B721C0">
        <w:rPr>
          <w:bCs/>
        </w:rPr>
        <w:t>Boardman</w:t>
      </w:r>
      <w:r w:rsidR="00CB2E14">
        <w:rPr>
          <w:bCs/>
        </w:rPr>
        <w:t>, 1995</w:t>
      </w:r>
      <w:r w:rsidR="00E617E0">
        <w:rPr>
          <w:bCs/>
        </w:rPr>
        <w:t>)</w:t>
      </w:r>
      <w:r w:rsidR="00081315">
        <w:rPr>
          <w:bCs/>
        </w:rPr>
        <w:t>, in the late prime of his life after the 12 labours (</w:t>
      </w:r>
      <w:r w:rsidR="00081315">
        <w:t>Vermeule, 1975</w:t>
      </w:r>
      <w:r w:rsidR="00081315">
        <w:rPr>
          <w:bCs/>
        </w:rPr>
        <w:t>).</w:t>
      </w:r>
    </w:p>
    <w:p w14:paraId="39CB4014" w14:textId="162F66FA" w:rsidR="00A908CF" w:rsidRPr="00A908CF" w:rsidRDefault="00C5346D">
      <w:pPr>
        <w:rPr>
          <w:bCs/>
        </w:rPr>
      </w:pPr>
      <w:r>
        <w:rPr>
          <w:bCs/>
        </w:rPr>
        <w:t xml:space="preserve"> </w:t>
      </w:r>
    </w:p>
    <w:p w14:paraId="4AB9B9BB" w14:textId="1EFA3391" w:rsidR="00081315" w:rsidRDefault="000918E0">
      <w:r w:rsidRPr="00081315">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48CD70C9" wp14:editId="435367A8">
            <wp:simplePos x="0" y="0"/>
            <wp:positionH relativeFrom="margin">
              <wp:posOffset>5181600</wp:posOffset>
            </wp:positionH>
            <wp:positionV relativeFrom="margin">
              <wp:posOffset>6492240</wp:posOffset>
            </wp:positionV>
            <wp:extent cx="1187450" cy="1783080"/>
            <wp:effectExtent l="0" t="0" r="6350" b="0"/>
            <wp:wrapSquare wrapText="bothSides"/>
            <wp:docPr id="1" name="Picture 1"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7450" cy="1783080"/>
                    </a:xfrm>
                    <a:prstGeom prst="rect">
                      <a:avLst/>
                    </a:prstGeom>
                    <a:noFill/>
                    <a:ln>
                      <a:noFill/>
                    </a:ln>
                  </pic:spPr>
                </pic:pic>
              </a:graphicData>
            </a:graphic>
          </wp:anchor>
        </w:drawing>
      </w:r>
      <w:r w:rsidR="00081315">
        <w:rPr>
          <w:bCs/>
        </w:rPr>
        <w:t>The statue is covered in symbolism</w:t>
      </w:r>
      <w:r w:rsidR="000E46CB">
        <w:rPr>
          <w:bCs/>
        </w:rPr>
        <w:t>,</w:t>
      </w:r>
      <w:r w:rsidR="00081315">
        <w:rPr>
          <w:bCs/>
        </w:rPr>
        <w:t xml:space="preserve"> from ideal image to Hercules’ labours.</w:t>
      </w:r>
      <w:r w:rsidR="008F4ED6">
        <w:rPr>
          <w:bCs/>
        </w:rPr>
        <w:t xml:space="preserve"> </w:t>
      </w:r>
      <w:r w:rsidR="16AE6CF7">
        <w:t>Items</w:t>
      </w:r>
      <w:r w:rsidR="008F4ED6">
        <w:rPr>
          <w:bCs/>
        </w:rPr>
        <w:t xml:space="preserve"> relating to the labours can be seen around the statue</w:t>
      </w:r>
      <w:r w:rsidR="16AE6CF7">
        <w:t>:</w:t>
      </w:r>
      <w:r w:rsidR="004D299A">
        <w:rPr>
          <w:bCs/>
        </w:rPr>
        <w:t xml:space="preserve"> </w:t>
      </w:r>
      <w:r w:rsidR="008F4ED6">
        <w:rPr>
          <w:bCs/>
        </w:rPr>
        <w:t>t</w:t>
      </w:r>
      <w:r w:rsidR="007B1F06" w:rsidRPr="007B1F06">
        <w:rPr>
          <w:bCs/>
        </w:rPr>
        <w:t>he Nemea</w:t>
      </w:r>
      <w:r w:rsidR="004D299A">
        <w:rPr>
          <w:bCs/>
        </w:rPr>
        <w:t>n Lion</w:t>
      </w:r>
      <w:r w:rsidR="00D3415D">
        <w:rPr>
          <w:bCs/>
        </w:rPr>
        <w:t xml:space="preserve"> and the </w:t>
      </w:r>
      <w:r w:rsidR="002D6C32" w:rsidRPr="002D6C32">
        <w:rPr>
          <w:bCs/>
        </w:rPr>
        <w:t>Golden Apples of the Hesperides</w:t>
      </w:r>
      <w:r w:rsidR="002D6C32">
        <w:rPr>
          <w:bCs/>
        </w:rPr>
        <w:t xml:space="preserve"> </w:t>
      </w:r>
      <w:r w:rsidR="00B66C9F">
        <w:t>(Vermeule, 1975)</w:t>
      </w:r>
      <w:r w:rsidR="00EA5240">
        <w:t xml:space="preserve">. </w:t>
      </w:r>
      <w:r w:rsidR="00081315">
        <w:t>Also, t</w:t>
      </w:r>
      <w:r w:rsidR="00DF22CD">
        <w:t>he</w:t>
      </w:r>
      <w:r w:rsidR="00E44CDD">
        <w:t xml:space="preserve"> ideal male for the</w:t>
      </w:r>
      <w:r w:rsidR="00DF22CD">
        <w:t xml:space="preserve"> </w:t>
      </w:r>
      <w:r w:rsidR="00081315">
        <w:t>‘</w:t>
      </w:r>
      <w:r w:rsidR="00E4172F">
        <w:t>Greeks</w:t>
      </w:r>
      <w:r w:rsidR="00081315">
        <w:t>’ (mainly Sparta)</w:t>
      </w:r>
      <w:r w:rsidR="00E44CDD">
        <w:t xml:space="preserve"> in the</w:t>
      </w:r>
      <w:r w:rsidR="00E4172F">
        <w:t xml:space="preserve"> late classical period</w:t>
      </w:r>
      <w:r w:rsidR="00E44CDD">
        <w:t>, are portrayed in this statue</w:t>
      </w:r>
      <w:r w:rsidR="00081315">
        <w:t xml:space="preserve"> (</w:t>
      </w:r>
      <w:r w:rsidRPr="000918E0">
        <w:rPr>
          <w:rFonts w:eastAsia="Times New Roman" w:cs="Times New Roman"/>
          <w:lang w:eastAsia="en-GB"/>
        </w:rPr>
        <w:t>Papadopoulou</w:t>
      </w:r>
      <w:r>
        <w:rPr>
          <w:rFonts w:eastAsia="Times New Roman" w:cs="Times New Roman"/>
          <w:lang w:eastAsia="en-GB"/>
        </w:rPr>
        <w:t>, 2004</w:t>
      </w:r>
      <w:r w:rsidR="00081315">
        <w:t>). Hercules’ masculinity is all for show in this statue and no area is left untouched from his chest to his genitals</w:t>
      </w:r>
      <w:r>
        <w:t>, which can be compared to the Homeric heroes such as Achilles and to Hercules own descriptions in the Classical Period (</w:t>
      </w:r>
      <w:r w:rsidRPr="000918E0">
        <w:rPr>
          <w:rFonts w:eastAsia="Times New Roman" w:cs="Times New Roman"/>
          <w:lang w:eastAsia="en-GB"/>
        </w:rPr>
        <w:t>Papadopoulou</w:t>
      </w:r>
      <w:r>
        <w:rPr>
          <w:rFonts w:eastAsia="Times New Roman" w:cs="Times New Roman"/>
          <w:lang w:eastAsia="en-GB"/>
        </w:rPr>
        <w:t>, 2004</w:t>
      </w:r>
      <w:r>
        <w:t xml:space="preserve">).  </w:t>
      </w:r>
      <w:r w:rsidR="00E4172F">
        <w:t xml:space="preserve">However, his appearance would also appeal to the Romans </w:t>
      </w:r>
      <w:r w:rsidR="00E44CDD">
        <w:t xml:space="preserve">as well, as in </w:t>
      </w:r>
      <w:r w:rsidR="003D66E8">
        <w:t xml:space="preserve">late republic </w:t>
      </w:r>
      <w:r>
        <w:t xml:space="preserve">and Imperial era, </w:t>
      </w:r>
      <w:r w:rsidR="003D66E8">
        <w:t>this statue</w:t>
      </w:r>
      <w:r w:rsidR="00081315">
        <w:t xml:space="preserve"> would have been placed in public baths and in areas where men would conduct sports and socialise (</w:t>
      </w:r>
      <w:r w:rsidRPr="000918E0">
        <w:rPr>
          <w:rFonts w:eastAsia="Times New Roman" w:cs="Times New Roman"/>
          <w:lang w:eastAsia="en-GB"/>
        </w:rPr>
        <w:t>Papadopoulou</w:t>
      </w:r>
      <w:r>
        <w:rPr>
          <w:rFonts w:eastAsia="Times New Roman" w:cs="Times New Roman"/>
          <w:lang w:eastAsia="en-GB"/>
        </w:rPr>
        <w:t>, 2004</w:t>
      </w:r>
      <w:r w:rsidR="00081315">
        <w:t>). By now Hercules was still seen as a masculine figure but his image became more widespread and the statue helped change Roman sculpture as they moved away from Realism to Hellenistic</w:t>
      </w:r>
      <w:r>
        <w:t xml:space="preserve"> (Boardman, 1995)</w:t>
      </w:r>
      <w:r w:rsidR="00081315">
        <w:t>. Realism aimed to capture natural beauty of the human figure showing cuts, wrinkles, scars and imperfections (</w:t>
      </w:r>
      <w:r>
        <w:t>Boardman, 1995</w:t>
      </w:r>
      <w:r w:rsidR="00081315">
        <w:t>). But Hellenism was completely different and aimed to show youthfulness and no imperfections to humanity. Despite Hercules being old in this statue, seeing that it’s after the 12 labours, He still looks partially youthful with very little wrinkles and very masculine body (</w:t>
      </w:r>
      <w:r>
        <w:t>Boardman, 1995</w:t>
      </w:r>
      <w:r w:rsidR="00081315">
        <w:t>).</w:t>
      </w:r>
    </w:p>
    <w:p w14:paraId="2F60E927" w14:textId="12E0D3DF" w:rsidR="000918E0" w:rsidRDefault="000918E0"/>
    <w:p w14:paraId="388E4DFA" w14:textId="7307227D" w:rsidR="000918E0" w:rsidRDefault="000918E0">
      <w:r>
        <w:rPr>
          <w:noProof/>
        </w:rPr>
        <mc:AlternateContent>
          <mc:Choice Requires="wps">
            <w:drawing>
              <wp:anchor distT="0" distB="0" distL="114300" distR="114300" simplePos="0" relativeHeight="251662337" behindDoc="0" locked="0" layoutInCell="1" allowOverlap="1" wp14:anchorId="210B621A" wp14:editId="1DB814B8">
                <wp:simplePos x="0" y="0"/>
                <wp:positionH relativeFrom="column">
                  <wp:posOffset>5191760</wp:posOffset>
                </wp:positionH>
                <wp:positionV relativeFrom="paragraph">
                  <wp:posOffset>1420495</wp:posOffset>
                </wp:positionV>
                <wp:extent cx="1187450" cy="635"/>
                <wp:effectExtent l="0" t="0" r="6350" b="12065"/>
                <wp:wrapSquare wrapText="bothSides"/>
                <wp:docPr id="5" name="Text Box 5"/>
                <wp:cNvGraphicFramePr/>
                <a:graphic xmlns:a="http://schemas.openxmlformats.org/drawingml/2006/main">
                  <a:graphicData uri="http://schemas.microsoft.com/office/word/2010/wordprocessingShape">
                    <wps:wsp>
                      <wps:cNvSpPr txBox="1"/>
                      <wps:spPr>
                        <a:xfrm>
                          <a:off x="0" y="0"/>
                          <a:ext cx="1187450" cy="635"/>
                        </a:xfrm>
                        <a:prstGeom prst="rect">
                          <a:avLst/>
                        </a:prstGeom>
                        <a:solidFill>
                          <a:prstClr val="white"/>
                        </a:solidFill>
                        <a:ln>
                          <a:noFill/>
                        </a:ln>
                      </wps:spPr>
                      <wps:txbx>
                        <w:txbxContent>
                          <w:p w14:paraId="2C5AFA5E" w14:textId="7EFF2B51" w:rsidR="000918E0" w:rsidRPr="000918E0" w:rsidRDefault="000918E0" w:rsidP="000918E0">
                            <w:pPr>
                              <w:pStyle w:val="Caption"/>
                              <w:jc w:val="center"/>
                              <w:rPr>
                                <w:rFonts w:ascii="Times New Roman" w:eastAsia="Times New Roman" w:hAnsi="Times New Roman" w:cs="Times New Roman"/>
                                <w:noProof/>
                                <w:sz w:val="10"/>
                                <w:szCs w:val="10"/>
                              </w:rPr>
                            </w:pPr>
                            <w:r w:rsidRPr="000918E0">
                              <w:rPr>
                                <w:sz w:val="10"/>
                                <w:szCs w:val="10"/>
                              </w:rPr>
                              <w:t xml:space="preserve">Figure </w:t>
                            </w:r>
                            <w:r w:rsidRPr="000918E0">
                              <w:rPr>
                                <w:sz w:val="10"/>
                                <w:szCs w:val="10"/>
                              </w:rPr>
                              <w:fldChar w:fldCharType="begin"/>
                            </w:r>
                            <w:r w:rsidRPr="000918E0">
                              <w:rPr>
                                <w:sz w:val="10"/>
                                <w:szCs w:val="10"/>
                              </w:rPr>
                              <w:instrText xml:space="preserve"> SEQ Figure \* ARABIC </w:instrText>
                            </w:r>
                            <w:r w:rsidRPr="000918E0">
                              <w:rPr>
                                <w:sz w:val="10"/>
                                <w:szCs w:val="10"/>
                              </w:rPr>
                              <w:fldChar w:fldCharType="separate"/>
                            </w:r>
                            <w:r w:rsidRPr="000918E0">
                              <w:rPr>
                                <w:noProof/>
                                <w:sz w:val="10"/>
                                <w:szCs w:val="10"/>
                              </w:rPr>
                              <w:t>2</w:t>
                            </w:r>
                            <w:r w:rsidRPr="000918E0">
                              <w:rPr>
                                <w:sz w:val="10"/>
                                <w:szCs w:val="10"/>
                              </w:rPr>
                              <w:fldChar w:fldCharType="end"/>
                            </w:r>
                            <w:r w:rsidRPr="000918E0">
                              <w:rPr>
                                <w:sz w:val="10"/>
                                <w:szCs w:val="10"/>
                              </w:rPr>
                              <w:t>: Michelangelo’s ‘David’ in marble, created from 1501-1504 in Florence, Italy, sourced from: https://commons.wikimedia.org/wiki/File:%27David%27_by_Michelangelo_Fir_JBU002.jpg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0B621A" id="Text Box 5" o:spid="_x0000_s1027" type="#_x0000_t202" style="position:absolute;margin-left:408.8pt;margin-top:111.85pt;width:93.5pt;height:.05pt;z-index:25166233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" stroked="f">
                <v:textbox style="mso-fit-shape-to-text:t" inset="0,0,0,0">
                  <w:txbxContent>
                    <w:p w14:paraId="2C5AFA5E" w14:textId="7EFF2B51" w:rsidR="000918E0" w:rsidRPr="000918E0" w:rsidRDefault="000918E0" w:rsidP="000918E0">
                      <w:pPr>
                        <w:pStyle w:val="Caption"/>
                        <w:jc w:val="center"/>
                        <w:rPr>
                          <w:rFonts w:ascii="Times New Roman" w:eastAsia="Times New Roman" w:hAnsi="Times New Roman" w:cs="Times New Roman"/>
                          <w:noProof/>
                          <w:sz w:val="10"/>
                          <w:szCs w:val="10"/>
                        </w:rPr>
                      </w:pPr>
                      <w:r w:rsidRPr="000918E0">
                        <w:rPr>
                          <w:sz w:val="10"/>
                          <w:szCs w:val="10"/>
                        </w:rPr>
                        <w:t xml:space="preserve">Figure </w:t>
                      </w:r>
                      <w:r w:rsidRPr="000918E0">
                        <w:rPr>
                          <w:sz w:val="10"/>
                          <w:szCs w:val="10"/>
                        </w:rPr>
                        <w:fldChar w:fldCharType="begin"/>
                      </w:r>
                      <w:r w:rsidRPr="000918E0">
                        <w:rPr>
                          <w:sz w:val="10"/>
                          <w:szCs w:val="10"/>
                        </w:rPr>
                        <w:instrText xml:space="preserve"> SEQ Figure \* ARABIC </w:instrText>
                      </w:r>
                      <w:r w:rsidRPr="000918E0">
                        <w:rPr>
                          <w:sz w:val="10"/>
                          <w:szCs w:val="10"/>
                        </w:rPr>
                        <w:fldChar w:fldCharType="separate"/>
                      </w:r>
                      <w:r w:rsidRPr="000918E0">
                        <w:rPr>
                          <w:noProof/>
                          <w:sz w:val="10"/>
                          <w:szCs w:val="10"/>
                        </w:rPr>
                        <w:t>2</w:t>
                      </w:r>
                      <w:r w:rsidRPr="000918E0">
                        <w:rPr>
                          <w:sz w:val="10"/>
                          <w:szCs w:val="10"/>
                        </w:rPr>
                        <w:fldChar w:fldCharType="end"/>
                      </w:r>
                      <w:r w:rsidRPr="000918E0">
                        <w:rPr>
                          <w:sz w:val="10"/>
                          <w:szCs w:val="10"/>
                        </w:rPr>
                        <w:t>: Michelangelo’s ‘David’ in marble, created from 1501-1504 in Florence, Italy, sourced from: https://commons.wikimedia.org/wiki/File:%27David%27_by_Michelangelo_Fir_JBU002.jpg</w:t>
                      </w:r>
                    </w:p>
                  </w:txbxContent>
                </v:textbox>
                <w10:wrap type="square"/>
              </v:shape>
            </w:pict>
          </mc:Fallback>
        </mc:AlternateContent>
      </w:r>
      <w:r>
        <w:t xml:space="preserve">Compelling </w:t>
      </w:r>
      <w:r w:rsidR="00081315">
        <w:t>new evidence from</w:t>
      </w:r>
      <w:r>
        <w:t xml:space="preserve"> examining</w:t>
      </w:r>
      <w:r w:rsidR="00081315">
        <w:t xml:space="preserve"> at other bronze statues from the classical period, suggest that the</w:t>
      </w:r>
      <w:r w:rsidR="008A3387">
        <w:t xml:space="preserve"> original would</w:t>
      </w:r>
      <w:r w:rsidR="00081315">
        <w:t xml:space="preserve"> have possibly been in colour (Boardman, 1995, pp11, 14). This changes our perception of Greek art as its been largely influenced by the Renascence (</w:t>
      </w:r>
      <w:r>
        <w:t>Boardman, 1995</w:t>
      </w:r>
      <w:r w:rsidR="00081315">
        <w:t>) which portrayed the statues without colour due to nearly over 1000 years of erosion and the paint falling off, so the statues they were studying were just bland with the original marble left (</w:t>
      </w:r>
      <w:r>
        <w:t>Boardman, 1995</w:t>
      </w:r>
      <w:r w:rsidR="00081315">
        <w:t>). However, this in turn sparked a huge revival in Hellenistic sculpture, which lead to sculptures such Michelangelo to craft his masterpiece, the statue of ‘David’ (</w:t>
      </w:r>
      <w:r>
        <w:t>Boardman, 1995</w:t>
      </w:r>
      <w:r w:rsidR="00081315">
        <w:t xml:space="preserve">). Nowadays, we are coming </w:t>
      </w:r>
      <w:r w:rsidR="00081315">
        <w:lastRenderedPageBreak/>
        <w:t xml:space="preserve">to terms that most marbled buildings and statues would have been a wash of colour </w:t>
      </w:r>
      <w:r>
        <w:t>and that the Ancient world was one of colour and not marble (Boardman, 1995).</w:t>
      </w:r>
    </w:p>
    <w:p w14:paraId="41A10B63" w14:textId="77777777" w:rsidR="000918E0" w:rsidRPr="000918E0" w:rsidRDefault="000918E0"/>
    <w:p w14:paraId="7A5B1941" w14:textId="4420C765" w:rsidR="00865229" w:rsidRPr="00972E5A" w:rsidRDefault="00865229">
      <w:pPr>
        <w:rPr>
          <w:b/>
        </w:rPr>
      </w:pPr>
      <w:r w:rsidRPr="002A5115">
        <w:rPr>
          <w:u w:val="single"/>
        </w:rPr>
        <w:t>Reference List:</w:t>
      </w:r>
    </w:p>
    <w:p w14:paraId="495488D8" w14:textId="30A34382" w:rsidR="002C2C3F" w:rsidRDefault="002D0E14">
      <w:r>
        <w:t>Boardman</w:t>
      </w:r>
      <w:r w:rsidR="0093651C">
        <w:t xml:space="preserve"> J.</w:t>
      </w:r>
      <w:r>
        <w:t xml:space="preserve"> (</w:t>
      </w:r>
      <w:r w:rsidR="001C4CE3">
        <w:t>1995</w:t>
      </w:r>
      <w:r>
        <w:t xml:space="preserve">), </w:t>
      </w:r>
      <w:r w:rsidRPr="007E2827">
        <w:rPr>
          <w:i/>
          <w:iCs/>
        </w:rPr>
        <w:t>‘</w:t>
      </w:r>
      <w:r w:rsidR="007E2827" w:rsidRPr="007E2827">
        <w:rPr>
          <w:i/>
          <w:iCs/>
        </w:rPr>
        <w:t>Greek Sculpture: The Late Classical Period</w:t>
      </w:r>
      <w:r w:rsidRPr="007E2827">
        <w:rPr>
          <w:i/>
          <w:iCs/>
        </w:rPr>
        <w:t>’</w:t>
      </w:r>
      <w:r>
        <w:t>, London, Thames and Hud</w:t>
      </w:r>
      <w:r w:rsidR="001C4CE3">
        <w:t>s</w:t>
      </w:r>
      <w:r>
        <w:t xml:space="preserve">on </w:t>
      </w:r>
      <w:bookmarkStart w:id="0" w:name="_GoBack"/>
      <w:bookmarkEnd w:id="0"/>
      <w:r>
        <w:t>Ltd</w:t>
      </w:r>
    </w:p>
    <w:p w14:paraId="6B25F7F7" w14:textId="2AA6ABC1" w:rsidR="00030B5E" w:rsidRDefault="00030B5E"/>
    <w:p w14:paraId="5717C9AD" w14:textId="4A6C3E0F" w:rsidR="00030B5E" w:rsidRDefault="00030B5E" w:rsidP="00030B5E">
      <w:r>
        <w:t>Hyde</w:t>
      </w:r>
      <w:r w:rsidR="00636B41">
        <w:t xml:space="preserve"> </w:t>
      </w:r>
      <w:r w:rsidR="0093651C">
        <w:t xml:space="preserve">W.W. </w:t>
      </w:r>
      <w:r w:rsidR="00636B41">
        <w:t>(1907)</w:t>
      </w:r>
      <w:r w:rsidR="00636B41" w:rsidRPr="00636B41">
        <w:t xml:space="preserve"> </w:t>
      </w:r>
      <w:r w:rsidR="00636B41" w:rsidRPr="00682510">
        <w:rPr>
          <w:i/>
          <w:iCs/>
        </w:rPr>
        <w:t xml:space="preserve">‘Lysippus as a Worker in Marble: </w:t>
      </w:r>
      <w:r w:rsidRPr="00682510">
        <w:rPr>
          <w:i/>
          <w:iCs/>
        </w:rPr>
        <w:t>American Journal of Archaeology, Vol. 11, No. 4, pp. 396-416</w:t>
      </w:r>
      <w:r w:rsidR="00636B41" w:rsidRPr="00682510">
        <w:rPr>
          <w:i/>
          <w:iCs/>
        </w:rPr>
        <w:t>’</w:t>
      </w:r>
      <w:r w:rsidR="00636B41">
        <w:t xml:space="preserve">, USA, </w:t>
      </w:r>
      <w:r>
        <w:t>Archaeological Institute of America</w:t>
      </w:r>
      <w:r w:rsidR="00636B41">
        <w:t xml:space="preserve">, </w:t>
      </w:r>
      <w:hyperlink r:id="rId10" w:history="1">
        <w:r w:rsidR="00636B41" w:rsidRPr="00CF2146">
          <w:rPr>
            <w:rStyle w:val="Hyperlink"/>
          </w:rPr>
          <w:t>https://www.jstor.org/stable/496921</w:t>
        </w:r>
      </w:hyperlink>
      <w:r w:rsidR="00636B41">
        <w:t xml:space="preserve">, First </w:t>
      </w:r>
      <w:r>
        <w:t>Accessed: 31-01-2020 20:24 UTC</w:t>
      </w:r>
    </w:p>
    <w:p w14:paraId="57D399CB" w14:textId="77777777" w:rsidR="000E46CB" w:rsidRDefault="000E46CB" w:rsidP="000E46CB">
      <w:pPr>
        <w:rPr>
          <w:rFonts w:eastAsia="Times New Roman" w:cs="Times New Roman"/>
          <w:lang w:eastAsia="en-GB"/>
        </w:rPr>
      </w:pPr>
    </w:p>
    <w:p w14:paraId="55197626" w14:textId="05CE8BBD" w:rsidR="000E46CB" w:rsidRPr="000918E0" w:rsidRDefault="000E46CB" w:rsidP="000E46CB">
      <w:pPr>
        <w:rPr>
          <w:rFonts w:eastAsia="Times New Roman" w:cs="Times New Roman"/>
          <w:lang w:eastAsia="en-GB"/>
        </w:rPr>
      </w:pPr>
      <w:r w:rsidRPr="000918E0">
        <w:rPr>
          <w:rFonts w:eastAsia="Times New Roman" w:cs="Times New Roman"/>
          <w:lang w:eastAsia="en-GB"/>
        </w:rPr>
        <w:t>Papadopoulou</w:t>
      </w:r>
      <w:r>
        <w:rPr>
          <w:rFonts w:eastAsia="Times New Roman" w:cs="Times New Roman"/>
          <w:lang w:eastAsia="en-GB"/>
        </w:rPr>
        <w:t xml:space="preserve"> </w:t>
      </w:r>
      <w:r w:rsidR="0093651C" w:rsidRPr="000918E0">
        <w:rPr>
          <w:rFonts w:eastAsia="Times New Roman" w:cs="Times New Roman"/>
          <w:lang w:eastAsia="en-GB"/>
        </w:rPr>
        <w:t xml:space="preserve">T. </w:t>
      </w:r>
      <w:r>
        <w:rPr>
          <w:rFonts w:eastAsia="Times New Roman" w:cs="Times New Roman"/>
          <w:lang w:eastAsia="en-GB"/>
        </w:rPr>
        <w:t>(2004), ‘</w:t>
      </w:r>
      <w:r w:rsidRPr="000918E0">
        <w:rPr>
          <w:rFonts w:eastAsia="Times New Roman" w:cs="Times New Roman"/>
          <w:lang w:eastAsia="en-GB"/>
        </w:rPr>
        <w:t>Herakles and Hercules: The Hero's Ambivalence in Euripides and Seneca</w:t>
      </w:r>
      <w:r>
        <w:rPr>
          <w:rFonts w:eastAsia="Times New Roman" w:cs="Times New Roman"/>
          <w:lang w:eastAsia="en-GB"/>
        </w:rPr>
        <w:t xml:space="preserve">’,  </w:t>
      </w:r>
      <w:r w:rsidRPr="000918E0">
        <w:rPr>
          <w:rFonts w:eastAsia="Times New Roman" w:cs="Times New Roman"/>
          <w:lang w:eastAsia="en-GB"/>
        </w:rPr>
        <w:t>Mnemosyne, Fourth Series, Vol. 57, Fasc. 3, pp. 257-283</w:t>
      </w:r>
      <w:r>
        <w:rPr>
          <w:rFonts w:eastAsia="Times New Roman" w:cs="Times New Roman"/>
          <w:lang w:eastAsia="en-GB"/>
        </w:rPr>
        <w:t xml:space="preserve">, </w:t>
      </w:r>
      <w:r w:rsidRPr="000918E0">
        <w:rPr>
          <w:rFonts w:eastAsia="Times New Roman" w:cs="Times New Roman"/>
          <w:lang w:eastAsia="en-GB"/>
        </w:rPr>
        <w:t>Brill</w:t>
      </w:r>
      <w:r>
        <w:rPr>
          <w:rFonts w:eastAsia="Times New Roman" w:cs="Times New Roman"/>
          <w:lang w:eastAsia="en-GB"/>
        </w:rPr>
        <w:t xml:space="preserve">, </w:t>
      </w:r>
      <w:hyperlink r:id="rId11" w:history="1">
        <w:r w:rsidRPr="00CF2146">
          <w:rPr>
            <w:rStyle w:val="Hyperlink"/>
            <w:rFonts w:eastAsia="Times New Roman" w:cs="Times New Roman"/>
            <w:lang w:eastAsia="en-GB"/>
          </w:rPr>
          <w:t>https://www.jstor.org/stable/4433556</w:t>
        </w:r>
      </w:hyperlink>
      <w:r>
        <w:rPr>
          <w:rFonts w:eastAsia="Times New Roman" w:cs="Times New Roman"/>
          <w:lang w:eastAsia="en-GB"/>
        </w:rPr>
        <w:t xml:space="preserve">,  </w:t>
      </w:r>
      <w:r w:rsidRPr="000918E0">
        <w:rPr>
          <w:rFonts w:eastAsia="Times New Roman" w:cs="Times New Roman"/>
          <w:lang w:eastAsia="en-GB"/>
        </w:rPr>
        <w:t>Accessed: 07-02-2020 11:10 UTC</w:t>
      </w:r>
      <w:r w:rsidRPr="000918E0">
        <w:rPr>
          <w:rFonts w:eastAsia="Times New Roman" w:cs="Times New Roman"/>
          <w:lang w:eastAsia="en-GB"/>
        </w:rPr>
        <w:fldChar w:fldCharType="begin"/>
      </w:r>
      <w:r w:rsidRPr="000918E0">
        <w:rPr>
          <w:rFonts w:eastAsia="Times New Roman" w:cs="Times New Roman"/>
          <w:lang w:eastAsia="en-GB"/>
        </w:rPr>
        <w:instrText xml:space="preserve"> INCLUDEPICTURE "/var/folders/nm/yfjcllqs5s12sn5t6ql65jcm0000gn/T/com.microsoft.Word/WebArchiveCopyPasteTempFiles/Herakles_Farnese_MAN_Napoli_Inv6001_n01.jpg" \* MERGEFORMATINET </w:instrText>
      </w:r>
      <w:r w:rsidRPr="000918E0">
        <w:rPr>
          <w:rFonts w:eastAsia="Times New Roman" w:cs="Times New Roman"/>
          <w:lang w:eastAsia="en-GB"/>
        </w:rPr>
        <w:fldChar w:fldCharType="end"/>
      </w:r>
      <w:r w:rsidRPr="00081315">
        <w:rPr>
          <w:rFonts w:eastAsia="Times New Roman" w:cs="Times New Roman"/>
          <w:lang w:eastAsia="en-GB"/>
        </w:rPr>
        <w:fldChar w:fldCharType="begin"/>
      </w:r>
      <w:r w:rsidRPr="00081315">
        <w:rPr>
          <w:rFonts w:eastAsia="Times New Roman" w:cs="Times New Roman"/>
          <w:lang w:eastAsia="en-GB"/>
        </w:rPr>
        <w:instrText xml:space="preserve"> INCLUDEPICTURE "/var/folders/nm/yfjcllqs5s12sn5t6ql65jcm0000gn/T/com.microsoft.Word/WebArchiveCopyPasteTempFiles/%27David%27_by_Michelangelo_Fir_JBU002.jpg" \* MERGEFORMATINET </w:instrText>
      </w:r>
      <w:r w:rsidRPr="00081315">
        <w:rPr>
          <w:rFonts w:eastAsia="Times New Roman" w:cs="Times New Roman"/>
          <w:lang w:eastAsia="en-GB"/>
        </w:rPr>
        <w:fldChar w:fldCharType="end"/>
      </w:r>
    </w:p>
    <w:p w14:paraId="59F21326" w14:textId="36D57BF0" w:rsidR="00B66C9F" w:rsidRDefault="00B66C9F" w:rsidP="00030B5E"/>
    <w:p w14:paraId="33628A3C" w14:textId="1F5B7573" w:rsidR="000918E0" w:rsidRPr="000918E0" w:rsidRDefault="00B66C9F" w:rsidP="00B66C9F">
      <w:r>
        <w:t xml:space="preserve">Vermeule </w:t>
      </w:r>
      <w:r w:rsidR="0093651C">
        <w:t xml:space="preserve">C. </w:t>
      </w:r>
      <w:r>
        <w:t xml:space="preserve">(1975), </w:t>
      </w:r>
      <w:r w:rsidRPr="00B66C9F">
        <w:rPr>
          <w:i/>
          <w:iCs/>
        </w:rPr>
        <w:t xml:space="preserve">‘The </w:t>
      </w:r>
      <w:r w:rsidRPr="000918E0">
        <w:rPr>
          <w:i/>
          <w:iCs/>
        </w:rPr>
        <w:t>Weary Herakles of Lysippos: Source: American Journal of Archaeology, Vol. 79, No. 4, pp. 323-332’</w:t>
      </w:r>
      <w:r w:rsidRPr="000918E0">
        <w:t xml:space="preserve">, USA, Archaeological Institute of America, </w:t>
      </w:r>
      <w:hyperlink r:id="rId12" w:history="1">
        <w:r w:rsidRPr="000918E0">
          <w:rPr>
            <w:rStyle w:val="Hyperlink"/>
          </w:rPr>
          <w:t>https://www.jstor.org/stable/503065</w:t>
        </w:r>
      </w:hyperlink>
      <w:r w:rsidRPr="000918E0">
        <w:t>, Accessed: 31-01-2020 20:35 UTC</w:t>
      </w:r>
    </w:p>
    <w:sectPr w:rsidR="000918E0" w:rsidRPr="000918E0" w:rsidSect="00ED54D4">
      <w:head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80CB3C" w14:textId="77777777" w:rsidR="00527DF7" w:rsidRDefault="00527DF7" w:rsidP="00032BF6">
      <w:r>
        <w:separator/>
      </w:r>
    </w:p>
  </w:endnote>
  <w:endnote w:type="continuationSeparator" w:id="0">
    <w:p w14:paraId="2746748A" w14:textId="77777777" w:rsidR="00527DF7" w:rsidRDefault="00527DF7" w:rsidP="00032BF6">
      <w:r>
        <w:continuationSeparator/>
      </w:r>
    </w:p>
  </w:endnote>
  <w:endnote w:type="continuationNotice" w:id="1">
    <w:p w14:paraId="56736039" w14:textId="77777777" w:rsidR="00527DF7" w:rsidRDefault="00527D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1B0141" w14:textId="77777777" w:rsidR="00527DF7" w:rsidRDefault="00527DF7" w:rsidP="00032BF6">
      <w:r>
        <w:separator/>
      </w:r>
    </w:p>
  </w:footnote>
  <w:footnote w:type="continuationSeparator" w:id="0">
    <w:p w14:paraId="657F82DC" w14:textId="77777777" w:rsidR="00527DF7" w:rsidRDefault="00527DF7" w:rsidP="00032BF6">
      <w:r>
        <w:continuationSeparator/>
      </w:r>
    </w:p>
  </w:footnote>
  <w:footnote w:type="continuationNotice" w:id="1">
    <w:p w14:paraId="1D4A62B7" w14:textId="77777777" w:rsidR="00527DF7" w:rsidRDefault="00527D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CE45C" w14:textId="5405B733" w:rsidR="00032BF6" w:rsidRPr="00032BF6" w:rsidRDefault="00032BF6" w:rsidP="00032BF6">
    <w:pPr>
      <w:pStyle w:val="Header"/>
    </w:pPr>
    <w:r w:rsidRPr="00032BF6">
      <w:rPr>
        <w:sz w:val="20"/>
        <w:szCs w:val="20"/>
      </w:rPr>
      <w:t xml:space="preserve">Lloyd Clements. 1902715. </w:t>
    </w:r>
    <w:r w:rsidR="00E62A68">
      <w:rPr>
        <w:sz w:val="20"/>
        <w:szCs w:val="20"/>
      </w:rPr>
      <w:t>350-340</w:t>
    </w:r>
    <w:r w:rsidRPr="00032BF6">
      <w:rPr>
        <w:sz w:val="20"/>
        <w:szCs w:val="20"/>
      </w:rPr>
      <w:t xml:space="preserve"> BC Timeline of Classical Greece. Timeline </w:t>
    </w:r>
    <w:r>
      <w:rPr>
        <w:sz w:val="20"/>
        <w:szCs w:val="20"/>
      </w:rPr>
      <w:t>1</w:t>
    </w:r>
    <w:r w:rsidRPr="00032BF6">
      <w:rPr>
        <w:sz w:val="20"/>
        <w:szCs w:val="20"/>
      </w:rPr>
      <w:t xml:space="preserve">: </w:t>
    </w:r>
    <w:r w:rsidR="00E62A68" w:rsidRPr="00E62A68">
      <w:rPr>
        <w:sz w:val="20"/>
        <w:szCs w:val="20"/>
      </w:rPr>
      <w:t>The Farnese of Hercules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FC0C09"/>
    <w:multiLevelType w:val="hybridMultilevel"/>
    <w:tmpl w:val="C268B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A70E95"/>
    <w:multiLevelType w:val="hybridMultilevel"/>
    <w:tmpl w:val="58341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984C8A"/>
    <w:multiLevelType w:val="hybridMultilevel"/>
    <w:tmpl w:val="1F24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5C9"/>
    <w:rsid w:val="0000656E"/>
    <w:rsid w:val="000175D7"/>
    <w:rsid w:val="00022C4C"/>
    <w:rsid w:val="00030B5E"/>
    <w:rsid w:val="00032BF6"/>
    <w:rsid w:val="00045DAF"/>
    <w:rsid w:val="00057E30"/>
    <w:rsid w:val="00081315"/>
    <w:rsid w:val="000918E0"/>
    <w:rsid w:val="000A79EE"/>
    <w:rsid w:val="000B105C"/>
    <w:rsid w:val="000E46CB"/>
    <w:rsid w:val="001070CC"/>
    <w:rsid w:val="00107147"/>
    <w:rsid w:val="00150482"/>
    <w:rsid w:val="001C4CE3"/>
    <w:rsid w:val="001D2CB6"/>
    <w:rsid w:val="001D5246"/>
    <w:rsid w:val="00200A4E"/>
    <w:rsid w:val="0021466E"/>
    <w:rsid w:val="00246E99"/>
    <w:rsid w:val="0024740D"/>
    <w:rsid w:val="00252CD3"/>
    <w:rsid w:val="002660D8"/>
    <w:rsid w:val="002A5115"/>
    <w:rsid w:val="002A6529"/>
    <w:rsid w:val="002C2C3F"/>
    <w:rsid w:val="002D0E14"/>
    <w:rsid w:val="002D3C9E"/>
    <w:rsid w:val="002D6C32"/>
    <w:rsid w:val="002E4124"/>
    <w:rsid w:val="002E53FB"/>
    <w:rsid w:val="00357B16"/>
    <w:rsid w:val="0038082F"/>
    <w:rsid w:val="003B324E"/>
    <w:rsid w:val="003C4557"/>
    <w:rsid w:val="003D66E8"/>
    <w:rsid w:val="003E2F6B"/>
    <w:rsid w:val="003E5957"/>
    <w:rsid w:val="003F1BAA"/>
    <w:rsid w:val="00401D79"/>
    <w:rsid w:val="004046E7"/>
    <w:rsid w:val="00416A24"/>
    <w:rsid w:val="00420366"/>
    <w:rsid w:val="004258DA"/>
    <w:rsid w:val="00436436"/>
    <w:rsid w:val="004606A3"/>
    <w:rsid w:val="00482CE2"/>
    <w:rsid w:val="004863EB"/>
    <w:rsid w:val="004C1EC2"/>
    <w:rsid w:val="004D299A"/>
    <w:rsid w:val="005033F4"/>
    <w:rsid w:val="005046D2"/>
    <w:rsid w:val="00515337"/>
    <w:rsid w:val="005154FF"/>
    <w:rsid w:val="005158EC"/>
    <w:rsid w:val="00527DF7"/>
    <w:rsid w:val="00557A88"/>
    <w:rsid w:val="005805C2"/>
    <w:rsid w:val="005B54B9"/>
    <w:rsid w:val="00605404"/>
    <w:rsid w:val="00606A56"/>
    <w:rsid w:val="00614D5F"/>
    <w:rsid w:val="00636B41"/>
    <w:rsid w:val="00682510"/>
    <w:rsid w:val="00763D87"/>
    <w:rsid w:val="007820B5"/>
    <w:rsid w:val="007B1F06"/>
    <w:rsid w:val="007E2827"/>
    <w:rsid w:val="007E4C7B"/>
    <w:rsid w:val="007F5B20"/>
    <w:rsid w:val="00803C47"/>
    <w:rsid w:val="00836189"/>
    <w:rsid w:val="008424A2"/>
    <w:rsid w:val="00865229"/>
    <w:rsid w:val="008A3387"/>
    <w:rsid w:val="008B5AF2"/>
    <w:rsid w:val="008E73E8"/>
    <w:rsid w:val="008F43D9"/>
    <w:rsid w:val="008F4ED6"/>
    <w:rsid w:val="0093651C"/>
    <w:rsid w:val="009660FE"/>
    <w:rsid w:val="00972E5A"/>
    <w:rsid w:val="00991324"/>
    <w:rsid w:val="009F3ED1"/>
    <w:rsid w:val="00A75AD0"/>
    <w:rsid w:val="00A87F43"/>
    <w:rsid w:val="00A908CF"/>
    <w:rsid w:val="00AB4232"/>
    <w:rsid w:val="00AB55C9"/>
    <w:rsid w:val="00AF0B7D"/>
    <w:rsid w:val="00AF751F"/>
    <w:rsid w:val="00B102D7"/>
    <w:rsid w:val="00B35E8A"/>
    <w:rsid w:val="00B66C9F"/>
    <w:rsid w:val="00B721C0"/>
    <w:rsid w:val="00B979B7"/>
    <w:rsid w:val="00C5346D"/>
    <w:rsid w:val="00C562EF"/>
    <w:rsid w:val="00C9534A"/>
    <w:rsid w:val="00C97675"/>
    <w:rsid w:val="00CA7616"/>
    <w:rsid w:val="00CB2E14"/>
    <w:rsid w:val="00CC59BC"/>
    <w:rsid w:val="00CF17BF"/>
    <w:rsid w:val="00CF3BDF"/>
    <w:rsid w:val="00D145DC"/>
    <w:rsid w:val="00D3415D"/>
    <w:rsid w:val="00D36381"/>
    <w:rsid w:val="00D43A04"/>
    <w:rsid w:val="00D61526"/>
    <w:rsid w:val="00DB030A"/>
    <w:rsid w:val="00DC6DCF"/>
    <w:rsid w:val="00DE548A"/>
    <w:rsid w:val="00DE5D0E"/>
    <w:rsid w:val="00DF22CD"/>
    <w:rsid w:val="00DF4436"/>
    <w:rsid w:val="00E4172F"/>
    <w:rsid w:val="00E44CDD"/>
    <w:rsid w:val="00E5251E"/>
    <w:rsid w:val="00E617E0"/>
    <w:rsid w:val="00E62A68"/>
    <w:rsid w:val="00E714EC"/>
    <w:rsid w:val="00E7782C"/>
    <w:rsid w:val="00E861E9"/>
    <w:rsid w:val="00EA5240"/>
    <w:rsid w:val="00ED54D4"/>
    <w:rsid w:val="00F013EB"/>
    <w:rsid w:val="00F05E79"/>
    <w:rsid w:val="00F232BF"/>
    <w:rsid w:val="00F26F45"/>
    <w:rsid w:val="00F64810"/>
    <w:rsid w:val="00F81CCD"/>
    <w:rsid w:val="00FB6358"/>
    <w:rsid w:val="00FB746A"/>
    <w:rsid w:val="00FD43E4"/>
    <w:rsid w:val="00FD785C"/>
    <w:rsid w:val="16AE6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151B5"/>
  <w14:defaultImageDpi w14:val="32767"/>
  <w15:chartTrackingRefBased/>
  <w15:docId w15:val="{E1974774-3859-6848-9D1E-0D6493789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436"/>
    <w:pPr>
      <w:ind w:left="720"/>
      <w:contextualSpacing/>
    </w:pPr>
  </w:style>
  <w:style w:type="paragraph" w:styleId="BalloonText">
    <w:name w:val="Balloon Text"/>
    <w:basedOn w:val="Normal"/>
    <w:link w:val="BalloonTextChar"/>
    <w:uiPriority w:val="99"/>
    <w:semiHidden/>
    <w:unhideWhenUsed/>
    <w:rsid w:val="00F05E7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5E79"/>
    <w:rPr>
      <w:rFonts w:ascii="Times New Roman" w:hAnsi="Times New Roman" w:cs="Times New Roman"/>
      <w:sz w:val="18"/>
      <w:szCs w:val="18"/>
      <w:lang w:val="en-GB"/>
    </w:rPr>
  </w:style>
  <w:style w:type="character" w:styleId="CommentReference">
    <w:name w:val="annotation reference"/>
    <w:basedOn w:val="DefaultParagraphFont"/>
    <w:uiPriority w:val="99"/>
    <w:semiHidden/>
    <w:unhideWhenUsed/>
    <w:rsid w:val="008F43D9"/>
    <w:rPr>
      <w:sz w:val="16"/>
      <w:szCs w:val="16"/>
    </w:rPr>
  </w:style>
  <w:style w:type="paragraph" w:styleId="CommentText">
    <w:name w:val="annotation text"/>
    <w:basedOn w:val="Normal"/>
    <w:link w:val="CommentTextChar"/>
    <w:uiPriority w:val="99"/>
    <w:semiHidden/>
    <w:unhideWhenUsed/>
    <w:rsid w:val="008F43D9"/>
    <w:rPr>
      <w:sz w:val="20"/>
      <w:szCs w:val="20"/>
    </w:rPr>
  </w:style>
  <w:style w:type="character" w:customStyle="1" w:styleId="CommentTextChar">
    <w:name w:val="Comment Text Char"/>
    <w:basedOn w:val="DefaultParagraphFont"/>
    <w:link w:val="CommentText"/>
    <w:uiPriority w:val="99"/>
    <w:semiHidden/>
    <w:rsid w:val="008F43D9"/>
    <w:rPr>
      <w:sz w:val="20"/>
      <w:szCs w:val="20"/>
      <w:lang w:val="en-GB"/>
    </w:rPr>
  </w:style>
  <w:style w:type="paragraph" w:styleId="CommentSubject">
    <w:name w:val="annotation subject"/>
    <w:basedOn w:val="CommentText"/>
    <w:next w:val="CommentText"/>
    <w:link w:val="CommentSubjectChar"/>
    <w:uiPriority w:val="99"/>
    <w:semiHidden/>
    <w:unhideWhenUsed/>
    <w:rsid w:val="008F43D9"/>
    <w:rPr>
      <w:b/>
      <w:bCs/>
    </w:rPr>
  </w:style>
  <w:style w:type="character" w:customStyle="1" w:styleId="CommentSubjectChar">
    <w:name w:val="Comment Subject Char"/>
    <w:basedOn w:val="CommentTextChar"/>
    <w:link w:val="CommentSubject"/>
    <w:uiPriority w:val="99"/>
    <w:semiHidden/>
    <w:rsid w:val="008F43D9"/>
    <w:rPr>
      <w:b/>
      <w:bCs/>
      <w:sz w:val="20"/>
      <w:szCs w:val="20"/>
      <w:lang w:val="en-GB"/>
    </w:rPr>
  </w:style>
  <w:style w:type="paragraph" w:styleId="Header">
    <w:name w:val="header"/>
    <w:basedOn w:val="Normal"/>
    <w:link w:val="HeaderChar"/>
    <w:uiPriority w:val="99"/>
    <w:unhideWhenUsed/>
    <w:rsid w:val="00032BF6"/>
    <w:pPr>
      <w:tabs>
        <w:tab w:val="center" w:pos="4680"/>
        <w:tab w:val="right" w:pos="9360"/>
      </w:tabs>
    </w:pPr>
  </w:style>
  <w:style w:type="character" w:customStyle="1" w:styleId="HeaderChar">
    <w:name w:val="Header Char"/>
    <w:basedOn w:val="DefaultParagraphFont"/>
    <w:link w:val="Header"/>
    <w:uiPriority w:val="99"/>
    <w:rsid w:val="00032BF6"/>
    <w:rPr>
      <w:lang w:val="en-GB"/>
    </w:rPr>
  </w:style>
  <w:style w:type="paragraph" w:styleId="Footer">
    <w:name w:val="footer"/>
    <w:basedOn w:val="Normal"/>
    <w:link w:val="FooterChar"/>
    <w:uiPriority w:val="99"/>
    <w:unhideWhenUsed/>
    <w:rsid w:val="00032BF6"/>
    <w:pPr>
      <w:tabs>
        <w:tab w:val="center" w:pos="4680"/>
        <w:tab w:val="right" w:pos="9360"/>
      </w:tabs>
    </w:pPr>
  </w:style>
  <w:style w:type="character" w:customStyle="1" w:styleId="FooterChar">
    <w:name w:val="Footer Char"/>
    <w:basedOn w:val="DefaultParagraphFont"/>
    <w:link w:val="Footer"/>
    <w:uiPriority w:val="99"/>
    <w:rsid w:val="00032BF6"/>
    <w:rPr>
      <w:lang w:val="en-GB"/>
    </w:rPr>
  </w:style>
  <w:style w:type="character" w:styleId="Hyperlink">
    <w:name w:val="Hyperlink"/>
    <w:basedOn w:val="DefaultParagraphFont"/>
    <w:uiPriority w:val="99"/>
    <w:unhideWhenUsed/>
    <w:rsid w:val="002C2C3F"/>
    <w:rPr>
      <w:color w:val="0563C1" w:themeColor="hyperlink"/>
      <w:u w:val="single"/>
    </w:rPr>
  </w:style>
  <w:style w:type="character" w:styleId="UnresolvedMention">
    <w:name w:val="Unresolved Mention"/>
    <w:basedOn w:val="DefaultParagraphFont"/>
    <w:uiPriority w:val="99"/>
    <w:semiHidden/>
    <w:unhideWhenUsed/>
    <w:rsid w:val="002C2C3F"/>
    <w:rPr>
      <w:color w:val="605E5C"/>
      <w:shd w:val="clear" w:color="auto" w:fill="E1DFDD"/>
    </w:rPr>
  </w:style>
  <w:style w:type="paragraph" w:styleId="Caption">
    <w:name w:val="caption"/>
    <w:basedOn w:val="Normal"/>
    <w:next w:val="Normal"/>
    <w:uiPriority w:val="35"/>
    <w:unhideWhenUsed/>
    <w:qFormat/>
    <w:rsid w:val="003E5957"/>
    <w:pPr>
      <w:spacing w:after="200"/>
    </w:pPr>
    <w:rPr>
      <w:i/>
      <w:iCs/>
      <w:color w:val="44546A" w:themeColor="text2"/>
      <w:sz w:val="18"/>
      <w:szCs w:val="18"/>
    </w:rPr>
  </w:style>
  <w:style w:type="paragraph" w:styleId="Revision">
    <w:name w:val="Revision"/>
    <w:hidden/>
    <w:uiPriority w:val="99"/>
    <w:semiHidden/>
    <w:rsid w:val="001070C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22629">
      <w:bodyDiv w:val="1"/>
      <w:marLeft w:val="0"/>
      <w:marRight w:val="0"/>
      <w:marTop w:val="0"/>
      <w:marBottom w:val="0"/>
      <w:divBdr>
        <w:top w:val="none" w:sz="0" w:space="0" w:color="auto"/>
        <w:left w:val="none" w:sz="0" w:space="0" w:color="auto"/>
        <w:bottom w:val="none" w:sz="0" w:space="0" w:color="auto"/>
        <w:right w:val="none" w:sz="0" w:space="0" w:color="auto"/>
      </w:divBdr>
      <w:divsChild>
        <w:div w:id="582644267">
          <w:marLeft w:val="0"/>
          <w:marRight w:val="0"/>
          <w:marTop w:val="0"/>
          <w:marBottom w:val="0"/>
          <w:divBdr>
            <w:top w:val="none" w:sz="0" w:space="0" w:color="auto"/>
            <w:left w:val="none" w:sz="0" w:space="0" w:color="auto"/>
            <w:bottom w:val="none" w:sz="0" w:space="0" w:color="auto"/>
            <w:right w:val="none" w:sz="0" w:space="0" w:color="auto"/>
          </w:divBdr>
          <w:divsChild>
            <w:div w:id="921255297">
              <w:marLeft w:val="0"/>
              <w:marRight w:val="0"/>
              <w:marTop w:val="0"/>
              <w:marBottom w:val="0"/>
              <w:divBdr>
                <w:top w:val="none" w:sz="0" w:space="0" w:color="auto"/>
                <w:left w:val="none" w:sz="0" w:space="0" w:color="auto"/>
                <w:bottom w:val="none" w:sz="0" w:space="0" w:color="auto"/>
                <w:right w:val="none" w:sz="0" w:space="0" w:color="auto"/>
              </w:divBdr>
              <w:divsChild>
                <w:div w:id="116439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622067">
      <w:bodyDiv w:val="1"/>
      <w:marLeft w:val="0"/>
      <w:marRight w:val="0"/>
      <w:marTop w:val="0"/>
      <w:marBottom w:val="0"/>
      <w:divBdr>
        <w:top w:val="none" w:sz="0" w:space="0" w:color="auto"/>
        <w:left w:val="none" w:sz="0" w:space="0" w:color="auto"/>
        <w:bottom w:val="none" w:sz="0" w:space="0" w:color="auto"/>
        <w:right w:val="none" w:sz="0" w:space="0" w:color="auto"/>
      </w:divBdr>
      <w:divsChild>
        <w:div w:id="389767896">
          <w:marLeft w:val="0"/>
          <w:marRight w:val="0"/>
          <w:marTop w:val="0"/>
          <w:marBottom w:val="0"/>
          <w:divBdr>
            <w:top w:val="none" w:sz="0" w:space="0" w:color="auto"/>
            <w:left w:val="none" w:sz="0" w:space="0" w:color="auto"/>
            <w:bottom w:val="none" w:sz="0" w:space="0" w:color="auto"/>
            <w:right w:val="none" w:sz="0" w:space="0" w:color="auto"/>
          </w:divBdr>
          <w:divsChild>
            <w:div w:id="1758478324">
              <w:marLeft w:val="0"/>
              <w:marRight w:val="0"/>
              <w:marTop w:val="0"/>
              <w:marBottom w:val="0"/>
              <w:divBdr>
                <w:top w:val="none" w:sz="0" w:space="0" w:color="auto"/>
                <w:left w:val="none" w:sz="0" w:space="0" w:color="auto"/>
                <w:bottom w:val="none" w:sz="0" w:space="0" w:color="auto"/>
                <w:right w:val="none" w:sz="0" w:space="0" w:color="auto"/>
              </w:divBdr>
              <w:divsChild>
                <w:div w:id="27525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110618">
      <w:bodyDiv w:val="1"/>
      <w:marLeft w:val="0"/>
      <w:marRight w:val="0"/>
      <w:marTop w:val="0"/>
      <w:marBottom w:val="0"/>
      <w:divBdr>
        <w:top w:val="none" w:sz="0" w:space="0" w:color="auto"/>
        <w:left w:val="none" w:sz="0" w:space="0" w:color="auto"/>
        <w:bottom w:val="none" w:sz="0" w:space="0" w:color="auto"/>
        <w:right w:val="none" w:sz="0" w:space="0" w:color="auto"/>
      </w:divBdr>
    </w:div>
    <w:div w:id="937251244">
      <w:bodyDiv w:val="1"/>
      <w:marLeft w:val="0"/>
      <w:marRight w:val="0"/>
      <w:marTop w:val="0"/>
      <w:marBottom w:val="0"/>
      <w:divBdr>
        <w:top w:val="none" w:sz="0" w:space="0" w:color="auto"/>
        <w:left w:val="none" w:sz="0" w:space="0" w:color="auto"/>
        <w:bottom w:val="none" w:sz="0" w:space="0" w:color="auto"/>
        <w:right w:val="none" w:sz="0" w:space="0" w:color="auto"/>
      </w:divBdr>
    </w:div>
    <w:div w:id="1015225607">
      <w:bodyDiv w:val="1"/>
      <w:marLeft w:val="0"/>
      <w:marRight w:val="0"/>
      <w:marTop w:val="0"/>
      <w:marBottom w:val="0"/>
      <w:divBdr>
        <w:top w:val="none" w:sz="0" w:space="0" w:color="auto"/>
        <w:left w:val="none" w:sz="0" w:space="0" w:color="auto"/>
        <w:bottom w:val="none" w:sz="0" w:space="0" w:color="auto"/>
        <w:right w:val="none" w:sz="0" w:space="0" w:color="auto"/>
      </w:divBdr>
    </w:div>
    <w:div w:id="1077827533">
      <w:bodyDiv w:val="1"/>
      <w:marLeft w:val="0"/>
      <w:marRight w:val="0"/>
      <w:marTop w:val="0"/>
      <w:marBottom w:val="0"/>
      <w:divBdr>
        <w:top w:val="none" w:sz="0" w:space="0" w:color="auto"/>
        <w:left w:val="none" w:sz="0" w:space="0" w:color="auto"/>
        <w:bottom w:val="none" w:sz="0" w:space="0" w:color="auto"/>
        <w:right w:val="none" w:sz="0" w:space="0" w:color="auto"/>
      </w:divBdr>
      <w:divsChild>
        <w:div w:id="699087704">
          <w:marLeft w:val="0"/>
          <w:marRight w:val="0"/>
          <w:marTop w:val="0"/>
          <w:marBottom w:val="0"/>
          <w:divBdr>
            <w:top w:val="none" w:sz="0" w:space="0" w:color="auto"/>
            <w:left w:val="none" w:sz="0" w:space="0" w:color="auto"/>
            <w:bottom w:val="none" w:sz="0" w:space="0" w:color="auto"/>
            <w:right w:val="none" w:sz="0" w:space="0" w:color="auto"/>
          </w:divBdr>
          <w:divsChild>
            <w:div w:id="496648498">
              <w:marLeft w:val="0"/>
              <w:marRight w:val="0"/>
              <w:marTop w:val="0"/>
              <w:marBottom w:val="0"/>
              <w:divBdr>
                <w:top w:val="none" w:sz="0" w:space="0" w:color="auto"/>
                <w:left w:val="none" w:sz="0" w:space="0" w:color="auto"/>
                <w:bottom w:val="none" w:sz="0" w:space="0" w:color="auto"/>
                <w:right w:val="none" w:sz="0" w:space="0" w:color="auto"/>
              </w:divBdr>
              <w:divsChild>
                <w:div w:id="44874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917543">
      <w:bodyDiv w:val="1"/>
      <w:marLeft w:val="0"/>
      <w:marRight w:val="0"/>
      <w:marTop w:val="0"/>
      <w:marBottom w:val="0"/>
      <w:divBdr>
        <w:top w:val="none" w:sz="0" w:space="0" w:color="auto"/>
        <w:left w:val="none" w:sz="0" w:space="0" w:color="auto"/>
        <w:bottom w:val="none" w:sz="0" w:space="0" w:color="auto"/>
        <w:right w:val="none" w:sz="0" w:space="0" w:color="auto"/>
      </w:divBdr>
    </w:div>
    <w:div w:id="1339694736">
      <w:bodyDiv w:val="1"/>
      <w:marLeft w:val="0"/>
      <w:marRight w:val="0"/>
      <w:marTop w:val="0"/>
      <w:marBottom w:val="0"/>
      <w:divBdr>
        <w:top w:val="none" w:sz="0" w:space="0" w:color="auto"/>
        <w:left w:val="none" w:sz="0" w:space="0" w:color="auto"/>
        <w:bottom w:val="none" w:sz="0" w:space="0" w:color="auto"/>
        <w:right w:val="none" w:sz="0" w:space="0" w:color="auto"/>
      </w:divBdr>
    </w:div>
    <w:div w:id="1722824407">
      <w:bodyDiv w:val="1"/>
      <w:marLeft w:val="0"/>
      <w:marRight w:val="0"/>
      <w:marTop w:val="0"/>
      <w:marBottom w:val="0"/>
      <w:divBdr>
        <w:top w:val="none" w:sz="0" w:space="0" w:color="auto"/>
        <w:left w:val="none" w:sz="0" w:space="0" w:color="auto"/>
        <w:bottom w:val="none" w:sz="0" w:space="0" w:color="auto"/>
        <w:right w:val="none" w:sz="0" w:space="0" w:color="auto"/>
      </w:divBdr>
    </w:div>
    <w:div w:id="1818958603">
      <w:bodyDiv w:val="1"/>
      <w:marLeft w:val="0"/>
      <w:marRight w:val="0"/>
      <w:marTop w:val="0"/>
      <w:marBottom w:val="0"/>
      <w:divBdr>
        <w:top w:val="none" w:sz="0" w:space="0" w:color="auto"/>
        <w:left w:val="none" w:sz="0" w:space="0" w:color="auto"/>
        <w:bottom w:val="none" w:sz="0" w:space="0" w:color="auto"/>
        <w:right w:val="none" w:sz="0" w:space="0" w:color="auto"/>
      </w:divBdr>
    </w:div>
    <w:div w:id="183136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stable/50306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443355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jstor.org/stable/49692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A2204-9F1E-834C-9633-80182E81C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2</Pages>
  <Words>740</Words>
  <Characters>3960</Characters>
  <Application>Microsoft Office Word</Application>
  <DocSecurity>0</DocSecurity>
  <Lines>158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Clements (STUDENT)</dc:creator>
  <cp:keywords/>
  <dc:description/>
  <cp:lastModifiedBy>Lloyd Clements (STUDENT)</cp:lastModifiedBy>
  <cp:revision>80</cp:revision>
  <dcterms:created xsi:type="dcterms:W3CDTF">2020-01-19T23:16:00Z</dcterms:created>
  <dcterms:modified xsi:type="dcterms:W3CDTF">2020-02-07T20:49:00Z</dcterms:modified>
</cp:coreProperties>
</file>