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87E27" w14:textId="393B6217" w:rsidR="000B4987" w:rsidRDefault="00A81620" w:rsidP="00F531FC">
      <w:pPr>
        <w:spacing w:after="0" w:line="360" w:lineRule="auto"/>
        <w:jc w:val="both"/>
        <w:rPr>
          <w:rFonts w:ascii="Arial" w:hAnsi="Arial" w:cs="Arial"/>
          <w:b/>
          <w:bCs/>
          <w:sz w:val="22"/>
          <w:szCs w:val="22"/>
          <w:lang w:val="en-GB"/>
        </w:rPr>
      </w:pPr>
      <w:r>
        <w:rPr>
          <w:rFonts w:ascii="Arial" w:hAnsi="Arial" w:cs="Arial"/>
          <w:b/>
          <w:bCs/>
          <w:sz w:val="22"/>
          <w:szCs w:val="22"/>
          <w:lang w:val="en-GB"/>
        </w:rPr>
        <w:t>MODULE: PHY</w:t>
      </w:r>
      <w:r w:rsidR="004B24B8">
        <w:rPr>
          <w:rFonts w:ascii="Arial" w:hAnsi="Arial" w:cs="Arial"/>
          <w:b/>
          <w:bCs/>
          <w:sz w:val="22"/>
          <w:szCs w:val="22"/>
          <w:lang w:val="en-GB"/>
        </w:rPr>
        <w:t xml:space="preserve">CHOLOGY IN HELTH AND SOCIAL CARE </w:t>
      </w:r>
      <w:r w:rsidR="004525CC">
        <w:rPr>
          <w:rFonts w:ascii="Arial" w:hAnsi="Arial" w:cs="Arial"/>
          <w:b/>
          <w:bCs/>
          <w:sz w:val="22"/>
          <w:szCs w:val="22"/>
          <w:lang w:val="en-GB"/>
        </w:rPr>
        <w:t>(</w:t>
      </w:r>
      <w:r w:rsidR="000B4987">
        <w:rPr>
          <w:rFonts w:ascii="Arial" w:hAnsi="Arial" w:cs="Arial"/>
          <w:b/>
          <w:bCs/>
          <w:sz w:val="22"/>
          <w:szCs w:val="22"/>
          <w:lang w:val="en-GB"/>
        </w:rPr>
        <w:t>LCHS4010</w:t>
      </w:r>
      <w:r w:rsidR="004525CC">
        <w:rPr>
          <w:rFonts w:ascii="Arial" w:hAnsi="Arial" w:cs="Arial"/>
          <w:b/>
          <w:bCs/>
          <w:sz w:val="22"/>
          <w:szCs w:val="22"/>
          <w:lang w:val="en-GB"/>
        </w:rPr>
        <w:t>)</w:t>
      </w:r>
    </w:p>
    <w:p w14:paraId="40479D94" w14:textId="7389D31B" w:rsidR="004525CC" w:rsidRDefault="004525CC" w:rsidP="00F531FC">
      <w:pPr>
        <w:spacing w:after="0" w:line="360" w:lineRule="auto"/>
        <w:jc w:val="both"/>
        <w:rPr>
          <w:rFonts w:ascii="Arial" w:hAnsi="Arial" w:cs="Arial"/>
          <w:b/>
          <w:bCs/>
          <w:sz w:val="22"/>
          <w:szCs w:val="22"/>
          <w:lang w:val="en-GB"/>
        </w:rPr>
      </w:pPr>
      <w:r>
        <w:rPr>
          <w:rFonts w:ascii="Arial" w:hAnsi="Arial" w:cs="Arial"/>
          <w:b/>
          <w:bCs/>
          <w:sz w:val="22"/>
          <w:szCs w:val="22"/>
          <w:lang w:val="en-GB"/>
        </w:rPr>
        <w:t>LECTURE</w:t>
      </w:r>
      <w:r w:rsidR="00E779A6">
        <w:rPr>
          <w:rFonts w:ascii="Arial" w:hAnsi="Arial" w:cs="Arial"/>
          <w:b/>
          <w:bCs/>
          <w:sz w:val="22"/>
          <w:szCs w:val="22"/>
          <w:lang w:val="en-GB"/>
        </w:rPr>
        <w:t xml:space="preserve">: NEALE HADDON </w:t>
      </w:r>
    </w:p>
    <w:p w14:paraId="5B693E41" w14:textId="284FD09B" w:rsidR="00E779A6" w:rsidRDefault="00E779A6" w:rsidP="00F531FC">
      <w:pPr>
        <w:spacing w:after="0" w:line="360" w:lineRule="auto"/>
        <w:jc w:val="both"/>
        <w:rPr>
          <w:rFonts w:ascii="Arial" w:hAnsi="Arial" w:cs="Arial"/>
          <w:b/>
          <w:bCs/>
          <w:sz w:val="22"/>
          <w:szCs w:val="22"/>
          <w:lang w:val="en-GB"/>
        </w:rPr>
      </w:pPr>
      <w:r>
        <w:rPr>
          <w:rFonts w:ascii="Arial" w:hAnsi="Arial" w:cs="Arial"/>
          <w:b/>
          <w:bCs/>
          <w:sz w:val="22"/>
          <w:szCs w:val="22"/>
          <w:lang w:val="en-GB"/>
        </w:rPr>
        <w:t xml:space="preserve">NAME: MARGARET ABENA KWAW </w:t>
      </w:r>
    </w:p>
    <w:p w14:paraId="395F573D" w14:textId="2909D2A9" w:rsidR="00FE13FC" w:rsidRDefault="00FE13FC" w:rsidP="00F531FC">
      <w:pPr>
        <w:spacing w:after="0" w:line="360" w:lineRule="auto"/>
        <w:jc w:val="both"/>
        <w:rPr>
          <w:rFonts w:ascii="Arial" w:hAnsi="Arial" w:cs="Arial"/>
          <w:b/>
          <w:bCs/>
          <w:sz w:val="22"/>
          <w:szCs w:val="22"/>
          <w:lang w:val="en-GB"/>
        </w:rPr>
      </w:pPr>
      <w:r>
        <w:rPr>
          <w:rFonts w:ascii="Arial" w:hAnsi="Arial" w:cs="Arial"/>
          <w:b/>
          <w:bCs/>
          <w:sz w:val="22"/>
          <w:szCs w:val="22"/>
          <w:lang w:val="en-GB"/>
        </w:rPr>
        <w:t>STUDENT NUMBER: 244</w:t>
      </w:r>
      <w:r w:rsidR="00F108FD">
        <w:rPr>
          <w:rFonts w:ascii="Arial" w:hAnsi="Arial" w:cs="Arial"/>
          <w:b/>
          <w:bCs/>
          <w:sz w:val="22"/>
          <w:szCs w:val="22"/>
          <w:lang w:val="en-GB"/>
        </w:rPr>
        <w:t>1376</w:t>
      </w:r>
    </w:p>
    <w:p w14:paraId="74BE758D" w14:textId="53BDB88D" w:rsidR="00A91916" w:rsidRDefault="00A91916">
      <w:pPr>
        <w:rPr>
          <w:rFonts w:ascii="Arial" w:hAnsi="Arial" w:cs="Arial"/>
          <w:b/>
          <w:bCs/>
          <w:sz w:val="22"/>
          <w:szCs w:val="22"/>
          <w:lang w:val="en-GB"/>
        </w:rPr>
      </w:pPr>
      <w:r>
        <w:rPr>
          <w:rFonts w:ascii="Arial" w:hAnsi="Arial" w:cs="Arial"/>
          <w:b/>
          <w:bCs/>
          <w:sz w:val="22"/>
          <w:szCs w:val="22"/>
          <w:lang w:val="en-GB"/>
        </w:rPr>
        <w:br w:type="page"/>
      </w:r>
    </w:p>
    <w:p w14:paraId="488138D5" w14:textId="1EAD2DB0" w:rsidR="006D21D6" w:rsidRPr="00F531FC" w:rsidRDefault="006D21D6" w:rsidP="00F531FC">
      <w:pPr>
        <w:spacing w:after="0" w:line="360" w:lineRule="auto"/>
        <w:jc w:val="both"/>
        <w:rPr>
          <w:rFonts w:ascii="Arial" w:hAnsi="Arial" w:cs="Arial"/>
          <w:b/>
          <w:bCs/>
          <w:sz w:val="22"/>
          <w:szCs w:val="22"/>
          <w:lang w:val="en-GB"/>
        </w:rPr>
      </w:pPr>
      <w:r w:rsidRPr="00F531FC">
        <w:rPr>
          <w:rFonts w:ascii="Arial" w:hAnsi="Arial" w:cs="Arial"/>
          <w:b/>
          <w:bCs/>
          <w:sz w:val="22"/>
          <w:szCs w:val="22"/>
          <w:lang w:val="en-GB"/>
        </w:rPr>
        <w:lastRenderedPageBreak/>
        <w:t>PART ONE</w:t>
      </w:r>
    </w:p>
    <w:p w14:paraId="34FC8AC1" w14:textId="2BA087A9" w:rsidR="00C94423" w:rsidRPr="00F531FC" w:rsidRDefault="00C94423"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The following annotated sources explore essential theories pertinent to assisting older adults in health and social care.</w:t>
      </w:r>
    </w:p>
    <w:p w14:paraId="33058D8E" w14:textId="76B5BC0F" w:rsidR="00C001B6" w:rsidRPr="00F531FC" w:rsidRDefault="00C94423" w:rsidP="00F531FC">
      <w:pPr>
        <w:spacing w:after="0" w:line="360" w:lineRule="auto"/>
        <w:jc w:val="both"/>
        <w:rPr>
          <w:rFonts w:ascii="Arial" w:hAnsi="Arial" w:cs="Arial"/>
          <w:b/>
          <w:bCs/>
          <w:sz w:val="22"/>
          <w:szCs w:val="22"/>
          <w:lang w:val="en-GB"/>
        </w:rPr>
      </w:pPr>
      <w:r w:rsidRPr="00F531FC">
        <w:rPr>
          <w:rFonts w:ascii="Arial" w:hAnsi="Arial" w:cs="Arial"/>
          <w:b/>
          <w:bCs/>
          <w:sz w:val="22"/>
          <w:szCs w:val="22"/>
          <w:lang w:val="en-GB"/>
        </w:rPr>
        <w:t xml:space="preserve">Brown, C. and Lowis, M.J., 2003. Psychosocial development in the elderly: An investigation into Erikson's ninth stage. </w:t>
      </w:r>
      <w:r w:rsidRPr="00F531FC">
        <w:rPr>
          <w:rFonts w:ascii="Arial" w:hAnsi="Arial" w:cs="Arial"/>
          <w:b/>
          <w:bCs/>
          <w:i/>
          <w:iCs/>
          <w:sz w:val="22"/>
          <w:szCs w:val="22"/>
          <w:lang w:val="en-GB"/>
        </w:rPr>
        <w:t>Journal of Aging Studies,</w:t>
      </w:r>
      <w:r w:rsidRPr="00F531FC">
        <w:rPr>
          <w:rFonts w:ascii="Arial" w:hAnsi="Arial" w:cs="Arial"/>
          <w:b/>
          <w:bCs/>
          <w:sz w:val="22"/>
          <w:szCs w:val="22"/>
          <w:lang w:val="en-GB"/>
        </w:rPr>
        <w:t xml:space="preserve"> 17(4), pp.415-426. </w:t>
      </w:r>
    </w:p>
    <w:p w14:paraId="6974F0AC" w14:textId="07230AEB" w:rsidR="00C94423" w:rsidRPr="00F531FC" w:rsidRDefault="00C94423"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 xml:space="preserve">The article extends the original eight stage psychosocial development theory by Erik Erikson to old age giving insight into a night stage. The authors main argument was that old age comes with its own challenges and demands as such, Eriksons eight stages could be extended to a night stage to critically explore these challenges. Using primary data, the authors investigated how older persons encountered the psychosocial tensions outlined by Eriksons, such aa the resurgence of mistrust, humiliation and despair. Their results provided support to the idea of a night stage of development, which puts forward that growth continue into old age and involves a careful reworking of identity. This article is particularly relevant in health is social care today due to its direct extension of psychosocial theory to old ages, given that persons in the old age bracket form a huge demographic of </w:t>
      </w:r>
      <w:r w:rsidR="00961A0D" w:rsidRPr="00F531FC">
        <w:rPr>
          <w:rFonts w:ascii="Arial" w:hAnsi="Arial" w:cs="Arial"/>
          <w:sz w:val="22"/>
          <w:szCs w:val="22"/>
          <w:lang w:val="en-GB"/>
        </w:rPr>
        <w:t>today’s</w:t>
      </w:r>
      <w:r w:rsidRPr="00F531FC">
        <w:rPr>
          <w:rFonts w:ascii="Arial" w:hAnsi="Arial" w:cs="Arial"/>
          <w:sz w:val="22"/>
          <w:szCs w:val="22"/>
          <w:lang w:val="en-GB"/>
        </w:rPr>
        <w:t xml:space="preserve"> care and social needs. It offers a strong foundation for understanding difficult </w:t>
      </w:r>
      <w:r w:rsidR="00961A0D" w:rsidRPr="00F531FC">
        <w:rPr>
          <w:rFonts w:ascii="Arial" w:hAnsi="Arial" w:cs="Arial"/>
          <w:sz w:val="22"/>
          <w:szCs w:val="22"/>
          <w:lang w:val="en-GB"/>
        </w:rPr>
        <w:t>behaviours</w:t>
      </w:r>
      <w:r w:rsidRPr="00F531FC">
        <w:rPr>
          <w:rFonts w:ascii="Arial" w:hAnsi="Arial" w:cs="Arial"/>
          <w:sz w:val="22"/>
          <w:szCs w:val="22"/>
          <w:lang w:val="en-GB"/>
        </w:rPr>
        <w:t xml:space="preserve"> in extremely old or fragile persons, challenging the idea that advanced old age is a static stage of deterioration</w:t>
      </w:r>
      <w:r w:rsidR="00961A0D" w:rsidRPr="00F531FC">
        <w:rPr>
          <w:rFonts w:ascii="Arial" w:hAnsi="Arial" w:cs="Arial"/>
          <w:sz w:val="22"/>
          <w:szCs w:val="22"/>
          <w:lang w:val="en-GB"/>
        </w:rPr>
        <w:t>.</w:t>
      </w:r>
    </w:p>
    <w:p w14:paraId="061F5F0D" w14:textId="77777777" w:rsidR="00961A0D" w:rsidRPr="00F531FC" w:rsidRDefault="00961A0D" w:rsidP="00F531FC">
      <w:pPr>
        <w:spacing w:after="0" w:line="360" w:lineRule="auto"/>
        <w:jc w:val="both"/>
        <w:rPr>
          <w:rFonts w:ascii="Arial" w:hAnsi="Arial" w:cs="Arial"/>
          <w:sz w:val="22"/>
          <w:szCs w:val="22"/>
          <w:lang w:val="en-GB"/>
        </w:rPr>
      </w:pPr>
    </w:p>
    <w:p w14:paraId="45B1FDF9" w14:textId="0A44A964" w:rsidR="00961A0D" w:rsidRPr="00F531FC" w:rsidRDefault="00961A0D" w:rsidP="00F531FC">
      <w:pPr>
        <w:spacing w:after="0" w:line="360" w:lineRule="auto"/>
        <w:jc w:val="both"/>
        <w:rPr>
          <w:rFonts w:ascii="Arial" w:hAnsi="Arial" w:cs="Arial"/>
          <w:b/>
          <w:bCs/>
          <w:sz w:val="22"/>
          <w:szCs w:val="22"/>
          <w:lang w:val="en-GB"/>
        </w:rPr>
      </w:pPr>
      <w:r w:rsidRPr="00F531FC">
        <w:rPr>
          <w:rFonts w:ascii="Arial" w:hAnsi="Arial" w:cs="Arial"/>
          <w:b/>
          <w:bCs/>
          <w:sz w:val="22"/>
          <w:szCs w:val="22"/>
          <w:lang w:val="en-GB"/>
        </w:rPr>
        <w:t xml:space="preserve">Bugajska, B.E., 2017. The ninth stage in the cycle of life–reflections on EH Erikson's theory. </w:t>
      </w:r>
      <w:r w:rsidRPr="00F531FC">
        <w:rPr>
          <w:rFonts w:ascii="Arial" w:hAnsi="Arial" w:cs="Arial"/>
          <w:b/>
          <w:bCs/>
          <w:i/>
          <w:iCs/>
          <w:sz w:val="22"/>
          <w:szCs w:val="22"/>
          <w:lang w:val="en-GB"/>
        </w:rPr>
        <w:t>Ageing &amp; Society,</w:t>
      </w:r>
      <w:r w:rsidRPr="00F531FC">
        <w:rPr>
          <w:rFonts w:ascii="Arial" w:hAnsi="Arial" w:cs="Arial"/>
          <w:b/>
          <w:bCs/>
          <w:sz w:val="22"/>
          <w:szCs w:val="22"/>
          <w:lang w:val="en-GB"/>
        </w:rPr>
        <w:t xml:space="preserve"> 37(6), pp.1095-1110.</w:t>
      </w:r>
    </w:p>
    <w:p w14:paraId="566C2D87" w14:textId="381CDA27" w:rsidR="00C94423" w:rsidRPr="00F531FC" w:rsidRDefault="000A226C"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 xml:space="preserve">The article reflects on how the eight-stage tension between integrity and despair is revisited and transformed in the ninth stage, where individuals must rework their sense of identity in the face of extreme ageing. </w:t>
      </w:r>
      <w:r w:rsidR="00427B05" w:rsidRPr="00F531FC">
        <w:rPr>
          <w:rFonts w:ascii="Arial" w:hAnsi="Arial" w:cs="Arial"/>
          <w:sz w:val="22"/>
          <w:szCs w:val="22"/>
          <w:lang w:val="en-GB"/>
        </w:rPr>
        <w:t xml:space="preserve">The paper argues that very old age brings unique struggles such as dependence, loss and vulnerability. </w:t>
      </w:r>
      <w:r w:rsidRPr="00F531FC">
        <w:rPr>
          <w:rFonts w:ascii="Arial" w:hAnsi="Arial" w:cs="Arial"/>
          <w:sz w:val="22"/>
          <w:szCs w:val="22"/>
          <w:lang w:val="en-GB"/>
        </w:rPr>
        <w:t xml:space="preserve">The paper revealed that adults often revisit earlier psychosocial crises later in life, but this time from a position of physical decline, dependence and vulnerability. </w:t>
      </w:r>
      <w:r w:rsidR="009D20CF" w:rsidRPr="00F531FC">
        <w:rPr>
          <w:rFonts w:ascii="Arial" w:hAnsi="Arial" w:cs="Arial"/>
          <w:sz w:val="22"/>
          <w:szCs w:val="22"/>
          <w:lang w:val="en-GB"/>
        </w:rPr>
        <w:t xml:space="preserve">The relevance of this article in supporting adults in health and social care is emphasised in its recognition of a ninth stage of psychosocial development which is heightened by physical decline and dependency. Recognising these characteristics of older people help care workers to plan and care suited for the needs of a person. </w:t>
      </w:r>
    </w:p>
    <w:p w14:paraId="7728202B" w14:textId="77777777" w:rsidR="00961A0D" w:rsidRPr="00F531FC" w:rsidRDefault="00961A0D" w:rsidP="00F531FC">
      <w:pPr>
        <w:spacing w:after="0" w:line="360" w:lineRule="auto"/>
        <w:jc w:val="both"/>
        <w:rPr>
          <w:rFonts w:ascii="Arial" w:hAnsi="Arial" w:cs="Arial"/>
          <w:sz w:val="22"/>
          <w:szCs w:val="22"/>
          <w:lang w:val="en-GB"/>
        </w:rPr>
      </w:pPr>
    </w:p>
    <w:p w14:paraId="04A4B2A7" w14:textId="7A09E468" w:rsidR="00C94423" w:rsidRPr="00F531FC" w:rsidRDefault="00C94423" w:rsidP="00F531FC">
      <w:pPr>
        <w:spacing w:after="0" w:line="360" w:lineRule="auto"/>
        <w:jc w:val="both"/>
        <w:rPr>
          <w:rFonts w:ascii="Arial" w:hAnsi="Arial" w:cs="Arial"/>
          <w:b/>
          <w:bCs/>
          <w:sz w:val="22"/>
          <w:szCs w:val="22"/>
          <w:lang w:val="en-GB"/>
        </w:rPr>
      </w:pPr>
      <w:r w:rsidRPr="00F531FC">
        <w:rPr>
          <w:rFonts w:ascii="Arial" w:hAnsi="Arial" w:cs="Arial"/>
          <w:b/>
          <w:bCs/>
          <w:sz w:val="22"/>
          <w:szCs w:val="22"/>
          <w:lang w:val="en-GB"/>
        </w:rPr>
        <w:t xml:space="preserve">James, W.B., Witte, J.E. and Galbraith, M.W., 2006. Havighurst’s social roles revisited. </w:t>
      </w:r>
      <w:r w:rsidRPr="00F531FC">
        <w:rPr>
          <w:rFonts w:ascii="Arial" w:hAnsi="Arial" w:cs="Arial"/>
          <w:b/>
          <w:bCs/>
          <w:i/>
          <w:iCs/>
          <w:sz w:val="22"/>
          <w:szCs w:val="22"/>
          <w:lang w:val="en-GB"/>
        </w:rPr>
        <w:t>Journal of Adult Development,</w:t>
      </w:r>
      <w:r w:rsidRPr="00F531FC">
        <w:rPr>
          <w:rFonts w:ascii="Arial" w:hAnsi="Arial" w:cs="Arial"/>
          <w:b/>
          <w:bCs/>
          <w:sz w:val="22"/>
          <w:szCs w:val="22"/>
          <w:lang w:val="en-GB"/>
        </w:rPr>
        <w:t xml:space="preserve"> 13(1), pp.52-60.</w:t>
      </w:r>
    </w:p>
    <w:p w14:paraId="480B8EE4" w14:textId="32B03643" w:rsidR="004D21DF" w:rsidRPr="00F531FC" w:rsidRDefault="00C94423"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 xml:space="preserve">The authors extend Havighurst’s social activity theory which explains that older persons are more satisfied and have good wellbeing when they maintain social roles, stay active and are engaged </w:t>
      </w:r>
      <w:r w:rsidRPr="00F531FC">
        <w:rPr>
          <w:rFonts w:ascii="Arial" w:hAnsi="Arial" w:cs="Arial"/>
          <w:sz w:val="22"/>
          <w:szCs w:val="22"/>
          <w:lang w:val="en-GB"/>
        </w:rPr>
        <w:lastRenderedPageBreak/>
        <w:t xml:space="preserve">in meaningful activities rather than discontinuing them at old age. They argue that effective adaptive to changing roles at older age enhance happiness and psychological stability. They examined how important various social roles change </w:t>
      </w:r>
      <w:r w:rsidR="006D21D6" w:rsidRPr="00F531FC">
        <w:rPr>
          <w:rFonts w:ascii="Arial" w:hAnsi="Arial" w:cs="Arial"/>
          <w:sz w:val="22"/>
          <w:szCs w:val="22"/>
          <w:lang w:val="en-GB"/>
        </w:rPr>
        <w:t>throughout</w:t>
      </w:r>
      <w:r w:rsidRPr="00F531FC">
        <w:rPr>
          <w:rFonts w:ascii="Arial" w:hAnsi="Arial" w:cs="Arial"/>
          <w:sz w:val="22"/>
          <w:szCs w:val="22"/>
          <w:lang w:val="en-GB"/>
        </w:rPr>
        <w:t xml:space="preserve"> the lifespan of an adult and at old age. The authors identified 13 key social roles and assessed it importance using a sample of 300 respondents. The findings revealed that the ‘Friend role’ and a collection of family-related roles received the highest aggregate ratings. Unique age-related factors were associated with many roles with importance also varying across different age groups. The relevance to health hand social care is highlighted by the understanding that the changes in social roles that older adults are presented with in care homes, for instance loss of ‘worker role’ or ‘spouse’, which enables nurses to plan appropriate person-</w:t>
      </w:r>
      <w:proofErr w:type="spellStart"/>
      <w:r w:rsidRPr="00F531FC">
        <w:rPr>
          <w:rFonts w:ascii="Arial" w:hAnsi="Arial" w:cs="Arial"/>
          <w:sz w:val="22"/>
          <w:szCs w:val="22"/>
          <w:lang w:val="en-GB"/>
        </w:rPr>
        <w:t>centered</w:t>
      </w:r>
      <w:proofErr w:type="spellEnd"/>
      <w:r w:rsidRPr="00F531FC">
        <w:rPr>
          <w:rFonts w:ascii="Arial" w:hAnsi="Arial" w:cs="Arial"/>
          <w:sz w:val="22"/>
          <w:szCs w:val="22"/>
          <w:lang w:val="en-GB"/>
        </w:rPr>
        <w:t xml:space="preserve"> care.</w:t>
      </w:r>
    </w:p>
    <w:p w14:paraId="2CC885AF" w14:textId="77777777" w:rsidR="006D21D6" w:rsidRPr="00F531FC" w:rsidRDefault="006D21D6" w:rsidP="00F531FC">
      <w:pPr>
        <w:spacing w:after="0" w:line="360" w:lineRule="auto"/>
        <w:jc w:val="both"/>
        <w:rPr>
          <w:rFonts w:ascii="Arial" w:hAnsi="Arial" w:cs="Arial"/>
          <w:sz w:val="22"/>
          <w:szCs w:val="22"/>
          <w:lang w:val="en-GB"/>
        </w:rPr>
      </w:pPr>
    </w:p>
    <w:p w14:paraId="3965BBE0" w14:textId="7EBBE6B2" w:rsidR="006D21D6" w:rsidRPr="00F531FC" w:rsidRDefault="006D21D6" w:rsidP="00F531FC">
      <w:pPr>
        <w:spacing w:after="0" w:line="360" w:lineRule="auto"/>
        <w:jc w:val="both"/>
        <w:rPr>
          <w:rFonts w:ascii="Arial" w:hAnsi="Arial" w:cs="Arial"/>
          <w:b/>
          <w:bCs/>
          <w:sz w:val="22"/>
          <w:szCs w:val="22"/>
          <w:lang w:val="en-GB"/>
        </w:rPr>
      </w:pPr>
      <w:r w:rsidRPr="00F531FC">
        <w:rPr>
          <w:rFonts w:ascii="Arial" w:hAnsi="Arial" w:cs="Arial"/>
          <w:b/>
          <w:bCs/>
          <w:sz w:val="22"/>
          <w:szCs w:val="22"/>
        </w:rPr>
        <w:t>Nelis, S.M., Clare, L. and Whitaker, C.J., 2014. Attachment in people with dementia and their caregivers: A systematic review.</w:t>
      </w:r>
      <w:r w:rsidRPr="00F531FC">
        <w:rPr>
          <w:rFonts w:ascii="Arial" w:hAnsi="Arial" w:cs="Arial"/>
          <w:b/>
          <w:bCs/>
          <w:sz w:val="22"/>
          <w:szCs w:val="22"/>
          <w:lang w:val="en-GB"/>
        </w:rPr>
        <w:t> </w:t>
      </w:r>
      <w:r w:rsidRPr="00F531FC">
        <w:rPr>
          <w:rFonts w:ascii="Arial" w:hAnsi="Arial" w:cs="Arial"/>
          <w:b/>
          <w:bCs/>
          <w:i/>
          <w:iCs/>
          <w:color w:val="222222"/>
          <w:sz w:val="22"/>
          <w:szCs w:val="22"/>
          <w:shd w:val="clear" w:color="auto" w:fill="FFFFFF"/>
          <w:lang w:val="en-GB"/>
        </w:rPr>
        <w:t>Dementia</w:t>
      </w:r>
      <w:r w:rsidRPr="00F531FC">
        <w:rPr>
          <w:rFonts w:ascii="Arial" w:hAnsi="Arial" w:cs="Arial"/>
          <w:b/>
          <w:bCs/>
          <w:sz w:val="22"/>
          <w:szCs w:val="22"/>
          <w:lang w:val="en-GB"/>
        </w:rPr>
        <w:t>, </w:t>
      </w:r>
      <w:r w:rsidRPr="00F531FC">
        <w:rPr>
          <w:rFonts w:ascii="Arial" w:hAnsi="Arial" w:cs="Arial"/>
          <w:b/>
          <w:bCs/>
          <w:i/>
          <w:iCs/>
          <w:color w:val="222222"/>
          <w:sz w:val="22"/>
          <w:szCs w:val="22"/>
          <w:shd w:val="clear" w:color="auto" w:fill="FFFFFF"/>
          <w:lang w:val="en-GB"/>
        </w:rPr>
        <w:t>13</w:t>
      </w:r>
      <w:r w:rsidRPr="00F531FC">
        <w:rPr>
          <w:rFonts w:ascii="Arial" w:hAnsi="Arial" w:cs="Arial"/>
          <w:b/>
          <w:bCs/>
          <w:sz w:val="22"/>
          <w:szCs w:val="22"/>
          <w:lang w:val="en-GB"/>
        </w:rPr>
        <w:t>(6), pp.747-767.</w:t>
      </w:r>
    </w:p>
    <w:p w14:paraId="1F22415B" w14:textId="3F5F941F" w:rsidR="006D21D6" w:rsidRPr="00F531FC" w:rsidRDefault="006D21D6"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The paper is a systematic review about how people with dementia seek attachment need such as safety, comfort and emotional connection, despite the deterioration of their memory and reasoning. The paper investigates how attachment is important for people with dementia and the ways in which attachment affects the experiences of caregivers. A total of 18 studies</w:t>
      </w:r>
      <w:r w:rsidR="006863BF" w:rsidRPr="00F531FC">
        <w:rPr>
          <w:rFonts w:ascii="Arial" w:hAnsi="Arial" w:cs="Arial"/>
          <w:sz w:val="22"/>
          <w:szCs w:val="22"/>
          <w:lang w:val="en-GB"/>
        </w:rPr>
        <w:t>, published between 1980 and 2013,</w:t>
      </w:r>
      <w:r w:rsidRPr="00F531FC">
        <w:rPr>
          <w:rFonts w:ascii="Arial" w:hAnsi="Arial" w:cs="Arial"/>
          <w:sz w:val="22"/>
          <w:szCs w:val="22"/>
          <w:lang w:val="en-GB"/>
        </w:rPr>
        <w:t xml:space="preserve"> were included in the review</w:t>
      </w:r>
      <w:r w:rsidR="006863BF" w:rsidRPr="00F531FC">
        <w:rPr>
          <w:rFonts w:ascii="Arial" w:hAnsi="Arial" w:cs="Arial"/>
          <w:sz w:val="22"/>
          <w:szCs w:val="22"/>
          <w:lang w:val="en-GB"/>
        </w:rPr>
        <w:t xml:space="preserve"> exploring aspects of attachment including attachment behaviour, parent fixation, and behavioural problems. The findings revealed that different attachment behaviours at different stages of dementia. Parent attachment was found when attachment needs are not met, and insecure attachment caused neuropsychiatric symptoms. On the relevance in supporting older adults in health and social care settings, the paper demonstrates the application of Bowlby’s attachment theory to the context of dementia care. </w:t>
      </w:r>
      <w:r w:rsidR="00961A0D" w:rsidRPr="00F531FC">
        <w:rPr>
          <w:rFonts w:ascii="Arial" w:hAnsi="Arial" w:cs="Arial"/>
          <w:sz w:val="22"/>
          <w:szCs w:val="22"/>
          <w:lang w:val="en-GB"/>
        </w:rPr>
        <w:t xml:space="preserve">This offers a lens for care workers to understand and interpret behaviours that might be misinterpreted as ‘confused’. It allows care workers to recognise the need for attachment behaviours throughout dementia progression. </w:t>
      </w:r>
    </w:p>
    <w:p w14:paraId="39BD2850" w14:textId="77777777" w:rsidR="009D20CF" w:rsidRPr="00F531FC" w:rsidRDefault="009D20CF" w:rsidP="00F531FC">
      <w:pPr>
        <w:spacing w:after="0" w:line="360" w:lineRule="auto"/>
        <w:jc w:val="both"/>
        <w:rPr>
          <w:rFonts w:ascii="Arial" w:hAnsi="Arial" w:cs="Arial"/>
          <w:sz w:val="22"/>
          <w:szCs w:val="22"/>
          <w:lang w:val="en-GB"/>
        </w:rPr>
      </w:pPr>
    </w:p>
    <w:p w14:paraId="74C6AF74" w14:textId="73EFD48A" w:rsidR="009D20CF" w:rsidRPr="00F531FC" w:rsidRDefault="009D20CF" w:rsidP="00F531FC">
      <w:pPr>
        <w:spacing w:after="0" w:line="360" w:lineRule="auto"/>
        <w:jc w:val="both"/>
        <w:rPr>
          <w:rFonts w:ascii="Arial" w:hAnsi="Arial" w:cs="Arial"/>
          <w:b/>
          <w:bCs/>
          <w:sz w:val="22"/>
          <w:szCs w:val="22"/>
          <w:lang w:val="en-GB"/>
        </w:rPr>
      </w:pPr>
      <w:r w:rsidRPr="00F531FC">
        <w:rPr>
          <w:rFonts w:ascii="Arial" w:hAnsi="Arial" w:cs="Arial"/>
          <w:b/>
          <w:bCs/>
          <w:sz w:val="22"/>
          <w:szCs w:val="22"/>
          <w:lang w:val="en-GB"/>
        </w:rPr>
        <w:t>PART TWO</w:t>
      </w:r>
    </w:p>
    <w:p w14:paraId="5E0CA306" w14:textId="06B3170C" w:rsidR="00CE0397" w:rsidRPr="00F531FC" w:rsidRDefault="00CE0397"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 xml:space="preserve">This sections details how Eriksons Psychosocial Theory of lifespan development can be applied to improve psychological wellbeing in older adults living in residential care, giving a case illustration, and a discussion of a challenge professional s may face when applying this theory and its remedy. </w:t>
      </w:r>
    </w:p>
    <w:p w14:paraId="6D913CE1" w14:textId="55DF828B" w:rsidR="00C94423" w:rsidRDefault="00CE0397"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Drawing from the bibliography, Brown and Lewis (2003) and Bugajska (2017) extended Erickson 8 stages of psychosocial development to discuss a potential ninth stage which is largely debated</w:t>
      </w:r>
      <w:r w:rsidR="00E703E6">
        <w:rPr>
          <w:rFonts w:ascii="Arial" w:hAnsi="Arial" w:cs="Arial"/>
          <w:sz w:val="22"/>
          <w:szCs w:val="22"/>
          <w:lang w:val="en-GB"/>
        </w:rPr>
        <w:t xml:space="preserve"> </w:t>
      </w:r>
      <w:r w:rsidR="00E703E6">
        <w:rPr>
          <w:rFonts w:ascii="Arial" w:hAnsi="Arial" w:cs="Arial"/>
          <w:sz w:val="22"/>
          <w:szCs w:val="22"/>
          <w:lang w:val="en-GB"/>
        </w:rPr>
        <w:lastRenderedPageBreak/>
        <w:t>(</w:t>
      </w:r>
      <w:proofErr w:type="spellStart"/>
      <w:r w:rsidR="00E703E6" w:rsidRPr="00E703E6">
        <w:rPr>
          <w:rFonts w:ascii="Arial" w:hAnsi="Arial" w:cs="Arial"/>
          <w:sz w:val="22"/>
          <w:szCs w:val="22"/>
          <w:lang w:val="en-GB"/>
        </w:rPr>
        <w:t>Kivnick</w:t>
      </w:r>
      <w:proofErr w:type="spellEnd"/>
      <w:r w:rsidR="00E703E6">
        <w:rPr>
          <w:rFonts w:ascii="Arial" w:hAnsi="Arial" w:cs="Arial"/>
          <w:sz w:val="22"/>
          <w:szCs w:val="22"/>
          <w:lang w:val="en-GB"/>
        </w:rPr>
        <w:t xml:space="preserve"> and Wells, 2014)</w:t>
      </w:r>
      <w:r w:rsidRPr="00F531FC">
        <w:rPr>
          <w:rFonts w:ascii="Arial" w:hAnsi="Arial" w:cs="Arial"/>
          <w:sz w:val="22"/>
          <w:szCs w:val="22"/>
          <w:lang w:val="en-GB"/>
        </w:rPr>
        <w:t>. They authors explained that in the ninth stage, older persons go back to the earlier stage psychosocial crises such as Trust vs. Mistrust, and Integrity vs., Despair. Originally in the Eriksons theory</w:t>
      </w:r>
      <w:r w:rsidR="005073B3">
        <w:rPr>
          <w:rFonts w:ascii="Arial" w:hAnsi="Arial" w:cs="Arial"/>
          <w:sz w:val="22"/>
          <w:szCs w:val="22"/>
          <w:lang w:val="en-GB"/>
        </w:rPr>
        <w:t xml:space="preserve"> (Erikson, 1968) a</w:t>
      </w:r>
      <w:r w:rsidRPr="00F531FC">
        <w:rPr>
          <w:rFonts w:ascii="Arial" w:hAnsi="Arial" w:cs="Arial"/>
          <w:sz w:val="22"/>
          <w:szCs w:val="22"/>
          <w:lang w:val="en-GB"/>
        </w:rPr>
        <w:t xml:space="preserve">rises are encountered in infancy and adult age. The differentiating factor is that at old age the individual faces these crises again but this time with declining physical health and increased dependency. </w:t>
      </w:r>
      <w:r w:rsidR="00162BA8" w:rsidRPr="00F531FC">
        <w:rPr>
          <w:rFonts w:ascii="Arial" w:hAnsi="Arial" w:cs="Arial"/>
          <w:sz w:val="22"/>
          <w:szCs w:val="22"/>
          <w:lang w:val="en-GB"/>
        </w:rPr>
        <w:t xml:space="preserve">In a residential care home, this may manifest as withdrawal, or mistrust of staff, or expressions of despair from the past. In order to improve wellbeing, this implies that residential homes or care workers, must ensure consistent allocation of staff, as a way to build trust with residents and creating a sense of safety. To support the resolution of the integrity vs despair conflict, care workers can support the elderly by engaging them in conversations and validating their achievements. </w:t>
      </w:r>
      <w:r w:rsidR="007F56D6" w:rsidRPr="00F531FC">
        <w:rPr>
          <w:rFonts w:ascii="Arial" w:hAnsi="Arial" w:cs="Arial"/>
          <w:sz w:val="22"/>
          <w:szCs w:val="22"/>
          <w:lang w:val="en-GB"/>
        </w:rPr>
        <w:t xml:space="preserve">For many older people, becoming a resident in a residential facility may involve loss of independence, separation from family, or even changes in routines. These changes significantly influence the despair vs integrity conflict, making a positive sense of identity difficult. Erikson theory, though, life review activities and reminiscing, help the residents in old age to overcome despair for integrity. </w:t>
      </w:r>
      <w:r w:rsidR="00162BA8" w:rsidRPr="00F531FC">
        <w:rPr>
          <w:rFonts w:ascii="Arial" w:hAnsi="Arial" w:cs="Arial"/>
          <w:sz w:val="22"/>
          <w:szCs w:val="22"/>
          <w:lang w:val="en-GB"/>
        </w:rPr>
        <w:t xml:space="preserve">Overall, the theory particularly from the ninth stage offers care workers a lens though which they can understand the psychological needs of residents. </w:t>
      </w:r>
    </w:p>
    <w:p w14:paraId="275B27F8" w14:textId="77777777" w:rsidR="005073B3" w:rsidRPr="00F531FC" w:rsidRDefault="005073B3" w:rsidP="00F531FC">
      <w:pPr>
        <w:spacing w:after="0" w:line="360" w:lineRule="auto"/>
        <w:jc w:val="both"/>
        <w:rPr>
          <w:rFonts w:ascii="Arial" w:hAnsi="Arial" w:cs="Arial"/>
          <w:sz w:val="22"/>
          <w:szCs w:val="22"/>
          <w:lang w:val="en-GB"/>
        </w:rPr>
      </w:pPr>
    </w:p>
    <w:p w14:paraId="56A5D20E" w14:textId="4BD14DBD" w:rsidR="00162BA8" w:rsidRDefault="00162BA8"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The application of this theory can be seen in the case of Stephen (pseudonym), a</w:t>
      </w:r>
      <w:r w:rsidR="007F56D6" w:rsidRPr="00F531FC">
        <w:rPr>
          <w:rFonts w:ascii="Arial" w:hAnsi="Arial" w:cs="Arial"/>
          <w:sz w:val="22"/>
          <w:szCs w:val="22"/>
          <w:lang w:val="en-GB"/>
        </w:rPr>
        <w:t xml:space="preserve">n </w:t>
      </w:r>
      <w:r w:rsidR="00F531FC" w:rsidRPr="00F531FC">
        <w:rPr>
          <w:rFonts w:ascii="Arial" w:hAnsi="Arial" w:cs="Arial"/>
          <w:sz w:val="22"/>
          <w:szCs w:val="22"/>
          <w:lang w:val="en-GB"/>
        </w:rPr>
        <w:t>87-year-old</w:t>
      </w:r>
      <w:r w:rsidRPr="00F531FC">
        <w:rPr>
          <w:rFonts w:ascii="Arial" w:hAnsi="Arial" w:cs="Arial"/>
          <w:sz w:val="22"/>
          <w:szCs w:val="22"/>
          <w:lang w:val="en-GB"/>
        </w:rPr>
        <w:t xml:space="preserve"> long term resident of a care home. </w:t>
      </w:r>
      <w:r w:rsidR="007F56D6" w:rsidRPr="00F531FC">
        <w:rPr>
          <w:rFonts w:ascii="Arial" w:hAnsi="Arial" w:cs="Arial"/>
          <w:sz w:val="22"/>
          <w:szCs w:val="22"/>
          <w:lang w:val="en-GB"/>
        </w:rPr>
        <w:t xml:space="preserve">Since moving to the facility, he has become withdrawn and </w:t>
      </w:r>
      <w:r w:rsidR="00F531FC" w:rsidRPr="00F531FC">
        <w:rPr>
          <w:rFonts w:ascii="Arial" w:hAnsi="Arial" w:cs="Arial"/>
          <w:sz w:val="22"/>
          <w:szCs w:val="22"/>
          <w:lang w:val="en-GB"/>
        </w:rPr>
        <w:t xml:space="preserve">often exhibit vigilance or anxiety when cared for by unfamiliar staff. He also feels sad about leaving his home and believes he has lost his independence. For such a person, is it evident that there is Trust vs, Mistrust conflict at old age, signalling an application of Ericksons theory. A possible intervention forms the lens of the theory would be the assigning of consistent workers for his care to build trust </w:t>
      </w:r>
      <w:r w:rsidR="004B670C" w:rsidRPr="00F531FC">
        <w:rPr>
          <w:rFonts w:ascii="Arial" w:hAnsi="Arial" w:cs="Arial"/>
          <w:sz w:val="22"/>
          <w:szCs w:val="22"/>
          <w:lang w:val="en-GB"/>
        </w:rPr>
        <w:t>and</w:t>
      </w:r>
      <w:r w:rsidR="00F531FC" w:rsidRPr="00F531FC">
        <w:rPr>
          <w:rFonts w:ascii="Arial" w:hAnsi="Arial" w:cs="Arial"/>
          <w:sz w:val="22"/>
          <w:szCs w:val="22"/>
          <w:lang w:val="en-GB"/>
        </w:rPr>
        <w:t xml:space="preserve"> engaging him in life reflecting conversations to build integrity rather than despair. </w:t>
      </w:r>
      <w:r w:rsidR="004B670C">
        <w:rPr>
          <w:rFonts w:ascii="Arial" w:hAnsi="Arial" w:cs="Arial"/>
          <w:sz w:val="22"/>
          <w:szCs w:val="22"/>
          <w:lang w:val="en-GB"/>
        </w:rPr>
        <w:t>Essential this intervention satisfies the psychological need of ‘Trust’ with caregivers and ‘</w:t>
      </w:r>
      <w:proofErr w:type="spellStart"/>
      <w:r w:rsidR="004B670C">
        <w:rPr>
          <w:rFonts w:ascii="Arial" w:hAnsi="Arial" w:cs="Arial"/>
          <w:sz w:val="22"/>
          <w:szCs w:val="22"/>
          <w:lang w:val="en-GB"/>
        </w:rPr>
        <w:t>Intergrity</w:t>
      </w:r>
      <w:proofErr w:type="spellEnd"/>
      <w:r w:rsidR="004B670C">
        <w:rPr>
          <w:rFonts w:ascii="Arial" w:hAnsi="Arial" w:cs="Arial"/>
          <w:sz w:val="22"/>
          <w:szCs w:val="22"/>
          <w:lang w:val="en-GB"/>
        </w:rPr>
        <w:t xml:space="preserve">’ at old age, within the context of residential care. </w:t>
      </w:r>
    </w:p>
    <w:p w14:paraId="05229D47" w14:textId="77777777" w:rsidR="005073B3" w:rsidRPr="00F531FC" w:rsidRDefault="005073B3" w:rsidP="00F531FC">
      <w:pPr>
        <w:spacing w:after="0" w:line="360" w:lineRule="auto"/>
        <w:jc w:val="both"/>
        <w:rPr>
          <w:rFonts w:ascii="Arial" w:hAnsi="Arial" w:cs="Arial"/>
          <w:sz w:val="22"/>
          <w:szCs w:val="22"/>
          <w:lang w:val="en-GB"/>
        </w:rPr>
      </w:pPr>
    </w:p>
    <w:p w14:paraId="157F7A93" w14:textId="03929745" w:rsidR="00162BA8" w:rsidRDefault="00F531FC" w:rsidP="00F531FC">
      <w:pPr>
        <w:spacing w:after="0" w:line="360" w:lineRule="auto"/>
        <w:jc w:val="both"/>
        <w:rPr>
          <w:rFonts w:ascii="Arial" w:hAnsi="Arial" w:cs="Arial"/>
          <w:sz w:val="22"/>
          <w:szCs w:val="22"/>
          <w:lang w:val="en-GB"/>
        </w:rPr>
      </w:pPr>
      <w:r w:rsidRPr="00F531FC">
        <w:rPr>
          <w:rFonts w:ascii="Arial" w:hAnsi="Arial" w:cs="Arial"/>
          <w:sz w:val="22"/>
          <w:szCs w:val="22"/>
          <w:lang w:val="en-GB"/>
        </w:rPr>
        <w:t xml:space="preserve">One challenge professional may face in applying </w:t>
      </w:r>
      <w:r w:rsidR="00E703E6">
        <w:rPr>
          <w:rFonts w:ascii="Arial" w:hAnsi="Arial" w:cs="Arial"/>
          <w:sz w:val="22"/>
          <w:szCs w:val="22"/>
          <w:lang w:val="en-GB"/>
        </w:rPr>
        <w:t>Eriksons</w:t>
      </w:r>
      <w:r w:rsidRPr="00F531FC">
        <w:rPr>
          <w:rFonts w:ascii="Arial" w:hAnsi="Arial" w:cs="Arial"/>
          <w:sz w:val="22"/>
          <w:szCs w:val="22"/>
          <w:lang w:val="en-GB"/>
        </w:rPr>
        <w:t xml:space="preserve"> theory is staff shortages in residential care home</w:t>
      </w:r>
      <w:r w:rsidR="00E703E6">
        <w:rPr>
          <w:rFonts w:ascii="Arial" w:hAnsi="Arial" w:cs="Arial"/>
          <w:sz w:val="22"/>
          <w:szCs w:val="22"/>
          <w:lang w:val="en-GB"/>
        </w:rPr>
        <w:t>s (</w:t>
      </w:r>
      <w:r w:rsidR="00E703E6" w:rsidRPr="00E703E6">
        <w:rPr>
          <w:rFonts w:ascii="Arial" w:hAnsi="Arial" w:cs="Arial"/>
          <w:sz w:val="22"/>
          <w:szCs w:val="22"/>
          <w:lang w:val="en-GB"/>
        </w:rPr>
        <w:t>Edvardsson</w:t>
      </w:r>
      <w:r w:rsidR="00E703E6">
        <w:rPr>
          <w:rFonts w:ascii="Arial" w:hAnsi="Arial" w:cs="Arial"/>
          <w:sz w:val="22"/>
          <w:szCs w:val="22"/>
          <w:lang w:val="en-GB"/>
        </w:rPr>
        <w:t xml:space="preserve"> et al., 2010)</w:t>
      </w:r>
      <w:r w:rsidRPr="00F531FC">
        <w:rPr>
          <w:rFonts w:ascii="Arial" w:hAnsi="Arial" w:cs="Arial"/>
          <w:sz w:val="22"/>
          <w:szCs w:val="22"/>
          <w:lang w:val="en-GB"/>
        </w:rPr>
        <w:t xml:space="preserve">. This is a challenge as there is usually more residents and less staff to care for them. This creates a situation where it becomes difficult to assign consistent workers to a resident at all times, due to staff rotation, slowing down the time of building trust with the resident. A practical strategy to overcome this challenge is hiring more staff or even including family members in the care of residents. This aids to build trust and a positive sense of identity.  </w:t>
      </w:r>
      <w:r w:rsidR="005073B3">
        <w:rPr>
          <w:rFonts w:ascii="Arial" w:hAnsi="Arial" w:cs="Arial"/>
          <w:sz w:val="22"/>
          <w:szCs w:val="22"/>
          <w:lang w:val="en-GB"/>
        </w:rPr>
        <w:t xml:space="preserve">Family members can help in developing life stories which plays an important role in helping </w:t>
      </w:r>
      <w:r w:rsidR="005073B3">
        <w:rPr>
          <w:rFonts w:ascii="Arial" w:hAnsi="Arial" w:cs="Arial"/>
          <w:sz w:val="22"/>
          <w:szCs w:val="22"/>
          <w:lang w:val="en-GB"/>
        </w:rPr>
        <w:lastRenderedPageBreak/>
        <w:t>residents reminisce about the past (</w:t>
      </w:r>
      <w:r w:rsidR="005073B3" w:rsidRPr="005073B3">
        <w:rPr>
          <w:rFonts w:ascii="Arial" w:hAnsi="Arial" w:cs="Arial"/>
          <w:sz w:val="22"/>
          <w:szCs w:val="22"/>
          <w:lang w:val="en-GB"/>
        </w:rPr>
        <w:t>Subramaniam</w:t>
      </w:r>
      <w:r w:rsidR="005073B3">
        <w:rPr>
          <w:rFonts w:ascii="Arial" w:hAnsi="Arial" w:cs="Arial"/>
          <w:sz w:val="22"/>
          <w:szCs w:val="22"/>
          <w:lang w:val="en-GB"/>
        </w:rPr>
        <w:t xml:space="preserve"> &amp; Woods, 2012). Hiring more staff on the other hand presents the advantage or enable residential care homes to assign specific workers to specific clients at all times, thereby reducing the rotation practice for assigning workers. Within care workers building familiarity with residents, like in the case involving Stephen, residents overtime feels less anxious and more safe with their careers.</w:t>
      </w:r>
    </w:p>
    <w:p w14:paraId="63DA85CA" w14:textId="77777777" w:rsidR="00E703E6" w:rsidRDefault="00E703E6" w:rsidP="00F531FC">
      <w:pPr>
        <w:spacing w:after="0" w:line="360" w:lineRule="auto"/>
        <w:jc w:val="both"/>
        <w:rPr>
          <w:rFonts w:ascii="Arial" w:hAnsi="Arial" w:cs="Arial"/>
          <w:sz w:val="22"/>
          <w:szCs w:val="22"/>
          <w:lang w:val="en-GB"/>
        </w:rPr>
      </w:pPr>
    </w:p>
    <w:p w14:paraId="44829422" w14:textId="29577CB4" w:rsidR="004B670C" w:rsidRDefault="005073B3" w:rsidP="00F531FC">
      <w:pPr>
        <w:spacing w:after="0" w:line="360" w:lineRule="auto"/>
        <w:jc w:val="both"/>
        <w:rPr>
          <w:rFonts w:ascii="Arial" w:hAnsi="Arial" w:cs="Arial"/>
          <w:sz w:val="22"/>
          <w:szCs w:val="22"/>
          <w:lang w:val="en-GB"/>
        </w:rPr>
      </w:pPr>
      <w:r>
        <w:rPr>
          <w:rFonts w:ascii="Arial" w:hAnsi="Arial" w:cs="Arial"/>
          <w:sz w:val="22"/>
          <w:szCs w:val="22"/>
          <w:lang w:val="en-GB"/>
        </w:rPr>
        <w:t xml:space="preserve">Overall, </w:t>
      </w:r>
      <w:r w:rsidR="004B670C">
        <w:rPr>
          <w:rFonts w:ascii="Arial" w:hAnsi="Arial" w:cs="Arial"/>
          <w:sz w:val="22"/>
          <w:szCs w:val="22"/>
          <w:lang w:val="en-GB"/>
        </w:rPr>
        <w:t xml:space="preserve">the extension of Eriksons psychosocial theory to a ninth stage, which places emphasis on discussions of conflicts in old age has direct relevance to health and social care practice. It provides a framework for understanding residents psychological needs better and how to address them. Staff shortage was identified as one of the challenges that care professionals may face in implementing this theory in practice. As a way to overcome this challenge, a potential solution is to get more staff or involve in the care. </w:t>
      </w:r>
    </w:p>
    <w:p w14:paraId="6EC5F283" w14:textId="3AF587AC" w:rsidR="004B670C" w:rsidRDefault="004B670C">
      <w:pPr>
        <w:rPr>
          <w:rFonts w:ascii="Arial" w:hAnsi="Arial" w:cs="Arial"/>
          <w:sz w:val="22"/>
          <w:szCs w:val="22"/>
          <w:lang w:val="en-GB"/>
        </w:rPr>
      </w:pPr>
      <w:r>
        <w:rPr>
          <w:rFonts w:ascii="Arial" w:hAnsi="Arial" w:cs="Arial"/>
          <w:sz w:val="22"/>
          <w:szCs w:val="22"/>
          <w:lang w:val="en-GB"/>
        </w:rPr>
        <w:br w:type="page"/>
      </w:r>
    </w:p>
    <w:p w14:paraId="0FD0D5F8" w14:textId="7D517EC9" w:rsidR="00F531FC" w:rsidRDefault="00F531FC" w:rsidP="005073B3">
      <w:pPr>
        <w:spacing w:after="0" w:line="360" w:lineRule="auto"/>
        <w:jc w:val="both"/>
        <w:rPr>
          <w:rFonts w:ascii="Arial" w:hAnsi="Arial" w:cs="Arial"/>
          <w:sz w:val="22"/>
          <w:szCs w:val="22"/>
          <w:lang w:val="en-GB"/>
        </w:rPr>
      </w:pPr>
      <w:r>
        <w:rPr>
          <w:rFonts w:ascii="Arial" w:hAnsi="Arial" w:cs="Arial"/>
          <w:sz w:val="22"/>
          <w:szCs w:val="22"/>
          <w:lang w:val="en-GB"/>
        </w:rPr>
        <w:lastRenderedPageBreak/>
        <w:tab/>
      </w:r>
    </w:p>
    <w:p w14:paraId="66298581" w14:textId="3978EDDF" w:rsidR="00F531FC" w:rsidRDefault="00F531FC" w:rsidP="00F531FC">
      <w:pPr>
        <w:spacing w:after="0" w:line="360" w:lineRule="auto"/>
        <w:jc w:val="center"/>
        <w:rPr>
          <w:rFonts w:ascii="Arial" w:hAnsi="Arial" w:cs="Arial"/>
          <w:b/>
          <w:bCs/>
          <w:sz w:val="22"/>
          <w:szCs w:val="22"/>
          <w:lang w:val="en-GB"/>
        </w:rPr>
      </w:pPr>
      <w:r w:rsidRPr="00F531FC">
        <w:rPr>
          <w:rFonts w:ascii="Arial" w:hAnsi="Arial" w:cs="Arial"/>
          <w:b/>
          <w:bCs/>
          <w:sz w:val="22"/>
          <w:szCs w:val="22"/>
          <w:lang w:val="en-GB"/>
        </w:rPr>
        <w:t>REFERENCES</w:t>
      </w:r>
    </w:p>
    <w:p w14:paraId="401C4C66" w14:textId="77777777" w:rsidR="00F531FC" w:rsidRPr="005073B3" w:rsidRDefault="00F531FC" w:rsidP="005073B3">
      <w:pPr>
        <w:spacing w:before="240" w:line="360" w:lineRule="auto"/>
        <w:jc w:val="both"/>
        <w:rPr>
          <w:rFonts w:ascii="Arial" w:hAnsi="Arial" w:cs="Arial"/>
          <w:sz w:val="22"/>
          <w:szCs w:val="22"/>
          <w:lang w:val="en-GB"/>
        </w:rPr>
      </w:pPr>
      <w:r w:rsidRPr="005073B3">
        <w:rPr>
          <w:rFonts w:ascii="Arial" w:hAnsi="Arial" w:cs="Arial"/>
          <w:sz w:val="22"/>
          <w:szCs w:val="22"/>
          <w:lang w:val="en-GB"/>
        </w:rPr>
        <w:t xml:space="preserve">Brown, C. and Lowis, M.J., 2003. Psychosocial development in the elderly: An investigation into Erikson's ninth stage. </w:t>
      </w:r>
      <w:r w:rsidRPr="005073B3">
        <w:rPr>
          <w:rFonts w:ascii="Arial" w:hAnsi="Arial" w:cs="Arial"/>
          <w:i/>
          <w:iCs/>
          <w:sz w:val="22"/>
          <w:szCs w:val="22"/>
          <w:lang w:val="en-GB"/>
        </w:rPr>
        <w:t>Journal of Aging Studies,</w:t>
      </w:r>
      <w:r w:rsidRPr="005073B3">
        <w:rPr>
          <w:rFonts w:ascii="Arial" w:hAnsi="Arial" w:cs="Arial"/>
          <w:sz w:val="22"/>
          <w:szCs w:val="22"/>
          <w:lang w:val="en-GB"/>
        </w:rPr>
        <w:t xml:space="preserve"> 17(4), pp.415-426. </w:t>
      </w:r>
    </w:p>
    <w:p w14:paraId="17249EC8" w14:textId="77777777" w:rsidR="00F531FC" w:rsidRPr="005073B3" w:rsidRDefault="00F531FC" w:rsidP="005073B3">
      <w:pPr>
        <w:spacing w:before="240" w:line="360" w:lineRule="auto"/>
        <w:jc w:val="both"/>
        <w:rPr>
          <w:rFonts w:ascii="Arial" w:hAnsi="Arial" w:cs="Arial"/>
          <w:sz w:val="22"/>
          <w:szCs w:val="22"/>
          <w:lang w:val="en-GB"/>
        </w:rPr>
      </w:pPr>
      <w:r w:rsidRPr="005073B3">
        <w:rPr>
          <w:rFonts w:ascii="Arial" w:hAnsi="Arial" w:cs="Arial"/>
          <w:sz w:val="22"/>
          <w:szCs w:val="22"/>
        </w:rPr>
        <w:t>Nelis, S.M., Clare, L. and Whitaker, C.J., 2014. Attachment in people with dementia and their caregivers: A systematic review.</w:t>
      </w:r>
      <w:r w:rsidRPr="005073B3">
        <w:rPr>
          <w:rFonts w:ascii="Arial" w:hAnsi="Arial" w:cs="Arial"/>
          <w:sz w:val="22"/>
          <w:szCs w:val="22"/>
          <w:lang w:val="en-GB"/>
        </w:rPr>
        <w:t> </w:t>
      </w:r>
      <w:r w:rsidRPr="005073B3">
        <w:rPr>
          <w:rFonts w:ascii="Arial" w:hAnsi="Arial" w:cs="Arial"/>
          <w:i/>
          <w:iCs/>
          <w:color w:val="222222"/>
          <w:sz w:val="22"/>
          <w:szCs w:val="22"/>
          <w:shd w:val="clear" w:color="auto" w:fill="FFFFFF"/>
          <w:lang w:val="en-GB"/>
        </w:rPr>
        <w:t>Dementia</w:t>
      </w:r>
      <w:r w:rsidRPr="005073B3">
        <w:rPr>
          <w:rFonts w:ascii="Arial" w:hAnsi="Arial" w:cs="Arial"/>
          <w:sz w:val="22"/>
          <w:szCs w:val="22"/>
          <w:lang w:val="en-GB"/>
        </w:rPr>
        <w:t>, </w:t>
      </w:r>
      <w:r w:rsidRPr="005073B3">
        <w:rPr>
          <w:rFonts w:ascii="Arial" w:hAnsi="Arial" w:cs="Arial"/>
          <w:i/>
          <w:iCs/>
          <w:color w:val="222222"/>
          <w:sz w:val="22"/>
          <w:szCs w:val="22"/>
          <w:shd w:val="clear" w:color="auto" w:fill="FFFFFF"/>
          <w:lang w:val="en-GB"/>
        </w:rPr>
        <w:t>13</w:t>
      </w:r>
      <w:r w:rsidRPr="005073B3">
        <w:rPr>
          <w:rFonts w:ascii="Arial" w:hAnsi="Arial" w:cs="Arial"/>
          <w:sz w:val="22"/>
          <w:szCs w:val="22"/>
          <w:lang w:val="en-GB"/>
        </w:rPr>
        <w:t>(6), pp.747-767.</w:t>
      </w:r>
    </w:p>
    <w:p w14:paraId="7BF782F1" w14:textId="77777777" w:rsidR="00F531FC" w:rsidRPr="005073B3" w:rsidRDefault="00F531FC" w:rsidP="005073B3">
      <w:pPr>
        <w:spacing w:before="240" w:line="360" w:lineRule="auto"/>
        <w:jc w:val="both"/>
        <w:rPr>
          <w:rFonts w:ascii="Arial" w:hAnsi="Arial" w:cs="Arial"/>
          <w:sz w:val="22"/>
          <w:szCs w:val="22"/>
          <w:lang w:val="en-GB"/>
        </w:rPr>
      </w:pPr>
      <w:r w:rsidRPr="005073B3">
        <w:rPr>
          <w:rFonts w:ascii="Arial" w:hAnsi="Arial" w:cs="Arial"/>
          <w:sz w:val="22"/>
          <w:szCs w:val="22"/>
          <w:lang w:val="en-GB"/>
        </w:rPr>
        <w:t xml:space="preserve">James, W.B., Witte, J.E. and Galbraith, M.W., 2006. Havighurst’s social roles revisited. </w:t>
      </w:r>
      <w:r w:rsidRPr="005073B3">
        <w:rPr>
          <w:rFonts w:ascii="Arial" w:hAnsi="Arial" w:cs="Arial"/>
          <w:i/>
          <w:iCs/>
          <w:sz w:val="22"/>
          <w:szCs w:val="22"/>
          <w:lang w:val="en-GB"/>
        </w:rPr>
        <w:t>Journal of Adult Development,</w:t>
      </w:r>
      <w:r w:rsidRPr="005073B3">
        <w:rPr>
          <w:rFonts w:ascii="Arial" w:hAnsi="Arial" w:cs="Arial"/>
          <w:sz w:val="22"/>
          <w:szCs w:val="22"/>
          <w:lang w:val="en-GB"/>
        </w:rPr>
        <w:t xml:space="preserve"> 13(1), pp.52-60.</w:t>
      </w:r>
    </w:p>
    <w:p w14:paraId="0944B660" w14:textId="77777777" w:rsidR="00F531FC" w:rsidRPr="005073B3" w:rsidRDefault="00F531FC" w:rsidP="005073B3">
      <w:pPr>
        <w:spacing w:before="240" w:line="360" w:lineRule="auto"/>
        <w:jc w:val="both"/>
        <w:rPr>
          <w:rFonts w:ascii="Arial" w:hAnsi="Arial" w:cs="Arial"/>
          <w:sz w:val="22"/>
          <w:szCs w:val="22"/>
          <w:lang w:val="en-GB"/>
        </w:rPr>
      </w:pPr>
      <w:r w:rsidRPr="005073B3">
        <w:rPr>
          <w:rFonts w:ascii="Arial" w:hAnsi="Arial" w:cs="Arial"/>
          <w:sz w:val="22"/>
          <w:szCs w:val="22"/>
          <w:lang w:val="en-GB"/>
        </w:rPr>
        <w:t xml:space="preserve">Bugajska, B.E., 2017. The ninth stage in the cycle of life–reflections on EH Erikson's theory. </w:t>
      </w:r>
      <w:r w:rsidRPr="005073B3">
        <w:rPr>
          <w:rFonts w:ascii="Arial" w:hAnsi="Arial" w:cs="Arial"/>
          <w:i/>
          <w:iCs/>
          <w:sz w:val="22"/>
          <w:szCs w:val="22"/>
          <w:lang w:val="en-GB"/>
        </w:rPr>
        <w:t>Ageing &amp; Society,</w:t>
      </w:r>
      <w:r w:rsidRPr="005073B3">
        <w:rPr>
          <w:rFonts w:ascii="Arial" w:hAnsi="Arial" w:cs="Arial"/>
          <w:sz w:val="22"/>
          <w:szCs w:val="22"/>
          <w:lang w:val="en-GB"/>
        </w:rPr>
        <w:t xml:space="preserve"> 37(6), pp.1095-1110.</w:t>
      </w:r>
    </w:p>
    <w:p w14:paraId="41B939F1" w14:textId="77DE9FF5" w:rsidR="005073B3" w:rsidRDefault="005073B3" w:rsidP="005073B3">
      <w:pPr>
        <w:spacing w:before="240" w:line="360" w:lineRule="auto"/>
        <w:jc w:val="both"/>
        <w:rPr>
          <w:rFonts w:ascii="Arial" w:hAnsi="Arial" w:cs="Arial"/>
          <w:sz w:val="22"/>
          <w:szCs w:val="22"/>
          <w:lang w:val="en-GB"/>
        </w:rPr>
      </w:pPr>
      <w:r w:rsidRPr="005073B3">
        <w:rPr>
          <w:rFonts w:ascii="Arial" w:hAnsi="Arial" w:cs="Arial"/>
          <w:sz w:val="22"/>
          <w:szCs w:val="22"/>
          <w:lang w:val="en-GB"/>
        </w:rPr>
        <w:t>Erikson, E.H., 1968. Identity youth and crisis (No. 7). WW Norton &amp; company.</w:t>
      </w:r>
    </w:p>
    <w:p w14:paraId="2CC91357" w14:textId="5AF8FA5F" w:rsidR="005073B3" w:rsidRPr="005073B3" w:rsidRDefault="005073B3" w:rsidP="005073B3">
      <w:pPr>
        <w:spacing w:before="240" w:line="360" w:lineRule="auto"/>
        <w:jc w:val="both"/>
        <w:rPr>
          <w:rFonts w:ascii="Arial" w:hAnsi="Arial" w:cs="Arial"/>
          <w:sz w:val="22"/>
          <w:szCs w:val="22"/>
          <w:lang w:val="en-GB"/>
        </w:rPr>
      </w:pPr>
      <w:r w:rsidRPr="005073B3">
        <w:rPr>
          <w:rFonts w:ascii="Arial" w:hAnsi="Arial" w:cs="Arial"/>
          <w:sz w:val="22"/>
          <w:szCs w:val="22"/>
          <w:lang w:val="en-GB"/>
        </w:rPr>
        <w:t xml:space="preserve">Subramaniam, P. and Woods, B., 2012. The impact of individual reminiscence therapy for people with dementia: systematic review. </w:t>
      </w:r>
      <w:r w:rsidRPr="005073B3">
        <w:rPr>
          <w:rFonts w:ascii="Arial" w:hAnsi="Arial" w:cs="Arial"/>
          <w:i/>
          <w:iCs/>
          <w:sz w:val="22"/>
          <w:szCs w:val="22"/>
          <w:lang w:val="en-GB"/>
        </w:rPr>
        <w:t>Expert review of neurotherapeutics</w:t>
      </w:r>
      <w:r w:rsidRPr="005073B3">
        <w:rPr>
          <w:rFonts w:ascii="Arial" w:hAnsi="Arial" w:cs="Arial"/>
          <w:sz w:val="22"/>
          <w:szCs w:val="22"/>
          <w:lang w:val="en-GB"/>
        </w:rPr>
        <w:t>, 12(5), pp.545-555.</w:t>
      </w:r>
    </w:p>
    <w:p w14:paraId="515D7455" w14:textId="1506F145" w:rsidR="00F531FC" w:rsidRDefault="00E703E6" w:rsidP="00F531FC">
      <w:pPr>
        <w:spacing w:after="0" w:line="360" w:lineRule="auto"/>
        <w:jc w:val="both"/>
        <w:rPr>
          <w:rFonts w:ascii="Arial" w:hAnsi="Arial" w:cs="Arial"/>
          <w:b/>
          <w:bCs/>
          <w:sz w:val="22"/>
          <w:szCs w:val="22"/>
          <w:lang w:val="en-GB"/>
        </w:rPr>
      </w:pPr>
      <w:r w:rsidRPr="00E703E6">
        <w:rPr>
          <w:rFonts w:ascii="Arial" w:hAnsi="Arial" w:cs="Arial"/>
          <w:sz w:val="22"/>
          <w:szCs w:val="22"/>
          <w:lang w:val="en-GB"/>
        </w:rPr>
        <w:t xml:space="preserve">Kivnick, H.Q. and Wells, C.K., 2014. Untapped richness in Erik H. Erikson’s rootstock. </w:t>
      </w:r>
      <w:r w:rsidRPr="00E703E6">
        <w:rPr>
          <w:rFonts w:ascii="Arial" w:hAnsi="Arial" w:cs="Arial"/>
          <w:i/>
          <w:iCs/>
          <w:sz w:val="22"/>
          <w:szCs w:val="22"/>
          <w:lang w:val="en-GB"/>
        </w:rPr>
        <w:t>The</w:t>
      </w:r>
      <w:r w:rsidRPr="00E703E6">
        <w:rPr>
          <w:rFonts w:ascii="Arial" w:hAnsi="Arial" w:cs="Arial"/>
          <w:sz w:val="22"/>
          <w:szCs w:val="22"/>
          <w:lang w:val="en-GB"/>
        </w:rPr>
        <w:t xml:space="preserve"> </w:t>
      </w:r>
      <w:r w:rsidRPr="00E703E6">
        <w:rPr>
          <w:rFonts w:ascii="Arial" w:hAnsi="Arial" w:cs="Arial"/>
          <w:i/>
          <w:iCs/>
          <w:sz w:val="22"/>
          <w:szCs w:val="22"/>
          <w:lang w:val="en-GB"/>
        </w:rPr>
        <w:t>Gerontologist</w:t>
      </w:r>
      <w:r w:rsidRPr="00E703E6">
        <w:rPr>
          <w:rFonts w:ascii="Arial" w:hAnsi="Arial" w:cs="Arial"/>
          <w:sz w:val="22"/>
          <w:szCs w:val="22"/>
          <w:lang w:val="en-GB"/>
        </w:rPr>
        <w:t>, 54(1), pp.40-50</w:t>
      </w:r>
      <w:r w:rsidRPr="00E703E6">
        <w:rPr>
          <w:rFonts w:ascii="Arial" w:hAnsi="Arial" w:cs="Arial"/>
          <w:b/>
          <w:bCs/>
          <w:sz w:val="22"/>
          <w:szCs w:val="22"/>
          <w:lang w:val="en-GB"/>
        </w:rPr>
        <w:t>.</w:t>
      </w:r>
    </w:p>
    <w:p w14:paraId="2CF0B580" w14:textId="6A277D20" w:rsidR="00E703E6" w:rsidRPr="00E703E6" w:rsidRDefault="00E703E6" w:rsidP="00F531FC">
      <w:pPr>
        <w:spacing w:after="0" w:line="360" w:lineRule="auto"/>
        <w:jc w:val="both"/>
        <w:rPr>
          <w:rFonts w:ascii="Arial" w:hAnsi="Arial" w:cs="Arial"/>
          <w:sz w:val="22"/>
          <w:szCs w:val="22"/>
          <w:lang w:val="en-GB"/>
        </w:rPr>
      </w:pPr>
      <w:r w:rsidRPr="00E703E6">
        <w:rPr>
          <w:rFonts w:ascii="Arial" w:hAnsi="Arial" w:cs="Arial"/>
          <w:sz w:val="22"/>
          <w:szCs w:val="22"/>
          <w:lang w:val="en-GB"/>
        </w:rPr>
        <w:t>Edvardsson, D., Fetherstonhaugh, D. and Nay, R., 2010. Promoting a continuation of self and normality: person</w:t>
      </w:r>
      <w:r w:rsidRPr="00E703E6">
        <w:rPr>
          <w:rFonts w:ascii="Cambria Math" w:hAnsi="Cambria Math" w:cs="Cambria Math"/>
          <w:sz w:val="22"/>
          <w:szCs w:val="22"/>
          <w:lang w:val="en-GB"/>
        </w:rPr>
        <w:t>‐</w:t>
      </w:r>
      <w:r w:rsidRPr="00E703E6">
        <w:rPr>
          <w:rFonts w:ascii="Arial" w:hAnsi="Arial" w:cs="Arial"/>
          <w:sz w:val="22"/>
          <w:szCs w:val="22"/>
          <w:lang w:val="en-GB"/>
        </w:rPr>
        <w:t>centred care as described by people with dementia, their family members and aged care staff. Journal of clinical nursing, 19(17</w:t>
      </w:r>
      <w:r w:rsidRPr="00E703E6">
        <w:rPr>
          <w:rFonts w:ascii="Cambria Math" w:hAnsi="Cambria Math" w:cs="Cambria Math"/>
          <w:sz w:val="22"/>
          <w:szCs w:val="22"/>
          <w:lang w:val="en-GB"/>
        </w:rPr>
        <w:t>‐</w:t>
      </w:r>
      <w:r w:rsidRPr="00E703E6">
        <w:rPr>
          <w:rFonts w:ascii="Arial" w:hAnsi="Arial" w:cs="Arial"/>
          <w:sz w:val="22"/>
          <w:szCs w:val="22"/>
          <w:lang w:val="en-GB"/>
        </w:rPr>
        <w:t>18), pp.2611-2618.</w:t>
      </w:r>
    </w:p>
    <w:p w14:paraId="7CB662C1" w14:textId="77777777" w:rsidR="00F531FC" w:rsidRPr="00F531FC" w:rsidRDefault="00F531FC" w:rsidP="00F531FC">
      <w:pPr>
        <w:spacing w:after="0" w:line="360" w:lineRule="auto"/>
        <w:jc w:val="both"/>
        <w:rPr>
          <w:rFonts w:ascii="Arial" w:hAnsi="Arial" w:cs="Arial"/>
          <w:b/>
          <w:bCs/>
          <w:sz w:val="22"/>
          <w:szCs w:val="22"/>
          <w:lang w:val="en-GB"/>
        </w:rPr>
      </w:pPr>
    </w:p>
    <w:p w14:paraId="7632D50F" w14:textId="77777777" w:rsidR="00F531FC" w:rsidRPr="00F531FC" w:rsidRDefault="00F531FC" w:rsidP="00F531FC">
      <w:pPr>
        <w:spacing w:after="0" w:line="360" w:lineRule="auto"/>
        <w:jc w:val="both"/>
        <w:rPr>
          <w:rFonts w:ascii="Arial" w:hAnsi="Arial" w:cs="Arial"/>
          <w:sz w:val="22"/>
          <w:szCs w:val="22"/>
          <w:lang w:val="en-GB"/>
        </w:rPr>
      </w:pPr>
    </w:p>
    <w:p w14:paraId="4F3F07D5" w14:textId="77777777" w:rsidR="00F531FC" w:rsidRPr="00F531FC" w:rsidRDefault="00F531FC" w:rsidP="00F531FC">
      <w:pPr>
        <w:spacing w:after="0" w:line="360" w:lineRule="auto"/>
        <w:rPr>
          <w:rFonts w:ascii="Arial" w:hAnsi="Arial" w:cs="Arial"/>
          <w:b/>
          <w:bCs/>
          <w:sz w:val="22"/>
          <w:szCs w:val="22"/>
          <w:lang w:val="en-GB"/>
        </w:rPr>
      </w:pPr>
    </w:p>
    <w:sectPr w:rsidR="00F531FC" w:rsidRPr="00F531F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E4BBE" w14:textId="77777777" w:rsidR="00785DBB" w:rsidRDefault="00785DBB" w:rsidP="00F531FC">
      <w:pPr>
        <w:spacing w:after="0" w:line="240" w:lineRule="auto"/>
      </w:pPr>
      <w:r>
        <w:separator/>
      </w:r>
    </w:p>
  </w:endnote>
  <w:endnote w:type="continuationSeparator" w:id="0">
    <w:p w14:paraId="1FE0164A" w14:textId="77777777" w:rsidR="00785DBB" w:rsidRDefault="00785DBB" w:rsidP="00F53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7289552"/>
      <w:docPartObj>
        <w:docPartGallery w:val="Page Numbers (Bottom of Page)"/>
        <w:docPartUnique/>
      </w:docPartObj>
    </w:sdtPr>
    <w:sdtEndPr>
      <w:rPr>
        <w:noProof/>
      </w:rPr>
    </w:sdtEndPr>
    <w:sdtContent>
      <w:p w14:paraId="2380397F" w14:textId="4402544F" w:rsidR="00F531FC" w:rsidRDefault="00F531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49212E" w14:textId="77777777" w:rsidR="00F531FC" w:rsidRDefault="00F53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1EBF9" w14:textId="77777777" w:rsidR="00785DBB" w:rsidRDefault="00785DBB" w:rsidP="00F531FC">
      <w:pPr>
        <w:spacing w:after="0" w:line="240" w:lineRule="auto"/>
      </w:pPr>
      <w:r>
        <w:separator/>
      </w:r>
    </w:p>
  </w:footnote>
  <w:footnote w:type="continuationSeparator" w:id="0">
    <w:p w14:paraId="71BECDAD" w14:textId="77777777" w:rsidR="00785DBB" w:rsidRDefault="00785DBB" w:rsidP="00F53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E3380"/>
    <w:multiLevelType w:val="multilevel"/>
    <w:tmpl w:val="D368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899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AwMzczNTI2Mze1NDFX0lEKTi0uzszPAykwrAUAeFgnaCwAAAA="/>
  </w:docVars>
  <w:rsids>
    <w:rsidRoot w:val="00C94423"/>
    <w:rsid w:val="000A226C"/>
    <w:rsid w:val="000B4987"/>
    <w:rsid w:val="00162BA8"/>
    <w:rsid w:val="003A0971"/>
    <w:rsid w:val="00427B05"/>
    <w:rsid w:val="004525CC"/>
    <w:rsid w:val="004B24B8"/>
    <w:rsid w:val="004B670C"/>
    <w:rsid w:val="004D21DF"/>
    <w:rsid w:val="004E692F"/>
    <w:rsid w:val="005073B3"/>
    <w:rsid w:val="005B2EA2"/>
    <w:rsid w:val="006863BF"/>
    <w:rsid w:val="006D21D6"/>
    <w:rsid w:val="00785DBB"/>
    <w:rsid w:val="007F56D6"/>
    <w:rsid w:val="00961A0D"/>
    <w:rsid w:val="009D20CF"/>
    <w:rsid w:val="00A81620"/>
    <w:rsid w:val="00A91916"/>
    <w:rsid w:val="00C001B6"/>
    <w:rsid w:val="00C94423"/>
    <w:rsid w:val="00CE0397"/>
    <w:rsid w:val="00D97DFD"/>
    <w:rsid w:val="00E41C1F"/>
    <w:rsid w:val="00E703E6"/>
    <w:rsid w:val="00E779A6"/>
    <w:rsid w:val="00F108FD"/>
    <w:rsid w:val="00F531FC"/>
    <w:rsid w:val="00F61F72"/>
    <w:rsid w:val="00FA6D7B"/>
    <w:rsid w:val="00FE13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92F4A"/>
  <w15:chartTrackingRefBased/>
  <w15:docId w15:val="{06C320E2-D873-44EF-AC91-6C75DB7BC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1FC"/>
  </w:style>
  <w:style w:type="paragraph" w:styleId="Heading1">
    <w:name w:val="heading 1"/>
    <w:basedOn w:val="Normal"/>
    <w:next w:val="Normal"/>
    <w:link w:val="Heading1Char"/>
    <w:uiPriority w:val="9"/>
    <w:qFormat/>
    <w:rsid w:val="00C944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44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4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44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4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4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4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4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4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4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44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44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44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4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4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4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4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423"/>
    <w:rPr>
      <w:rFonts w:eastAsiaTheme="majorEastAsia" w:cstheme="majorBidi"/>
      <w:color w:val="272727" w:themeColor="text1" w:themeTint="D8"/>
    </w:rPr>
  </w:style>
  <w:style w:type="paragraph" w:styleId="Title">
    <w:name w:val="Title"/>
    <w:basedOn w:val="Normal"/>
    <w:next w:val="Normal"/>
    <w:link w:val="TitleChar"/>
    <w:uiPriority w:val="10"/>
    <w:qFormat/>
    <w:rsid w:val="00C944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4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4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4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423"/>
    <w:pPr>
      <w:spacing w:before="160"/>
      <w:jc w:val="center"/>
    </w:pPr>
    <w:rPr>
      <w:i/>
      <w:iCs/>
      <w:color w:val="404040" w:themeColor="text1" w:themeTint="BF"/>
    </w:rPr>
  </w:style>
  <w:style w:type="character" w:customStyle="1" w:styleId="QuoteChar">
    <w:name w:val="Quote Char"/>
    <w:basedOn w:val="DefaultParagraphFont"/>
    <w:link w:val="Quote"/>
    <w:uiPriority w:val="29"/>
    <w:rsid w:val="00C94423"/>
    <w:rPr>
      <w:i/>
      <w:iCs/>
      <w:color w:val="404040" w:themeColor="text1" w:themeTint="BF"/>
    </w:rPr>
  </w:style>
  <w:style w:type="paragraph" w:styleId="ListParagraph">
    <w:name w:val="List Paragraph"/>
    <w:basedOn w:val="Normal"/>
    <w:uiPriority w:val="34"/>
    <w:qFormat/>
    <w:rsid w:val="00C94423"/>
    <w:pPr>
      <w:ind w:left="720"/>
      <w:contextualSpacing/>
    </w:pPr>
  </w:style>
  <w:style w:type="character" w:styleId="IntenseEmphasis">
    <w:name w:val="Intense Emphasis"/>
    <w:basedOn w:val="DefaultParagraphFont"/>
    <w:uiPriority w:val="21"/>
    <w:qFormat/>
    <w:rsid w:val="00C94423"/>
    <w:rPr>
      <w:i/>
      <w:iCs/>
      <w:color w:val="0F4761" w:themeColor="accent1" w:themeShade="BF"/>
    </w:rPr>
  </w:style>
  <w:style w:type="paragraph" w:styleId="IntenseQuote">
    <w:name w:val="Intense Quote"/>
    <w:basedOn w:val="Normal"/>
    <w:next w:val="Normal"/>
    <w:link w:val="IntenseQuoteChar"/>
    <w:uiPriority w:val="30"/>
    <w:qFormat/>
    <w:rsid w:val="00C944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423"/>
    <w:rPr>
      <w:i/>
      <w:iCs/>
      <w:color w:val="0F4761" w:themeColor="accent1" w:themeShade="BF"/>
    </w:rPr>
  </w:style>
  <w:style w:type="character" w:styleId="IntenseReference">
    <w:name w:val="Intense Reference"/>
    <w:basedOn w:val="DefaultParagraphFont"/>
    <w:uiPriority w:val="32"/>
    <w:qFormat/>
    <w:rsid w:val="00C94423"/>
    <w:rPr>
      <w:b/>
      <w:bCs/>
      <w:smallCaps/>
      <w:color w:val="0F4761" w:themeColor="accent1" w:themeShade="BF"/>
      <w:spacing w:val="5"/>
    </w:rPr>
  </w:style>
  <w:style w:type="paragraph" w:styleId="BodyText">
    <w:name w:val="Body Text"/>
    <w:basedOn w:val="Normal"/>
    <w:link w:val="BodyTextChar"/>
    <w:uiPriority w:val="1"/>
    <w:qFormat/>
    <w:rsid w:val="00CE0397"/>
    <w:pPr>
      <w:widowControl w:val="0"/>
      <w:autoSpaceDE w:val="0"/>
      <w:autoSpaceDN w:val="0"/>
      <w:spacing w:after="0" w:line="240" w:lineRule="auto"/>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CE0397"/>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F53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1FC"/>
  </w:style>
  <w:style w:type="paragraph" w:styleId="Footer">
    <w:name w:val="footer"/>
    <w:basedOn w:val="Normal"/>
    <w:link w:val="FooterChar"/>
    <w:uiPriority w:val="99"/>
    <w:unhideWhenUsed/>
    <w:rsid w:val="00F531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1612</Words>
  <Characters>9192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margaret Kwaw</cp:lastModifiedBy>
  <cp:revision>2</cp:revision>
  <dcterms:created xsi:type="dcterms:W3CDTF">2026-03-23T18:54:00Z</dcterms:created>
  <dcterms:modified xsi:type="dcterms:W3CDTF">2026-03-23T18:54:00Z</dcterms:modified>
</cp:coreProperties>
</file>