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BAE72" w14:textId="226DEEA4" w:rsidR="00084696" w:rsidRDefault="00084696">
      <w:pPr>
        <w:rPr>
          <w:b/>
        </w:rPr>
      </w:pPr>
      <w:r>
        <w:rPr>
          <w:rFonts w:ascii="Arial" w:hAnsi="Arial" w:cs="Arial"/>
          <w:noProof/>
          <w:color w:val="000000"/>
          <w:sz w:val="22"/>
          <w:szCs w:val="22"/>
          <w:bdr w:val="none" w:sz="0" w:space="0" w:color="auto" w:frame="1"/>
        </w:rPr>
        <w:drawing>
          <wp:inline distT="0" distB="0" distL="0" distR="0" wp14:anchorId="48D13437" wp14:editId="4574870E">
            <wp:extent cx="1813560" cy="723900"/>
            <wp:effectExtent l="0" t="0" r="0" b="0"/>
            <wp:docPr id="296987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475F8343" w14:textId="77777777" w:rsidR="00084696" w:rsidRDefault="00084696" w:rsidP="00084696">
      <w:pPr>
        <w:jc w:val="center"/>
        <w:rPr>
          <w:b/>
          <w:sz w:val="40"/>
          <w:szCs w:val="40"/>
        </w:rPr>
      </w:pPr>
    </w:p>
    <w:p w14:paraId="214238C9" w14:textId="77777777" w:rsidR="00084696" w:rsidRDefault="00084696" w:rsidP="00084696">
      <w:pPr>
        <w:jc w:val="center"/>
        <w:rPr>
          <w:b/>
          <w:sz w:val="40"/>
          <w:szCs w:val="40"/>
        </w:rPr>
      </w:pPr>
    </w:p>
    <w:p w14:paraId="1DC59516" w14:textId="77777777" w:rsidR="00084696" w:rsidRDefault="00084696" w:rsidP="00084696">
      <w:pPr>
        <w:jc w:val="center"/>
        <w:rPr>
          <w:b/>
          <w:sz w:val="40"/>
          <w:szCs w:val="40"/>
        </w:rPr>
      </w:pPr>
    </w:p>
    <w:p w14:paraId="3C3B92A0" w14:textId="77777777" w:rsidR="00084696" w:rsidRDefault="00084696" w:rsidP="00084696">
      <w:pPr>
        <w:jc w:val="center"/>
        <w:rPr>
          <w:b/>
          <w:sz w:val="40"/>
          <w:szCs w:val="40"/>
        </w:rPr>
      </w:pPr>
    </w:p>
    <w:p w14:paraId="21A527B7" w14:textId="77777777" w:rsidR="00084696" w:rsidRDefault="00084696" w:rsidP="00084696">
      <w:pPr>
        <w:jc w:val="center"/>
        <w:rPr>
          <w:b/>
          <w:sz w:val="40"/>
          <w:szCs w:val="40"/>
        </w:rPr>
      </w:pPr>
    </w:p>
    <w:p w14:paraId="4C0647E5" w14:textId="771C1D41" w:rsidR="00B41B15" w:rsidRDefault="00176BBD" w:rsidP="00084696">
      <w:pPr>
        <w:jc w:val="center"/>
        <w:rPr>
          <w:b/>
          <w:sz w:val="48"/>
          <w:szCs w:val="48"/>
        </w:rPr>
      </w:pPr>
      <w:r>
        <w:rPr>
          <w:b/>
          <w:sz w:val="48"/>
          <w:szCs w:val="48"/>
        </w:rPr>
        <w:t>Dumitru-Iulian Filote</w:t>
      </w:r>
    </w:p>
    <w:p w14:paraId="0C9B355C" w14:textId="68E45BE1" w:rsidR="00176BBD" w:rsidRDefault="00176BBD" w:rsidP="00084696">
      <w:pPr>
        <w:jc w:val="center"/>
        <w:rPr>
          <w:b/>
          <w:sz w:val="48"/>
          <w:szCs w:val="48"/>
        </w:rPr>
      </w:pPr>
      <w:r>
        <w:rPr>
          <w:b/>
          <w:sz w:val="48"/>
          <w:szCs w:val="48"/>
        </w:rPr>
        <w:t>1920814</w:t>
      </w:r>
    </w:p>
    <w:p w14:paraId="4B5DDAE0" w14:textId="77777777" w:rsidR="00B41B15" w:rsidRDefault="00B41B15" w:rsidP="00084696">
      <w:pPr>
        <w:jc w:val="center"/>
        <w:rPr>
          <w:b/>
          <w:sz w:val="48"/>
          <w:szCs w:val="48"/>
        </w:rPr>
      </w:pPr>
    </w:p>
    <w:p w14:paraId="56AADC55" w14:textId="28010D09" w:rsidR="00084696" w:rsidRPr="00084696" w:rsidRDefault="00084696" w:rsidP="00084696">
      <w:pPr>
        <w:jc w:val="center"/>
        <w:rPr>
          <w:b/>
          <w:sz w:val="48"/>
          <w:szCs w:val="48"/>
        </w:rPr>
      </w:pPr>
      <w:r w:rsidRPr="00084696">
        <w:rPr>
          <w:b/>
          <w:sz w:val="48"/>
          <w:szCs w:val="48"/>
        </w:rPr>
        <w:t>Accounting Fundamentals (</w:t>
      </w:r>
      <w:r w:rsidRPr="00084696">
        <w:rPr>
          <w:b/>
          <w:bCs/>
          <w:color w:val="000000"/>
          <w:sz w:val="44"/>
          <w:szCs w:val="44"/>
        </w:rPr>
        <w:t>LCBB4001)</w:t>
      </w:r>
    </w:p>
    <w:p w14:paraId="4BC5DC79" w14:textId="26525654" w:rsidR="00084696" w:rsidRDefault="00084696">
      <w:pPr>
        <w:rPr>
          <w:b/>
        </w:rPr>
      </w:pPr>
      <w:r>
        <w:rPr>
          <w:b/>
        </w:rPr>
        <w:br w:type="page"/>
      </w:r>
    </w:p>
    <w:p w14:paraId="6FDFFA3C" w14:textId="2FFB0399" w:rsidR="004C732B" w:rsidRPr="00B72CF8" w:rsidRDefault="00000000">
      <w:pPr>
        <w:pStyle w:val="Normal1"/>
        <w:rPr>
          <w:b/>
        </w:rPr>
      </w:pPr>
      <w:r w:rsidRPr="00B72CF8">
        <w:rPr>
          <w:b/>
        </w:rPr>
        <w:lastRenderedPageBreak/>
        <w:t>Introduction</w:t>
      </w:r>
    </w:p>
    <w:p w14:paraId="7E8FB5B2" w14:textId="77777777" w:rsidR="004C732B" w:rsidRPr="00B72CF8" w:rsidRDefault="00000000">
      <w:pPr>
        <w:pStyle w:val="Normal1"/>
      </w:pPr>
      <w:r w:rsidRPr="00B72CF8">
        <w:t>The summative goal of this assessment is to focus on accounting fundamentals. Accounting fundamentals can provide vital information about business growth, making money, and indicating profit, accounting fundamentals are important for businesses. By analysing the accounting information, business owners can set valuable decisions insight their businesses. This assessment will demonstrate discussing some accounting principles that are underlaid with the different financial reports. On the other hand, the accounting concepts will also be clear through this assignment. Discuss income statements and preparing an income statement for Wales Plc will also be a crucial part of this assessment considering all the accounting adjustments.  Some essential ratios of Sweet Plc will also be calculated here on the basis of their financial reports for a specific period.</w:t>
      </w:r>
    </w:p>
    <w:p w14:paraId="6A3A6F10" w14:textId="77777777" w:rsidR="004C732B" w:rsidRPr="00B72CF8" w:rsidRDefault="00000000">
      <w:pPr>
        <w:pStyle w:val="Normal1"/>
        <w:rPr>
          <w:b/>
        </w:rPr>
      </w:pPr>
      <w:r w:rsidRPr="00B72CF8">
        <w:rPr>
          <w:b/>
        </w:rPr>
        <w:t>Main Body</w:t>
      </w:r>
    </w:p>
    <w:p w14:paraId="5EC3AD53" w14:textId="77777777" w:rsidR="004C732B" w:rsidRPr="00B72CF8" w:rsidRDefault="00000000">
      <w:pPr>
        <w:pStyle w:val="Normal1"/>
      </w:pPr>
      <w:r w:rsidRPr="00B72CF8">
        <w:t>The financial statements of the business which help to reflect the financial position of the business by evaluating their difference of cash statements are called the cash flow statements. This statement helps to reflect the cash flow in the business by analysing their cash flow and the outflow of their cash. analysing different kinds of cash flow of the business they are able to determine the value of their cash or cash cash-generating ability of the business at the end of their financial years. It reflects the cash of the business from its operating activities, investing activities, and financing activities. For that, they are able to determine the cash of their business from the different parts of their business operations on investments. This value of the cash is reflected in the assets parts of the balance sheet to reflect the value of their cash in hand or the useful cash in the process of their operations (</w:t>
      </w:r>
      <w:r w:rsidRPr="00B72CF8">
        <w:rPr>
          <w:highlight w:val="white"/>
        </w:rPr>
        <w:t>Schmidt, 2023)</w:t>
      </w:r>
      <w:r w:rsidRPr="00B72CF8">
        <w:t xml:space="preserve">. </w:t>
      </w:r>
    </w:p>
    <w:p w14:paraId="13DD344E" w14:textId="77777777" w:rsidR="004C732B" w:rsidRPr="00B72CF8" w:rsidRDefault="00000000">
      <w:pPr>
        <w:pStyle w:val="Normal1"/>
      </w:pPr>
      <w:r w:rsidRPr="00B72CF8">
        <w:t>Non-current assets reflect the assets of the business which used by the business for long-term purposes. For that, the investments of the business in their assets which is more than one year are called the non-cureent assets of the business. Additionally, these types of assets also reflect the definition of fixed assets as the non-current assets are hard to transfer into the cash of the business. In this part of the non-current assets, there were several types of assets included. In the first part, the tangible assets are included. These types of assets have the physical form of the assets and work for a long time in the productional process of the business. Then the intangible assets are formed. This type of asset does not contain proper physical forms. However, these types of assets contained huge numbers of economic value for the business like copyrights and trademarks (</w:t>
      </w:r>
      <w:r w:rsidRPr="00B72CF8">
        <w:rPr>
          <w:highlight w:val="white"/>
        </w:rPr>
        <w:t>Indeed, 2023)</w:t>
      </w:r>
      <w:r w:rsidRPr="00B72CF8">
        <w:t>.</w:t>
      </w:r>
    </w:p>
    <w:p w14:paraId="282C3E13" w14:textId="77777777" w:rsidR="004C732B" w:rsidRPr="00B72CF8" w:rsidRDefault="00000000">
      <w:pPr>
        <w:pStyle w:val="Normal1"/>
      </w:pPr>
      <w:r w:rsidRPr="00B72CF8">
        <w:t xml:space="preserve">Sharing financial information to the shareholders helps the business to increase the knowledge of their shareholders about the financial performance of the business. For that, the shareholders </w:t>
      </w:r>
      <w:r w:rsidRPr="00B72CF8">
        <w:lastRenderedPageBreak/>
        <w:t>of the business can make the necessary decisions about their investment. Additionally, it helps the shareholders be knowledgeable about the ethical investments of the business in the process of their production. For that, they can make their correct directions to increase the investments in the business or to decrease the investments in the business. Depending on the decision of the shareholder's investments the financing process of the business is going to be dependent. For that, the managers of the business share their financial information with the shareholders and earn their trust in thor positive financial structure for gathering maximum investments (</w:t>
      </w:r>
      <w:r w:rsidRPr="00B72CF8">
        <w:rPr>
          <w:highlight w:val="white"/>
        </w:rPr>
        <w:t>NetSuite, 2023)</w:t>
      </w:r>
      <w:r w:rsidRPr="00B72CF8">
        <w:t>.</w:t>
      </w:r>
    </w:p>
    <w:p w14:paraId="4456190C" w14:textId="77777777" w:rsidR="004C732B" w:rsidRPr="00B72CF8" w:rsidRDefault="00000000">
      <w:pPr>
        <w:pStyle w:val="Normal1"/>
      </w:pPr>
      <w:r w:rsidRPr="00B72CF8">
        <w:t>Prepayments are the payments of the goods received by the business in the financial years which can be used or purchased by the customers next years of financing years. For that, it can influence the stock of the business with the inclusion of their income statements. If it is included in the financial position of the business then it can raise the level of profit of the business which is not maid yeat. Additionally, the accruals are the expenses on which goods are served first and the payments of the business are received in the financial years. For that, the stock of the business reflects a lower value. If it is included in the financial position of the business then the profit of the company is going to be decreased and show different results from their actual profits. For this reason, these two factors need to be evaluated in the parts of the accounting financial position of the company (</w:t>
      </w:r>
      <w:r w:rsidRPr="00B72CF8">
        <w:rPr>
          <w:highlight w:val="white"/>
        </w:rPr>
        <w:t xml:space="preserve">Oseni, </w:t>
      </w:r>
      <w:r w:rsidRPr="00B72CF8">
        <w:rPr>
          <w:i/>
          <w:highlight w:val="white"/>
        </w:rPr>
        <w:t>et al.</w:t>
      </w:r>
      <w:r w:rsidRPr="00B72CF8">
        <w:rPr>
          <w:highlight w:val="white"/>
        </w:rPr>
        <w:t xml:space="preserve"> 2018)</w:t>
      </w:r>
      <w:r w:rsidRPr="00B72CF8">
        <w:t>.</w:t>
      </w:r>
    </w:p>
    <w:p w14:paraId="360BB967" w14:textId="551C5445" w:rsidR="004C732B" w:rsidRPr="00B72CF8" w:rsidRDefault="00000000">
      <w:pPr>
        <w:pStyle w:val="Normal1"/>
      </w:pPr>
      <w:r w:rsidRPr="00B72CF8">
        <w:t>Regulations are important factors in the evaluation of the financial accounts of the business. By evaluating the financial accounts of the business the business reflects its profit-earning abilities and the use of resources from its financings in front of its shareholders and governments. For that, the regulations of the business help them to maintain ethical accounting in the organisation. Additionally, it helps to maintain the legal structure of the business and maintaining the tax payments structure of the business. These standers help to secure the social activities of the business by analysing the criminal activities of the business and their effects on the consumer's health (</w:t>
      </w:r>
      <w:r w:rsidRPr="00B72CF8">
        <w:rPr>
          <w:highlight w:val="white"/>
        </w:rPr>
        <w:t xml:space="preserve">Weygandt, </w:t>
      </w:r>
      <w:r w:rsidRPr="00B72CF8">
        <w:rPr>
          <w:i/>
          <w:highlight w:val="white"/>
        </w:rPr>
        <w:t>et al.</w:t>
      </w:r>
      <w:r w:rsidR="00B72CF8" w:rsidRPr="00B72CF8">
        <w:rPr>
          <w:i/>
          <w:highlight w:val="white"/>
        </w:rPr>
        <w:t xml:space="preserve"> </w:t>
      </w:r>
      <w:r w:rsidRPr="00B72CF8">
        <w:rPr>
          <w:highlight w:val="white"/>
        </w:rPr>
        <w:t>2018)</w:t>
      </w:r>
      <w:r w:rsidRPr="00B72CF8">
        <w:t>.</w:t>
      </w:r>
    </w:p>
    <w:p w14:paraId="7AD4684D" w14:textId="77777777" w:rsidR="004C732B" w:rsidRPr="00B72CF8" w:rsidRDefault="00000000">
      <w:pPr>
        <w:pStyle w:val="Normal1"/>
      </w:pPr>
      <w:r w:rsidRPr="00B72CF8">
        <w:t>To understand that the double-entry bookkeeping systems of the organisation are working properly the balance accounts and the trial balance values need to be calculated before calculating the financial statements of the company. It helps to reflect the accuracy of the financial information for the financial accounts. By analysing the accuracy of the financial information by preparing these two accounts before the financial accounts the business can gather proper information for the analysis of their financial structure. Additionally, it can help the business to find accurate results of their profit-earning ability and the financial position of the company (</w:t>
      </w:r>
      <w:r w:rsidRPr="00B72CF8">
        <w:rPr>
          <w:highlight w:val="white"/>
        </w:rPr>
        <w:t>Wafeq, 2023)</w:t>
      </w:r>
      <w:r w:rsidRPr="00B72CF8">
        <w:t>.</w:t>
      </w:r>
    </w:p>
    <w:p w14:paraId="41B2418B" w14:textId="77777777" w:rsidR="004C732B" w:rsidRPr="00B72CF8" w:rsidRDefault="00000000">
      <w:pPr>
        <w:pStyle w:val="Normal1"/>
      </w:pPr>
      <w:r w:rsidRPr="00B72CF8">
        <w:lastRenderedPageBreak/>
        <w:t xml:space="preserve">An </w:t>
      </w:r>
      <w:r w:rsidRPr="00B72CF8">
        <w:rPr>
          <w:b/>
        </w:rPr>
        <w:t xml:space="preserve">Income Statement </w:t>
      </w:r>
      <w:r w:rsidRPr="00B72CF8">
        <w:t>is treated as one of the most important reports of accounting that can explore the financial performance of any organisation at a specific time. An income statement can describe all the direct and indirect earnings and expenditures of the business to measure the actual profit. From the income statement, the businesses benefit from estimating their net income. Fundamentally, income statements assist any business in estimating its profitability (</w:t>
      </w:r>
      <w:r w:rsidRPr="00B72CF8">
        <w:rPr>
          <w:highlight w:val="white"/>
        </w:rPr>
        <w:t>Pepple and Ejiogu, 2021)</w:t>
      </w:r>
      <w:r w:rsidRPr="00B72CF8">
        <w:t>. From the initial part of the income statement, gross profit is revealed by considering all the direct earnings and direct expenses of a particular time. In the following steps, only the indirect earnings and expenses are considered to calculate the EBIT. Thereafter the the PBT has been estimated by considering payments of interest. By considering the taxes the PAT calculates at the final phase of the income statement. An income statement can utterly assist business owners in determining the process of generating a profit and also show the effectiveness of the business strategies of a certain time (</w:t>
      </w:r>
      <w:r w:rsidRPr="00B72CF8">
        <w:rPr>
          <w:highlight w:val="white"/>
        </w:rPr>
        <w:t>Guerard</w:t>
      </w:r>
      <w:r w:rsidRPr="00B72CF8">
        <w:rPr>
          <w:i/>
          <w:highlight w:val="white"/>
        </w:rPr>
        <w:t xml:space="preserve"> et al. </w:t>
      </w:r>
      <w:r w:rsidRPr="00B72CF8">
        <w:rPr>
          <w:highlight w:val="white"/>
        </w:rPr>
        <w:t>2022)</w:t>
      </w:r>
      <w:r w:rsidRPr="00B72CF8">
        <w:t xml:space="preserve">. </w:t>
      </w:r>
    </w:p>
    <w:p w14:paraId="6E8936CD" w14:textId="77777777" w:rsidR="004C732B" w:rsidRPr="00B72CF8" w:rsidRDefault="00000000">
      <w:pPr>
        <w:pStyle w:val="Normal1"/>
      </w:pPr>
      <w:r w:rsidRPr="00B72CF8">
        <w:t xml:space="preserve">The income statement of Wales Plc on 31st December 2022 is provided below considering the given information and adjustments: </w:t>
      </w:r>
    </w:p>
    <w:p w14:paraId="2108575A" w14:textId="77777777" w:rsidR="004C732B" w:rsidRPr="00B72CF8" w:rsidRDefault="00000000">
      <w:pPr>
        <w:pStyle w:val="Normal1"/>
        <w:jc w:val="center"/>
        <w:rPr>
          <w:b/>
        </w:rPr>
      </w:pPr>
      <w:r w:rsidRPr="00B72CF8">
        <w:rPr>
          <w:b/>
          <w:noProof/>
        </w:rPr>
        <w:drawing>
          <wp:inline distT="114300" distB="114300" distL="114300" distR="114300" wp14:anchorId="45D8E1A0" wp14:editId="2C548115">
            <wp:extent cx="4424363" cy="3388092"/>
            <wp:effectExtent l="12700" t="12700" r="12700" b="12700"/>
            <wp:docPr id="8" name="image5.png"/>
            <wp:cNvGraphicFramePr/>
            <a:graphic xmlns:a="http://schemas.openxmlformats.org/drawingml/2006/main">
              <a:graphicData uri="http://schemas.openxmlformats.org/drawingml/2006/picture">
                <pic:pic xmlns:pic="http://schemas.openxmlformats.org/drawingml/2006/picture">
                  <pic:nvPicPr>
                    <pic:cNvPr id="8" name="image5.png"/>
                    <pic:cNvPicPr/>
                  </pic:nvPicPr>
                  <pic:blipFill>
                    <a:blip r:embed="rId8"/>
                    <a:stretch>
                      <a:fillRect/>
                    </a:stretch>
                  </pic:blipFill>
                  <pic:spPr>
                    <a:xfrm>
                      <a:off x="0" y="0"/>
                      <a:ext cx="4424363" cy="3388092"/>
                    </a:xfrm>
                    <a:prstGeom prst="rect">
                      <a:avLst/>
                    </a:prstGeom>
                    <a:ln w="12700">
                      <a:solidFill>
                        <a:srgbClr val="000000"/>
                      </a:solidFill>
                      <a:prstDash val="solid"/>
                    </a:ln>
                  </pic:spPr>
                </pic:pic>
              </a:graphicData>
            </a:graphic>
          </wp:inline>
        </w:drawing>
      </w:r>
    </w:p>
    <w:p w14:paraId="580BDB5B" w14:textId="77777777" w:rsidR="004C732B" w:rsidRPr="00B72CF8" w:rsidRDefault="00000000">
      <w:pPr>
        <w:pStyle w:val="Normal1"/>
        <w:jc w:val="center"/>
        <w:rPr>
          <w:b/>
        </w:rPr>
      </w:pPr>
      <w:r w:rsidRPr="00B72CF8">
        <w:rPr>
          <w:b/>
        </w:rPr>
        <w:t>Table 1: Income Statement of Wales Plc</w:t>
      </w:r>
    </w:p>
    <w:p w14:paraId="59EB0CB8" w14:textId="77777777" w:rsidR="004C732B" w:rsidRPr="00B72CF8" w:rsidRDefault="00000000">
      <w:pPr>
        <w:pStyle w:val="Normal1"/>
        <w:jc w:val="center"/>
      </w:pPr>
      <w:r w:rsidRPr="00B72CF8">
        <w:t>(Source: Own-prepared, 2023)</w:t>
      </w:r>
    </w:p>
    <w:p w14:paraId="2953E6CE" w14:textId="77777777" w:rsidR="004C732B" w:rsidRPr="00B72CF8" w:rsidRDefault="00000000">
      <w:pPr>
        <w:pStyle w:val="Normal1"/>
        <w:rPr>
          <w:b/>
        </w:rPr>
      </w:pPr>
      <w:r w:rsidRPr="00B72CF8">
        <w:rPr>
          <w:b/>
        </w:rPr>
        <w:t>Working Notes:</w:t>
      </w:r>
    </w:p>
    <w:p w14:paraId="12CA3F43" w14:textId="77777777" w:rsidR="004C732B" w:rsidRPr="00B72CF8" w:rsidRDefault="00000000">
      <w:pPr>
        <w:pStyle w:val="Normal1"/>
        <w:numPr>
          <w:ilvl w:val="0"/>
          <w:numId w:val="1"/>
        </w:numPr>
      </w:pPr>
      <w:r w:rsidRPr="00B72CF8">
        <w:t>Sales Revenue= Sales + Total Credit Sales = £ (900,000+1,000)</w:t>
      </w:r>
    </w:p>
    <w:p w14:paraId="73E99952" w14:textId="77777777" w:rsidR="004C732B" w:rsidRPr="00B72CF8" w:rsidRDefault="00000000">
      <w:pPr>
        <w:pStyle w:val="Normal1"/>
      </w:pPr>
      <w:r w:rsidRPr="00B72CF8">
        <w:t xml:space="preserve">                                                                                = £901, 000,.</w:t>
      </w:r>
    </w:p>
    <w:p w14:paraId="63ABD087" w14:textId="77777777" w:rsidR="004C732B" w:rsidRPr="00B72CF8" w:rsidRDefault="00000000">
      <w:pPr>
        <w:pStyle w:val="Normal1"/>
        <w:numPr>
          <w:ilvl w:val="0"/>
          <w:numId w:val="1"/>
        </w:numPr>
      </w:pPr>
      <w:r w:rsidRPr="00B72CF8">
        <w:t>Gross Profit= Entire Sales Revenue - Cost of Goods Sold = £(901,000 - 578,650)</w:t>
      </w:r>
    </w:p>
    <w:p w14:paraId="516BC10E" w14:textId="77777777" w:rsidR="004C732B" w:rsidRPr="00B72CF8" w:rsidRDefault="00000000">
      <w:pPr>
        <w:pStyle w:val="Normal1"/>
      </w:pPr>
      <w:r w:rsidRPr="00B72CF8">
        <w:lastRenderedPageBreak/>
        <w:t xml:space="preserve">                                                                                                         = £322,350.</w:t>
      </w:r>
    </w:p>
    <w:p w14:paraId="2DDA1326" w14:textId="77777777" w:rsidR="004C732B" w:rsidRPr="00B72CF8" w:rsidRDefault="00000000">
      <w:pPr>
        <w:pStyle w:val="Normal1"/>
        <w:numPr>
          <w:ilvl w:val="0"/>
          <w:numId w:val="1"/>
        </w:numPr>
      </w:pPr>
      <w:r w:rsidRPr="00B72CF8">
        <w:t xml:space="preserve">Administrative expenses= £(60,000 + 10,000) </w:t>
      </w:r>
    </w:p>
    <w:p w14:paraId="221D6336" w14:textId="77777777" w:rsidR="004C732B" w:rsidRPr="00B72CF8" w:rsidRDefault="00000000">
      <w:pPr>
        <w:pStyle w:val="Normal1"/>
      </w:pPr>
      <w:r w:rsidRPr="00B72CF8">
        <w:t xml:space="preserve">                                                    = £170,000. </w:t>
      </w:r>
    </w:p>
    <w:p w14:paraId="5C73D041" w14:textId="77777777" w:rsidR="004C732B" w:rsidRPr="00B72CF8" w:rsidRDefault="00000000">
      <w:pPr>
        <w:pStyle w:val="Normal1"/>
        <w:numPr>
          <w:ilvl w:val="0"/>
          <w:numId w:val="1"/>
        </w:numPr>
      </w:pPr>
      <w:r w:rsidRPr="00B72CF8">
        <w:t>Interest on Debenture= (£100,000 *4%)</w:t>
      </w:r>
    </w:p>
    <w:p w14:paraId="62092BF2" w14:textId="77777777" w:rsidR="004C732B" w:rsidRPr="00B72CF8" w:rsidRDefault="00000000">
      <w:pPr>
        <w:pStyle w:val="Normal1"/>
        <w:ind w:left="720"/>
      </w:pPr>
      <w:r w:rsidRPr="00B72CF8">
        <w:t xml:space="preserve">                                   = £4,000.</w:t>
      </w:r>
    </w:p>
    <w:p w14:paraId="14E7D70E" w14:textId="77777777" w:rsidR="004C732B" w:rsidRPr="00B72CF8" w:rsidRDefault="00000000">
      <w:pPr>
        <w:pStyle w:val="Normal1"/>
        <w:numPr>
          <w:ilvl w:val="0"/>
          <w:numId w:val="1"/>
        </w:numPr>
      </w:pPr>
      <w:r w:rsidRPr="00B72CF8">
        <w:t>Depreciation (on a straight-line basis)= £(650,000*10%)</w:t>
      </w:r>
    </w:p>
    <w:p w14:paraId="1D31FC65" w14:textId="77777777" w:rsidR="004C732B" w:rsidRPr="00B72CF8" w:rsidRDefault="00000000">
      <w:pPr>
        <w:pStyle w:val="Normal1"/>
        <w:ind w:left="720"/>
      </w:pPr>
      <w:r w:rsidRPr="00B72CF8">
        <w:t xml:space="preserve">                                                             = £65,000.</w:t>
      </w:r>
    </w:p>
    <w:p w14:paraId="21AC6D09" w14:textId="77777777" w:rsidR="004C732B" w:rsidRPr="00B72CF8" w:rsidRDefault="00000000">
      <w:pPr>
        <w:pStyle w:val="Normal1"/>
        <w:numPr>
          <w:ilvl w:val="0"/>
          <w:numId w:val="1"/>
        </w:numPr>
      </w:pPr>
      <w:r w:rsidRPr="00B72CF8">
        <w:t xml:space="preserve">Operating Profit (EBIT)= Gross Profit - Total Operating Expenses            </w:t>
      </w:r>
    </w:p>
    <w:p w14:paraId="6EDFAA8A" w14:textId="77777777" w:rsidR="004C732B" w:rsidRPr="00B72CF8" w:rsidRDefault="00000000">
      <w:pPr>
        <w:pStyle w:val="Normal1"/>
      </w:pPr>
      <w:r w:rsidRPr="00B72CF8">
        <w:t xml:space="preserve">                                                  = £322,350 - £274,000 </w:t>
      </w:r>
    </w:p>
    <w:p w14:paraId="159E59C9" w14:textId="77777777" w:rsidR="004C732B" w:rsidRPr="00B72CF8" w:rsidRDefault="00000000">
      <w:pPr>
        <w:pStyle w:val="Normal1"/>
      </w:pPr>
      <w:r w:rsidRPr="00B72CF8">
        <w:t xml:space="preserve">                                                  = £48,350.                    </w:t>
      </w:r>
    </w:p>
    <w:p w14:paraId="76E72BFD" w14:textId="77777777" w:rsidR="004C732B" w:rsidRPr="00B72CF8" w:rsidRDefault="00000000">
      <w:pPr>
        <w:pStyle w:val="Normal1"/>
        <w:numPr>
          <w:ilvl w:val="0"/>
          <w:numId w:val="1"/>
        </w:numPr>
      </w:pPr>
      <w:r w:rsidRPr="00B72CF8">
        <w:t xml:space="preserve"> Profit Before Tax (PBT)= Total Operating Profit - Total Expenses for Interest</w:t>
      </w:r>
    </w:p>
    <w:p w14:paraId="1D8F7D0D" w14:textId="77777777" w:rsidR="004C732B" w:rsidRPr="00B72CF8" w:rsidRDefault="00000000">
      <w:pPr>
        <w:pStyle w:val="Normal1"/>
        <w:ind w:left="720"/>
      </w:pPr>
      <w:r w:rsidRPr="00B72CF8">
        <w:t xml:space="preserve">                                        = £(48,350 - 2,000)</w:t>
      </w:r>
    </w:p>
    <w:p w14:paraId="24BD242E" w14:textId="77777777" w:rsidR="004C732B" w:rsidRPr="00B72CF8" w:rsidRDefault="00000000">
      <w:pPr>
        <w:pStyle w:val="Normal1"/>
        <w:ind w:left="720"/>
      </w:pPr>
      <w:r w:rsidRPr="00B72CF8">
        <w:t xml:space="preserve">                                        =  £46,350.</w:t>
      </w:r>
    </w:p>
    <w:p w14:paraId="0721C4FE" w14:textId="77777777" w:rsidR="004C732B" w:rsidRPr="00B72CF8" w:rsidRDefault="00000000">
      <w:pPr>
        <w:pStyle w:val="Normal1"/>
        <w:numPr>
          <w:ilvl w:val="0"/>
          <w:numId w:val="1"/>
        </w:numPr>
      </w:pPr>
      <w:r w:rsidRPr="00B72CF8">
        <w:t>PAT or Net Profit= PBT - Corporate Tax</w:t>
      </w:r>
    </w:p>
    <w:p w14:paraId="358EF44E" w14:textId="77777777" w:rsidR="004C732B" w:rsidRPr="00B72CF8" w:rsidRDefault="00000000">
      <w:pPr>
        <w:pStyle w:val="Normal1"/>
        <w:ind w:left="720"/>
      </w:pPr>
      <w:r w:rsidRPr="00B72CF8">
        <w:t xml:space="preserve">                           = £(46,350 - 15,000)</w:t>
      </w:r>
    </w:p>
    <w:p w14:paraId="483F185F" w14:textId="77777777" w:rsidR="004C732B" w:rsidRPr="00B72CF8" w:rsidRDefault="00000000">
      <w:pPr>
        <w:pStyle w:val="Normal1"/>
        <w:ind w:left="720"/>
      </w:pPr>
      <w:r w:rsidRPr="00B72CF8">
        <w:t xml:space="preserve">                          = £31,350.</w:t>
      </w:r>
    </w:p>
    <w:p w14:paraId="3796CBA7" w14:textId="77777777" w:rsidR="004C732B" w:rsidRPr="00B72CF8" w:rsidRDefault="00000000">
      <w:pPr>
        <w:pStyle w:val="Normal1"/>
      </w:pPr>
      <w:r w:rsidRPr="00B72CF8">
        <w:t>The above statement has provided the financial status and performance of Wales Plc for 31st December 2022. In their income statement, the gross profit of that certain period is calculated at £322,000 considering all the sales revenue and cost of goods sold. As the operating expenses the expenses for administration, remuneration of directors, distribution expenses, interest on debentures, equipment depreciation, and outstanding commission have been considered and estimated as the operating profit at £48,350. Thereafter the payment of interest of £2,000 has been considered to estimate the PBT of that specific year and the PBT is calculated at £46,350. In the last stage the income statement, the net profit of Wales Plc is revealed at £31,350 after considering the corporate tax amounted to £15,000.</w:t>
      </w:r>
    </w:p>
    <w:p w14:paraId="2F0FA906" w14:textId="77777777" w:rsidR="004C732B" w:rsidRPr="00B72CF8" w:rsidRDefault="00000000">
      <w:pPr>
        <w:pStyle w:val="Normal1"/>
      </w:pPr>
      <w:r w:rsidRPr="00B72CF8">
        <w:t>Considering the income statement and financial position statement of Sweet Plc for both 2021 and 2022, ten financial ratios have been computed below to analyse the liquidity, efficiency, and profitability of their business.</w:t>
      </w:r>
    </w:p>
    <w:p w14:paraId="06D41F7A" w14:textId="77777777" w:rsidR="004C732B" w:rsidRPr="00B72CF8" w:rsidRDefault="00000000">
      <w:pPr>
        <w:pStyle w:val="Normal1"/>
        <w:jc w:val="center"/>
        <w:rPr>
          <w:b/>
        </w:rPr>
      </w:pPr>
      <w:r w:rsidRPr="00B72CF8">
        <w:rPr>
          <w:b/>
          <w:noProof/>
        </w:rPr>
        <w:drawing>
          <wp:inline distT="114300" distB="114300" distL="114300" distR="114300" wp14:anchorId="40E8C0D2" wp14:editId="3C3A08FD">
            <wp:extent cx="4632488" cy="1220723"/>
            <wp:effectExtent l="12700" t="12700" r="12700" b="12700"/>
            <wp:docPr id="2" name="image10.png"/>
            <wp:cNvGraphicFramePr/>
            <a:graphic xmlns:a="http://schemas.openxmlformats.org/drawingml/2006/main">
              <a:graphicData uri="http://schemas.openxmlformats.org/drawingml/2006/picture">
                <pic:pic xmlns:pic="http://schemas.openxmlformats.org/drawingml/2006/picture">
                  <pic:nvPicPr>
                    <pic:cNvPr id="2" name="image10.png"/>
                    <pic:cNvPicPr/>
                  </pic:nvPicPr>
                  <pic:blipFill>
                    <a:blip r:embed="rId9"/>
                    <a:stretch>
                      <a:fillRect/>
                    </a:stretch>
                  </pic:blipFill>
                  <pic:spPr>
                    <a:xfrm>
                      <a:off x="0" y="0"/>
                      <a:ext cx="4632488" cy="1220723"/>
                    </a:xfrm>
                    <a:prstGeom prst="rect">
                      <a:avLst/>
                    </a:prstGeom>
                    <a:ln w="12700">
                      <a:solidFill>
                        <a:srgbClr val="000000"/>
                      </a:solidFill>
                      <a:prstDash val="solid"/>
                    </a:ln>
                  </pic:spPr>
                </pic:pic>
              </a:graphicData>
            </a:graphic>
          </wp:inline>
        </w:drawing>
      </w:r>
    </w:p>
    <w:p w14:paraId="12C84C10" w14:textId="77777777" w:rsidR="004C732B" w:rsidRPr="00B72CF8" w:rsidRDefault="00000000">
      <w:pPr>
        <w:pStyle w:val="Normal1"/>
        <w:jc w:val="center"/>
        <w:rPr>
          <w:b/>
        </w:rPr>
      </w:pPr>
      <w:r w:rsidRPr="00B72CF8">
        <w:rPr>
          <w:b/>
        </w:rPr>
        <w:lastRenderedPageBreak/>
        <w:t>Table 2: ROCE Ratio</w:t>
      </w:r>
    </w:p>
    <w:p w14:paraId="291AB2E4" w14:textId="77777777" w:rsidR="004C732B" w:rsidRPr="00B72CF8" w:rsidRDefault="00000000">
      <w:pPr>
        <w:pStyle w:val="Normal1"/>
        <w:jc w:val="center"/>
        <w:rPr>
          <w:b/>
        </w:rPr>
      </w:pPr>
      <w:r w:rsidRPr="00B72CF8">
        <w:t>(Source: Own-prepared, 2023)</w:t>
      </w:r>
    </w:p>
    <w:p w14:paraId="004DADB3" w14:textId="77777777" w:rsidR="004C732B" w:rsidRPr="00B72CF8" w:rsidRDefault="00000000">
      <w:pPr>
        <w:pStyle w:val="Normal1"/>
        <w:jc w:val="center"/>
        <w:rPr>
          <w:b/>
        </w:rPr>
      </w:pPr>
      <w:r w:rsidRPr="00B72CF8">
        <w:rPr>
          <w:b/>
          <w:noProof/>
        </w:rPr>
        <w:drawing>
          <wp:inline distT="114300" distB="114300" distL="114300" distR="114300" wp14:anchorId="19779D71" wp14:editId="1CDFAF20">
            <wp:extent cx="4900613" cy="1229278"/>
            <wp:effectExtent l="12700" t="12700" r="12700" b="12700"/>
            <wp:docPr id="10" name="image3.png"/>
            <wp:cNvGraphicFramePr/>
            <a:graphic xmlns:a="http://schemas.openxmlformats.org/drawingml/2006/main">
              <a:graphicData uri="http://schemas.openxmlformats.org/drawingml/2006/picture">
                <pic:pic xmlns:pic="http://schemas.openxmlformats.org/drawingml/2006/picture">
                  <pic:nvPicPr>
                    <pic:cNvPr id="10" name="image3.png"/>
                    <pic:cNvPicPr/>
                  </pic:nvPicPr>
                  <pic:blipFill>
                    <a:blip r:embed="rId10"/>
                    <a:stretch>
                      <a:fillRect/>
                    </a:stretch>
                  </pic:blipFill>
                  <pic:spPr>
                    <a:xfrm>
                      <a:off x="0" y="0"/>
                      <a:ext cx="4900613" cy="1229278"/>
                    </a:xfrm>
                    <a:prstGeom prst="rect">
                      <a:avLst/>
                    </a:prstGeom>
                    <a:ln w="12700">
                      <a:solidFill>
                        <a:srgbClr val="000000"/>
                      </a:solidFill>
                      <a:prstDash val="solid"/>
                    </a:ln>
                  </pic:spPr>
                </pic:pic>
              </a:graphicData>
            </a:graphic>
          </wp:inline>
        </w:drawing>
      </w:r>
    </w:p>
    <w:p w14:paraId="3F0D4979" w14:textId="77777777" w:rsidR="004C732B" w:rsidRPr="00B72CF8" w:rsidRDefault="00000000">
      <w:pPr>
        <w:pStyle w:val="Normal1"/>
        <w:jc w:val="center"/>
        <w:rPr>
          <w:b/>
        </w:rPr>
      </w:pPr>
      <w:r w:rsidRPr="00B72CF8">
        <w:rPr>
          <w:b/>
        </w:rPr>
        <w:t>Table 3: ROE Ratio</w:t>
      </w:r>
    </w:p>
    <w:p w14:paraId="7BC88F8E" w14:textId="77777777" w:rsidR="004C732B" w:rsidRPr="00B72CF8" w:rsidRDefault="00000000">
      <w:pPr>
        <w:pStyle w:val="Normal1"/>
        <w:jc w:val="center"/>
        <w:rPr>
          <w:b/>
        </w:rPr>
      </w:pPr>
      <w:r w:rsidRPr="00B72CF8">
        <w:t>(Source: Own-prepared, 2023)</w:t>
      </w:r>
    </w:p>
    <w:p w14:paraId="583838B0" w14:textId="77777777" w:rsidR="004C732B" w:rsidRPr="00B72CF8" w:rsidRDefault="00000000">
      <w:pPr>
        <w:pStyle w:val="Normal1"/>
        <w:jc w:val="center"/>
        <w:rPr>
          <w:b/>
        </w:rPr>
      </w:pPr>
      <w:r w:rsidRPr="00B72CF8">
        <w:rPr>
          <w:b/>
          <w:noProof/>
        </w:rPr>
        <w:drawing>
          <wp:inline distT="114300" distB="114300" distL="114300" distR="114300" wp14:anchorId="4C4E2582" wp14:editId="6D01BF9F">
            <wp:extent cx="4584863" cy="1215918"/>
            <wp:effectExtent l="12700" t="12700" r="12700" b="12700"/>
            <wp:docPr id="7" name="image11.png"/>
            <wp:cNvGraphicFramePr/>
            <a:graphic xmlns:a="http://schemas.openxmlformats.org/drawingml/2006/main">
              <a:graphicData uri="http://schemas.openxmlformats.org/drawingml/2006/picture">
                <pic:pic xmlns:pic="http://schemas.openxmlformats.org/drawingml/2006/picture">
                  <pic:nvPicPr>
                    <pic:cNvPr id="7" name="image11.png"/>
                    <pic:cNvPicPr/>
                  </pic:nvPicPr>
                  <pic:blipFill>
                    <a:blip r:embed="rId11"/>
                    <a:stretch>
                      <a:fillRect/>
                    </a:stretch>
                  </pic:blipFill>
                  <pic:spPr>
                    <a:xfrm>
                      <a:off x="0" y="0"/>
                      <a:ext cx="4584863" cy="1215918"/>
                    </a:xfrm>
                    <a:prstGeom prst="rect">
                      <a:avLst/>
                    </a:prstGeom>
                    <a:ln w="12700">
                      <a:solidFill>
                        <a:srgbClr val="000000"/>
                      </a:solidFill>
                      <a:prstDash val="solid"/>
                    </a:ln>
                  </pic:spPr>
                </pic:pic>
              </a:graphicData>
            </a:graphic>
          </wp:inline>
        </w:drawing>
      </w:r>
    </w:p>
    <w:p w14:paraId="7FE3ACBF" w14:textId="77777777" w:rsidR="004C732B" w:rsidRPr="00B72CF8" w:rsidRDefault="00000000">
      <w:pPr>
        <w:pStyle w:val="Normal1"/>
        <w:jc w:val="center"/>
        <w:rPr>
          <w:b/>
        </w:rPr>
      </w:pPr>
      <w:r w:rsidRPr="00B72CF8">
        <w:rPr>
          <w:b/>
        </w:rPr>
        <w:t>Table 4: Earnings per Share</w:t>
      </w:r>
    </w:p>
    <w:p w14:paraId="5C672268" w14:textId="77777777" w:rsidR="004C732B" w:rsidRPr="00B72CF8" w:rsidRDefault="00000000">
      <w:pPr>
        <w:pStyle w:val="Normal1"/>
        <w:jc w:val="center"/>
        <w:rPr>
          <w:b/>
        </w:rPr>
      </w:pPr>
      <w:r w:rsidRPr="00B72CF8">
        <w:t>(Source: Own-prepared, 2023)</w:t>
      </w:r>
    </w:p>
    <w:p w14:paraId="7B9FD5E8" w14:textId="77777777" w:rsidR="004C732B" w:rsidRPr="00B72CF8" w:rsidRDefault="00000000">
      <w:pPr>
        <w:pStyle w:val="Normal1"/>
        <w:jc w:val="center"/>
        <w:rPr>
          <w:b/>
        </w:rPr>
      </w:pPr>
      <w:r w:rsidRPr="00B72CF8">
        <w:rPr>
          <w:b/>
          <w:noProof/>
        </w:rPr>
        <w:drawing>
          <wp:inline distT="114300" distB="114300" distL="114300" distR="114300" wp14:anchorId="772116F7" wp14:editId="4B7B0AA0">
            <wp:extent cx="4414838" cy="1223029"/>
            <wp:effectExtent l="12700" t="12700" r="12700" b="1270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12"/>
                    <a:stretch>
                      <a:fillRect/>
                    </a:stretch>
                  </pic:blipFill>
                  <pic:spPr>
                    <a:xfrm>
                      <a:off x="0" y="0"/>
                      <a:ext cx="4414838" cy="1223029"/>
                    </a:xfrm>
                    <a:prstGeom prst="rect">
                      <a:avLst/>
                    </a:prstGeom>
                    <a:ln w="12700">
                      <a:solidFill>
                        <a:srgbClr val="000000"/>
                      </a:solidFill>
                      <a:prstDash val="solid"/>
                    </a:ln>
                  </pic:spPr>
                </pic:pic>
              </a:graphicData>
            </a:graphic>
          </wp:inline>
        </w:drawing>
      </w:r>
    </w:p>
    <w:p w14:paraId="3DDE1539" w14:textId="77777777" w:rsidR="004C732B" w:rsidRPr="00B72CF8" w:rsidRDefault="00000000">
      <w:pPr>
        <w:pStyle w:val="Normal1"/>
        <w:jc w:val="center"/>
        <w:rPr>
          <w:b/>
        </w:rPr>
      </w:pPr>
      <w:r w:rsidRPr="00B72CF8">
        <w:rPr>
          <w:b/>
        </w:rPr>
        <w:t>Table 5: Net Profit Ratio</w:t>
      </w:r>
    </w:p>
    <w:p w14:paraId="0BE113F0" w14:textId="77777777" w:rsidR="004C732B" w:rsidRPr="00B72CF8" w:rsidRDefault="00000000">
      <w:pPr>
        <w:pStyle w:val="Normal1"/>
        <w:jc w:val="center"/>
        <w:rPr>
          <w:b/>
        </w:rPr>
      </w:pPr>
      <w:r w:rsidRPr="00B72CF8">
        <w:t>(Source: Own-prepared, 2023)</w:t>
      </w:r>
    </w:p>
    <w:p w14:paraId="54C684B3" w14:textId="77777777" w:rsidR="004C732B" w:rsidRPr="00B72CF8" w:rsidRDefault="00000000">
      <w:pPr>
        <w:pStyle w:val="Normal1"/>
        <w:jc w:val="center"/>
        <w:rPr>
          <w:b/>
        </w:rPr>
      </w:pPr>
      <w:r w:rsidRPr="00B72CF8">
        <w:rPr>
          <w:b/>
          <w:noProof/>
        </w:rPr>
        <w:drawing>
          <wp:inline distT="114300" distB="114300" distL="114300" distR="114300" wp14:anchorId="4A537092" wp14:editId="7E125FB6">
            <wp:extent cx="4452938" cy="1272268"/>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3"/>
                    <a:stretch>
                      <a:fillRect/>
                    </a:stretch>
                  </pic:blipFill>
                  <pic:spPr>
                    <a:xfrm>
                      <a:off x="0" y="0"/>
                      <a:ext cx="4452938" cy="1272268"/>
                    </a:xfrm>
                    <a:prstGeom prst="rect">
                      <a:avLst/>
                    </a:prstGeom>
                    <a:ln w="12700">
                      <a:solidFill>
                        <a:srgbClr val="000000"/>
                      </a:solidFill>
                      <a:prstDash val="solid"/>
                    </a:ln>
                  </pic:spPr>
                </pic:pic>
              </a:graphicData>
            </a:graphic>
          </wp:inline>
        </w:drawing>
      </w:r>
    </w:p>
    <w:p w14:paraId="5EDDAECD" w14:textId="77777777" w:rsidR="004C732B" w:rsidRPr="00B72CF8" w:rsidRDefault="00000000">
      <w:pPr>
        <w:pStyle w:val="Normal1"/>
        <w:jc w:val="center"/>
        <w:rPr>
          <w:b/>
        </w:rPr>
      </w:pPr>
      <w:r w:rsidRPr="00B72CF8">
        <w:rPr>
          <w:b/>
        </w:rPr>
        <w:t>Table 6: Assets Turnover Ratio</w:t>
      </w:r>
    </w:p>
    <w:p w14:paraId="7987DE43" w14:textId="77777777" w:rsidR="004C732B" w:rsidRPr="00B72CF8" w:rsidRDefault="00000000">
      <w:pPr>
        <w:pStyle w:val="Normal1"/>
        <w:jc w:val="center"/>
        <w:rPr>
          <w:b/>
        </w:rPr>
      </w:pPr>
      <w:r w:rsidRPr="00B72CF8">
        <w:t>(Source: Own-prepared, 2023)</w:t>
      </w:r>
    </w:p>
    <w:p w14:paraId="6C66B0D7" w14:textId="77777777" w:rsidR="004C732B" w:rsidRPr="00B72CF8" w:rsidRDefault="00000000">
      <w:pPr>
        <w:pStyle w:val="Normal1"/>
        <w:jc w:val="center"/>
        <w:rPr>
          <w:b/>
        </w:rPr>
      </w:pPr>
      <w:r w:rsidRPr="00B72CF8">
        <w:rPr>
          <w:b/>
          <w:noProof/>
        </w:rPr>
        <w:lastRenderedPageBreak/>
        <w:drawing>
          <wp:inline distT="114300" distB="114300" distL="114300" distR="114300" wp14:anchorId="21EEBEAF" wp14:editId="5F15F2E6">
            <wp:extent cx="4905375" cy="1160673"/>
            <wp:effectExtent l="12700" t="12700" r="12700" b="12700"/>
            <wp:docPr id="6" name="image9.png"/>
            <wp:cNvGraphicFramePr/>
            <a:graphic xmlns:a="http://schemas.openxmlformats.org/drawingml/2006/main">
              <a:graphicData uri="http://schemas.openxmlformats.org/drawingml/2006/picture">
                <pic:pic xmlns:pic="http://schemas.openxmlformats.org/drawingml/2006/picture">
                  <pic:nvPicPr>
                    <pic:cNvPr id="6" name="image9.png"/>
                    <pic:cNvPicPr/>
                  </pic:nvPicPr>
                  <pic:blipFill>
                    <a:blip r:embed="rId14"/>
                    <a:srcRect t="3289"/>
                    <a:stretch>
                      <a:fillRect/>
                    </a:stretch>
                  </pic:blipFill>
                  <pic:spPr>
                    <a:xfrm>
                      <a:off x="0" y="0"/>
                      <a:ext cx="4905375" cy="1160673"/>
                    </a:xfrm>
                    <a:prstGeom prst="rect">
                      <a:avLst/>
                    </a:prstGeom>
                    <a:ln w="12700">
                      <a:solidFill>
                        <a:srgbClr val="000000"/>
                      </a:solidFill>
                      <a:prstDash val="solid"/>
                    </a:ln>
                  </pic:spPr>
                </pic:pic>
              </a:graphicData>
            </a:graphic>
          </wp:inline>
        </w:drawing>
      </w:r>
    </w:p>
    <w:p w14:paraId="3A9B15BA" w14:textId="77777777" w:rsidR="004C732B" w:rsidRPr="00B72CF8" w:rsidRDefault="00000000">
      <w:pPr>
        <w:pStyle w:val="Normal1"/>
        <w:jc w:val="center"/>
        <w:rPr>
          <w:b/>
        </w:rPr>
      </w:pPr>
      <w:r w:rsidRPr="00B72CF8">
        <w:rPr>
          <w:b/>
        </w:rPr>
        <w:t>Table 7: Stockholding Day</w:t>
      </w:r>
    </w:p>
    <w:p w14:paraId="6A9D5084" w14:textId="77777777" w:rsidR="004C732B" w:rsidRPr="00B72CF8" w:rsidRDefault="00000000">
      <w:pPr>
        <w:pStyle w:val="Normal1"/>
        <w:jc w:val="center"/>
        <w:rPr>
          <w:b/>
        </w:rPr>
      </w:pPr>
      <w:r w:rsidRPr="00B72CF8">
        <w:t>(Source: Own-prepared, 2023)</w:t>
      </w:r>
    </w:p>
    <w:p w14:paraId="3026D0E4" w14:textId="77777777" w:rsidR="004C732B" w:rsidRPr="00B72CF8" w:rsidRDefault="00000000">
      <w:pPr>
        <w:pStyle w:val="Normal1"/>
        <w:jc w:val="center"/>
        <w:rPr>
          <w:b/>
        </w:rPr>
      </w:pPr>
      <w:r w:rsidRPr="00B72CF8">
        <w:rPr>
          <w:b/>
          <w:noProof/>
        </w:rPr>
        <w:drawing>
          <wp:inline distT="114300" distB="114300" distL="114300" distR="114300" wp14:anchorId="68144BA7" wp14:editId="6DA7274C">
            <wp:extent cx="4719638" cy="1193744"/>
            <wp:effectExtent l="12700" t="12700" r="12700" b="12700"/>
            <wp:docPr id="11" name="image2.png"/>
            <wp:cNvGraphicFramePr/>
            <a:graphic xmlns:a="http://schemas.openxmlformats.org/drawingml/2006/main">
              <a:graphicData uri="http://schemas.openxmlformats.org/drawingml/2006/picture">
                <pic:pic xmlns:pic="http://schemas.openxmlformats.org/drawingml/2006/picture">
                  <pic:nvPicPr>
                    <pic:cNvPr id="11" name="image2.png"/>
                    <pic:cNvPicPr/>
                  </pic:nvPicPr>
                  <pic:blipFill>
                    <a:blip r:embed="rId15"/>
                    <a:srcRect l="830"/>
                    <a:stretch>
                      <a:fillRect/>
                    </a:stretch>
                  </pic:blipFill>
                  <pic:spPr>
                    <a:xfrm>
                      <a:off x="0" y="0"/>
                      <a:ext cx="4719638" cy="1193744"/>
                    </a:xfrm>
                    <a:prstGeom prst="rect">
                      <a:avLst/>
                    </a:prstGeom>
                    <a:ln w="12700">
                      <a:solidFill>
                        <a:srgbClr val="000000"/>
                      </a:solidFill>
                      <a:prstDash val="solid"/>
                    </a:ln>
                  </pic:spPr>
                </pic:pic>
              </a:graphicData>
            </a:graphic>
          </wp:inline>
        </w:drawing>
      </w:r>
    </w:p>
    <w:p w14:paraId="5C2874BF" w14:textId="77777777" w:rsidR="004C732B" w:rsidRPr="00B72CF8" w:rsidRDefault="00000000">
      <w:pPr>
        <w:pStyle w:val="Normal1"/>
        <w:jc w:val="center"/>
        <w:rPr>
          <w:b/>
        </w:rPr>
      </w:pPr>
      <w:r w:rsidRPr="00B72CF8">
        <w:rPr>
          <w:b/>
        </w:rPr>
        <w:t>Table 8: Debtor Collection Period</w:t>
      </w:r>
    </w:p>
    <w:p w14:paraId="1713ACE3" w14:textId="77777777" w:rsidR="004C732B" w:rsidRPr="00B72CF8" w:rsidRDefault="00000000">
      <w:pPr>
        <w:pStyle w:val="Normal1"/>
        <w:jc w:val="center"/>
        <w:rPr>
          <w:b/>
        </w:rPr>
      </w:pPr>
      <w:r w:rsidRPr="00B72CF8">
        <w:t>(Source: Own-prepared, 2023)</w:t>
      </w:r>
    </w:p>
    <w:p w14:paraId="68DC50B6" w14:textId="77777777" w:rsidR="004C732B" w:rsidRPr="00B72CF8" w:rsidRDefault="00000000">
      <w:pPr>
        <w:pStyle w:val="Normal1"/>
        <w:jc w:val="center"/>
        <w:rPr>
          <w:b/>
        </w:rPr>
      </w:pPr>
      <w:r w:rsidRPr="00B72CF8">
        <w:rPr>
          <w:b/>
          <w:noProof/>
        </w:rPr>
        <w:drawing>
          <wp:inline distT="114300" distB="114300" distL="114300" distR="114300" wp14:anchorId="409B8273" wp14:editId="28E848BA">
            <wp:extent cx="4329113" cy="112183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6"/>
                    <a:stretch>
                      <a:fillRect/>
                    </a:stretch>
                  </pic:blipFill>
                  <pic:spPr>
                    <a:xfrm>
                      <a:off x="0" y="0"/>
                      <a:ext cx="4329113" cy="1121830"/>
                    </a:xfrm>
                    <a:prstGeom prst="rect">
                      <a:avLst/>
                    </a:prstGeom>
                    <a:ln w="12700">
                      <a:solidFill>
                        <a:srgbClr val="000000"/>
                      </a:solidFill>
                      <a:prstDash val="solid"/>
                    </a:ln>
                  </pic:spPr>
                </pic:pic>
              </a:graphicData>
            </a:graphic>
          </wp:inline>
        </w:drawing>
      </w:r>
    </w:p>
    <w:p w14:paraId="6711448F" w14:textId="77777777" w:rsidR="004C732B" w:rsidRPr="00B72CF8" w:rsidRDefault="00000000">
      <w:pPr>
        <w:pStyle w:val="Normal1"/>
        <w:jc w:val="center"/>
        <w:rPr>
          <w:b/>
        </w:rPr>
      </w:pPr>
      <w:r w:rsidRPr="00B72CF8">
        <w:rPr>
          <w:b/>
        </w:rPr>
        <w:t>Table 9: Current Ratio</w:t>
      </w:r>
    </w:p>
    <w:p w14:paraId="1C80181D" w14:textId="77777777" w:rsidR="004C732B" w:rsidRPr="00B72CF8" w:rsidRDefault="00000000">
      <w:pPr>
        <w:pStyle w:val="Normal1"/>
        <w:jc w:val="center"/>
        <w:rPr>
          <w:b/>
        </w:rPr>
      </w:pPr>
      <w:r w:rsidRPr="00B72CF8">
        <w:t>(Source: Own-prepared, 2023)</w:t>
      </w:r>
    </w:p>
    <w:p w14:paraId="7929D52B" w14:textId="77777777" w:rsidR="004C732B" w:rsidRPr="00B72CF8" w:rsidRDefault="00000000">
      <w:pPr>
        <w:pStyle w:val="Normal1"/>
        <w:jc w:val="center"/>
        <w:rPr>
          <w:b/>
        </w:rPr>
      </w:pPr>
      <w:r w:rsidRPr="00B72CF8">
        <w:rPr>
          <w:b/>
          <w:noProof/>
        </w:rPr>
        <w:drawing>
          <wp:inline distT="114300" distB="114300" distL="114300" distR="114300" wp14:anchorId="723ABDF7" wp14:editId="5296A7FD">
            <wp:extent cx="4368296" cy="1265300"/>
            <wp:effectExtent l="12700" t="12700" r="12700" b="12700"/>
            <wp:docPr id="9" name="image4.png"/>
            <wp:cNvGraphicFramePr/>
            <a:graphic xmlns:a="http://schemas.openxmlformats.org/drawingml/2006/main">
              <a:graphicData uri="http://schemas.openxmlformats.org/drawingml/2006/picture">
                <pic:pic xmlns:pic="http://schemas.openxmlformats.org/drawingml/2006/picture">
                  <pic:nvPicPr>
                    <pic:cNvPr id="9" name="image4.png"/>
                    <pic:cNvPicPr/>
                  </pic:nvPicPr>
                  <pic:blipFill>
                    <a:blip r:embed="rId17"/>
                    <a:srcRect l="929"/>
                    <a:stretch>
                      <a:fillRect/>
                    </a:stretch>
                  </pic:blipFill>
                  <pic:spPr>
                    <a:xfrm>
                      <a:off x="0" y="0"/>
                      <a:ext cx="4368296" cy="1265300"/>
                    </a:xfrm>
                    <a:prstGeom prst="rect">
                      <a:avLst/>
                    </a:prstGeom>
                    <a:ln w="12700">
                      <a:solidFill>
                        <a:srgbClr val="000000"/>
                      </a:solidFill>
                      <a:prstDash val="solid"/>
                    </a:ln>
                  </pic:spPr>
                </pic:pic>
              </a:graphicData>
            </a:graphic>
          </wp:inline>
        </w:drawing>
      </w:r>
    </w:p>
    <w:p w14:paraId="54E3BB25" w14:textId="77777777" w:rsidR="004C732B" w:rsidRPr="00B72CF8" w:rsidRDefault="00000000">
      <w:pPr>
        <w:pStyle w:val="Normal1"/>
        <w:jc w:val="center"/>
        <w:rPr>
          <w:b/>
        </w:rPr>
      </w:pPr>
      <w:r w:rsidRPr="00B72CF8">
        <w:rPr>
          <w:b/>
        </w:rPr>
        <w:t>Table 10: Gearing Ratio</w:t>
      </w:r>
    </w:p>
    <w:p w14:paraId="3F8F6344" w14:textId="77777777" w:rsidR="004C732B" w:rsidRPr="00B72CF8" w:rsidRDefault="00000000">
      <w:pPr>
        <w:pStyle w:val="Normal1"/>
        <w:jc w:val="center"/>
        <w:rPr>
          <w:b/>
        </w:rPr>
      </w:pPr>
      <w:r w:rsidRPr="00B72CF8">
        <w:t>(Source: Own-prepared, 2023)</w:t>
      </w:r>
    </w:p>
    <w:p w14:paraId="7AE005F6" w14:textId="77777777" w:rsidR="004C732B" w:rsidRPr="00B72CF8" w:rsidRDefault="00000000">
      <w:pPr>
        <w:pStyle w:val="Normal1"/>
        <w:jc w:val="center"/>
        <w:rPr>
          <w:b/>
        </w:rPr>
      </w:pPr>
      <w:r w:rsidRPr="00B72CF8">
        <w:rPr>
          <w:b/>
          <w:noProof/>
        </w:rPr>
        <w:drawing>
          <wp:inline distT="114300" distB="114300" distL="114300" distR="114300" wp14:anchorId="78B7671A" wp14:editId="2EFB5A9D">
            <wp:extent cx="4633778" cy="1298302"/>
            <wp:effectExtent l="12700" t="12700" r="12700" b="12700"/>
            <wp:docPr id="4" name="image8.png"/>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18"/>
                    <a:stretch>
                      <a:fillRect/>
                    </a:stretch>
                  </pic:blipFill>
                  <pic:spPr>
                    <a:xfrm>
                      <a:off x="0" y="0"/>
                      <a:ext cx="4633778" cy="1298302"/>
                    </a:xfrm>
                    <a:prstGeom prst="rect">
                      <a:avLst/>
                    </a:prstGeom>
                    <a:ln w="12700">
                      <a:solidFill>
                        <a:srgbClr val="000000"/>
                      </a:solidFill>
                      <a:prstDash val="solid"/>
                    </a:ln>
                  </pic:spPr>
                </pic:pic>
              </a:graphicData>
            </a:graphic>
          </wp:inline>
        </w:drawing>
      </w:r>
    </w:p>
    <w:p w14:paraId="7F519B89" w14:textId="77777777" w:rsidR="004C732B" w:rsidRPr="00B72CF8" w:rsidRDefault="00000000">
      <w:pPr>
        <w:pStyle w:val="Normal1"/>
        <w:jc w:val="center"/>
        <w:rPr>
          <w:b/>
        </w:rPr>
      </w:pPr>
      <w:r w:rsidRPr="00B72CF8">
        <w:rPr>
          <w:b/>
        </w:rPr>
        <w:lastRenderedPageBreak/>
        <w:t>Table 11: Interest Coverage Ratio</w:t>
      </w:r>
    </w:p>
    <w:p w14:paraId="78C8C9A2" w14:textId="77777777" w:rsidR="004C732B" w:rsidRPr="00B72CF8" w:rsidRDefault="00000000">
      <w:pPr>
        <w:pStyle w:val="Normal1"/>
        <w:jc w:val="center"/>
      </w:pPr>
      <w:r w:rsidRPr="00B72CF8">
        <w:t>(Source: Own-prepared, 2023)</w:t>
      </w:r>
    </w:p>
    <w:p w14:paraId="49EC3739" w14:textId="77777777" w:rsidR="004C732B" w:rsidRPr="00B72CF8" w:rsidRDefault="00000000">
      <w:pPr>
        <w:pStyle w:val="Normal1"/>
      </w:pPr>
      <w:r w:rsidRPr="00B72CF8">
        <w:t xml:space="preserve">The </w:t>
      </w:r>
      <w:r w:rsidRPr="00B72CF8">
        <w:rPr>
          <w:b/>
        </w:rPr>
        <w:t xml:space="preserve">ROCE </w:t>
      </w:r>
      <w:r w:rsidRPr="00B72CF8">
        <w:t>is a kind of financial ratio that can measure the company’s efficiency in generating profit with the effective utilisation of capital. Sometimes this ratio is addressed as the primary ratio. Fundamentally it is an indicator of business efficiency that can state the profit generation by each currency unit (</w:t>
      </w:r>
      <w:r w:rsidRPr="00B72CF8">
        <w:rPr>
          <w:highlight w:val="white"/>
        </w:rPr>
        <w:t>Lisek</w:t>
      </w:r>
      <w:r w:rsidRPr="00B72CF8">
        <w:rPr>
          <w:i/>
          <w:highlight w:val="white"/>
        </w:rPr>
        <w:t xml:space="preserve"> et al.</w:t>
      </w:r>
      <w:r w:rsidRPr="00B72CF8">
        <w:rPr>
          <w:highlight w:val="white"/>
        </w:rPr>
        <w:t xml:space="preserve"> 2020)</w:t>
      </w:r>
      <w:r w:rsidRPr="00B72CF8">
        <w:t xml:space="preserve">. The ROCE ratio of Sweet Plc is evaluated at 10% for 2021 and 11% for 2022. As the high ROCE ratio is preferred, it can be stated that Sweet Plc has performed better in 2022 compared to 2021 by using its capital to generate the profit of that particular year. </w:t>
      </w:r>
    </w:p>
    <w:p w14:paraId="060F6ACA" w14:textId="77777777" w:rsidR="004C732B" w:rsidRPr="00B72CF8" w:rsidRDefault="00000000">
      <w:pPr>
        <w:pStyle w:val="Normal1"/>
      </w:pPr>
      <w:r w:rsidRPr="00B72CF8">
        <w:t xml:space="preserve">The </w:t>
      </w:r>
      <w:r w:rsidRPr="00B72CF8">
        <w:rPr>
          <w:b/>
        </w:rPr>
        <w:t xml:space="preserve">ROE </w:t>
      </w:r>
      <w:r w:rsidRPr="00B72CF8">
        <w:t>ratio is an important ratio that can measure the profitability of a business regarding its shareholder's equity. This ratio is particularly useful for the investors and potential investors of a business to understand how efficiently the business uses its money to generate profit. This ratio can also assist in understanding the ability of the company’s management to control the contributed amount of investors (</w:t>
      </w:r>
      <w:r w:rsidRPr="00B72CF8">
        <w:rPr>
          <w:highlight w:val="white"/>
        </w:rPr>
        <w:t>Mao, 2023)</w:t>
      </w:r>
      <w:r w:rsidRPr="00B72CF8">
        <w:t xml:space="preserve">. The ROE ratio of Sweet Plc is evaluated at 13% for 2021 and 14% for 2022. As the high ROE is considered better, it can be stated that the performance of Sweet Plc is better in 2022 in utilising its equity funds to generate profit compared to 2021. </w:t>
      </w:r>
    </w:p>
    <w:p w14:paraId="18807C23" w14:textId="77777777" w:rsidR="004C732B" w:rsidRPr="00B72CF8" w:rsidRDefault="00000000">
      <w:pPr>
        <w:pStyle w:val="Normal1"/>
      </w:pPr>
      <w:r w:rsidRPr="00B72CF8">
        <w:t xml:space="preserve">The </w:t>
      </w:r>
      <w:r w:rsidRPr="00B72CF8">
        <w:rPr>
          <w:b/>
        </w:rPr>
        <w:t xml:space="preserve">earnings per share </w:t>
      </w:r>
      <w:r w:rsidRPr="00B72CF8">
        <w:t>is an accounting metric that can indicate the profitability of any company. Fundamentally, the EPS is treated as the portion of the profit of the business that is allocated to the outstanding shares of each common stock. In the wider sense, An EPS can measure the company’s value. Through analysing the EPS the investors can understand the company’s capability (</w:t>
      </w:r>
      <w:r w:rsidRPr="00B72CF8">
        <w:rPr>
          <w:highlight w:val="white"/>
        </w:rPr>
        <w:t>Sunaryo, 2022)</w:t>
      </w:r>
      <w:r w:rsidRPr="00B72CF8">
        <w:t xml:space="preserve">. The EPS of Sweet Plc is evaluated at 122% for 2021 and 144% for 2022. As high EPS is treated as better, it can be stated that the financial performance of Sweet Plc is much better in 2022 than in 2021. Therefore, it is understood that Sweet Plc’s financial status is more satisfied reading their provided EPS to the shareholders. </w:t>
      </w:r>
    </w:p>
    <w:p w14:paraId="1426F966" w14:textId="73D888A1" w:rsidR="004C732B" w:rsidRPr="00B72CF8" w:rsidRDefault="00000000">
      <w:pPr>
        <w:pStyle w:val="Normal1"/>
      </w:pPr>
      <w:r w:rsidRPr="00B72CF8">
        <w:t xml:space="preserve">The </w:t>
      </w:r>
      <w:r w:rsidRPr="00B72CF8">
        <w:rPr>
          <w:b/>
        </w:rPr>
        <w:t>net profit margin</w:t>
      </w:r>
      <w:r w:rsidRPr="00B72CF8">
        <w:t xml:space="preserve"> can measure the profit percentage of any business that is generated from its total revenue at that specific time. This ratio is also known as the return on sales ratio or the margin of net income. This ratio can reveal the profitability of the business after considering the payments of all the relevant operating expenses, depreciation, amortisation, interest, and, income taxes (</w:t>
      </w:r>
      <w:r w:rsidR="00EC6857" w:rsidRPr="00B72CF8">
        <w:rPr>
          <w:shd w:val="clear" w:color="auto" w:fill="FFFFFF"/>
        </w:rPr>
        <w:t>Astuti</w:t>
      </w:r>
      <w:r w:rsidR="00EC6857" w:rsidRPr="00B72CF8">
        <w:rPr>
          <w:i/>
          <w:highlight w:val="white"/>
        </w:rPr>
        <w:t xml:space="preserve">, </w:t>
      </w:r>
      <w:r w:rsidRPr="00B72CF8">
        <w:rPr>
          <w:highlight w:val="white"/>
        </w:rPr>
        <w:t>2021)</w:t>
      </w:r>
      <w:r w:rsidRPr="00B72CF8">
        <w:t>. The net profit ratio of Sweet Plc is evaluated at 5.7% for 2021 and 6.4% for 2022. The higher net profit always indicates the financial status. Therefore, it can be stated that in 2022 Sweet Plc performed better in developing its revenue and controlling its operating expenses compared to 2021.</w:t>
      </w:r>
    </w:p>
    <w:p w14:paraId="363A77C0" w14:textId="77777777" w:rsidR="004C732B" w:rsidRPr="00B72CF8" w:rsidRDefault="00000000">
      <w:pPr>
        <w:pStyle w:val="Normal1"/>
      </w:pPr>
      <w:r w:rsidRPr="00B72CF8">
        <w:lastRenderedPageBreak/>
        <w:t xml:space="preserve">The </w:t>
      </w:r>
      <w:r w:rsidRPr="00B72CF8">
        <w:rPr>
          <w:b/>
        </w:rPr>
        <w:t xml:space="preserve">asset turnover </w:t>
      </w:r>
      <w:r w:rsidRPr="00B72CF8">
        <w:t>ratio is the measurement of the ability of a business to use its assets to generate sales or revenue. This ratio can show the efficiency of a business in efficiently using its resources to generate sales or revenue (</w:t>
      </w:r>
      <w:r w:rsidRPr="00B72CF8">
        <w:rPr>
          <w:highlight w:val="white"/>
        </w:rPr>
        <w:t>Amanda, 2019)</w:t>
      </w:r>
      <w:r w:rsidRPr="00B72CF8">
        <w:t xml:space="preserve">. The assets turnover ratio of Sweet Plc is evaluated at 0.64 for 2021 and 0.68 for 2022. From the result, it can be mentioned that as the high assets turnover ratio has preferred better, Sweet Plc has performed better in 2022 to efficiently use its assets to generate revenue and sales, compared to the previous year, 2021. </w:t>
      </w:r>
    </w:p>
    <w:p w14:paraId="7C10D557" w14:textId="77777777" w:rsidR="004C732B" w:rsidRPr="00B72CF8" w:rsidRDefault="00000000">
      <w:pPr>
        <w:pStyle w:val="Normal1"/>
      </w:pPr>
      <w:r w:rsidRPr="00B72CF8">
        <w:t xml:space="preserve">The </w:t>
      </w:r>
      <w:r w:rsidRPr="00B72CF8">
        <w:rPr>
          <w:b/>
        </w:rPr>
        <w:t>stock-holding days</w:t>
      </w:r>
      <w:r w:rsidRPr="00B72CF8">
        <w:t xml:space="preserve"> can estimate the number of days till a business holds its inventory before selling it. This ratio is an essential inventor metric that can measure the longevity of a product in the store before selling. This ratio can assist in managing the turnover rate of inventories and reduce the carrying expenses of inventories (</w:t>
      </w:r>
      <w:r w:rsidRPr="00B72CF8">
        <w:rPr>
          <w:highlight w:val="white"/>
        </w:rPr>
        <w:t>Jenkins, 2022)</w:t>
      </w:r>
      <w:r w:rsidRPr="00B72CF8">
        <w:t xml:space="preserve">. The stock holding days of Sweet Plc are evaluated at 78 days in 2021 and 80 days in 2022. The result indicates that Sweet Plc has performed below in 2022 to exchange its products quickly into cash compared to 2021. </w:t>
      </w:r>
    </w:p>
    <w:p w14:paraId="2CD56D95" w14:textId="77777777" w:rsidR="004C732B" w:rsidRPr="00B72CF8" w:rsidRDefault="00000000">
      <w:pPr>
        <w:pStyle w:val="Normal1"/>
      </w:pPr>
      <w:r w:rsidRPr="00B72CF8">
        <w:t xml:space="preserve">The </w:t>
      </w:r>
      <w:r w:rsidRPr="00B72CF8">
        <w:rPr>
          <w:b/>
        </w:rPr>
        <w:t xml:space="preserve">debtor's collection period </w:t>
      </w:r>
      <w:r w:rsidRPr="00B72CF8">
        <w:t>indicates the average time taken by a business to collect money from the debtors. This ratio can simplify the performance of the business by demonstrating the efficiency of the business. This ratio helps to understand the capability and efficiency of businesses in collecting trade debts (</w:t>
      </w:r>
      <w:r w:rsidRPr="00B72CF8">
        <w:rPr>
          <w:highlight w:val="white"/>
        </w:rPr>
        <w:t>Rahayu and Ilham, 2023)</w:t>
      </w:r>
      <w:r w:rsidRPr="00B72CF8">
        <w:t xml:space="preserve">. The debtors turnover period of Sweet Plc is evaluated at 149 days in 2021 and 155 days in 2022. The result of 2022 denotes the inefficiency of Sweet Plc in collecting the debts from the trader compared to their performance in 2021. </w:t>
      </w:r>
    </w:p>
    <w:p w14:paraId="12D9B417" w14:textId="77777777" w:rsidR="004C732B" w:rsidRPr="00B72CF8" w:rsidRDefault="00000000">
      <w:pPr>
        <w:pStyle w:val="Normal1"/>
      </w:pPr>
      <w:r w:rsidRPr="00B72CF8">
        <w:t xml:space="preserve">The </w:t>
      </w:r>
      <w:r w:rsidRPr="00B72CF8">
        <w:rPr>
          <w:b/>
        </w:rPr>
        <w:t xml:space="preserve">current ratio </w:t>
      </w:r>
      <w:r w:rsidRPr="00B72CF8">
        <w:t>can estimate the liquidity of any business to pay off its short-term obligation by using the current assets.  This ratio is considered the metric of the business to estimate its capability to cover its short-term debts (</w:t>
      </w:r>
      <w:r w:rsidRPr="00B72CF8">
        <w:rPr>
          <w:highlight w:val="white"/>
        </w:rPr>
        <w:t>Husna and Satria, 2019)</w:t>
      </w:r>
      <w:r w:rsidRPr="00B72CF8">
        <w:t>. The current ratio of Sweet Plc is evaluated at 0.77 in 2021 and 0.92 in 2022. From the two-year estimation of the current ratio, it is understood that Sweet Plc has better utilised its current assets to meet the short-term debts in 2022, compared to 2021.</w:t>
      </w:r>
    </w:p>
    <w:p w14:paraId="44DE8A5B" w14:textId="77777777" w:rsidR="004C732B" w:rsidRPr="00B72CF8" w:rsidRDefault="00000000">
      <w:pPr>
        <w:pStyle w:val="Normal1"/>
      </w:pPr>
      <w:r w:rsidRPr="00B72CF8">
        <w:t xml:space="preserve">The </w:t>
      </w:r>
      <w:r w:rsidRPr="00B72CF8">
        <w:rPr>
          <w:b/>
        </w:rPr>
        <w:t xml:space="preserve">gearing ratio </w:t>
      </w:r>
      <w:r w:rsidRPr="00B72CF8">
        <w:t>is used to compare the equity of owners to borrowed funds or debts of the business. Fundamentally, the gearing ratio is the measurement of the financial leverage of a company that demonstrates the firm’s activities that are funded by shareholders or creditors (</w:t>
      </w:r>
      <w:r w:rsidRPr="00B72CF8">
        <w:rPr>
          <w:highlight w:val="white"/>
        </w:rPr>
        <w:t>GEZER and KINGIR, 2020)</w:t>
      </w:r>
      <w:r w:rsidRPr="00B72CF8">
        <w:t>. The gearing ratio of Sweet Plc is evaluated at 1.42 in 2021 and 1.34 in 2022 that indicates that indicates the low financial risk of Sweet Plc in 2022 compared to 2021.</w:t>
      </w:r>
    </w:p>
    <w:p w14:paraId="286EA126" w14:textId="77777777" w:rsidR="004C732B" w:rsidRPr="00B72CF8" w:rsidRDefault="00000000">
      <w:pPr>
        <w:pStyle w:val="Normal1"/>
      </w:pPr>
      <w:r w:rsidRPr="00B72CF8">
        <w:t xml:space="preserve">The </w:t>
      </w:r>
      <w:r w:rsidRPr="00B72CF8">
        <w:rPr>
          <w:b/>
        </w:rPr>
        <w:t xml:space="preserve">interest coverage </w:t>
      </w:r>
      <w:r w:rsidRPr="00B72CF8">
        <w:t xml:space="preserve">ratio is also an essential financial metric that can demonstrate the ability of a business to payments of interest. This ratio can assist in examining the creditworthiness of </w:t>
      </w:r>
      <w:r w:rsidRPr="00B72CF8">
        <w:lastRenderedPageBreak/>
        <w:t>a business before expanding its credit (</w:t>
      </w:r>
      <w:r w:rsidRPr="00B72CF8">
        <w:rPr>
          <w:highlight w:val="white"/>
        </w:rPr>
        <w:t>Corporate Finance Institute,  2023)</w:t>
      </w:r>
      <w:r w:rsidRPr="00B72CF8">
        <w:t>. The interest coverage ratio of Sweet Plc is evaluated at 3.86 in 2021 and 3.56 in 2022 which indicates the stranger financial status of Sweet Plc in 2021 compared to 2021.</w:t>
      </w:r>
    </w:p>
    <w:p w14:paraId="3728EB59" w14:textId="77777777" w:rsidR="004C732B" w:rsidRPr="00B72CF8" w:rsidRDefault="00000000">
      <w:pPr>
        <w:pStyle w:val="Normal1"/>
        <w:rPr>
          <w:b/>
        </w:rPr>
      </w:pPr>
      <w:r w:rsidRPr="00B72CF8">
        <w:rPr>
          <w:b/>
        </w:rPr>
        <w:t>Conclusion</w:t>
      </w:r>
    </w:p>
    <w:p w14:paraId="37D9862E" w14:textId="688F6824" w:rsidR="004C732B" w:rsidRPr="00B72CF8" w:rsidRDefault="00000000">
      <w:pPr>
        <w:pStyle w:val="Normal1"/>
      </w:pPr>
      <w:r w:rsidRPr="00B72CF8">
        <w:t>The assessment has remarkably highlighted the different fundamentals. In this assessment, the different accounting principles are discussed. This assessment has also provided an idea of the income statement. The income statement of Wales Plc has been prepared here considering the provided accounting information and relevant adjustments. The financial ratios of Sweet Plc are also efficiently estimated and analysed in this assessment.</w:t>
      </w:r>
      <w:r w:rsidR="00B07C18" w:rsidRPr="00B72CF8">
        <w:t xml:space="preserve"> </w:t>
      </w:r>
    </w:p>
    <w:p w14:paraId="2EFD6C2D" w14:textId="77777777" w:rsidR="004C732B" w:rsidRPr="00B72CF8" w:rsidRDefault="00000000">
      <w:pPr>
        <w:pStyle w:val="Normal1"/>
        <w:rPr>
          <w:b/>
        </w:rPr>
      </w:pPr>
      <w:r w:rsidRPr="00B72CF8">
        <w:br w:type="page"/>
      </w:r>
    </w:p>
    <w:p w14:paraId="4B2BCF8A" w14:textId="77777777" w:rsidR="004C732B" w:rsidRDefault="00000000">
      <w:pPr>
        <w:pStyle w:val="Normal1"/>
        <w:rPr>
          <w:b/>
        </w:rPr>
      </w:pPr>
      <w:r>
        <w:rPr>
          <w:b/>
        </w:rPr>
        <w:lastRenderedPageBreak/>
        <w:t>References</w:t>
      </w:r>
    </w:p>
    <w:p w14:paraId="7302C2C7" w14:textId="77777777" w:rsidR="004E6E32" w:rsidRDefault="004E6E32">
      <w:pPr>
        <w:pStyle w:val="Normal1"/>
        <w:spacing w:before="240" w:after="240"/>
        <w:rPr>
          <w:color w:val="222222"/>
          <w:highlight w:val="white"/>
        </w:rPr>
      </w:pPr>
      <w:r>
        <w:rPr>
          <w:color w:val="222222"/>
          <w:highlight w:val="white"/>
        </w:rPr>
        <w:t xml:space="preserve">Amanda, R.I., (2019). The impact of cash turnover, receivable turnover, inventory turnover, current ratio and debt to equity ratio on profitability. </w:t>
      </w:r>
      <w:r>
        <w:rPr>
          <w:i/>
          <w:color w:val="222222"/>
          <w:highlight w:val="white"/>
        </w:rPr>
        <w:t>Journal of research in management</w:t>
      </w:r>
      <w:r>
        <w:rPr>
          <w:color w:val="222222"/>
          <w:highlight w:val="white"/>
        </w:rPr>
        <w:t xml:space="preserve">, </w:t>
      </w:r>
      <w:r>
        <w:rPr>
          <w:i/>
          <w:color w:val="222222"/>
          <w:highlight w:val="white"/>
        </w:rPr>
        <w:t>2</w:t>
      </w:r>
      <w:r>
        <w:rPr>
          <w:color w:val="222222"/>
          <w:highlight w:val="white"/>
        </w:rPr>
        <w:t xml:space="preserve">(2), pp.14-22. </w:t>
      </w:r>
    </w:p>
    <w:p w14:paraId="4BF735A4" w14:textId="77777777" w:rsidR="004E6E32" w:rsidRPr="00EC6857" w:rsidRDefault="004E6E32">
      <w:pPr>
        <w:pStyle w:val="Normal1"/>
        <w:spacing w:before="240" w:after="240"/>
        <w:rPr>
          <w:color w:val="222222"/>
          <w:highlight w:val="white"/>
        </w:rPr>
      </w:pPr>
      <w:r w:rsidRPr="00EC6857">
        <w:rPr>
          <w:color w:val="222222"/>
          <w:shd w:val="clear" w:color="auto" w:fill="FFFFFF"/>
        </w:rPr>
        <w:t xml:space="preserve">Astuti, W., </w:t>
      </w:r>
      <w:r>
        <w:rPr>
          <w:color w:val="222222"/>
          <w:shd w:val="clear" w:color="auto" w:fill="FFFFFF"/>
        </w:rPr>
        <w:t>(</w:t>
      </w:r>
      <w:r w:rsidRPr="00EC6857">
        <w:rPr>
          <w:color w:val="222222"/>
          <w:shd w:val="clear" w:color="auto" w:fill="FFFFFF"/>
        </w:rPr>
        <w:t>2021</w:t>
      </w:r>
      <w:r>
        <w:rPr>
          <w:color w:val="222222"/>
          <w:shd w:val="clear" w:color="auto" w:fill="FFFFFF"/>
        </w:rPr>
        <w:t>)</w:t>
      </w:r>
      <w:r w:rsidRPr="00EC6857">
        <w:rPr>
          <w:color w:val="222222"/>
          <w:shd w:val="clear" w:color="auto" w:fill="FFFFFF"/>
        </w:rPr>
        <w:t>. A Literature Review of Net Profit Margin. </w:t>
      </w:r>
      <w:r w:rsidRPr="00EC6857">
        <w:rPr>
          <w:i/>
          <w:iCs/>
          <w:color w:val="222222"/>
          <w:shd w:val="clear" w:color="auto" w:fill="FFFFFF"/>
        </w:rPr>
        <w:t>Social Science Studies</w:t>
      </w:r>
      <w:r w:rsidRPr="00EC6857">
        <w:rPr>
          <w:color w:val="222222"/>
          <w:shd w:val="clear" w:color="auto" w:fill="FFFFFF"/>
        </w:rPr>
        <w:t>, </w:t>
      </w:r>
      <w:r w:rsidRPr="00EC6857">
        <w:rPr>
          <w:i/>
          <w:iCs/>
          <w:color w:val="222222"/>
          <w:shd w:val="clear" w:color="auto" w:fill="FFFFFF"/>
        </w:rPr>
        <w:t>1</w:t>
      </w:r>
      <w:r w:rsidRPr="00EC6857">
        <w:rPr>
          <w:color w:val="222222"/>
          <w:shd w:val="clear" w:color="auto" w:fill="FFFFFF"/>
        </w:rPr>
        <w:t xml:space="preserve">(2), pp.115-128. </w:t>
      </w:r>
      <w:hyperlink r:id="rId19" w:history="1">
        <w:r w:rsidRPr="00EC6857">
          <w:rPr>
            <w:rStyle w:val="Hyperlink"/>
            <w:shd w:val="clear" w:color="auto" w:fill="FFFFFF"/>
          </w:rPr>
          <w:t>https://profesionalmudacendekia.com/index.php/sss/article/view/226</w:t>
        </w:r>
      </w:hyperlink>
      <w:r w:rsidRPr="00EC6857">
        <w:rPr>
          <w:color w:val="222222"/>
          <w:shd w:val="clear" w:color="auto" w:fill="FFFFFF"/>
        </w:rPr>
        <w:t xml:space="preserve"> </w:t>
      </w:r>
    </w:p>
    <w:p w14:paraId="65D1BD67" w14:textId="77777777" w:rsidR="004E6E32" w:rsidRDefault="004E6E32">
      <w:pPr>
        <w:pStyle w:val="Normal1"/>
        <w:spacing w:before="240" w:after="240"/>
        <w:rPr>
          <w:color w:val="222222"/>
          <w:highlight w:val="white"/>
        </w:rPr>
      </w:pPr>
      <w:r>
        <w:rPr>
          <w:color w:val="222222"/>
          <w:highlight w:val="white"/>
        </w:rPr>
        <w:t xml:space="preserve">Corporate Finance Institute, (2023) </w:t>
      </w:r>
      <w:r>
        <w:rPr>
          <w:i/>
          <w:color w:val="222222"/>
          <w:highlight w:val="white"/>
        </w:rPr>
        <w:t>Interest coverage ratio</w:t>
      </w:r>
      <w:r>
        <w:rPr>
          <w:color w:val="222222"/>
          <w:highlight w:val="white"/>
        </w:rPr>
        <w:t xml:space="preserve">, </w:t>
      </w:r>
      <w:r>
        <w:rPr>
          <w:i/>
          <w:color w:val="222222"/>
          <w:highlight w:val="white"/>
        </w:rPr>
        <w:t>Corporate Finance Institute</w:t>
      </w:r>
      <w:r>
        <w:rPr>
          <w:color w:val="222222"/>
          <w:highlight w:val="white"/>
        </w:rPr>
        <w:t xml:space="preserve">. Available at: https://corporatefinanceinstitute.com/resources/commercial-lending/interest-coverage-ratio/ (Accessed: 18 December 2023). </w:t>
      </w:r>
    </w:p>
    <w:p w14:paraId="3A5BF6AE" w14:textId="77777777" w:rsidR="004E6E32" w:rsidRDefault="004E6E32">
      <w:pPr>
        <w:pStyle w:val="Normal1"/>
        <w:spacing w:before="240" w:after="240"/>
        <w:rPr>
          <w:color w:val="222222"/>
          <w:highlight w:val="white"/>
        </w:rPr>
      </w:pPr>
      <w:r>
        <w:rPr>
          <w:color w:val="222222"/>
          <w:highlight w:val="white"/>
        </w:rPr>
        <w:t xml:space="preserve">GEZER, Y. and KINGIR, S., (2020). Expected of debt capital and gearing: Return, risk and impact on the value of the firm's equity. </w:t>
      </w:r>
      <w:r>
        <w:rPr>
          <w:i/>
          <w:color w:val="222222"/>
          <w:highlight w:val="white"/>
        </w:rPr>
        <w:t>Aydın İktisat Fakültesi Dergisi</w:t>
      </w:r>
      <w:r>
        <w:rPr>
          <w:color w:val="222222"/>
          <w:highlight w:val="white"/>
        </w:rPr>
        <w:t xml:space="preserve">, </w:t>
      </w:r>
      <w:r>
        <w:rPr>
          <w:i/>
          <w:color w:val="222222"/>
          <w:highlight w:val="white"/>
        </w:rPr>
        <w:t>5</w:t>
      </w:r>
      <w:r>
        <w:rPr>
          <w:color w:val="222222"/>
          <w:highlight w:val="white"/>
        </w:rPr>
        <w:t xml:space="preserve">(1), pp.25-33. </w:t>
      </w:r>
      <w:hyperlink r:id="rId20">
        <w:r>
          <w:rPr>
            <w:color w:val="1155CC"/>
            <w:highlight w:val="white"/>
            <w:u w:val="single"/>
          </w:rPr>
          <w:t>https://dergipark.org.tr/en/pub/aifd/issue/55726/722645</w:t>
        </w:r>
      </w:hyperlink>
      <w:r>
        <w:rPr>
          <w:color w:val="222222"/>
          <w:highlight w:val="white"/>
        </w:rPr>
        <w:t xml:space="preserve"> </w:t>
      </w:r>
    </w:p>
    <w:p w14:paraId="75133804" w14:textId="77777777" w:rsidR="004E6E32" w:rsidRDefault="004E6E32">
      <w:pPr>
        <w:pStyle w:val="Normal1"/>
        <w:spacing w:before="240" w:after="240"/>
        <w:rPr>
          <w:color w:val="222222"/>
          <w:highlight w:val="white"/>
        </w:rPr>
      </w:pPr>
      <w:r>
        <w:rPr>
          <w:color w:val="222222"/>
          <w:highlight w:val="white"/>
        </w:rPr>
        <w:t xml:space="preserve">Guerard Jr, J.B., Saxena, A. and Gültekin, M.N., (2022). The Annual Operating Statements: The Income Statement and Cash Flow Statement. In </w:t>
      </w:r>
      <w:r>
        <w:rPr>
          <w:i/>
          <w:color w:val="222222"/>
          <w:highlight w:val="white"/>
        </w:rPr>
        <w:t>Quantitative Corporate Finance</w:t>
      </w:r>
      <w:r>
        <w:rPr>
          <w:color w:val="222222"/>
          <w:highlight w:val="white"/>
        </w:rPr>
        <w:t xml:space="preserve"> (pp. 55-75). Cham: Springer International Publishing. </w:t>
      </w:r>
      <w:hyperlink r:id="rId21">
        <w:r>
          <w:rPr>
            <w:color w:val="1155CC"/>
            <w:highlight w:val="white"/>
            <w:u w:val="single"/>
          </w:rPr>
          <w:t>https://link.springer.com/chapter/10.1007/978-3-030-87269-4_4</w:t>
        </w:r>
      </w:hyperlink>
      <w:r>
        <w:rPr>
          <w:color w:val="222222"/>
          <w:highlight w:val="white"/>
        </w:rPr>
        <w:t xml:space="preserve"> </w:t>
      </w:r>
    </w:p>
    <w:p w14:paraId="7D58E43D" w14:textId="77777777" w:rsidR="004E6E32" w:rsidRDefault="004E6E32">
      <w:pPr>
        <w:pStyle w:val="Normal1"/>
        <w:spacing w:before="240" w:after="240"/>
        <w:rPr>
          <w:color w:val="222222"/>
          <w:highlight w:val="white"/>
        </w:rPr>
      </w:pPr>
      <w:r>
        <w:rPr>
          <w:color w:val="222222"/>
          <w:highlight w:val="white"/>
        </w:rPr>
        <w:t xml:space="preserve">Husna, A. and Satria, I., (2019). Effects of return on asset, debt to asset ratio, current ratio, firm size, and dividend payout ratio on firm value. </w:t>
      </w:r>
      <w:r>
        <w:rPr>
          <w:i/>
          <w:color w:val="222222"/>
          <w:highlight w:val="white"/>
        </w:rPr>
        <w:t>International Journal of Economics and Financial Issues</w:t>
      </w:r>
      <w:r>
        <w:rPr>
          <w:color w:val="222222"/>
          <w:highlight w:val="white"/>
        </w:rPr>
        <w:t xml:space="preserve">, </w:t>
      </w:r>
      <w:r>
        <w:rPr>
          <w:i/>
          <w:color w:val="222222"/>
          <w:highlight w:val="white"/>
        </w:rPr>
        <w:t>9</w:t>
      </w:r>
      <w:r>
        <w:rPr>
          <w:color w:val="222222"/>
          <w:highlight w:val="white"/>
        </w:rPr>
        <w:t xml:space="preserve">(5), pp.50-54. </w:t>
      </w:r>
      <w:hyperlink r:id="rId22">
        <w:r>
          <w:rPr>
            <w:color w:val="1155CC"/>
            <w:highlight w:val="white"/>
            <w:u w:val="single"/>
          </w:rPr>
          <w:t>https://d1wqtxts1xzle7.cloudfront.net/72349718/pdf-libre.pdf?1635142019=&amp;response-content-disposition=inline%3B+filename%3DEffects_of_Return_on_Asset_Debt_to_Asset.pdf&amp;Expires=1702904475&amp;Signature=IW1mzQCTUPPkrEG-QXXg1yTVDWc3-RxgwQ-MwkxARHS0s6HV5SHNZb9RVqNgUQtXJWloNysHfkCFe~Eoyp10dGW7-4CIXzMCEjhWQRpSRjAU2pBwh~hZ~ls5crxEXRfxD1WFDb91vSJ3NFSn2i6yncX0I56QXkJZf9PoAaQ5A19f9woYYwoXlCGEphkxC47r6paVSOwbPGwEInOyF~ppOamhhzF-Uv8Jil~EkqD~4T6BbykF6hlXQiLjLIsF6Q42D7kj2fHrb~HpoctF4Q7LIF54~KzgKOOPLt4AKhvSrRA-vrAq8AfOC4HsP5Jl3bMme1d3GgR7U23HeiM8l26l~A__&amp;Key-Pair-Id=APKAJLOHF5GGSLRBV4ZA</w:t>
        </w:r>
      </w:hyperlink>
      <w:r>
        <w:rPr>
          <w:color w:val="222222"/>
          <w:highlight w:val="white"/>
        </w:rPr>
        <w:t xml:space="preserve"> </w:t>
      </w:r>
    </w:p>
    <w:p w14:paraId="563902DA" w14:textId="77777777" w:rsidR="004E6E32" w:rsidRDefault="004E6E32">
      <w:pPr>
        <w:pStyle w:val="Normal1"/>
        <w:spacing w:before="240" w:after="240"/>
        <w:rPr>
          <w:highlight w:val="white"/>
        </w:rPr>
      </w:pPr>
      <w:r>
        <w:rPr>
          <w:highlight w:val="white"/>
        </w:rPr>
        <w:lastRenderedPageBreak/>
        <w:t xml:space="preserve">Indeed (2023) Current vs. non-current assets: Differences and example - indeed. Available at: https://www.indeed.com/career-advice/career-development/current-vs-non-current-assets (Accessed: 18 December 2023). </w:t>
      </w:r>
    </w:p>
    <w:p w14:paraId="642F476D" w14:textId="77777777" w:rsidR="004E6E32" w:rsidRDefault="004E6E32">
      <w:pPr>
        <w:pStyle w:val="Normal1"/>
        <w:spacing w:before="240" w:after="240"/>
        <w:rPr>
          <w:color w:val="222222"/>
          <w:highlight w:val="white"/>
        </w:rPr>
      </w:pPr>
      <w:r>
        <w:rPr>
          <w:color w:val="222222"/>
          <w:highlight w:val="white"/>
        </w:rPr>
        <w:t xml:space="preserve">Jenkins, A. (2022) </w:t>
      </w:r>
      <w:r>
        <w:rPr>
          <w:i/>
          <w:color w:val="222222"/>
          <w:highlight w:val="white"/>
        </w:rPr>
        <w:t>Inventory turnover ratio: Trouble or Paradise?</w:t>
      </w:r>
      <w:r>
        <w:rPr>
          <w:color w:val="222222"/>
          <w:highlight w:val="white"/>
        </w:rPr>
        <w:t xml:space="preserve">, </w:t>
      </w:r>
      <w:r>
        <w:rPr>
          <w:i/>
          <w:color w:val="222222"/>
          <w:highlight w:val="white"/>
        </w:rPr>
        <w:t>Oracle NetSuite</w:t>
      </w:r>
      <w:r>
        <w:rPr>
          <w:color w:val="222222"/>
          <w:highlight w:val="white"/>
        </w:rPr>
        <w:t xml:space="preserve">. Available at: https://www.netsuite.com/portal/resource/articles/inventory-management/inventory-turnover-ratio.shtml (Accessed: 18 December 2023). </w:t>
      </w:r>
    </w:p>
    <w:p w14:paraId="04D3FF76" w14:textId="77777777" w:rsidR="004E6E32" w:rsidRDefault="004E6E32">
      <w:pPr>
        <w:pStyle w:val="Normal1"/>
        <w:spacing w:before="240" w:after="240"/>
        <w:rPr>
          <w:color w:val="222222"/>
          <w:highlight w:val="white"/>
        </w:rPr>
      </w:pPr>
      <w:r>
        <w:rPr>
          <w:color w:val="222222"/>
          <w:highlight w:val="white"/>
        </w:rPr>
        <w:t xml:space="preserve">Lisek, S., Luty, L. and Zioło, M., (2020). Measurement of return on capital employed in assessment of company’s condition. </w:t>
      </w:r>
      <w:r>
        <w:rPr>
          <w:i/>
          <w:color w:val="222222"/>
          <w:highlight w:val="white"/>
        </w:rPr>
        <w:t>Zeszyty Naukowe Małopolskiej Wyższej Szkoły Ekonomicznej w Tarnowie</w:t>
      </w:r>
      <w:r>
        <w:rPr>
          <w:color w:val="222222"/>
          <w:highlight w:val="white"/>
        </w:rPr>
        <w:t xml:space="preserve">, (2 (46)), pp.55-67. </w:t>
      </w:r>
      <w:hyperlink r:id="rId23">
        <w:r>
          <w:rPr>
            <w:color w:val="1155CC"/>
            <w:highlight w:val="white"/>
            <w:u w:val="single"/>
          </w:rPr>
          <w:t>https://cejsh.icm.edu.pl/cejsh/element/bwmeta1.element.desklight-c32c53b3-5677-4573-b1b3-c2ec33b8b304</w:t>
        </w:r>
      </w:hyperlink>
      <w:r>
        <w:rPr>
          <w:color w:val="222222"/>
          <w:highlight w:val="white"/>
        </w:rPr>
        <w:t xml:space="preserve"> </w:t>
      </w:r>
    </w:p>
    <w:p w14:paraId="53FC03B2" w14:textId="77777777" w:rsidR="004E6E32" w:rsidRDefault="004E6E32">
      <w:pPr>
        <w:pStyle w:val="Normal1"/>
        <w:spacing w:before="240" w:after="240"/>
        <w:rPr>
          <w:color w:val="222222"/>
          <w:highlight w:val="white"/>
        </w:rPr>
      </w:pPr>
      <w:r>
        <w:rPr>
          <w:color w:val="222222"/>
          <w:highlight w:val="white"/>
        </w:rPr>
        <w:t xml:space="preserve">Mao, R., (2023). Verify the Relationship Between a Company’s Earning per Share, Return on Equity, Return on Asset, Sales Growth, Price to Earning Ratio, Current Ratio, Gross Profit Margin, Quick Ratio, Asset Turnover and Its Stock Price. In </w:t>
      </w:r>
      <w:r>
        <w:rPr>
          <w:i/>
          <w:color w:val="222222"/>
          <w:highlight w:val="white"/>
        </w:rPr>
        <w:t>SHS Web of Conferences</w:t>
      </w:r>
      <w:r>
        <w:rPr>
          <w:color w:val="222222"/>
          <w:highlight w:val="white"/>
        </w:rPr>
        <w:t xml:space="preserve"> (Vol. 163). EDP Sciences. </w:t>
      </w:r>
      <w:hyperlink r:id="rId24">
        <w:r>
          <w:rPr>
            <w:color w:val="1155CC"/>
            <w:highlight w:val="white"/>
            <w:u w:val="single"/>
          </w:rPr>
          <w:t>https://www.proquest.com/openview/dad882409cae790ca79324dc7a2b3f08/1?pq-origsite=gscholar&amp;cbl=2040545</w:t>
        </w:r>
      </w:hyperlink>
      <w:r>
        <w:rPr>
          <w:color w:val="222222"/>
          <w:highlight w:val="white"/>
        </w:rPr>
        <w:t xml:space="preserve"> </w:t>
      </w:r>
    </w:p>
    <w:p w14:paraId="0626957D" w14:textId="77777777" w:rsidR="004E6E32" w:rsidRDefault="004E6E32">
      <w:pPr>
        <w:pStyle w:val="Normal1"/>
        <w:spacing w:before="240" w:after="240"/>
        <w:rPr>
          <w:highlight w:val="white"/>
        </w:rPr>
      </w:pPr>
      <w:r>
        <w:rPr>
          <w:highlight w:val="white"/>
        </w:rPr>
        <w:t xml:space="preserve">NetSuite (2023) Why is financial reporting important?, Oracle NetSuite. Available at: https://www.netsuite.com/portal/resource/articles/accounting/financial-reporting.shtml (Accessed: 18 December 2023). </w:t>
      </w:r>
    </w:p>
    <w:p w14:paraId="11419D60" w14:textId="77777777" w:rsidR="004E6E32" w:rsidRDefault="004E6E32">
      <w:pPr>
        <w:pStyle w:val="Normal1"/>
        <w:spacing w:before="240" w:after="240"/>
        <w:rPr>
          <w:highlight w:val="white"/>
        </w:rPr>
      </w:pPr>
      <w:r>
        <w:rPr>
          <w:highlight w:val="white"/>
        </w:rPr>
        <w:t>Oseni, M., Ogunlade, O., Olasupo, S.F. and Olukayode, E., (2018), April. Prospects and challenges of financial reporting in Nigeria. In 4th ICAN International Academic Conference Proceedings (p. 51). Available at: https://www.researchgate.net/profile/Olurotimi-Ogunwale-2/publication/344455117_4th_ICAN_International_Academic_Conference_Proceedings_-_2018/links/5f777730299bf1b53e098ad1/4th-ICAN-International-Academic-Conference-Proceedings-2018.pdf#page=51</w:t>
      </w:r>
    </w:p>
    <w:p w14:paraId="1D3F31DC" w14:textId="77777777" w:rsidR="004E6E32" w:rsidRDefault="004E6E32">
      <w:pPr>
        <w:pStyle w:val="Normal1"/>
        <w:spacing w:before="240" w:after="240"/>
        <w:rPr>
          <w:color w:val="222222"/>
          <w:highlight w:val="white"/>
        </w:rPr>
      </w:pPr>
      <w:r>
        <w:rPr>
          <w:color w:val="222222"/>
          <w:highlight w:val="white"/>
        </w:rPr>
        <w:t xml:space="preserve">Pepple, D. and Ejiogu, C., (2021). Income Statement and Balance Sheet. In </w:t>
      </w:r>
      <w:r>
        <w:rPr>
          <w:i/>
          <w:color w:val="222222"/>
          <w:highlight w:val="white"/>
        </w:rPr>
        <w:t>Financial and Managerial Aspects in Human Resource Management: A Practical Guide</w:t>
      </w:r>
      <w:r>
        <w:rPr>
          <w:color w:val="222222"/>
          <w:highlight w:val="white"/>
        </w:rPr>
        <w:t xml:space="preserve"> (pp. 11-22). Emerald Publishing Limited. </w:t>
      </w:r>
      <w:hyperlink r:id="rId25">
        <w:r>
          <w:rPr>
            <w:color w:val="1155CC"/>
            <w:highlight w:val="white"/>
            <w:u w:val="single"/>
          </w:rPr>
          <w:t>https://www.emerald.com/insight/content/doi/10.1108/978-1-83909-612-920211003/full/html</w:t>
        </w:r>
      </w:hyperlink>
      <w:r>
        <w:rPr>
          <w:color w:val="222222"/>
          <w:highlight w:val="white"/>
        </w:rPr>
        <w:t xml:space="preserve"> </w:t>
      </w:r>
    </w:p>
    <w:p w14:paraId="1C68916D" w14:textId="77777777" w:rsidR="004E6E32" w:rsidRDefault="004E6E32">
      <w:pPr>
        <w:pStyle w:val="Normal1"/>
        <w:spacing w:before="240" w:after="240"/>
        <w:rPr>
          <w:color w:val="222222"/>
          <w:highlight w:val="white"/>
        </w:rPr>
      </w:pPr>
      <w:r>
        <w:rPr>
          <w:color w:val="222222"/>
          <w:highlight w:val="white"/>
        </w:rPr>
        <w:lastRenderedPageBreak/>
        <w:t xml:space="preserve">Rahayu, M. and Ilham, R.N., (2023). THE INFLUENCE OF CASH TURNOVER, RECEIVABLES TURNOVER AND INVENTORY TURNOVER ON THE ECONOMIC PROFITABILITY OF REGISTERED PHARMACEUTICAL COMPANIES ON THE INDONESIAN STOCK EXCHANGE PERIOD 2017-2021. </w:t>
      </w:r>
      <w:r>
        <w:rPr>
          <w:i/>
          <w:color w:val="222222"/>
          <w:highlight w:val="white"/>
        </w:rPr>
        <w:t>Journal of Accounting Research, Utility Finance and Digital Assets</w:t>
      </w:r>
      <w:r>
        <w:rPr>
          <w:color w:val="222222"/>
          <w:highlight w:val="white"/>
        </w:rPr>
        <w:t xml:space="preserve">, </w:t>
      </w:r>
      <w:r>
        <w:rPr>
          <w:i/>
          <w:color w:val="222222"/>
          <w:highlight w:val="white"/>
        </w:rPr>
        <w:t>1</w:t>
      </w:r>
      <w:r>
        <w:rPr>
          <w:color w:val="222222"/>
          <w:highlight w:val="white"/>
        </w:rPr>
        <w:t xml:space="preserve">(4), pp.336-341. </w:t>
      </w:r>
      <w:hyperlink r:id="rId26">
        <w:r>
          <w:rPr>
            <w:color w:val="1155CC"/>
            <w:highlight w:val="white"/>
            <w:u w:val="single"/>
          </w:rPr>
          <w:t>https://jaruda.org/index.php/go/article/view/53</w:t>
        </w:r>
      </w:hyperlink>
      <w:r>
        <w:rPr>
          <w:color w:val="222222"/>
          <w:highlight w:val="white"/>
        </w:rPr>
        <w:t xml:space="preserve"> </w:t>
      </w:r>
    </w:p>
    <w:p w14:paraId="729FC787" w14:textId="77777777" w:rsidR="004E6E32" w:rsidRDefault="004E6E32">
      <w:pPr>
        <w:pStyle w:val="Normal1"/>
        <w:spacing w:before="240" w:after="240"/>
        <w:rPr>
          <w:highlight w:val="white"/>
        </w:rPr>
      </w:pPr>
      <w:r>
        <w:rPr>
          <w:highlight w:val="white"/>
        </w:rPr>
        <w:t xml:space="preserve">Schmidt, J. (2023) Statement of cash flows, Corporate Finance Institute. Available at: https://corporatefinanceinstitute.com/resources/accounting/statement-of-cash-flows/ (Accessed: 18 December 2023). </w:t>
      </w:r>
    </w:p>
    <w:p w14:paraId="76B68A70" w14:textId="77777777" w:rsidR="004E6E32" w:rsidRDefault="004E6E32">
      <w:pPr>
        <w:pStyle w:val="Normal1"/>
        <w:spacing w:before="240" w:after="240"/>
        <w:rPr>
          <w:color w:val="222222"/>
          <w:highlight w:val="white"/>
        </w:rPr>
      </w:pPr>
      <w:r>
        <w:rPr>
          <w:color w:val="222222"/>
          <w:highlight w:val="white"/>
        </w:rPr>
        <w:t xml:space="preserve">Sunaryo, D., (2022). WHAT IS SHARE PRICES CAN AFFECT RETURN ON ASSETS, TOTAL ASSET TURNOVER, AND CURRENT RATIO WITH FINANCIAL DISTRESS AND EARNINGS PER SHARE AS A MODERATING VARIABLE. </w:t>
      </w:r>
      <w:r>
        <w:rPr>
          <w:i/>
          <w:color w:val="222222"/>
          <w:highlight w:val="white"/>
        </w:rPr>
        <w:t>International Journal of Economy, Education and Entrepreneurship</w:t>
      </w:r>
      <w:r>
        <w:rPr>
          <w:color w:val="222222"/>
          <w:highlight w:val="white"/>
        </w:rPr>
        <w:t xml:space="preserve">, </w:t>
      </w:r>
      <w:r>
        <w:rPr>
          <w:i/>
          <w:color w:val="222222"/>
          <w:highlight w:val="white"/>
        </w:rPr>
        <w:t>2</w:t>
      </w:r>
      <w:r>
        <w:rPr>
          <w:color w:val="222222"/>
          <w:highlight w:val="white"/>
        </w:rPr>
        <w:t xml:space="preserve">(2), pp.422-437. </w:t>
      </w:r>
      <w:hyperlink r:id="rId27">
        <w:r>
          <w:rPr>
            <w:color w:val="1155CC"/>
            <w:highlight w:val="white"/>
            <w:u w:val="single"/>
          </w:rPr>
          <w:t>https://ije3.esc-id.org/index.php/home/article/view/82</w:t>
        </w:r>
      </w:hyperlink>
      <w:r>
        <w:rPr>
          <w:color w:val="222222"/>
          <w:highlight w:val="white"/>
        </w:rPr>
        <w:t xml:space="preserve"> </w:t>
      </w:r>
    </w:p>
    <w:p w14:paraId="53E9E964" w14:textId="77777777" w:rsidR="004E6E32" w:rsidRDefault="004E6E32">
      <w:pPr>
        <w:pStyle w:val="Normal1"/>
        <w:spacing w:before="240" w:after="240"/>
        <w:rPr>
          <w:highlight w:val="white"/>
        </w:rPr>
      </w:pPr>
      <w:r>
        <w:rPr>
          <w:highlight w:val="white"/>
        </w:rPr>
        <w:t xml:space="preserve">Wafeq (2023) The importance of trial balance for business owners, Wafeq. Available at: https://www.wafeq.com/en/business-hub/for-business/the-importance-of-trial-balance-for-business-owners (Accessed: 18 December 2023). </w:t>
      </w:r>
    </w:p>
    <w:p w14:paraId="4FAB8129" w14:textId="77777777" w:rsidR="004E6E32" w:rsidRDefault="004E6E32">
      <w:pPr>
        <w:pStyle w:val="Normal1"/>
        <w:spacing w:before="240" w:after="240"/>
        <w:rPr>
          <w:highlight w:val="white"/>
        </w:rPr>
      </w:pPr>
      <w:r>
        <w:rPr>
          <w:highlight w:val="white"/>
        </w:rPr>
        <w:t>Weygandt, J.J., Kimmel, P.D. and Kieso, D.E., (2018). Financial accounting with international financial reporting standards. John Wiley &amp; Sons. Available at:</w:t>
      </w:r>
      <w:hyperlink r:id="rId28" w:anchor="v=onepage&amp;q=why%20regulations%20ar%20important%20in%20the%20financial%20accounting&amp;f=false">
        <w:r>
          <w:rPr>
            <w:color w:val="1155CC"/>
            <w:highlight w:val="white"/>
            <w:u w:val="single"/>
          </w:rPr>
          <w:t>https://books.google.co.com/books?hl=en&amp;lr=&amp;id=aCDHDwAAQBAJ&amp;oi=fnd&amp;pg=PR13&amp;dq=why+regulations+ar+important+in+the+financial+accounting&amp;ots=EuDDs9iYCX&amp;sig=5MNTuHP-IHg-RTeMQil6wnv15U8&amp;redir_esc=y#v=onepage&amp;q=why%20regulations%20ar%20important%20in%20the%20financial%20accounting&amp;f=false</w:t>
        </w:r>
      </w:hyperlink>
    </w:p>
    <w:p w14:paraId="55166F94" w14:textId="77777777" w:rsidR="004C732B" w:rsidRDefault="004C732B">
      <w:pPr>
        <w:pStyle w:val="Normal1"/>
        <w:spacing w:before="240" w:after="240"/>
        <w:rPr>
          <w:color w:val="222222"/>
          <w:highlight w:val="white"/>
        </w:rPr>
      </w:pPr>
    </w:p>
    <w:p w14:paraId="58C37594" w14:textId="77777777" w:rsidR="004C732B" w:rsidRDefault="004C732B">
      <w:pPr>
        <w:pStyle w:val="Normal1"/>
        <w:spacing w:before="240" w:after="240"/>
        <w:rPr>
          <w:highlight w:val="white"/>
        </w:rPr>
      </w:pPr>
    </w:p>
    <w:p w14:paraId="5D828F6C" w14:textId="77777777" w:rsidR="004C732B" w:rsidRDefault="004C732B">
      <w:pPr>
        <w:pStyle w:val="Normal1"/>
        <w:rPr>
          <w:b/>
        </w:rPr>
      </w:pPr>
    </w:p>
    <w:p w14:paraId="74C50835" w14:textId="77777777" w:rsidR="004C732B" w:rsidRDefault="004C732B">
      <w:pPr>
        <w:pStyle w:val="Normal1"/>
        <w:rPr>
          <w:b/>
        </w:rPr>
      </w:pPr>
    </w:p>
    <w:sectPr w:rsidR="004C732B" w:rsidSect="00B41B15">
      <w:footerReference w:type="defaul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3CA2F" w14:textId="77777777" w:rsidR="00F812F5" w:rsidRDefault="00F812F5" w:rsidP="00B41B15">
      <w:pPr>
        <w:spacing w:line="240" w:lineRule="auto"/>
      </w:pPr>
      <w:r>
        <w:separator/>
      </w:r>
    </w:p>
  </w:endnote>
  <w:endnote w:type="continuationSeparator" w:id="0">
    <w:p w14:paraId="675E6EDE" w14:textId="77777777" w:rsidR="00F812F5" w:rsidRDefault="00F812F5" w:rsidP="00B41B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8131021"/>
      <w:docPartObj>
        <w:docPartGallery w:val="Page Numbers (Bottom of Page)"/>
        <w:docPartUnique/>
      </w:docPartObj>
    </w:sdtPr>
    <w:sdtEndPr>
      <w:rPr>
        <w:noProof/>
      </w:rPr>
    </w:sdtEndPr>
    <w:sdtContent>
      <w:p w14:paraId="15E76747" w14:textId="187BA54F" w:rsidR="00B41B15" w:rsidRDefault="00B41B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3238AA" w14:textId="77777777" w:rsidR="00B41B15" w:rsidRDefault="00B41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BB6A7" w14:textId="77777777" w:rsidR="00F812F5" w:rsidRDefault="00F812F5" w:rsidP="00B41B15">
      <w:pPr>
        <w:spacing w:line="240" w:lineRule="auto"/>
      </w:pPr>
      <w:r>
        <w:separator/>
      </w:r>
    </w:p>
  </w:footnote>
  <w:footnote w:type="continuationSeparator" w:id="0">
    <w:p w14:paraId="47183BEF" w14:textId="77777777" w:rsidR="00F812F5" w:rsidRDefault="00F812F5" w:rsidP="00B41B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D634D4"/>
    <w:multiLevelType w:val="hybridMultilevel"/>
    <w:tmpl w:val="00000000"/>
    <w:lvl w:ilvl="0" w:tplc="85C0B5A2">
      <w:start w:val="1"/>
      <w:numFmt w:val="lowerLetter"/>
      <w:lvlText w:val="%1."/>
      <w:lvlJc w:val="left"/>
      <w:pPr>
        <w:ind w:left="720" w:hanging="360"/>
      </w:pPr>
      <w:rPr>
        <w:rFonts w:ascii="Times New Roman" w:eastAsia="Times New Roman" w:hAnsi="Times New Roman" w:cs="Times New Roman"/>
        <w:b/>
        <w:u w:val="none"/>
      </w:rPr>
    </w:lvl>
    <w:lvl w:ilvl="1" w:tplc="81AC1FCC">
      <w:start w:val="1"/>
      <w:numFmt w:val="lowerRoman"/>
      <w:lvlText w:val="%2."/>
      <w:lvlJc w:val="right"/>
      <w:pPr>
        <w:ind w:left="1440" w:hanging="360"/>
      </w:pPr>
      <w:rPr>
        <w:u w:val="none"/>
      </w:rPr>
    </w:lvl>
    <w:lvl w:ilvl="2" w:tplc="600E6D46">
      <w:start w:val="1"/>
      <w:numFmt w:val="decimal"/>
      <w:lvlText w:val="%3."/>
      <w:lvlJc w:val="left"/>
      <w:pPr>
        <w:ind w:left="2160" w:hanging="360"/>
      </w:pPr>
      <w:rPr>
        <w:u w:val="none"/>
      </w:rPr>
    </w:lvl>
    <w:lvl w:ilvl="3" w:tplc="7EEE0F9C">
      <w:start w:val="1"/>
      <w:numFmt w:val="lowerLetter"/>
      <w:lvlText w:val="%4."/>
      <w:lvlJc w:val="left"/>
      <w:pPr>
        <w:ind w:left="2880" w:hanging="360"/>
      </w:pPr>
      <w:rPr>
        <w:u w:val="none"/>
      </w:rPr>
    </w:lvl>
    <w:lvl w:ilvl="4" w:tplc="24EE12C8">
      <w:start w:val="1"/>
      <w:numFmt w:val="lowerRoman"/>
      <w:lvlText w:val="%5."/>
      <w:lvlJc w:val="right"/>
      <w:pPr>
        <w:ind w:left="3600" w:hanging="360"/>
      </w:pPr>
      <w:rPr>
        <w:u w:val="none"/>
      </w:rPr>
    </w:lvl>
    <w:lvl w:ilvl="5" w:tplc="E892BFFA">
      <w:start w:val="1"/>
      <w:numFmt w:val="decimal"/>
      <w:lvlText w:val="%6."/>
      <w:lvlJc w:val="left"/>
      <w:pPr>
        <w:ind w:left="4320" w:hanging="360"/>
      </w:pPr>
      <w:rPr>
        <w:u w:val="none"/>
      </w:rPr>
    </w:lvl>
    <w:lvl w:ilvl="6" w:tplc="76F40178">
      <w:start w:val="1"/>
      <w:numFmt w:val="lowerLetter"/>
      <w:lvlText w:val="%7."/>
      <w:lvlJc w:val="left"/>
      <w:pPr>
        <w:ind w:left="5040" w:hanging="360"/>
      </w:pPr>
      <w:rPr>
        <w:u w:val="none"/>
      </w:rPr>
    </w:lvl>
    <w:lvl w:ilvl="7" w:tplc="BCC6703A">
      <w:start w:val="1"/>
      <w:numFmt w:val="lowerRoman"/>
      <w:lvlText w:val="%8."/>
      <w:lvlJc w:val="right"/>
      <w:pPr>
        <w:ind w:left="5760" w:hanging="360"/>
      </w:pPr>
      <w:rPr>
        <w:u w:val="none"/>
      </w:rPr>
    </w:lvl>
    <w:lvl w:ilvl="8" w:tplc="B9F219CE">
      <w:start w:val="1"/>
      <w:numFmt w:val="decimal"/>
      <w:lvlText w:val="%9."/>
      <w:lvlJc w:val="left"/>
      <w:pPr>
        <w:ind w:left="6480" w:hanging="360"/>
      </w:pPr>
      <w:rPr>
        <w:u w:val="none"/>
      </w:rPr>
    </w:lvl>
  </w:abstractNum>
  <w:num w:numId="1" w16cid:durableId="1927151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732B"/>
    <w:rsid w:val="000542DC"/>
    <w:rsid w:val="00084696"/>
    <w:rsid w:val="00176BBD"/>
    <w:rsid w:val="004C732B"/>
    <w:rsid w:val="004E6E32"/>
    <w:rsid w:val="005E494A"/>
    <w:rsid w:val="00B07C18"/>
    <w:rsid w:val="00B41B15"/>
    <w:rsid w:val="00B72CF8"/>
    <w:rsid w:val="00D232F4"/>
    <w:rsid w:val="00DF4E93"/>
    <w:rsid w:val="00EC6857"/>
    <w:rsid w:val="00F812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8F29F7"/>
  <w15:docId w15:val="{FD77171B-A37F-4FE9-8B08-53AF4859F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EC6857"/>
    <w:rPr>
      <w:color w:val="0000FF" w:themeColor="hyperlink"/>
      <w:u w:val="single"/>
    </w:rPr>
  </w:style>
  <w:style w:type="character" w:styleId="UnresolvedMention">
    <w:name w:val="Unresolved Mention"/>
    <w:basedOn w:val="DefaultParagraphFont"/>
    <w:uiPriority w:val="99"/>
    <w:semiHidden/>
    <w:unhideWhenUsed/>
    <w:rsid w:val="00EC6857"/>
    <w:rPr>
      <w:color w:val="605E5C"/>
      <w:shd w:val="clear" w:color="auto" w:fill="E1DFDD"/>
    </w:rPr>
  </w:style>
  <w:style w:type="paragraph" w:styleId="Header">
    <w:name w:val="header"/>
    <w:basedOn w:val="Normal"/>
    <w:link w:val="HeaderChar"/>
    <w:uiPriority w:val="99"/>
    <w:unhideWhenUsed/>
    <w:rsid w:val="00B41B15"/>
    <w:pPr>
      <w:tabs>
        <w:tab w:val="center" w:pos="4513"/>
        <w:tab w:val="right" w:pos="9026"/>
      </w:tabs>
      <w:spacing w:line="240" w:lineRule="auto"/>
    </w:pPr>
  </w:style>
  <w:style w:type="character" w:customStyle="1" w:styleId="HeaderChar">
    <w:name w:val="Header Char"/>
    <w:basedOn w:val="DefaultParagraphFont"/>
    <w:link w:val="Header"/>
    <w:uiPriority w:val="99"/>
    <w:rsid w:val="00B41B15"/>
  </w:style>
  <w:style w:type="paragraph" w:styleId="Footer">
    <w:name w:val="footer"/>
    <w:basedOn w:val="Normal"/>
    <w:link w:val="FooterChar"/>
    <w:uiPriority w:val="99"/>
    <w:unhideWhenUsed/>
    <w:rsid w:val="00B41B15"/>
    <w:pPr>
      <w:tabs>
        <w:tab w:val="center" w:pos="4513"/>
        <w:tab w:val="right" w:pos="9026"/>
      </w:tabs>
      <w:spacing w:line="240" w:lineRule="auto"/>
    </w:pPr>
  </w:style>
  <w:style w:type="character" w:customStyle="1" w:styleId="FooterChar">
    <w:name w:val="Footer Char"/>
    <w:basedOn w:val="DefaultParagraphFont"/>
    <w:link w:val="Footer"/>
    <w:uiPriority w:val="99"/>
    <w:rsid w:val="00B41B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jaruda.org/index.php/go/article/view/53" TargetMode="External"/><Relationship Id="rId3" Type="http://schemas.openxmlformats.org/officeDocument/2006/relationships/settings" Target="settings.xml"/><Relationship Id="rId21" Type="http://schemas.openxmlformats.org/officeDocument/2006/relationships/hyperlink" Target="https://link.springer.com/chapter/10.1007/978-3-030-87269-4_4"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emerald.com/insight/content/doi/10.1108/978-1-83909-612-920211003/full/html"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ergipark.org.tr/en/pub/aifd/issue/55726/722645"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proquest.com/openview/dad882409cae790ca79324dc7a2b3f08/1?pq-origsite=gscholar&amp;cbl=2040545"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cejsh.icm.edu.pl/cejsh/element/bwmeta1.element.desklight-c32c53b3-5677-4573-b1b3-c2ec33b8b304" TargetMode="External"/><Relationship Id="rId28" Type="http://schemas.openxmlformats.org/officeDocument/2006/relationships/hyperlink" Target="https://books.google.co.in/books?hl=en&amp;lr=&amp;id=aCDHDwAAQBAJ&amp;oi=fnd&amp;pg=PR13&amp;dq=why+regulations+ar+important+in+the+financial+accounting&amp;ots=EuDDs9iYCX&amp;sig=5MNTuHP-IHg-RTeMQil6wnv15U8&amp;redir_esc=y" TargetMode="External"/><Relationship Id="rId10" Type="http://schemas.openxmlformats.org/officeDocument/2006/relationships/image" Target="media/image4.png"/><Relationship Id="rId19" Type="http://schemas.openxmlformats.org/officeDocument/2006/relationships/hyperlink" Target="https://profesionalmudacendekia.com/index.php/sss/article/view/226"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1wqtxts1xzle7.cloudfront.net/72349718/pdf-libre.pdf?1635142019=&amp;response-content-disposition=inline%3B+filename%3DEffects_of_Return_on_Asset_Debt_to_Asset.pdf&amp;Expires=1702904475&amp;Signature=IW1mzQCTUPPkrEG-QXXg1yTVDWc3-RxgwQ-MwkxARHS0s6HV5SHNZb9RVqNgUQtXJWloNysHfkCFe~Eoyp10dGW7-4CIXzMCEjhWQRpSRjAU2pBwh~hZ~ls5crxEXRfxD1WFDb91vSJ3NFSn2i6yncX0I56QXkJZf9PoAaQ5A19f9woYYwoXlCGEphkxC47r6paVSOwbPGwEInOyF~ppOamhhzF-Uv8Jil~EkqD~4T6BbykF6hlXQiLjLIsF6Q42D7kj2fHrb~HpoctF4Q7LIF54~KzgKOOPLt4AKhvSrRA-vrAq8AfOC4HsP5Jl3bMme1d3GgR7U23HeiM8l26l~A__&amp;Key-Pair-Id=APKAJLOHF5GGSLRBV4ZA" TargetMode="External"/><Relationship Id="rId27" Type="http://schemas.openxmlformats.org/officeDocument/2006/relationships/hyperlink" Target="https://ije3.esc-id.org/index.php/home/article/view/8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3538</Words>
  <Characters>20170</Characters>
  <Application>Microsoft Office Word</Application>
  <DocSecurity>0</DocSecurity>
  <Lines>168</Lines>
  <Paragraphs>47</Paragraphs>
  <ScaleCrop>false</ScaleCrop>
  <Company/>
  <LinksUpToDate>false</LinksUpToDate>
  <CharactersWithSpaces>23661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Filote (STU103066)</cp:lastModifiedBy>
  <cp:revision>12</cp:revision>
  <dcterms:created xsi:type="dcterms:W3CDTF">2023-12-18T12:25:00Z</dcterms:created>
  <dcterms:modified xsi:type="dcterms:W3CDTF">2023-12-18T21:38:00Z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d05a83dbf0f67fe508d7ed95bfaec3389fc6e842170782c05f161fa37ff23f2f</vt:lpwstr>
  </property>
</Properties>
</file>