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24A98" w14:textId="77777777" w:rsidR="001E3A45" w:rsidRPr="0049673E" w:rsidRDefault="001E3A45" w:rsidP="001E3A45">
      <w:pPr>
        <w:pStyle w:val="Title"/>
        <w:rPr>
          <w:color w:val="000000" w:themeColor="text1"/>
        </w:rPr>
      </w:pPr>
      <w:r w:rsidRPr="0049673E">
        <w:rPr>
          <w:color w:val="000000" w:themeColor="text1"/>
        </w:rPr>
        <w:t>HSBC GLOBAL BUSINESS</w:t>
      </w:r>
    </w:p>
    <w:p w14:paraId="118462FE" w14:textId="77777777" w:rsidR="001E3A45" w:rsidRPr="008E649A" w:rsidRDefault="001E3A45" w:rsidP="001E3A45">
      <w:pPr>
        <w:pStyle w:val="Title"/>
        <w:rPr>
          <w:color w:val="000000" w:themeColor="text1"/>
          <w:sz w:val="32"/>
          <w:szCs w:val="32"/>
        </w:rPr>
      </w:pPr>
      <w:r w:rsidRPr="008E649A">
        <w:rPr>
          <w:color w:val="000000" w:themeColor="text1"/>
          <w:sz w:val="32"/>
          <w:szCs w:val="32"/>
        </w:rPr>
        <w:t>INDIVIDUAL PROJECT REPORT</w:t>
      </w:r>
    </w:p>
    <w:p w14:paraId="1ED65F7A" w14:textId="77777777" w:rsidR="001E3A45" w:rsidRPr="00981783" w:rsidRDefault="001E3A45" w:rsidP="001E3A45">
      <w:pPr>
        <w:rPr>
          <w:rFonts w:cs="Arial"/>
          <w:b/>
        </w:rPr>
      </w:pPr>
      <w:r w:rsidRPr="00981783">
        <w:rPr>
          <w:rFonts w:cs="Arial"/>
          <w:b/>
        </w:rPr>
        <w:t xml:space="preserve">Student Name: </w:t>
      </w:r>
      <w:r>
        <w:rPr>
          <w:rFonts w:cs="Arial"/>
          <w:b/>
        </w:rPr>
        <w:t>Ionela Dobrin</w:t>
      </w:r>
    </w:p>
    <w:p w14:paraId="21197D73" w14:textId="77777777" w:rsidR="001E3A45" w:rsidRPr="00981783" w:rsidRDefault="001E3A45" w:rsidP="001E3A45">
      <w:pPr>
        <w:rPr>
          <w:rFonts w:cs="Arial"/>
          <w:b/>
        </w:rPr>
      </w:pPr>
      <w:r w:rsidRPr="00981783">
        <w:rPr>
          <w:rFonts w:cs="Arial"/>
          <w:b/>
        </w:rPr>
        <w:t>Student ID:</w:t>
      </w:r>
      <w:r>
        <w:rPr>
          <w:rFonts w:cs="Arial"/>
          <w:b/>
        </w:rPr>
        <w:t xml:space="preserve"> 2111156</w:t>
      </w:r>
    </w:p>
    <w:p w14:paraId="69EE6C1B" w14:textId="77777777" w:rsidR="001E3A45" w:rsidRPr="00DB7A4F" w:rsidRDefault="001E3A45" w:rsidP="001E3A45">
      <w:pPr>
        <w:spacing w:after="200" w:line="276" w:lineRule="auto"/>
        <w:jc w:val="left"/>
        <w:rPr>
          <w:b/>
          <w:bCs/>
          <w:lang w:val="en-IN"/>
        </w:rPr>
      </w:pPr>
      <w:r w:rsidRPr="00DB7A4F">
        <w:rPr>
          <w:b/>
          <w:bCs/>
          <w:lang w:val="en-IN"/>
        </w:rPr>
        <w:t xml:space="preserve">Lecturer name: </w:t>
      </w:r>
      <w:r w:rsidRPr="007B028C">
        <w:rPr>
          <w:b/>
          <w:bCs/>
        </w:rPr>
        <w:t>Tarila Zuofa</w:t>
      </w:r>
    </w:p>
    <w:p w14:paraId="7AB64503" w14:textId="77777777" w:rsidR="001E3A45" w:rsidRDefault="001E3A45" w:rsidP="001E3A45">
      <w:pPr>
        <w:rPr>
          <w:b/>
          <w:bCs/>
        </w:rPr>
      </w:pPr>
      <w:r w:rsidRPr="00DB7A4F">
        <w:rPr>
          <w:b/>
          <w:bCs/>
        </w:rPr>
        <w:t>Module code: LCBB4005 BIRM</w:t>
      </w:r>
    </w:p>
    <w:p w14:paraId="3D8271EF" w14:textId="1D0E21A9" w:rsidR="001E3A45" w:rsidRDefault="001E3A45" w:rsidP="001E3A45">
      <w:pPr>
        <w:rPr>
          <w:b/>
          <w:bCs/>
        </w:rPr>
      </w:pPr>
      <w:r w:rsidRPr="00B228BF">
        <w:rPr>
          <w:b/>
          <w:bCs/>
        </w:rPr>
        <w:t>Module</w:t>
      </w:r>
      <w:r>
        <w:rPr>
          <w:b/>
          <w:bCs/>
        </w:rPr>
        <w:t xml:space="preserve"> name</w:t>
      </w:r>
      <w:r w:rsidRPr="00B228BF">
        <w:rPr>
          <w:b/>
          <w:bCs/>
        </w:rPr>
        <w:t>: Global Business Management</w:t>
      </w:r>
    </w:p>
    <w:p w14:paraId="422DFFAA" w14:textId="79B5FEF3" w:rsidR="00224C02" w:rsidRDefault="00224C02" w:rsidP="001E3A45">
      <w:pPr>
        <w:rPr>
          <w:b/>
          <w:bCs/>
        </w:rPr>
      </w:pPr>
    </w:p>
    <w:p w14:paraId="56029EDF" w14:textId="3D95AEBF" w:rsidR="00224C02" w:rsidRDefault="00224C02" w:rsidP="001E3A45">
      <w:pPr>
        <w:rPr>
          <w:b/>
          <w:bCs/>
        </w:rPr>
      </w:pPr>
    </w:p>
    <w:p w14:paraId="325DB825" w14:textId="506E265A" w:rsidR="00224C02" w:rsidRDefault="00224C02" w:rsidP="001E3A45">
      <w:pPr>
        <w:rPr>
          <w:b/>
          <w:bCs/>
        </w:rPr>
      </w:pPr>
    </w:p>
    <w:p w14:paraId="2CC22C67" w14:textId="302E3FDD" w:rsidR="00224C02" w:rsidRDefault="00224C02" w:rsidP="001E3A45">
      <w:pPr>
        <w:rPr>
          <w:b/>
          <w:bCs/>
        </w:rPr>
      </w:pPr>
    </w:p>
    <w:p w14:paraId="7954CFF5" w14:textId="45BADF91" w:rsidR="00224C02" w:rsidRDefault="00224C02" w:rsidP="001E3A45">
      <w:pPr>
        <w:rPr>
          <w:b/>
          <w:bCs/>
        </w:rPr>
      </w:pPr>
    </w:p>
    <w:p w14:paraId="2D1F975E" w14:textId="2FFEB4E3" w:rsidR="00224C02" w:rsidRDefault="00224C02" w:rsidP="001E3A45">
      <w:pPr>
        <w:rPr>
          <w:b/>
          <w:bCs/>
        </w:rPr>
      </w:pPr>
    </w:p>
    <w:p w14:paraId="596E23BB" w14:textId="715DB0C5" w:rsidR="00224C02" w:rsidRDefault="00224C02" w:rsidP="001E3A45">
      <w:pPr>
        <w:rPr>
          <w:b/>
          <w:bCs/>
        </w:rPr>
      </w:pPr>
    </w:p>
    <w:p w14:paraId="32536EBA" w14:textId="45CBA478" w:rsidR="00224C02" w:rsidRDefault="00224C02" w:rsidP="001E3A45">
      <w:pPr>
        <w:rPr>
          <w:b/>
          <w:bCs/>
        </w:rPr>
      </w:pPr>
    </w:p>
    <w:p w14:paraId="307173B3" w14:textId="0B706748" w:rsidR="00224C02" w:rsidRDefault="00224C02" w:rsidP="001E3A45">
      <w:pPr>
        <w:rPr>
          <w:b/>
          <w:bCs/>
        </w:rPr>
      </w:pPr>
    </w:p>
    <w:p w14:paraId="7236F30B" w14:textId="4116EE8C" w:rsidR="00224C02" w:rsidRDefault="00224C02" w:rsidP="001E3A45">
      <w:pPr>
        <w:rPr>
          <w:b/>
          <w:bCs/>
        </w:rPr>
      </w:pPr>
    </w:p>
    <w:p w14:paraId="27CA4CF3" w14:textId="16F6C2D2" w:rsidR="00224C02" w:rsidRDefault="00224C02" w:rsidP="001E3A45">
      <w:pPr>
        <w:rPr>
          <w:b/>
          <w:bCs/>
        </w:rPr>
      </w:pPr>
    </w:p>
    <w:p w14:paraId="139CC324" w14:textId="7FF6EF2D" w:rsidR="00224C02" w:rsidRDefault="00224C02" w:rsidP="001E3A45">
      <w:pPr>
        <w:rPr>
          <w:b/>
          <w:bCs/>
        </w:rPr>
      </w:pPr>
    </w:p>
    <w:p w14:paraId="3F428CE8" w14:textId="772467FC" w:rsidR="00224C02" w:rsidRDefault="00224C02" w:rsidP="001E3A45">
      <w:pPr>
        <w:rPr>
          <w:b/>
          <w:bCs/>
        </w:rPr>
      </w:pPr>
    </w:p>
    <w:p w14:paraId="4AB6283B" w14:textId="493238AC" w:rsidR="00224C02" w:rsidRDefault="00224C02" w:rsidP="001E3A45">
      <w:pPr>
        <w:rPr>
          <w:b/>
          <w:bCs/>
        </w:rPr>
      </w:pPr>
    </w:p>
    <w:p w14:paraId="26B50523" w14:textId="0992E3B7" w:rsidR="00224C02" w:rsidRDefault="00224C02" w:rsidP="001E3A45">
      <w:pPr>
        <w:rPr>
          <w:b/>
          <w:bCs/>
        </w:rPr>
      </w:pPr>
    </w:p>
    <w:p w14:paraId="63368858" w14:textId="77777777" w:rsidR="00224C02" w:rsidRPr="00B228BF" w:rsidRDefault="00224C02" w:rsidP="001E3A45">
      <w:pPr>
        <w:rPr>
          <w:b/>
          <w:bCs/>
        </w:rPr>
      </w:pPr>
    </w:p>
    <w:sdt>
      <w:sdtPr>
        <w:rPr>
          <w:rFonts w:ascii="Arial" w:eastAsiaTheme="minorHAnsi" w:hAnsi="Arial" w:cstheme="minorBidi"/>
          <w:b w:val="0"/>
          <w:bCs w:val="0"/>
          <w:color w:val="auto"/>
          <w:sz w:val="22"/>
          <w:szCs w:val="22"/>
          <w:lang w:eastAsia="en-US"/>
        </w:rPr>
        <w:id w:val="1636364465"/>
        <w:docPartObj>
          <w:docPartGallery w:val="Table of Contents"/>
          <w:docPartUnique/>
        </w:docPartObj>
      </w:sdtPr>
      <w:sdtEndPr>
        <w:rPr>
          <w:noProof/>
        </w:rPr>
      </w:sdtEndPr>
      <w:sdtContent>
        <w:p w14:paraId="7CF853DA" w14:textId="77777777" w:rsidR="00477E87" w:rsidRDefault="00477E87">
          <w:pPr>
            <w:pStyle w:val="TOCHeading"/>
          </w:pPr>
          <w:r>
            <w:t>Table of Contents</w:t>
          </w:r>
        </w:p>
        <w:p w14:paraId="7F0D369C" w14:textId="3B95E8BB" w:rsidR="008F5002" w:rsidRDefault="00477E87">
          <w:pPr>
            <w:pStyle w:val="TOC1"/>
            <w:tabs>
              <w:tab w:val="right" w:leader="dot" w:pos="9016"/>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08813943" w:history="1">
            <w:r w:rsidR="008F5002" w:rsidRPr="00D159DB">
              <w:rPr>
                <w:rStyle w:val="Hyperlink"/>
                <w:noProof/>
              </w:rPr>
              <w:t>Introduction</w:t>
            </w:r>
            <w:r w:rsidR="008F5002">
              <w:rPr>
                <w:noProof/>
                <w:webHidden/>
              </w:rPr>
              <w:tab/>
            </w:r>
            <w:r w:rsidR="008F5002">
              <w:rPr>
                <w:noProof/>
                <w:webHidden/>
              </w:rPr>
              <w:fldChar w:fldCharType="begin"/>
            </w:r>
            <w:r w:rsidR="008F5002">
              <w:rPr>
                <w:noProof/>
                <w:webHidden/>
              </w:rPr>
              <w:instrText xml:space="preserve"> PAGEREF _Toc108813943 \h </w:instrText>
            </w:r>
            <w:r w:rsidR="008F5002">
              <w:rPr>
                <w:noProof/>
                <w:webHidden/>
              </w:rPr>
            </w:r>
            <w:r w:rsidR="008F5002">
              <w:rPr>
                <w:noProof/>
                <w:webHidden/>
              </w:rPr>
              <w:fldChar w:fldCharType="separate"/>
            </w:r>
            <w:r w:rsidR="008F5002">
              <w:rPr>
                <w:noProof/>
                <w:webHidden/>
              </w:rPr>
              <w:t>3</w:t>
            </w:r>
            <w:r w:rsidR="008F5002">
              <w:rPr>
                <w:noProof/>
                <w:webHidden/>
              </w:rPr>
              <w:fldChar w:fldCharType="end"/>
            </w:r>
          </w:hyperlink>
        </w:p>
        <w:p w14:paraId="38F4F92E" w14:textId="22D98FE2" w:rsidR="008F5002" w:rsidRDefault="003A3A41">
          <w:pPr>
            <w:pStyle w:val="TOC2"/>
            <w:tabs>
              <w:tab w:val="right" w:leader="dot" w:pos="9016"/>
            </w:tabs>
            <w:rPr>
              <w:rFonts w:asciiTheme="minorHAnsi" w:eastAsiaTheme="minorEastAsia" w:hAnsiTheme="minorHAnsi"/>
              <w:noProof/>
              <w:lang w:val="en-GB" w:eastAsia="en-GB"/>
            </w:rPr>
          </w:pPr>
          <w:hyperlink w:anchor="_Toc108813944" w:history="1">
            <w:r w:rsidR="008F5002" w:rsidRPr="00D159DB">
              <w:rPr>
                <w:rStyle w:val="Hyperlink"/>
                <w:noProof/>
                <w:lang w:val="en-IN"/>
              </w:rPr>
              <w:t>Overview of HSBC</w:t>
            </w:r>
            <w:r w:rsidR="008F5002">
              <w:rPr>
                <w:noProof/>
                <w:webHidden/>
              </w:rPr>
              <w:tab/>
            </w:r>
            <w:r w:rsidR="008F5002">
              <w:rPr>
                <w:noProof/>
                <w:webHidden/>
              </w:rPr>
              <w:fldChar w:fldCharType="begin"/>
            </w:r>
            <w:r w:rsidR="008F5002">
              <w:rPr>
                <w:noProof/>
                <w:webHidden/>
              </w:rPr>
              <w:instrText xml:space="preserve"> PAGEREF _Toc108813944 \h </w:instrText>
            </w:r>
            <w:r w:rsidR="008F5002">
              <w:rPr>
                <w:noProof/>
                <w:webHidden/>
              </w:rPr>
            </w:r>
            <w:r w:rsidR="008F5002">
              <w:rPr>
                <w:noProof/>
                <w:webHidden/>
              </w:rPr>
              <w:fldChar w:fldCharType="separate"/>
            </w:r>
            <w:r w:rsidR="008F5002">
              <w:rPr>
                <w:noProof/>
                <w:webHidden/>
              </w:rPr>
              <w:t>3</w:t>
            </w:r>
            <w:r w:rsidR="008F5002">
              <w:rPr>
                <w:noProof/>
                <w:webHidden/>
              </w:rPr>
              <w:fldChar w:fldCharType="end"/>
            </w:r>
          </w:hyperlink>
        </w:p>
        <w:p w14:paraId="290832F4" w14:textId="7ADDD556" w:rsidR="008F5002" w:rsidRDefault="003A3A41">
          <w:pPr>
            <w:pStyle w:val="TOC1"/>
            <w:tabs>
              <w:tab w:val="right" w:leader="dot" w:pos="9016"/>
            </w:tabs>
            <w:rPr>
              <w:rFonts w:asciiTheme="minorHAnsi" w:eastAsiaTheme="minorEastAsia" w:hAnsiTheme="minorHAnsi"/>
              <w:noProof/>
              <w:lang w:val="en-GB" w:eastAsia="en-GB"/>
            </w:rPr>
          </w:pPr>
          <w:hyperlink w:anchor="_Toc108813945" w:history="1">
            <w:r w:rsidR="008F5002" w:rsidRPr="00D159DB">
              <w:rPr>
                <w:rStyle w:val="Hyperlink"/>
                <w:noProof/>
              </w:rPr>
              <w:t>Business environment</w:t>
            </w:r>
            <w:r w:rsidR="008F5002">
              <w:rPr>
                <w:noProof/>
                <w:webHidden/>
              </w:rPr>
              <w:tab/>
            </w:r>
            <w:r w:rsidR="008F5002">
              <w:rPr>
                <w:noProof/>
                <w:webHidden/>
              </w:rPr>
              <w:fldChar w:fldCharType="begin"/>
            </w:r>
            <w:r w:rsidR="008F5002">
              <w:rPr>
                <w:noProof/>
                <w:webHidden/>
              </w:rPr>
              <w:instrText xml:space="preserve"> PAGEREF _Toc108813945 \h </w:instrText>
            </w:r>
            <w:r w:rsidR="008F5002">
              <w:rPr>
                <w:noProof/>
                <w:webHidden/>
              </w:rPr>
            </w:r>
            <w:r w:rsidR="008F5002">
              <w:rPr>
                <w:noProof/>
                <w:webHidden/>
              </w:rPr>
              <w:fldChar w:fldCharType="separate"/>
            </w:r>
            <w:r w:rsidR="008F5002">
              <w:rPr>
                <w:noProof/>
                <w:webHidden/>
              </w:rPr>
              <w:t>4</w:t>
            </w:r>
            <w:r w:rsidR="008F5002">
              <w:rPr>
                <w:noProof/>
                <w:webHidden/>
              </w:rPr>
              <w:fldChar w:fldCharType="end"/>
            </w:r>
          </w:hyperlink>
        </w:p>
        <w:p w14:paraId="3A977AEE" w14:textId="778C3BAE" w:rsidR="008F5002" w:rsidRDefault="003A3A41">
          <w:pPr>
            <w:pStyle w:val="TOC1"/>
            <w:tabs>
              <w:tab w:val="right" w:leader="dot" w:pos="9016"/>
            </w:tabs>
            <w:rPr>
              <w:rFonts w:asciiTheme="minorHAnsi" w:eastAsiaTheme="minorEastAsia" w:hAnsiTheme="minorHAnsi"/>
              <w:noProof/>
              <w:lang w:val="en-GB" w:eastAsia="en-GB"/>
            </w:rPr>
          </w:pPr>
          <w:hyperlink w:anchor="_Toc108813946" w:history="1">
            <w:r w:rsidR="008F5002" w:rsidRPr="00D159DB">
              <w:rPr>
                <w:rStyle w:val="Hyperlink"/>
                <w:noProof/>
              </w:rPr>
              <w:t>PESTEL</w:t>
            </w:r>
            <w:r w:rsidR="008F5002">
              <w:rPr>
                <w:noProof/>
                <w:webHidden/>
              </w:rPr>
              <w:tab/>
            </w:r>
            <w:r w:rsidR="008F5002">
              <w:rPr>
                <w:noProof/>
                <w:webHidden/>
              </w:rPr>
              <w:fldChar w:fldCharType="begin"/>
            </w:r>
            <w:r w:rsidR="008F5002">
              <w:rPr>
                <w:noProof/>
                <w:webHidden/>
              </w:rPr>
              <w:instrText xml:space="preserve"> PAGEREF _Toc108813946 \h </w:instrText>
            </w:r>
            <w:r w:rsidR="008F5002">
              <w:rPr>
                <w:noProof/>
                <w:webHidden/>
              </w:rPr>
            </w:r>
            <w:r w:rsidR="008F5002">
              <w:rPr>
                <w:noProof/>
                <w:webHidden/>
              </w:rPr>
              <w:fldChar w:fldCharType="separate"/>
            </w:r>
            <w:r w:rsidR="008F5002">
              <w:rPr>
                <w:noProof/>
                <w:webHidden/>
              </w:rPr>
              <w:t>4</w:t>
            </w:r>
            <w:r w:rsidR="008F5002">
              <w:rPr>
                <w:noProof/>
                <w:webHidden/>
              </w:rPr>
              <w:fldChar w:fldCharType="end"/>
            </w:r>
          </w:hyperlink>
        </w:p>
        <w:p w14:paraId="6053D074" w14:textId="5149B479" w:rsidR="008F5002" w:rsidRDefault="003A3A41">
          <w:pPr>
            <w:pStyle w:val="TOC2"/>
            <w:tabs>
              <w:tab w:val="right" w:leader="dot" w:pos="9016"/>
            </w:tabs>
            <w:rPr>
              <w:rFonts w:asciiTheme="minorHAnsi" w:eastAsiaTheme="minorEastAsia" w:hAnsiTheme="minorHAnsi"/>
              <w:noProof/>
              <w:lang w:val="en-GB" w:eastAsia="en-GB"/>
            </w:rPr>
          </w:pPr>
          <w:hyperlink w:anchor="_Toc108813947" w:history="1">
            <w:r w:rsidR="008F5002" w:rsidRPr="00D159DB">
              <w:rPr>
                <w:rStyle w:val="Hyperlink"/>
                <w:noProof/>
              </w:rPr>
              <w:t>Economic</w:t>
            </w:r>
            <w:r w:rsidR="008F5002">
              <w:rPr>
                <w:noProof/>
                <w:webHidden/>
              </w:rPr>
              <w:tab/>
            </w:r>
            <w:r w:rsidR="008F5002">
              <w:rPr>
                <w:noProof/>
                <w:webHidden/>
              </w:rPr>
              <w:fldChar w:fldCharType="begin"/>
            </w:r>
            <w:r w:rsidR="008F5002">
              <w:rPr>
                <w:noProof/>
                <w:webHidden/>
              </w:rPr>
              <w:instrText xml:space="preserve"> PAGEREF _Toc108813947 \h </w:instrText>
            </w:r>
            <w:r w:rsidR="008F5002">
              <w:rPr>
                <w:noProof/>
                <w:webHidden/>
              </w:rPr>
            </w:r>
            <w:r w:rsidR="008F5002">
              <w:rPr>
                <w:noProof/>
                <w:webHidden/>
              </w:rPr>
              <w:fldChar w:fldCharType="separate"/>
            </w:r>
            <w:r w:rsidR="008F5002">
              <w:rPr>
                <w:noProof/>
                <w:webHidden/>
              </w:rPr>
              <w:t>4</w:t>
            </w:r>
            <w:r w:rsidR="008F5002">
              <w:rPr>
                <w:noProof/>
                <w:webHidden/>
              </w:rPr>
              <w:fldChar w:fldCharType="end"/>
            </w:r>
          </w:hyperlink>
        </w:p>
        <w:p w14:paraId="0A70E3BC" w14:textId="7B2E993A" w:rsidR="008F5002" w:rsidRDefault="003A3A41">
          <w:pPr>
            <w:pStyle w:val="TOC2"/>
            <w:tabs>
              <w:tab w:val="right" w:leader="dot" w:pos="9016"/>
            </w:tabs>
            <w:rPr>
              <w:rFonts w:asciiTheme="minorHAnsi" w:eastAsiaTheme="minorEastAsia" w:hAnsiTheme="minorHAnsi"/>
              <w:noProof/>
              <w:lang w:val="en-GB" w:eastAsia="en-GB"/>
            </w:rPr>
          </w:pPr>
          <w:hyperlink w:anchor="_Toc108813948" w:history="1">
            <w:r w:rsidR="008F5002" w:rsidRPr="00D159DB">
              <w:rPr>
                <w:rStyle w:val="Hyperlink"/>
                <w:noProof/>
              </w:rPr>
              <w:t>Technological</w:t>
            </w:r>
            <w:r w:rsidR="008F5002">
              <w:rPr>
                <w:noProof/>
                <w:webHidden/>
              </w:rPr>
              <w:tab/>
            </w:r>
            <w:r w:rsidR="008F5002">
              <w:rPr>
                <w:noProof/>
                <w:webHidden/>
              </w:rPr>
              <w:fldChar w:fldCharType="begin"/>
            </w:r>
            <w:r w:rsidR="008F5002">
              <w:rPr>
                <w:noProof/>
                <w:webHidden/>
              </w:rPr>
              <w:instrText xml:space="preserve"> PAGEREF _Toc108813948 \h </w:instrText>
            </w:r>
            <w:r w:rsidR="008F5002">
              <w:rPr>
                <w:noProof/>
                <w:webHidden/>
              </w:rPr>
            </w:r>
            <w:r w:rsidR="008F5002">
              <w:rPr>
                <w:noProof/>
                <w:webHidden/>
              </w:rPr>
              <w:fldChar w:fldCharType="separate"/>
            </w:r>
            <w:r w:rsidR="008F5002">
              <w:rPr>
                <w:noProof/>
                <w:webHidden/>
              </w:rPr>
              <w:t>7</w:t>
            </w:r>
            <w:r w:rsidR="008F5002">
              <w:rPr>
                <w:noProof/>
                <w:webHidden/>
              </w:rPr>
              <w:fldChar w:fldCharType="end"/>
            </w:r>
          </w:hyperlink>
        </w:p>
        <w:p w14:paraId="27DD64DC" w14:textId="6BEB6A66" w:rsidR="008F5002" w:rsidRDefault="003A3A41">
          <w:pPr>
            <w:pStyle w:val="TOC1"/>
            <w:tabs>
              <w:tab w:val="right" w:leader="dot" w:pos="9016"/>
            </w:tabs>
            <w:rPr>
              <w:rFonts w:asciiTheme="minorHAnsi" w:eastAsiaTheme="minorEastAsia" w:hAnsiTheme="minorHAnsi"/>
              <w:noProof/>
              <w:lang w:val="en-GB" w:eastAsia="en-GB"/>
            </w:rPr>
          </w:pPr>
          <w:hyperlink w:anchor="_Toc108813949" w:history="1">
            <w:r w:rsidR="008F5002" w:rsidRPr="00D159DB">
              <w:rPr>
                <w:rStyle w:val="Hyperlink"/>
                <w:noProof/>
              </w:rPr>
              <w:t>Porter 5 forces</w:t>
            </w:r>
            <w:r w:rsidR="008F5002">
              <w:rPr>
                <w:noProof/>
                <w:webHidden/>
              </w:rPr>
              <w:tab/>
            </w:r>
            <w:r w:rsidR="008F5002">
              <w:rPr>
                <w:noProof/>
                <w:webHidden/>
              </w:rPr>
              <w:fldChar w:fldCharType="begin"/>
            </w:r>
            <w:r w:rsidR="008F5002">
              <w:rPr>
                <w:noProof/>
                <w:webHidden/>
              </w:rPr>
              <w:instrText xml:space="preserve"> PAGEREF _Toc108813949 \h </w:instrText>
            </w:r>
            <w:r w:rsidR="008F5002">
              <w:rPr>
                <w:noProof/>
                <w:webHidden/>
              </w:rPr>
            </w:r>
            <w:r w:rsidR="008F5002">
              <w:rPr>
                <w:noProof/>
                <w:webHidden/>
              </w:rPr>
              <w:fldChar w:fldCharType="separate"/>
            </w:r>
            <w:r w:rsidR="008F5002">
              <w:rPr>
                <w:noProof/>
                <w:webHidden/>
              </w:rPr>
              <w:t>9</w:t>
            </w:r>
            <w:r w:rsidR="008F5002">
              <w:rPr>
                <w:noProof/>
                <w:webHidden/>
              </w:rPr>
              <w:fldChar w:fldCharType="end"/>
            </w:r>
          </w:hyperlink>
        </w:p>
        <w:p w14:paraId="73732349" w14:textId="64F7D043" w:rsidR="008F5002" w:rsidRDefault="003A3A41">
          <w:pPr>
            <w:pStyle w:val="TOC2"/>
            <w:tabs>
              <w:tab w:val="right" w:leader="dot" w:pos="9016"/>
            </w:tabs>
            <w:rPr>
              <w:rFonts w:asciiTheme="minorHAnsi" w:eastAsiaTheme="minorEastAsia" w:hAnsiTheme="minorHAnsi"/>
              <w:noProof/>
              <w:lang w:val="en-GB" w:eastAsia="en-GB"/>
            </w:rPr>
          </w:pPr>
          <w:hyperlink w:anchor="_Toc108813950" w:history="1">
            <w:r w:rsidR="008F5002" w:rsidRPr="00D159DB">
              <w:rPr>
                <w:rStyle w:val="Hyperlink"/>
                <w:noProof/>
              </w:rPr>
              <w:t>Power of buyer</w:t>
            </w:r>
            <w:r w:rsidR="008F5002">
              <w:rPr>
                <w:noProof/>
                <w:webHidden/>
              </w:rPr>
              <w:tab/>
            </w:r>
            <w:r w:rsidR="008F5002">
              <w:rPr>
                <w:noProof/>
                <w:webHidden/>
              </w:rPr>
              <w:fldChar w:fldCharType="begin"/>
            </w:r>
            <w:r w:rsidR="008F5002">
              <w:rPr>
                <w:noProof/>
                <w:webHidden/>
              </w:rPr>
              <w:instrText xml:space="preserve"> PAGEREF _Toc108813950 \h </w:instrText>
            </w:r>
            <w:r w:rsidR="008F5002">
              <w:rPr>
                <w:noProof/>
                <w:webHidden/>
              </w:rPr>
            </w:r>
            <w:r w:rsidR="008F5002">
              <w:rPr>
                <w:noProof/>
                <w:webHidden/>
              </w:rPr>
              <w:fldChar w:fldCharType="separate"/>
            </w:r>
            <w:r w:rsidR="008F5002">
              <w:rPr>
                <w:noProof/>
                <w:webHidden/>
              </w:rPr>
              <w:t>9</w:t>
            </w:r>
            <w:r w:rsidR="008F5002">
              <w:rPr>
                <w:noProof/>
                <w:webHidden/>
              </w:rPr>
              <w:fldChar w:fldCharType="end"/>
            </w:r>
          </w:hyperlink>
        </w:p>
        <w:p w14:paraId="231D9FC8" w14:textId="0C9CC3AC" w:rsidR="008F5002" w:rsidRDefault="003A3A41">
          <w:pPr>
            <w:pStyle w:val="TOC2"/>
            <w:tabs>
              <w:tab w:val="right" w:leader="dot" w:pos="9016"/>
            </w:tabs>
            <w:rPr>
              <w:rFonts w:asciiTheme="minorHAnsi" w:eastAsiaTheme="minorEastAsia" w:hAnsiTheme="minorHAnsi"/>
              <w:noProof/>
              <w:lang w:val="en-GB" w:eastAsia="en-GB"/>
            </w:rPr>
          </w:pPr>
          <w:hyperlink w:anchor="_Toc108813951" w:history="1">
            <w:r w:rsidR="008F5002" w:rsidRPr="00D159DB">
              <w:rPr>
                <w:rStyle w:val="Hyperlink"/>
                <w:noProof/>
              </w:rPr>
              <w:t>The threat of new entrant</w:t>
            </w:r>
            <w:r w:rsidR="008F5002">
              <w:rPr>
                <w:noProof/>
                <w:webHidden/>
              </w:rPr>
              <w:tab/>
            </w:r>
            <w:r w:rsidR="008F5002">
              <w:rPr>
                <w:noProof/>
                <w:webHidden/>
              </w:rPr>
              <w:fldChar w:fldCharType="begin"/>
            </w:r>
            <w:r w:rsidR="008F5002">
              <w:rPr>
                <w:noProof/>
                <w:webHidden/>
              </w:rPr>
              <w:instrText xml:space="preserve"> PAGEREF _Toc108813951 \h </w:instrText>
            </w:r>
            <w:r w:rsidR="008F5002">
              <w:rPr>
                <w:noProof/>
                <w:webHidden/>
              </w:rPr>
            </w:r>
            <w:r w:rsidR="008F5002">
              <w:rPr>
                <w:noProof/>
                <w:webHidden/>
              </w:rPr>
              <w:fldChar w:fldCharType="separate"/>
            </w:r>
            <w:r w:rsidR="008F5002">
              <w:rPr>
                <w:noProof/>
                <w:webHidden/>
              </w:rPr>
              <w:t>9</w:t>
            </w:r>
            <w:r w:rsidR="008F5002">
              <w:rPr>
                <w:noProof/>
                <w:webHidden/>
              </w:rPr>
              <w:fldChar w:fldCharType="end"/>
            </w:r>
          </w:hyperlink>
        </w:p>
        <w:p w14:paraId="428783AA" w14:textId="3B46A689" w:rsidR="008F5002" w:rsidRDefault="003A3A41">
          <w:pPr>
            <w:pStyle w:val="TOC1"/>
            <w:tabs>
              <w:tab w:val="right" w:leader="dot" w:pos="9016"/>
            </w:tabs>
            <w:rPr>
              <w:rFonts w:asciiTheme="minorHAnsi" w:eastAsiaTheme="minorEastAsia" w:hAnsiTheme="minorHAnsi"/>
              <w:noProof/>
              <w:lang w:val="en-GB" w:eastAsia="en-GB"/>
            </w:rPr>
          </w:pPr>
          <w:hyperlink w:anchor="_Toc108813952" w:history="1">
            <w:r w:rsidR="008F5002" w:rsidRPr="00D159DB">
              <w:rPr>
                <w:rStyle w:val="Hyperlink"/>
                <w:noProof/>
              </w:rPr>
              <w:t>Conclusion</w:t>
            </w:r>
            <w:r w:rsidR="008F5002">
              <w:rPr>
                <w:noProof/>
                <w:webHidden/>
              </w:rPr>
              <w:tab/>
            </w:r>
            <w:r w:rsidR="008F5002">
              <w:rPr>
                <w:noProof/>
                <w:webHidden/>
              </w:rPr>
              <w:fldChar w:fldCharType="begin"/>
            </w:r>
            <w:r w:rsidR="008F5002">
              <w:rPr>
                <w:noProof/>
                <w:webHidden/>
              </w:rPr>
              <w:instrText xml:space="preserve"> PAGEREF _Toc108813952 \h </w:instrText>
            </w:r>
            <w:r w:rsidR="008F5002">
              <w:rPr>
                <w:noProof/>
                <w:webHidden/>
              </w:rPr>
            </w:r>
            <w:r w:rsidR="008F5002">
              <w:rPr>
                <w:noProof/>
                <w:webHidden/>
              </w:rPr>
              <w:fldChar w:fldCharType="separate"/>
            </w:r>
            <w:r w:rsidR="008F5002">
              <w:rPr>
                <w:noProof/>
                <w:webHidden/>
              </w:rPr>
              <w:t>11</w:t>
            </w:r>
            <w:r w:rsidR="008F5002">
              <w:rPr>
                <w:noProof/>
                <w:webHidden/>
              </w:rPr>
              <w:fldChar w:fldCharType="end"/>
            </w:r>
          </w:hyperlink>
        </w:p>
        <w:p w14:paraId="63D2D996" w14:textId="784CE734" w:rsidR="008F5002" w:rsidRDefault="003A3A41">
          <w:pPr>
            <w:pStyle w:val="TOC1"/>
            <w:tabs>
              <w:tab w:val="right" w:leader="dot" w:pos="9016"/>
            </w:tabs>
            <w:rPr>
              <w:rFonts w:asciiTheme="minorHAnsi" w:eastAsiaTheme="minorEastAsia" w:hAnsiTheme="minorHAnsi"/>
              <w:noProof/>
              <w:lang w:val="en-GB" w:eastAsia="en-GB"/>
            </w:rPr>
          </w:pPr>
          <w:hyperlink w:anchor="_Toc108813953" w:history="1">
            <w:r w:rsidR="008F5002" w:rsidRPr="00D159DB">
              <w:rPr>
                <w:rStyle w:val="Hyperlink"/>
                <w:noProof/>
              </w:rPr>
              <w:t>References</w:t>
            </w:r>
            <w:r w:rsidR="008F5002">
              <w:rPr>
                <w:noProof/>
                <w:webHidden/>
              </w:rPr>
              <w:tab/>
            </w:r>
            <w:r w:rsidR="008F5002">
              <w:rPr>
                <w:noProof/>
                <w:webHidden/>
              </w:rPr>
              <w:fldChar w:fldCharType="begin"/>
            </w:r>
            <w:r w:rsidR="008F5002">
              <w:rPr>
                <w:noProof/>
                <w:webHidden/>
              </w:rPr>
              <w:instrText xml:space="preserve"> PAGEREF _Toc108813953 \h </w:instrText>
            </w:r>
            <w:r w:rsidR="008F5002">
              <w:rPr>
                <w:noProof/>
                <w:webHidden/>
              </w:rPr>
            </w:r>
            <w:r w:rsidR="008F5002">
              <w:rPr>
                <w:noProof/>
                <w:webHidden/>
              </w:rPr>
              <w:fldChar w:fldCharType="separate"/>
            </w:r>
            <w:r w:rsidR="008F5002">
              <w:rPr>
                <w:noProof/>
                <w:webHidden/>
              </w:rPr>
              <w:t>12</w:t>
            </w:r>
            <w:r w:rsidR="008F5002">
              <w:rPr>
                <w:noProof/>
                <w:webHidden/>
              </w:rPr>
              <w:fldChar w:fldCharType="end"/>
            </w:r>
          </w:hyperlink>
        </w:p>
        <w:p w14:paraId="7D10D31D" w14:textId="2AF23E9D" w:rsidR="00477E87" w:rsidRDefault="00477E87">
          <w:r>
            <w:rPr>
              <w:b/>
              <w:bCs/>
              <w:noProof/>
            </w:rPr>
            <w:fldChar w:fldCharType="end"/>
          </w:r>
        </w:p>
      </w:sdtContent>
    </w:sdt>
    <w:p w14:paraId="09800D61" w14:textId="77777777" w:rsidR="00477E87" w:rsidRDefault="00477E87">
      <w:pPr>
        <w:spacing w:after="200" w:line="276" w:lineRule="auto"/>
        <w:jc w:val="left"/>
        <w:rPr>
          <w:rFonts w:eastAsiaTheme="majorEastAsia" w:cstheme="majorBidi"/>
          <w:b/>
          <w:sz w:val="28"/>
          <w:szCs w:val="32"/>
          <w:lang w:val="en-IN"/>
        </w:rPr>
      </w:pPr>
      <w:r>
        <w:br w:type="page"/>
      </w:r>
    </w:p>
    <w:p w14:paraId="108DEFDF" w14:textId="77777777" w:rsidR="00477E87" w:rsidRPr="00477E87" w:rsidRDefault="00477E87" w:rsidP="00477E87">
      <w:pPr>
        <w:pStyle w:val="Heading1"/>
      </w:pPr>
      <w:bookmarkStart w:id="0" w:name="_Toc108813943"/>
      <w:r w:rsidRPr="00477E87">
        <w:lastRenderedPageBreak/>
        <w:t>Introduction</w:t>
      </w:r>
      <w:bookmarkEnd w:id="0"/>
    </w:p>
    <w:p w14:paraId="3038093E" w14:textId="4A50146E" w:rsidR="00477E87" w:rsidRDefault="00477E87" w:rsidP="003E1575">
      <w:pPr>
        <w:rPr>
          <w:lang w:val="en-IN"/>
        </w:rPr>
      </w:pPr>
      <w:r>
        <w:rPr>
          <w:lang w:val="en-IN"/>
        </w:rPr>
        <w:t>A global business is responsible for global development by operating within different countries in the world. The report aims to study global business management by evaluating the business environment of the UK nation. The report will help to gain an understanding of changing global business environment. The report will focus on two different global factors from the PESTEL and Porter’s Five Forces. The selected factors are Economics and Technolog</w:t>
      </w:r>
      <w:r w:rsidR="007A7FF4">
        <w:rPr>
          <w:lang w:val="en-IN"/>
        </w:rPr>
        <w:t>ical</w:t>
      </w:r>
      <w:r>
        <w:rPr>
          <w:lang w:val="en-IN"/>
        </w:rPr>
        <w:t xml:space="preserve"> from the PESTEL Model. From Porter’s five forces, the </w:t>
      </w:r>
      <w:r w:rsidR="00FE0053">
        <w:rPr>
          <w:lang w:val="en-IN"/>
        </w:rPr>
        <w:t>p</w:t>
      </w:r>
      <w:r>
        <w:rPr>
          <w:lang w:val="en-IN"/>
        </w:rPr>
        <w:t xml:space="preserve">ower of buyers and threats of new entrants will be discussed in the report. To make the report possible, the research of the data will be taken from the Office of National Statistics. This way the study will focus on the quantitative data to critically evaluate the business environment. </w:t>
      </w:r>
    </w:p>
    <w:p w14:paraId="70C75115" w14:textId="41D29803" w:rsidR="00477E87" w:rsidRDefault="00477E87" w:rsidP="003E1575">
      <w:pPr>
        <w:rPr>
          <w:lang w:val="en-IN"/>
        </w:rPr>
      </w:pPr>
      <w:r>
        <w:rPr>
          <w:lang w:val="en-IN"/>
        </w:rPr>
        <w:t xml:space="preserve">The report will therefore focus on the business environment of the organization HSBC. The </w:t>
      </w:r>
      <w:r w:rsidR="00F00027">
        <w:rPr>
          <w:lang w:val="en-IN"/>
        </w:rPr>
        <w:t>report</w:t>
      </w:r>
      <w:r>
        <w:rPr>
          <w:lang w:val="en-IN"/>
        </w:rPr>
        <w:t xml:space="preserve"> will be oriented to study the environment of this organization as the organization is practising its operation in a global environment.</w:t>
      </w:r>
    </w:p>
    <w:p w14:paraId="297E905C" w14:textId="77777777" w:rsidR="00477E87" w:rsidRDefault="00477E87" w:rsidP="00477E87">
      <w:pPr>
        <w:pStyle w:val="Heading2"/>
        <w:rPr>
          <w:lang w:val="en-IN"/>
        </w:rPr>
      </w:pPr>
      <w:bookmarkStart w:id="1" w:name="_Toc108813944"/>
      <w:r>
        <w:rPr>
          <w:lang w:val="en-IN"/>
        </w:rPr>
        <w:t>Overview of HSBC</w:t>
      </w:r>
      <w:bookmarkEnd w:id="1"/>
    </w:p>
    <w:p w14:paraId="7774EB77" w14:textId="1C1ECE4A" w:rsidR="00477E87" w:rsidRDefault="00477E87" w:rsidP="00477E87">
      <w:r>
        <w:rPr>
          <w:lang w:val="en-IN"/>
        </w:rPr>
        <w:t>HSBC was founded in the year 1991, and HSBC is considered one of the largest banking and finance service organizations in the world</w:t>
      </w:r>
      <w:r w:rsidR="00B53F78">
        <w:rPr>
          <w:lang w:val="en-IN"/>
        </w:rPr>
        <w:t xml:space="preserve"> </w:t>
      </w:r>
      <w:r w:rsidR="00B53F78">
        <w:t>(</w:t>
      </w:r>
      <w:r w:rsidR="00F901A6" w:rsidRPr="00F901A6">
        <w:rPr>
          <w:rFonts w:eastAsia="Times New Roman" w:cs="Arial"/>
          <w:lang w:val="en-IN" w:eastAsia="en-IN"/>
        </w:rPr>
        <w:t>HSBC Group.</w:t>
      </w:r>
      <w:r w:rsidR="00F901A6" w:rsidRPr="00B53F78">
        <w:rPr>
          <w:rFonts w:eastAsia="Times New Roman" w:cs="Arial"/>
          <w:lang w:val="en-IN" w:eastAsia="en-IN"/>
        </w:rPr>
        <w:t xml:space="preserve"> 2022</w:t>
      </w:r>
      <w:r w:rsidR="00B53F78">
        <w:t>)</w:t>
      </w:r>
      <w:r>
        <w:rPr>
          <w:lang w:val="en-IN"/>
        </w:rPr>
        <w:t>. The organization have more than 40 million customers and provides global services with wealth and personal banking, commercial banking</w:t>
      </w:r>
      <w:r w:rsidR="00777EBC">
        <w:rPr>
          <w:lang w:val="en-IN"/>
        </w:rPr>
        <w:t xml:space="preserve">, </w:t>
      </w:r>
      <w:r>
        <w:rPr>
          <w:lang w:val="en-IN"/>
        </w:rPr>
        <w:t xml:space="preserve">global banking and markets. The company is presently headquartered in the UK, London. The organization is the British multinational universal bank and financial service </w:t>
      </w:r>
      <w:r>
        <w:t>holding in the UK. The company is the largest bank in Europe with total assets of US$2.953 trillion as of December 2021</w:t>
      </w:r>
      <w:r w:rsidR="00B53F78">
        <w:t xml:space="preserve"> (</w:t>
      </w:r>
      <w:r w:rsidR="00B53F78" w:rsidRPr="005E6948">
        <w:rPr>
          <w:rFonts w:eastAsia="Times New Roman" w:cs="Arial"/>
          <w:color w:val="000000"/>
          <w:lang w:val="en-IN" w:eastAsia="en-IN"/>
        </w:rPr>
        <w:t>HSBC. 2022</w:t>
      </w:r>
      <w:r w:rsidR="00B53F78">
        <w:t>)</w:t>
      </w:r>
      <w:r>
        <w:t>. The companies have on average 8.3% tangible equity</w:t>
      </w:r>
      <w:r w:rsidR="00A35A76">
        <w:t>,</w:t>
      </w:r>
      <w:r>
        <w:t xml:space="preserve"> and the gross RWA reduction is $104bn. The process of operation is also under the control with a net-zero of 50.3%</w:t>
      </w:r>
      <w:r w:rsidR="00021B03">
        <w:t xml:space="preserve"> (HSBC group 2022).</w:t>
      </w:r>
    </w:p>
    <w:p w14:paraId="5B7A3076" w14:textId="6789654D" w:rsidR="00477E87" w:rsidRDefault="00477E87" w:rsidP="00477E87">
      <w:r>
        <w:t xml:space="preserve">The above detail on the company defines the global working performance of the company. This makes the company perform within a boundary with a major impact on the environment of the company. Thus, when the business environment is tempered, the business operation will also get affected. </w:t>
      </w:r>
    </w:p>
    <w:p w14:paraId="79A1FEFF" w14:textId="77777777" w:rsidR="00477E87" w:rsidRDefault="00477E87" w:rsidP="00477E87">
      <w:pPr>
        <w:spacing w:after="200" w:line="276" w:lineRule="auto"/>
      </w:pPr>
      <w:r>
        <w:br w:type="page"/>
      </w:r>
    </w:p>
    <w:p w14:paraId="56C07E90" w14:textId="77777777" w:rsidR="00477E87" w:rsidRDefault="00477E87" w:rsidP="00477E87">
      <w:pPr>
        <w:pStyle w:val="Heading1"/>
      </w:pPr>
      <w:bookmarkStart w:id="2" w:name="_Toc108813945"/>
      <w:r>
        <w:lastRenderedPageBreak/>
        <w:t>Business environment</w:t>
      </w:r>
      <w:bookmarkEnd w:id="2"/>
    </w:p>
    <w:p w14:paraId="31C432F4" w14:textId="457F8B89" w:rsidR="00477E87" w:rsidRDefault="00477E87" w:rsidP="00477E87">
      <w:pPr>
        <w:rPr>
          <w:lang w:val="en-IN"/>
        </w:rPr>
      </w:pPr>
      <w:r>
        <w:t xml:space="preserve">The environment of the company that defines the decision-making of the company is known as the business environment. The business environment is also considered as the defined forces that can be from the internal field or from the external field that affects the business and its environment. There are two major types of business environment, external environment and internal environment. The report has focused on the external environment of HSBC. For the study of the global factor of the company, the framework that will be used is the PESTEL framework and Porter’s five forces. </w:t>
      </w:r>
      <w:r>
        <w:rPr>
          <w:lang w:val="en-IN"/>
        </w:rPr>
        <w:t>The two selected factors are Economics and Technolog</w:t>
      </w:r>
      <w:r w:rsidR="00CB5468">
        <w:rPr>
          <w:lang w:val="en-IN"/>
        </w:rPr>
        <w:t>ical</w:t>
      </w:r>
      <w:r>
        <w:rPr>
          <w:lang w:val="en-IN"/>
        </w:rPr>
        <w:t xml:space="preserve"> from the PESTEL Model and the Power of buyers and threats of new entrants from Porter’s five forces. </w:t>
      </w:r>
    </w:p>
    <w:p w14:paraId="4EE38FE9" w14:textId="77777777" w:rsidR="00477E87" w:rsidRDefault="00477E87" w:rsidP="00477E87">
      <w:pPr>
        <w:pStyle w:val="Heading1"/>
      </w:pPr>
      <w:bookmarkStart w:id="3" w:name="_Toc108813946"/>
      <w:r>
        <w:t>PESTEL</w:t>
      </w:r>
      <w:bookmarkEnd w:id="3"/>
      <w:r>
        <w:t xml:space="preserve"> </w:t>
      </w:r>
    </w:p>
    <w:p w14:paraId="0B14AC3F" w14:textId="2520CDF7" w:rsidR="00477E87" w:rsidRDefault="00477E87" w:rsidP="00477E87">
      <w:r>
        <w:t>The use of the PESTLE framework will help to study some of the global factors that impact the financial industry. The use of PESTEL will be defined all the different factors like Political, Economic, Social, Technolog</w:t>
      </w:r>
      <w:r w:rsidR="0099245E">
        <w:t>ical</w:t>
      </w:r>
      <w:r>
        <w:t>, Environment, and Legal factor. The consider two global factors is the Economic and Technolog</w:t>
      </w:r>
      <w:r w:rsidR="00FD3EA7">
        <w:t>ical</w:t>
      </w:r>
      <w:r>
        <w:t>.</w:t>
      </w:r>
    </w:p>
    <w:p w14:paraId="3320B51E" w14:textId="77777777" w:rsidR="00477E87" w:rsidRDefault="00477E87" w:rsidP="00477E87">
      <w:pPr>
        <w:pStyle w:val="Heading2"/>
      </w:pPr>
      <w:bookmarkStart w:id="4" w:name="_Toc108813947"/>
      <w:r>
        <w:t>Economic</w:t>
      </w:r>
      <w:bookmarkEnd w:id="4"/>
    </w:p>
    <w:p w14:paraId="08D11DA3" w14:textId="75746CFC" w:rsidR="00477E87" w:rsidRDefault="00477E87" w:rsidP="00477E87">
      <w:r>
        <w:t xml:space="preserve">According to IBIS world 2022, the market size of the finance management industry in the UK is </w:t>
      </w:r>
      <w:r>
        <w:rPr>
          <w:lang w:val="en-IN"/>
        </w:rPr>
        <w:t>$5.6bn</w:t>
      </w:r>
      <w:r>
        <w:t>. The growth rate of the industry has been improved by a 5.3% margin. For this market size of the company, a total number of “</w:t>
      </w:r>
      <w:r>
        <w:rPr>
          <w:b/>
          <w:bCs/>
          <w:i/>
          <w:iCs/>
        </w:rPr>
        <w:t>98 thousand business enterprises in the finance &amp; insurance sector</w:t>
      </w:r>
      <w:r>
        <w:t>” is responsible (Statista, 2022). These numbers are only from the UK itself, where the total number of 220 large enterprises have employed 500 or more people in the UK.</w:t>
      </w:r>
    </w:p>
    <w:p w14:paraId="596AB29B" w14:textId="0E85F616" w:rsidR="00477E87" w:rsidRDefault="00477E87" w:rsidP="00477E87">
      <w:r>
        <w:t xml:space="preserve">The given data is responsible for the development of the economy of the nation. Thus, the industry is one of the factors that are responsible for affecting the business environment within the global space. </w:t>
      </w:r>
    </w:p>
    <w:p w14:paraId="6D52CD95" w14:textId="77777777" w:rsidR="00477E87" w:rsidRDefault="00477E87" w:rsidP="00477E87">
      <w:pPr>
        <w:rPr>
          <w:b/>
          <w:bCs/>
        </w:rPr>
      </w:pPr>
      <w:r>
        <w:rPr>
          <w:b/>
          <w:bCs/>
        </w:rPr>
        <w:t>Public Sector Banks: Gross operating surplus</w:t>
      </w:r>
    </w:p>
    <w:p w14:paraId="1CA5AED6" w14:textId="534BBD77" w:rsidR="00477E87" w:rsidRDefault="00477E87" w:rsidP="00477E87">
      <w:r>
        <w:t xml:space="preserve">According to the study that has been taken by the Office of national statistics, there has been a defining drop in the gross operating surplus in the last </w:t>
      </w:r>
      <w:r w:rsidR="00A35A76">
        <w:t>five</w:t>
      </w:r>
      <w:r>
        <w:t xml:space="preserve"> years. </w:t>
      </w:r>
    </w:p>
    <w:p w14:paraId="1B311C30" w14:textId="77777777" w:rsidR="00477E87" w:rsidRDefault="00477E87" w:rsidP="00477E87">
      <w:r>
        <w:t>Gross operating can be defined as the excess of the interest and other incomes of the commercial bank over the interest and other operating expenses o</w:t>
      </w:r>
      <w:r w:rsidR="00021B03">
        <w:t>f the commercial bank in the UK (Statista, 2022).</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21"/>
        <w:gridCol w:w="4621"/>
      </w:tblGrid>
      <w:tr w:rsidR="00477E87" w14:paraId="7CB7BCE8" w14:textId="77777777">
        <w:tc>
          <w:tcPr>
            <w:tcW w:w="4621" w:type="dxa"/>
            <w:tcBorders>
              <w:top w:val="single" w:sz="4" w:space="0" w:color="auto"/>
              <w:bottom w:val="single" w:sz="4" w:space="0" w:color="auto"/>
              <w:right w:val="single" w:sz="4" w:space="0" w:color="auto"/>
            </w:tcBorders>
          </w:tcPr>
          <w:p w14:paraId="46132C1D" w14:textId="77777777" w:rsidR="00477E87" w:rsidRDefault="00477E87">
            <w:r>
              <w:lastRenderedPageBreak/>
              <w:t>Period (Year)</w:t>
            </w:r>
          </w:p>
        </w:tc>
        <w:tc>
          <w:tcPr>
            <w:tcW w:w="4621" w:type="dxa"/>
            <w:tcBorders>
              <w:top w:val="single" w:sz="4" w:space="0" w:color="auto"/>
              <w:left w:val="single" w:sz="4" w:space="0" w:color="auto"/>
              <w:bottom w:val="single" w:sz="4" w:space="0" w:color="auto"/>
            </w:tcBorders>
          </w:tcPr>
          <w:p w14:paraId="689023BB" w14:textId="77777777" w:rsidR="00477E87" w:rsidRDefault="00477E87">
            <w:r>
              <w:t>Value (Million Pounds)</w:t>
            </w:r>
          </w:p>
        </w:tc>
      </w:tr>
      <w:tr w:rsidR="00477E87" w14:paraId="4F7E348C" w14:textId="77777777">
        <w:tc>
          <w:tcPr>
            <w:tcW w:w="4621" w:type="dxa"/>
            <w:tcBorders>
              <w:top w:val="single" w:sz="4" w:space="0" w:color="auto"/>
              <w:bottom w:val="single" w:sz="4" w:space="0" w:color="auto"/>
              <w:right w:val="single" w:sz="4" w:space="0" w:color="auto"/>
            </w:tcBorders>
          </w:tcPr>
          <w:p w14:paraId="2FD719C7" w14:textId="77777777" w:rsidR="00477E87" w:rsidRDefault="00477E87">
            <w:r>
              <w:t>2015</w:t>
            </w:r>
          </w:p>
        </w:tc>
        <w:tc>
          <w:tcPr>
            <w:tcW w:w="4621" w:type="dxa"/>
            <w:tcBorders>
              <w:top w:val="single" w:sz="4" w:space="0" w:color="auto"/>
              <w:left w:val="single" w:sz="4" w:space="0" w:color="auto"/>
              <w:bottom w:val="single" w:sz="4" w:space="0" w:color="auto"/>
            </w:tcBorders>
          </w:tcPr>
          <w:p w14:paraId="6A04A6C1" w14:textId="77777777" w:rsidR="00477E87" w:rsidRDefault="00477E87">
            <w:r>
              <w:t>18606</w:t>
            </w:r>
          </w:p>
        </w:tc>
      </w:tr>
      <w:tr w:rsidR="00477E87" w14:paraId="60028791" w14:textId="77777777">
        <w:tc>
          <w:tcPr>
            <w:tcW w:w="4621" w:type="dxa"/>
            <w:tcBorders>
              <w:top w:val="single" w:sz="4" w:space="0" w:color="auto"/>
              <w:bottom w:val="single" w:sz="4" w:space="0" w:color="auto"/>
              <w:right w:val="single" w:sz="4" w:space="0" w:color="auto"/>
            </w:tcBorders>
          </w:tcPr>
          <w:p w14:paraId="37B2B10E" w14:textId="77777777" w:rsidR="00477E87" w:rsidRDefault="00477E87">
            <w:r>
              <w:t>2016</w:t>
            </w:r>
          </w:p>
        </w:tc>
        <w:tc>
          <w:tcPr>
            <w:tcW w:w="4621" w:type="dxa"/>
            <w:tcBorders>
              <w:top w:val="single" w:sz="4" w:space="0" w:color="auto"/>
              <w:left w:val="single" w:sz="4" w:space="0" w:color="auto"/>
              <w:bottom w:val="single" w:sz="4" w:space="0" w:color="auto"/>
            </w:tcBorders>
          </w:tcPr>
          <w:p w14:paraId="5D3F49E4" w14:textId="77777777" w:rsidR="00477E87" w:rsidRDefault="00477E87">
            <w:r>
              <w:t>19318</w:t>
            </w:r>
          </w:p>
        </w:tc>
      </w:tr>
      <w:tr w:rsidR="00477E87" w14:paraId="515FBE43" w14:textId="77777777">
        <w:tc>
          <w:tcPr>
            <w:tcW w:w="4621" w:type="dxa"/>
            <w:tcBorders>
              <w:top w:val="single" w:sz="4" w:space="0" w:color="auto"/>
              <w:bottom w:val="single" w:sz="4" w:space="0" w:color="auto"/>
              <w:right w:val="single" w:sz="4" w:space="0" w:color="auto"/>
            </w:tcBorders>
          </w:tcPr>
          <w:p w14:paraId="5C17BA6A" w14:textId="77777777" w:rsidR="00477E87" w:rsidRDefault="00477E87">
            <w:r>
              <w:t>2017</w:t>
            </w:r>
          </w:p>
        </w:tc>
        <w:tc>
          <w:tcPr>
            <w:tcW w:w="4621" w:type="dxa"/>
            <w:tcBorders>
              <w:top w:val="single" w:sz="4" w:space="0" w:color="auto"/>
              <w:left w:val="single" w:sz="4" w:space="0" w:color="auto"/>
              <w:bottom w:val="single" w:sz="4" w:space="0" w:color="auto"/>
            </w:tcBorders>
          </w:tcPr>
          <w:p w14:paraId="15574E33" w14:textId="77777777" w:rsidR="00477E87" w:rsidRDefault="00477E87">
            <w:r>
              <w:t>19542</w:t>
            </w:r>
          </w:p>
        </w:tc>
      </w:tr>
      <w:tr w:rsidR="00477E87" w14:paraId="6F7F659E" w14:textId="77777777">
        <w:tc>
          <w:tcPr>
            <w:tcW w:w="4621" w:type="dxa"/>
            <w:tcBorders>
              <w:top w:val="single" w:sz="4" w:space="0" w:color="auto"/>
              <w:bottom w:val="single" w:sz="4" w:space="0" w:color="auto"/>
              <w:right w:val="single" w:sz="4" w:space="0" w:color="auto"/>
            </w:tcBorders>
          </w:tcPr>
          <w:p w14:paraId="6112F1F8" w14:textId="77777777" w:rsidR="00477E87" w:rsidRDefault="00477E87">
            <w:r>
              <w:t>2018</w:t>
            </w:r>
          </w:p>
        </w:tc>
        <w:tc>
          <w:tcPr>
            <w:tcW w:w="4621" w:type="dxa"/>
            <w:tcBorders>
              <w:top w:val="single" w:sz="4" w:space="0" w:color="auto"/>
              <w:left w:val="single" w:sz="4" w:space="0" w:color="auto"/>
              <w:bottom w:val="single" w:sz="4" w:space="0" w:color="auto"/>
            </w:tcBorders>
          </w:tcPr>
          <w:p w14:paraId="2ED9AAEF" w14:textId="77777777" w:rsidR="00477E87" w:rsidRDefault="00477E87">
            <w:r>
              <w:t>19804</w:t>
            </w:r>
          </w:p>
        </w:tc>
      </w:tr>
      <w:tr w:rsidR="00477E87" w14:paraId="62A7B7DC" w14:textId="77777777">
        <w:tc>
          <w:tcPr>
            <w:tcW w:w="4621" w:type="dxa"/>
            <w:tcBorders>
              <w:top w:val="single" w:sz="4" w:space="0" w:color="auto"/>
              <w:bottom w:val="single" w:sz="4" w:space="0" w:color="auto"/>
              <w:right w:val="single" w:sz="4" w:space="0" w:color="auto"/>
            </w:tcBorders>
          </w:tcPr>
          <w:p w14:paraId="056A5397" w14:textId="77777777" w:rsidR="00477E87" w:rsidRDefault="00477E87">
            <w:r>
              <w:t>2019</w:t>
            </w:r>
          </w:p>
        </w:tc>
        <w:tc>
          <w:tcPr>
            <w:tcW w:w="4621" w:type="dxa"/>
            <w:tcBorders>
              <w:top w:val="single" w:sz="4" w:space="0" w:color="auto"/>
              <w:left w:val="single" w:sz="4" w:space="0" w:color="auto"/>
              <w:bottom w:val="single" w:sz="4" w:space="0" w:color="auto"/>
            </w:tcBorders>
          </w:tcPr>
          <w:p w14:paraId="5B157EA0" w14:textId="77777777" w:rsidR="00477E87" w:rsidRDefault="00477E87">
            <w:r>
              <w:t>19090</w:t>
            </w:r>
          </w:p>
        </w:tc>
      </w:tr>
      <w:tr w:rsidR="00477E87" w14:paraId="52423654" w14:textId="77777777">
        <w:tc>
          <w:tcPr>
            <w:tcW w:w="4621" w:type="dxa"/>
            <w:tcBorders>
              <w:top w:val="single" w:sz="4" w:space="0" w:color="auto"/>
              <w:bottom w:val="single" w:sz="4" w:space="0" w:color="auto"/>
              <w:right w:val="single" w:sz="4" w:space="0" w:color="auto"/>
            </w:tcBorders>
          </w:tcPr>
          <w:p w14:paraId="574556CD" w14:textId="77777777" w:rsidR="00477E87" w:rsidRDefault="00477E87">
            <w:r>
              <w:t>2020</w:t>
            </w:r>
          </w:p>
        </w:tc>
        <w:tc>
          <w:tcPr>
            <w:tcW w:w="4621" w:type="dxa"/>
            <w:tcBorders>
              <w:top w:val="single" w:sz="4" w:space="0" w:color="auto"/>
              <w:left w:val="single" w:sz="4" w:space="0" w:color="auto"/>
              <w:bottom w:val="single" w:sz="4" w:space="0" w:color="auto"/>
            </w:tcBorders>
          </w:tcPr>
          <w:p w14:paraId="1A1FD52F" w14:textId="77777777" w:rsidR="00477E87" w:rsidRDefault="00477E87">
            <w:r>
              <w:t>17880</w:t>
            </w:r>
          </w:p>
        </w:tc>
      </w:tr>
      <w:tr w:rsidR="00477E87" w14:paraId="21F43EFF" w14:textId="77777777">
        <w:tc>
          <w:tcPr>
            <w:tcW w:w="4621" w:type="dxa"/>
            <w:tcBorders>
              <w:top w:val="single" w:sz="4" w:space="0" w:color="auto"/>
              <w:bottom w:val="single" w:sz="4" w:space="0" w:color="auto"/>
              <w:right w:val="single" w:sz="4" w:space="0" w:color="auto"/>
            </w:tcBorders>
          </w:tcPr>
          <w:p w14:paraId="512B0E94" w14:textId="77777777" w:rsidR="00477E87" w:rsidRDefault="00477E87">
            <w:r>
              <w:t>2021</w:t>
            </w:r>
          </w:p>
        </w:tc>
        <w:tc>
          <w:tcPr>
            <w:tcW w:w="4621" w:type="dxa"/>
            <w:tcBorders>
              <w:top w:val="single" w:sz="4" w:space="0" w:color="auto"/>
              <w:left w:val="single" w:sz="4" w:space="0" w:color="auto"/>
              <w:bottom w:val="single" w:sz="4" w:space="0" w:color="auto"/>
            </w:tcBorders>
          </w:tcPr>
          <w:p w14:paraId="7BDB2A57" w14:textId="77777777" w:rsidR="00477E87" w:rsidRDefault="00477E87">
            <w:r>
              <w:t>14640</w:t>
            </w:r>
          </w:p>
        </w:tc>
      </w:tr>
    </w:tbl>
    <w:p w14:paraId="32218BFD" w14:textId="77777777" w:rsidR="00477E87" w:rsidRDefault="00477E87" w:rsidP="00477E87">
      <w:r>
        <w:t xml:space="preserve"> </w:t>
      </w:r>
    </w:p>
    <w:p w14:paraId="4C042A19" w14:textId="29A57E79" w:rsidR="00477E87" w:rsidRDefault="00477E87" w:rsidP="00477E87">
      <w:r>
        <w:t>Based on the evaluation that has been recorded, the drop within financial services is 6.33% for 2019-2022 and 18.12% for 2020-2021</w:t>
      </w:r>
      <w:r w:rsidR="00B53F78">
        <w:t xml:space="preserve"> </w:t>
      </w:r>
      <w:r w:rsidR="00B53F78" w:rsidRPr="00B53F78">
        <w:t>(</w:t>
      </w:r>
      <w:r w:rsidR="00F901A6" w:rsidRPr="00B53F78">
        <w:rPr>
          <w:rFonts w:cs="Arial"/>
        </w:rPr>
        <w:t>ONS.</w:t>
      </w:r>
      <w:r w:rsidR="00F901A6">
        <w:rPr>
          <w:rFonts w:cs="Arial"/>
        </w:rPr>
        <w:t xml:space="preserve"> </w:t>
      </w:r>
      <w:r w:rsidR="00F901A6" w:rsidRPr="00B53F78">
        <w:rPr>
          <w:rFonts w:cs="Arial"/>
        </w:rPr>
        <w:t>PS</w:t>
      </w:r>
      <w:r w:rsidR="00F901A6">
        <w:rPr>
          <w:rFonts w:cs="Arial"/>
        </w:rPr>
        <w:t>. GOS.</w:t>
      </w:r>
      <w:r w:rsidR="00F901A6" w:rsidRPr="00B53F78">
        <w:rPr>
          <w:rFonts w:cs="Arial"/>
        </w:rPr>
        <w:t xml:space="preserve"> 2022</w:t>
      </w:r>
      <w:r w:rsidR="00B53F78" w:rsidRPr="00B53F78">
        <w:rPr>
          <w:rFonts w:cs="Arial"/>
          <w:bCs/>
          <w:color w:val="000000"/>
        </w:rPr>
        <w:t>)</w:t>
      </w:r>
      <w:r w:rsidRPr="00B53F78">
        <w:t>.</w:t>
      </w:r>
      <w:r>
        <w:t xml:space="preserve"> The drop has been drastic</w:t>
      </w:r>
      <w:r w:rsidR="006D43D5">
        <w:t>. T</w:t>
      </w:r>
      <w:r>
        <w:t>he major reason for the decline within its section is majorly due to the outbreak of the global pandemic. Many of the industries are effective</w:t>
      </w:r>
      <w:r w:rsidR="006D43D5">
        <w:t>;</w:t>
      </w:r>
      <w:r>
        <w:t xml:space="preserve"> the previous drop is measured at 18.12%</w:t>
      </w:r>
      <w:r w:rsidR="00B53F78">
        <w:t xml:space="preserve"> </w:t>
      </w:r>
      <w:r w:rsidR="00B53F78" w:rsidRPr="00B53F78">
        <w:t>(</w:t>
      </w:r>
      <w:r w:rsidR="00F901A6" w:rsidRPr="00B53F78">
        <w:rPr>
          <w:rFonts w:cs="Arial"/>
        </w:rPr>
        <w:t>ONS.</w:t>
      </w:r>
      <w:r w:rsidR="00F901A6">
        <w:rPr>
          <w:rFonts w:cs="Arial"/>
        </w:rPr>
        <w:t xml:space="preserve"> </w:t>
      </w:r>
      <w:r w:rsidR="00F901A6" w:rsidRPr="00B53F78">
        <w:rPr>
          <w:rFonts w:cs="Arial"/>
        </w:rPr>
        <w:t>PS</w:t>
      </w:r>
      <w:r w:rsidR="00F901A6">
        <w:rPr>
          <w:rFonts w:cs="Arial"/>
        </w:rPr>
        <w:t>. GOS.</w:t>
      </w:r>
      <w:r w:rsidR="00F901A6" w:rsidRPr="00B53F78">
        <w:rPr>
          <w:rFonts w:cs="Arial"/>
        </w:rPr>
        <w:t xml:space="preserve"> 2022</w:t>
      </w:r>
      <w:r w:rsidR="00B53F78" w:rsidRPr="00B53F78">
        <w:rPr>
          <w:rFonts w:cs="Arial"/>
          <w:bCs/>
          <w:color w:val="000000"/>
        </w:rPr>
        <w:t>)</w:t>
      </w:r>
      <w:r>
        <w:t xml:space="preserve">. </w:t>
      </w:r>
    </w:p>
    <w:p w14:paraId="56CFDBF8" w14:textId="77777777" w:rsidR="00477E87" w:rsidRDefault="00477E87" w:rsidP="00477E87">
      <w:pPr>
        <w:rPr>
          <w:lang w:val="en-IN"/>
        </w:rPr>
      </w:pPr>
    </w:p>
    <w:p w14:paraId="7F369F98" w14:textId="77777777" w:rsidR="00477E87" w:rsidRDefault="00477E87" w:rsidP="00477E87">
      <w:pPr>
        <w:keepNext/>
        <w:jc w:val="center"/>
      </w:pPr>
      <w:r>
        <w:rPr>
          <w:rFonts w:ascii="Calibri" w:hAnsi="Calibri" w:cs="Calibri"/>
          <w:noProof/>
          <w:lang w:val="en-IN" w:eastAsia="en-IN"/>
        </w:rPr>
        <w:drawing>
          <wp:inline distT="0" distB="0" distL="0" distR="0" wp14:anchorId="4EB4F382" wp14:editId="0EEEA00A">
            <wp:extent cx="4470400" cy="2400300"/>
            <wp:effectExtent l="0" t="0" r="6350" b="0"/>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rotWithShape="1">
                    <a:blip r:embed="rId11">
                      <a:extLst>
                        <a:ext uri="{28A0092B-C50C-407E-A947-70E740481C1C}">
                          <a14:useLocalDpi xmlns:a14="http://schemas.microsoft.com/office/drawing/2010/main" val="0"/>
                        </a:ext>
                      </a:extLst>
                    </a:blip>
                    <a:srcRect l="1020" t="44787" r="52060" b="10426"/>
                    <a:stretch/>
                  </pic:blipFill>
                  <pic:spPr bwMode="auto">
                    <a:xfrm>
                      <a:off x="0" y="0"/>
                      <a:ext cx="4476473" cy="2403561"/>
                    </a:xfrm>
                    <a:prstGeom prst="rect">
                      <a:avLst/>
                    </a:prstGeom>
                    <a:noFill/>
                    <a:ln>
                      <a:noFill/>
                    </a:ln>
                    <a:extLst>
                      <a:ext uri="{53640926-AAD7-44D8-BBD7-CCE9431645EC}">
                        <a14:shadowObscured xmlns:a14="http://schemas.microsoft.com/office/drawing/2010/main"/>
                      </a:ext>
                    </a:extLst>
                  </pic:spPr>
                </pic:pic>
              </a:graphicData>
            </a:graphic>
          </wp:inline>
        </w:drawing>
      </w:r>
    </w:p>
    <w:p w14:paraId="6D9576A3" w14:textId="77777777" w:rsidR="00477E87" w:rsidRDefault="00477E87" w:rsidP="00477E87">
      <w:pPr>
        <w:spacing w:after="200"/>
        <w:jc w:val="center"/>
        <w:rPr>
          <w:b/>
          <w:bCs/>
          <w:color w:val="4F81BD"/>
          <w:sz w:val="18"/>
          <w:szCs w:val="18"/>
        </w:rPr>
      </w:pPr>
      <w:r>
        <w:rPr>
          <w:b/>
          <w:bCs/>
          <w:color w:val="4F81BD"/>
          <w:sz w:val="18"/>
          <w:szCs w:val="18"/>
        </w:rPr>
        <w:t xml:space="preserve">Figure </w:t>
      </w:r>
      <w:r>
        <w:rPr>
          <w:b/>
          <w:bCs/>
          <w:color w:val="4F81BD"/>
          <w:sz w:val="18"/>
          <w:szCs w:val="18"/>
          <w:lang w:val="en-IN"/>
        </w:rPr>
        <w:t>1</w:t>
      </w:r>
      <w:r>
        <w:rPr>
          <w:b/>
          <w:bCs/>
          <w:color w:val="4F81BD"/>
          <w:sz w:val="18"/>
          <w:szCs w:val="18"/>
        </w:rPr>
        <w:t>: Public Sector Banks: Gross Operating Surplus</w:t>
      </w:r>
    </w:p>
    <w:p w14:paraId="19F54520" w14:textId="149B10D3" w:rsidR="00477E87" w:rsidRDefault="00477E87" w:rsidP="00477E87">
      <w:pPr>
        <w:jc w:val="center"/>
      </w:pPr>
      <w:r>
        <w:t>(</w:t>
      </w:r>
      <w:r w:rsidR="00F901A6" w:rsidRPr="00B53F78">
        <w:rPr>
          <w:rFonts w:cs="Arial"/>
        </w:rPr>
        <w:t>ONS.</w:t>
      </w:r>
      <w:r w:rsidR="00F901A6">
        <w:rPr>
          <w:rFonts w:cs="Arial"/>
        </w:rPr>
        <w:t xml:space="preserve"> </w:t>
      </w:r>
      <w:r w:rsidR="00F901A6" w:rsidRPr="00B53F78">
        <w:rPr>
          <w:rFonts w:cs="Arial"/>
        </w:rPr>
        <w:t>PS</w:t>
      </w:r>
      <w:r w:rsidR="00F901A6">
        <w:rPr>
          <w:rFonts w:cs="Arial"/>
        </w:rPr>
        <w:t>. GOS.</w:t>
      </w:r>
      <w:r w:rsidR="00F901A6" w:rsidRPr="00B53F78">
        <w:rPr>
          <w:rFonts w:cs="Arial"/>
        </w:rPr>
        <w:t xml:space="preserve"> 2022</w:t>
      </w:r>
      <w:r>
        <w:t>)</w:t>
      </w:r>
    </w:p>
    <w:p w14:paraId="7169A47B" w14:textId="77777777" w:rsidR="00477E87" w:rsidRDefault="00477E87" w:rsidP="00477E87">
      <w:pPr>
        <w:spacing w:after="200" w:line="276" w:lineRule="auto"/>
        <w:rPr>
          <w:b/>
          <w:bCs/>
        </w:rPr>
      </w:pPr>
      <w:r>
        <w:rPr>
          <w:b/>
          <w:bCs/>
        </w:rPr>
        <w:br w:type="page"/>
      </w:r>
    </w:p>
    <w:p w14:paraId="7CD7E3F0" w14:textId="77777777" w:rsidR="00477E87" w:rsidRDefault="00477E87" w:rsidP="00477E87">
      <w:pPr>
        <w:rPr>
          <w:b/>
          <w:bCs/>
        </w:rPr>
      </w:pPr>
      <w:r>
        <w:rPr>
          <w:b/>
          <w:bCs/>
        </w:rPr>
        <w:lastRenderedPageBreak/>
        <w:t>Public sector bank debt interest ratio</w:t>
      </w:r>
    </w:p>
    <w:p w14:paraId="015065B4" w14:textId="5D74B18F" w:rsidR="00477E87" w:rsidRDefault="00477E87" w:rsidP="00477E87">
      <w:pPr>
        <w:ind w:left="720" w:hanging="720"/>
      </w:pPr>
      <w:r>
        <w:rPr>
          <w:b/>
          <w:bCs/>
        </w:rPr>
        <w:t xml:space="preserve">DIR: </w:t>
      </w:r>
      <w:r>
        <w:t xml:space="preserve">The defined level of Debt Interest Ration developed by the Bank of England. The standard set level is 6. </w:t>
      </w:r>
    </w:p>
    <w:p w14:paraId="045A5315" w14:textId="77777777" w:rsidR="00477E87" w:rsidRDefault="00477E87" w:rsidP="00477E87">
      <w:pPr>
        <w:ind w:left="720" w:hanging="720"/>
      </w:pPr>
      <w:r>
        <w:rPr>
          <w:b/>
          <w:bCs/>
        </w:rPr>
        <w:t>DIR:</w:t>
      </w:r>
      <w:r>
        <w:t xml:space="preserve"> The ratio of interest income to the interest expense of the public bank. </w:t>
      </w:r>
    </w:p>
    <w:p w14:paraId="1831F1F2" w14:textId="77777777" w:rsidR="00477E87" w:rsidRDefault="00477E87" w:rsidP="00477E87">
      <w:pPr>
        <w:ind w:left="720" w:hanging="720"/>
      </w:pPr>
    </w:p>
    <w:p w14:paraId="4F1BA16B" w14:textId="77777777" w:rsidR="00477E87" w:rsidRDefault="00477E87" w:rsidP="00477E87">
      <w:pPr>
        <w:keepNext/>
        <w:spacing w:after="200"/>
        <w:rPr>
          <w:b/>
          <w:bCs/>
          <w:color w:val="4F81BD"/>
          <w:sz w:val="18"/>
          <w:szCs w:val="1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0"/>
        <w:gridCol w:w="960"/>
        <w:gridCol w:w="960"/>
      </w:tblGrid>
      <w:tr w:rsidR="00477E87" w14:paraId="4267B197" w14:textId="77777777">
        <w:trPr>
          <w:trHeight w:val="816"/>
          <w:jc w:val="center"/>
        </w:trPr>
        <w:tc>
          <w:tcPr>
            <w:tcW w:w="960" w:type="dxa"/>
            <w:tcBorders>
              <w:top w:val="single" w:sz="4" w:space="0" w:color="auto"/>
              <w:bottom w:val="single" w:sz="4" w:space="0" w:color="auto"/>
              <w:right w:val="single" w:sz="4" w:space="0" w:color="auto"/>
            </w:tcBorders>
          </w:tcPr>
          <w:p w14:paraId="720C71E5" w14:textId="77777777" w:rsidR="00477E87" w:rsidRDefault="00477E87">
            <w:pPr>
              <w:rPr>
                <w:b/>
                <w:bCs/>
                <w:sz w:val="20"/>
                <w:szCs w:val="20"/>
                <w:lang w:val="en-IN"/>
              </w:rPr>
            </w:pPr>
            <w:r>
              <w:rPr>
                <w:b/>
                <w:bCs/>
                <w:sz w:val="20"/>
                <w:szCs w:val="20"/>
                <w:lang w:val="en-IN"/>
              </w:rPr>
              <w:t> </w:t>
            </w:r>
          </w:p>
        </w:tc>
        <w:tc>
          <w:tcPr>
            <w:tcW w:w="960" w:type="dxa"/>
            <w:tcBorders>
              <w:top w:val="single" w:sz="4" w:space="0" w:color="auto"/>
              <w:left w:val="single" w:sz="4" w:space="0" w:color="auto"/>
              <w:bottom w:val="single" w:sz="4" w:space="0" w:color="auto"/>
              <w:right w:val="single" w:sz="4" w:space="0" w:color="auto"/>
            </w:tcBorders>
          </w:tcPr>
          <w:p w14:paraId="627A636A" w14:textId="77777777" w:rsidR="00477E87" w:rsidRDefault="00477E87">
            <w:pPr>
              <w:rPr>
                <w:b/>
                <w:bCs/>
                <w:sz w:val="20"/>
                <w:szCs w:val="20"/>
                <w:lang w:val="en-IN"/>
              </w:rPr>
            </w:pPr>
            <w:r>
              <w:rPr>
                <w:b/>
                <w:bCs/>
                <w:sz w:val="20"/>
                <w:szCs w:val="20"/>
                <w:lang w:val="en-IN"/>
              </w:rPr>
              <w:t>Debt Interest Ratio</w:t>
            </w:r>
          </w:p>
        </w:tc>
        <w:tc>
          <w:tcPr>
            <w:tcW w:w="960" w:type="dxa"/>
            <w:tcBorders>
              <w:top w:val="single" w:sz="4" w:space="0" w:color="auto"/>
              <w:left w:val="single" w:sz="4" w:space="0" w:color="auto"/>
              <w:bottom w:val="single" w:sz="4" w:space="0" w:color="auto"/>
            </w:tcBorders>
          </w:tcPr>
          <w:p w14:paraId="0C44B1DA" w14:textId="77777777" w:rsidR="00477E87" w:rsidRDefault="00477E87">
            <w:pPr>
              <w:rPr>
                <w:b/>
                <w:bCs/>
                <w:sz w:val="20"/>
                <w:szCs w:val="20"/>
                <w:lang w:val="en-IN"/>
              </w:rPr>
            </w:pPr>
            <w:r>
              <w:rPr>
                <w:b/>
                <w:bCs/>
                <w:sz w:val="20"/>
                <w:szCs w:val="20"/>
                <w:lang w:val="en-IN"/>
              </w:rPr>
              <w:t>DIR level</w:t>
            </w:r>
          </w:p>
        </w:tc>
      </w:tr>
      <w:tr w:rsidR="00477E87" w14:paraId="042C2059" w14:textId="77777777">
        <w:trPr>
          <w:trHeight w:val="288"/>
          <w:jc w:val="center"/>
        </w:trPr>
        <w:tc>
          <w:tcPr>
            <w:tcW w:w="960" w:type="dxa"/>
            <w:tcBorders>
              <w:top w:val="single" w:sz="4" w:space="0" w:color="auto"/>
              <w:bottom w:val="single" w:sz="4" w:space="0" w:color="auto"/>
              <w:right w:val="single" w:sz="4" w:space="0" w:color="auto"/>
            </w:tcBorders>
          </w:tcPr>
          <w:p w14:paraId="1F14CCF1" w14:textId="77777777" w:rsidR="00477E87" w:rsidRDefault="00477E87">
            <w:pPr>
              <w:rPr>
                <w:rFonts w:ascii="Calibri" w:hAnsi="Calibri" w:cs="Calibri"/>
                <w:color w:val="000000"/>
                <w:lang w:val="en-IN"/>
              </w:rPr>
            </w:pPr>
            <w:r>
              <w:rPr>
                <w:rFonts w:ascii="Calibri" w:hAnsi="Calibri" w:cs="Calibri"/>
                <w:color w:val="000000"/>
                <w:lang w:val="en-IN"/>
              </w:rPr>
              <w:t>2015-16</w:t>
            </w:r>
          </w:p>
        </w:tc>
        <w:tc>
          <w:tcPr>
            <w:tcW w:w="960" w:type="dxa"/>
            <w:tcBorders>
              <w:top w:val="single" w:sz="4" w:space="0" w:color="auto"/>
              <w:left w:val="single" w:sz="4" w:space="0" w:color="auto"/>
              <w:bottom w:val="single" w:sz="4" w:space="0" w:color="auto"/>
              <w:right w:val="single" w:sz="4" w:space="0" w:color="auto"/>
            </w:tcBorders>
          </w:tcPr>
          <w:p w14:paraId="7C070048" w14:textId="77777777" w:rsidR="00477E87" w:rsidRDefault="00477E87">
            <w:pPr>
              <w:jc w:val="right"/>
              <w:rPr>
                <w:rFonts w:ascii="Calibri" w:hAnsi="Calibri" w:cs="Calibri"/>
                <w:color w:val="000000"/>
                <w:lang w:val="en-IN"/>
              </w:rPr>
            </w:pPr>
            <w:r>
              <w:rPr>
                <w:rFonts w:ascii="Calibri" w:hAnsi="Calibri" w:cs="Calibri"/>
                <w:color w:val="000000"/>
                <w:lang w:val="en-IN"/>
              </w:rPr>
              <w:t>4.8</w:t>
            </w:r>
          </w:p>
        </w:tc>
        <w:tc>
          <w:tcPr>
            <w:tcW w:w="960" w:type="dxa"/>
            <w:tcBorders>
              <w:top w:val="single" w:sz="4" w:space="0" w:color="auto"/>
              <w:left w:val="single" w:sz="4" w:space="0" w:color="auto"/>
              <w:bottom w:val="single" w:sz="4" w:space="0" w:color="auto"/>
            </w:tcBorders>
          </w:tcPr>
          <w:p w14:paraId="33A2B5FB" w14:textId="77777777" w:rsidR="00477E87" w:rsidRDefault="00477E87">
            <w:pPr>
              <w:jc w:val="right"/>
              <w:rPr>
                <w:rFonts w:ascii="Calibri" w:hAnsi="Calibri" w:cs="Calibri"/>
                <w:color w:val="000000"/>
                <w:lang w:val="en-IN"/>
              </w:rPr>
            </w:pPr>
            <w:r>
              <w:rPr>
                <w:rFonts w:ascii="Calibri" w:hAnsi="Calibri" w:cs="Calibri"/>
                <w:color w:val="000000"/>
                <w:lang w:val="en-IN"/>
              </w:rPr>
              <w:t>6</w:t>
            </w:r>
          </w:p>
        </w:tc>
      </w:tr>
      <w:tr w:rsidR="00477E87" w14:paraId="382E9CFF" w14:textId="77777777">
        <w:trPr>
          <w:trHeight w:val="288"/>
          <w:jc w:val="center"/>
        </w:trPr>
        <w:tc>
          <w:tcPr>
            <w:tcW w:w="960" w:type="dxa"/>
            <w:tcBorders>
              <w:top w:val="single" w:sz="4" w:space="0" w:color="auto"/>
              <w:bottom w:val="single" w:sz="4" w:space="0" w:color="auto"/>
              <w:right w:val="single" w:sz="4" w:space="0" w:color="auto"/>
            </w:tcBorders>
          </w:tcPr>
          <w:p w14:paraId="2BE1B8B8" w14:textId="77777777" w:rsidR="00477E87" w:rsidRDefault="00477E87">
            <w:pPr>
              <w:rPr>
                <w:rFonts w:ascii="Calibri" w:hAnsi="Calibri" w:cs="Calibri"/>
                <w:color w:val="000000"/>
                <w:lang w:val="en-IN"/>
              </w:rPr>
            </w:pPr>
            <w:r>
              <w:rPr>
                <w:rFonts w:ascii="Calibri" w:hAnsi="Calibri" w:cs="Calibri"/>
                <w:color w:val="000000"/>
                <w:lang w:val="en-IN"/>
              </w:rPr>
              <w:t>2016-17</w:t>
            </w:r>
          </w:p>
        </w:tc>
        <w:tc>
          <w:tcPr>
            <w:tcW w:w="960" w:type="dxa"/>
            <w:tcBorders>
              <w:top w:val="single" w:sz="4" w:space="0" w:color="auto"/>
              <w:left w:val="single" w:sz="4" w:space="0" w:color="auto"/>
              <w:bottom w:val="single" w:sz="4" w:space="0" w:color="auto"/>
              <w:right w:val="single" w:sz="4" w:space="0" w:color="auto"/>
            </w:tcBorders>
          </w:tcPr>
          <w:p w14:paraId="0D784223" w14:textId="77777777" w:rsidR="00477E87" w:rsidRDefault="00477E87">
            <w:pPr>
              <w:jc w:val="right"/>
              <w:rPr>
                <w:rFonts w:ascii="Calibri" w:hAnsi="Calibri" w:cs="Calibri"/>
                <w:color w:val="000000"/>
                <w:lang w:val="en-IN"/>
              </w:rPr>
            </w:pPr>
            <w:r>
              <w:rPr>
                <w:rFonts w:ascii="Calibri" w:hAnsi="Calibri" w:cs="Calibri"/>
                <w:color w:val="000000"/>
                <w:lang w:val="en-IN"/>
              </w:rPr>
              <w:t>4.8</w:t>
            </w:r>
          </w:p>
        </w:tc>
        <w:tc>
          <w:tcPr>
            <w:tcW w:w="960" w:type="dxa"/>
            <w:tcBorders>
              <w:top w:val="single" w:sz="4" w:space="0" w:color="auto"/>
              <w:left w:val="single" w:sz="4" w:space="0" w:color="auto"/>
              <w:bottom w:val="single" w:sz="4" w:space="0" w:color="auto"/>
            </w:tcBorders>
          </w:tcPr>
          <w:p w14:paraId="598E03A4" w14:textId="77777777" w:rsidR="00477E87" w:rsidRDefault="00477E87">
            <w:pPr>
              <w:jc w:val="right"/>
              <w:rPr>
                <w:rFonts w:ascii="Calibri" w:hAnsi="Calibri" w:cs="Calibri"/>
                <w:color w:val="000000"/>
                <w:lang w:val="en-IN"/>
              </w:rPr>
            </w:pPr>
            <w:r>
              <w:rPr>
                <w:rFonts w:ascii="Calibri" w:hAnsi="Calibri" w:cs="Calibri"/>
                <w:color w:val="000000"/>
                <w:lang w:val="en-IN"/>
              </w:rPr>
              <w:t>6</w:t>
            </w:r>
          </w:p>
        </w:tc>
      </w:tr>
      <w:tr w:rsidR="00477E87" w14:paraId="7E8C4807" w14:textId="77777777">
        <w:trPr>
          <w:trHeight w:val="288"/>
          <w:jc w:val="center"/>
        </w:trPr>
        <w:tc>
          <w:tcPr>
            <w:tcW w:w="960" w:type="dxa"/>
            <w:tcBorders>
              <w:top w:val="single" w:sz="4" w:space="0" w:color="auto"/>
              <w:bottom w:val="single" w:sz="4" w:space="0" w:color="auto"/>
              <w:right w:val="single" w:sz="4" w:space="0" w:color="auto"/>
            </w:tcBorders>
          </w:tcPr>
          <w:p w14:paraId="6F49A41F" w14:textId="77777777" w:rsidR="00477E87" w:rsidRDefault="00477E87">
            <w:pPr>
              <w:rPr>
                <w:rFonts w:ascii="Calibri" w:hAnsi="Calibri" w:cs="Calibri"/>
                <w:color w:val="000000"/>
                <w:lang w:val="en-IN"/>
              </w:rPr>
            </w:pPr>
            <w:r>
              <w:rPr>
                <w:rFonts w:ascii="Calibri" w:hAnsi="Calibri" w:cs="Calibri"/>
                <w:color w:val="000000"/>
                <w:lang w:val="en-IN"/>
              </w:rPr>
              <w:t>2017-18</w:t>
            </w:r>
          </w:p>
        </w:tc>
        <w:tc>
          <w:tcPr>
            <w:tcW w:w="960" w:type="dxa"/>
            <w:tcBorders>
              <w:top w:val="single" w:sz="4" w:space="0" w:color="auto"/>
              <w:left w:val="single" w:sz="4" w:space="0" w:color="auto"/>
              <w:bottom w:val="single" w:sz="4" w:space="0" w:color="auto"/>
              <w:right w:val="single" w:sz="4" w:space="0" w:color="auto"/>
            </w:tcBorders>
          </w:tcPr>
          <w:p w14:paraId="772A3005" w14:textId="77777777" w:rsidR="00477E87" w:rsidRDefault="00477E87">
            <w:pPr>
              <w:jc w:val="right"/>
              <w:rPr>
                <w:rFonts w:ascii="Calibri" w:hAnsi="Calibri" w:cs="Calibri"/>
                <w:color w:val="000000"/>
                <w:lang w:val="en-IN"/>
              </w:rPr>
            </w:pPr>
            <w:r>
              <w:rPr>
                <w:rFonts w:ascii="Calibri" w:hAnsi="Calibri" w:cs="Calibri"/>
                <w:color w:val="000000"/>
                <w:lang w:val="en-IN"/>
              </w:rPr>
              <w:t>5.2</w:t>
            </w:r>
          </w:p>
        </w:tc>
        <w:tc>
          <w:tcPr>
            <w:tcW w:w="960" w:type="dxa"/>
            <w:tcBorders>
              <w:top w:val="single" w:sz="4" w:space="0" w:color="auto"/>
              <w:left w:val="single" w:sz="4" w:space="0" w:color="auto"/>
              <w:bottom w:val="single" w:sz="4" w:space="0" w:color="auto"/>
            </w:tcBorders>
          </w:tcPr>
          <w:p w14:paraId="28812C46" w14:textId="77777777" w:rsidR="00477E87" w:rsidRDefault="00477E87">
            <w:pPr>
              <w:jc w:val="right"/>
              <w:rPr>
                <w:rFonts w:ascii="Calibri" w:hAnsi="Calibri" w:cs="Calibri"/>
                <w:color w:val="000000"/>
                <w:lang w:val="en-IN"/>
              </w:rPr>
            </w:pPr>
            <w:r>
              <w:rPr>
                <w:rFonts w:ascii="Calibri" w:hAnsi="Calibri" w:cs="Calibri"/>
                <w:color w:val="000000"/>
                <w:lang w:val="en-IN"/>
              </w:rPr>
              <w:t>6</w:t>
            </w:r>
          </w:p>
        </w:tc>
      </w:tr>
      <w:tr w:rsidR="00477E87" w14:paraId="0746DBAF" w14:textId="77777777">
        <w:trPr>
          <w:trHeight w:val="288"/>
          <w:jc w:val="center"/>
        </w:trPr>
        <w:tc>
          <w:tcPr>
            <w:tcW w:w="960" w:type="dxa"/>
            <w:tcBorders>
              <w:top w:val="single" w:sz="4" w:space="0" w:color="auto"/>
              <w:bottom w:val="single" w:sz="4" w:space="0" w:color="auto"/>
              <w:right w:val="single" w:sz="4" w:space="0" w:color="auto"/>
            </w:tcBorders>
          </w:tcPr>
          <w:p w14:paraId="66B42323" w14:textId="77777777" w:rsidR="00477E87" w:rsidRDefault="00477E87">
            <w:pPr>
              <w:rPr>
                <w:rFonts w:ascii="Calibri" w:hAnsi="Calibri" w:cs="Calibri"/>
                <w:color w:val="000000"/>
                <w:lang w:val="en-IN"/>
              </w:rPr>
            </w:pPr>
            <w:r>
              <w:rPr>
                <w:rFonts w:ascii="Calibri" w:hAnsi="Calibri" w:cs="Calibri"/>
                <w:color w:val="000000"/>
                <w:lang w:val="en-IN"/>
              </w:rPr>
              <w:t>2018-19</w:t>
            </w:r>
          </w:p>
        </w:tc>
        <w:tc>
          <w:tcPr>
            <w:tcW w:w="960" w:type="dxa"/>
            <w:tcBorders>
              <w:top w:val="single" w:sz="4" w:space="0" w:color="auto"/>
              <w:left w:val="single" w:sz="4" w:space="0" w:color="auto"/>
              <w:bottom w:val="single" w:sz="4" w:space="0" w:color="auto"/>
              <w:right w:val="single" w:sz="4" w:space="0" w:color="auto"/>
            </w:tcBorders>
          </w:tcPr>
          <w:p w14:paraId="27B4D374" w14:textId="77777777" w:rsidR="00477E87" w:rsidRDefault="00477E87">
            <w:pPr>
              <w:jc w:val="right"/>
              <w:rPr>
                <w:rFonts w:ascii="Calibri" w:hAnsi="Calibri" w:cs="Calibri"/>
                <w:color w:val="000000"/>
                <w:lang w:val="en-IN"/>
              </w:rPr>
            </w:pPr>
            <w:r>
              <w:rPr>
                <w:rFonts w:ascii="Calibri" w:hAnsi="Calibri" w:cs="Calibri"/>
                <w:color w:val="000000"/>
                <w:lang w:val="en-IN"/>
              </w:rPr>
              <w:t>4.2</w:t>
            </w:r>
          </w:p>
        </w:tc>
        <w:tc>
          <w:tcPr>
            <w:tcW w:w="960" w:type="dxa"/>
            <w:tcBorders>
              <w:top w:val="single" w:sz="4" w:space="0" w:color="auto"/>
              <w:left w:val="single" w:sz="4" w:space="0" w:color="auto"/>
              <w:bottom w:val="single" w:sz="4" w:space="0" w:color="auto"/>
            </w:tcBorders>
          </w:tcPr>
          <w:p w14:paraId="5F20C588" w14:textId="77777777" w:rsidR="00477E87" w:rsidRDefault="00477E87">
            <w:pPr>
              <w:jc w:val="right"/>
              <w:rPr>
                <w:rFonts w:ascii="Calibri" w:hAnsi="Calibri" w:cs="Calibri"/>
                <w:color w:val="000000"/>
                <w:lang w:val="en-IN"/>
              </w:rPr>
            </w:pPr>
            <w:r>
              <w:rPr>
                <w:rFonts w:ascii="Calibri" w:hAnsi="Calibri" w:cs="Calibri"/>
                <w:color w:val="000000"/>
                <w:lang w:val="en-IN"/>
              </w:rPr>
              <w:t>6</w:t>
            </w:r>
          </w:p>
        </w:tc>
      </w:tr>
      <w:tr w:rsidR="00477E87" w14:paraId="721BB524" w14:textId="77777777">
        <w:trPr>
          <w:trHeight w:val="300"/>
          <w:jc w:val="center"/>
        </w:trPr>
        <w:tc>
          <w:tcPr>
            <w:tcW w:w="960" w:type="dxa"/>
            <w:tcBorders>
              <w:top w:val="single" w:sz="4" w:space="0" w:color="auto"/>
              <w:bottom w:val="single" w:sz="4" w:space="0" w:color="auto"/>
              <w:right w:val="single" w:sz="4" w:space="0" w:color="auto"/>
            </w:tcBorders>
          </w:tcPr>
          <w:p w14:paraId="446683EB" w14:textId="77777777" w:rsidR="00477E87" w:rsidRDefault="00477E87">
            <w:pPr>
              <w:rPr>
                <w:rFonts w:ascii="Calibri" w:hAnsi="Calibri" w:cs="Calibri"/>
                <w:color w:val="000000"/>
                <w:lang w:val="en-IN"/>
              </w:rPr>
            </w:pPr>
            <w:r>
              <w:rPr>
                <w:rFonts w:ascii="Calibri" w:hAnsi="Calibri" w:cs="Calibri"/>
                <w:color w:val="000000"/>
                <w:lang w:val="en-IN"/>
              </w:rPr>
              <w:t>2019-20</w:t>
            </w:r>
          </w:p>
        </w:tc>
        <w:tc>
          <w:tcPr>
            <w:tcW w:w="960" w:type="dxa"/>
            <w:tcBorders>
              <w:top w:val="single" w:sz="4" w:space="0" w:color="auto"/>
              <w:left w:val="single" w:sz="4" w:space="0" w:color="auto"/>
              <w:bottom w:val="single" w:sz="4" w:space="0" w:color="auto"/>
              <w:right w:val="single" w:sz="4" w:space="0" w:color="auto"/>
            </w:tcBorders>
          </w:tcPr>
          <w:p w14:paraId="2BDFA2D1" w14:textId="77777777" w:rsidR="00477E87" w:rsidRDefault="00477E87">
            <w:pPr>
              <w:jc w:val="right"/>
              <w:rPr>
                <w:rFonts w:ascii="Calibri" w:hAnsi="Calibri" w:cs="Calibri"/>
                <w:color w:val="000000"/>
                <w:lang w:val="en-IN"/>
              </w:rPr>
            </w:pPr>
            <w:r>
              <w:rPr>
                <w:rFonts w:ascii="Calibri" w:hAnsi="Calibri" w:cs="Calibri"/>
                <w:color w:val="000000"/>
                <w:lang w:val="en-IN"/>
              </w:rPr>
              <w:t>3.7</w:t>
            </w:r>
          </w:p>
        </w:tc>
        <w:tc>
          <w:tcPr>
            <w:tcW w:w="960" w:type="dxa"/>
            <w:tcBorders>
              <w:top w:val="single" w:sz="4" w:space="0" w:color="auto"/>
              <w:left w:val="single" w:sz="4" w:space="0" w:color="auto"/>
              <w:bottom w:val="single" w:sz="4" w:space="0" w:color="auto"/>
            </w:tcBorders>
          </w:tcPr>
          <w:p w14:paraId="3D75FA9A" w14:textId="77777777" w:rsidR="00477E87" w:rsidRDefault="00477E87">
            <w:pPr>
              <w:jc w:val="right"/>
              <w:rPr>
                <w:rFonts w:ascii="Calibri" w:hAnsi="Calibri" w:cs="Calibri"/>
                <w:color w:val="000000"/>
                <w:lang w:val="en-IN"/>
              </w:rPr>
            </w:pPr>
            <w:r>
              <w:rPr>
                <w:rFonts w:ascii="Calibri" w:hAnsi="Calibri" w:cs="Calibri"/>
                <w:color w:val="000000"/>
                <w:lang w:val="en-IN"/>
              </w:rPr>
              <w:t>6</w:t>
            </w:r>
          </w:p>
        </w:tc>
      </w:tr>
    </w:tbl>
    <w:p w14:paraId="2C01260F" w14:textId="77777777" w:rsidR="00477E87" w:rsidRDefault="00477E87" w:rsidP="00477E87">
      <w:pPr>
        <w:jc w:val="center"/>
      </w:pPr>
      <w:r>
        <w:t xml:space="preserve">Table </w:t>
      </w:r>
      <w:r>
        <w:rPr>
          <w:lang w:val="en-IN"/>
        </w:rPr>
        <w:t>1</w:t>
      </w:r>
      <w:r>
        <w:t>: Debt Interest Ratio Actual and level</w:t>
      </w:r>
    </w:p>
    <w:p w14:paraId="431DCA37" w14:textId="60CCB3F5" w:rsidR="00477E87" w:rsidRDefault="00477E87" w:rsidP="00477E87">
      <w:r>
        <w:t>Based on the calculation that has been developed by the ONS, the DIR has been dropping significantly. This signifies that the economy of the nation is misbalance</w:t>
      </w:r>
      <w:r w:rsidR="00861D9D">
        <w:t>,</w:t>
      </w:r>
      <w:r>
        <w:t xml:space="preserve"> and the expenses of the public sector bank are significantly increasing over the interest revenue. </w:t>
      </w:r>
    </w:p>
    <w:p w14:paraId="68E385BB" w14:textId="77777777" w:rsidR="00477E87" w:rsidRDefault="00477E87" w:rsidP="00477E87">
      <w:pPr>
        <w:keepNext/>
        <w:jc w:val="center"/>
      </w:pPr>
      <w:r>
        <w:rPr>
          <w:rFonts w:ascii="Calibri" w:hAnsi="Calibri" w:cs="Calibri"/>
          <w:noProof/>
          <w:lang w:val="en-IN" w:eastAsia="en-IN"/>
        </w:rPr>
        <w:drawing>
          <wp:inline distT="0" distB="0" distL="0" distR="0" wp14:anchorId="737E62FE" wp14:editId="52A88F6D">
            <wp:extent cx="4587240" cy="2758440"/>
            <wp:effectExtent l="0" t="0" r="3810" b="381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7240" cy="2758440"/>
                    </a:xfrm>
                    <a:prstGeom prst="rect">
                      <a:avLst/>
                    </a:prstGeom>
                    <a:noFill/>
                    <a:ln>
                      <a:noFill/>
                    </a:ln>
                  </pic:spPr>
                </pic:pic>
              </a:graphicData>
            </a:graphic>
          </wp:inline>
        </w:drawing>
      </w:r>
    </w:p>
    <w:p w14:paraId="1CC90160" w14:textId="4EA2349C" w:rsidR="00477E87" w:rsidRPr="007748E3" w:rsidRDefault="00477E87" w:rsidP="007748E3">
      <w:pPr>
        <w:spacing w:after="200"/>
        <w:jc w:val="center"/>
        <w:rPr>
          <w:b/>
          <w:bCs/>
          <w:color w:val="4F81BD"/>
          <w:sz w:val="18"/>
          <w:szCs w:val="18"/>
        </w:rPr>
      </w:pPr>
      <w:r>
        <w:rPr>
          <w:b/>
          <w:bCs/>
          <w:color w:val="4F81BD"/>
          <w:sz w:val="18"/>
          <w:szCs w:val="18"/>
        </w:rPr>
        <w:t xml:space="preserve">Figure </w:t>
      </w:r>
      <w:r>
        <w:rPr>
          <w:b/>
          <w:bCs/>
          <w:color w:val="4F81BD"/>
          <w:sz w:val="18"/>
          <w:szCs w:val="18"/>
          <w:lang w:val="en-IN"/>
        </w:rPr>
        <w:t>2</w:t>
      </w:r>
      <w:r>
        <w:rPr>
          <w:b/>
          <w:bCs/>
          <w:color w:val="4F81BD"/>
          <w:sz w:val="18"/>
          <w:szCs w:val="18"/>
        </w:rPr>
        <w:t>: Graph</w:t>
      </w:r>
      <w:r>
        <w:t>(</w:t>
      </w:r>
      <w:r w:rsidR="00F901A6" w:rsidRPr="00B53F78">
        <w:rPr>
          <w:rFonts w:cs="Arial"/>
        </w:rPr>
        <w:t>ONS.</w:t>
      </w:r>
      <w:r w:rsidR="00F901A6">
        <w:rPr>
          <w:rFonts w:cs="Arial"/>
        </w:rPr>
        <w:t xml:space="preserve"> </w:t>
      </w:r>
      <w:r w:rsidR="00F901A6" w:rsidRPr="00B53F78">
        <w:rPr>
          <w:rFonts w:cs="Arial"/>
        </w:rPr>
        <w:t>PS</w:t>
      </w:r>
      <w:r w:rsidR="00F901A6">
        <w:rPr>
          <w:rFonts w:cs="Arial"/>
        </w:rPr>
        <w:t>. GOS.</w:t>
      </w:r>
      <w:r w:rsidR="00F901A6" w:rsidRPr="00B53F78">
        <w:rPr>
          <w:rFonts w:cs="Arial"/>
        </w:rPr>
        <w:t xml:space="preserve"> 2022</w:t>
      </w:r>
      <w:r>
        <w:t>)</w:t>
      </w:r>
    </w:p>
    <w:p w14:paraId="66467CF1" w14:textId="77777777" w:rsidR="00477E87" w:rsidRDefault="00477E87" w:rsidP="00477E87">
      <w:pPr>
        <w:jc w:val="center"/>
      </w:pPr>
    </w:p>
    <w:p w14:paraId="393404D0" w14:textId="77777777" w:rsidR="00477E87" w:rsidRDefault="00477E87" w:rsidP="00477E87">
      <w:pPr>
        <w:jc w:val="center"/>
      </w:pPr>
    </w:p>
    <w:p w14:paraId="1BA9828C" w14:textId="77777777" w:rsidR="00477E87" w:rsidRDefault="00477E87" w:rsidP="00477E87">
      <w:pPr>
        <w:pStyle w:val="Heading2"/>
      </w:pPr>
      <w:bookmarkStart w:id="5" w:name="_Toc108813948"/>
      <w:r>
        <w:t>Technolog</w:t>
      </w:r>
      <w:r w:rsidR="00F901A6">
        <w:t>ical</w:t>
      </w:r>
      <w:bookmarkEnd w:id="5"/>
    </w:p>
    <w:p w14:paraId="5101E650" w14:textId="2AD5071E" w:rsidR="00477E87" w:rsidRDefault="00477E87" w:rsidP="00477E87">
      <w:r>
        <w:t>The other global factor that has been improving consecutively is technology. Within the development, the responsible factors are globalization and digitalization. Following are the facts to consider</w:t>
      </w:r>
    </w:p>
    <w:p w14:paraId="50ED6068" w14:textId="497EC517" w:rsidR="00477E87" w:rsidRDefault="00477E87" w:rsidP="00477E87">
      <w:pPr>
        <w:numPr>
          <w:ilvl w:val="0"/>
          <w:numId w:val="6"/>
        </w:numPr>
        <w:ind w:left="720" w:hanging="360"/>
        <w:rPr>
          <w:color w:val="000000"/>
          <w:lang w:val="en-AU"/>
        </w:rPr>
      </w:pPr>
      <w:r>
        <w:rPr>
          <w:color w:val="000000"/>
          <w:lang w:val="en-AU"/>
        </w:rPr>
        <w:t xml:space="preserve">The development of technology has improved financial service, as the process is financial service are digitalized. This includes using the technology of blockchain, AI and MI. </w:t>
      </w:r>
    </w:p>
    <w:p w14:paraId="3D984B5A" w14:textId="336E335C" w:rsidR="00477E87" w:rsidRDefault="00477E87" w:rsidP="00477E87">
      <w:pPr>
        <w:numPr>
          <w:ilvl w:val="0"/>
          <w:numId w:val="6"/>
        </w:numPr>
        <w:ind w:left="720" w:hanging="360"/>
        <w:rPr>
          <w:color w:val="000000"/>
          <w:lang w:val="en-AU"/>
        </w:rPr>
      </w:pPr>
      <w:r>
        <w:rPr>
          <w:color w:val="000000"/>
          <w:lang w:val="en-AU"/>
        </w:rPr>
        <w:t xml:space="preserve">The process of working with technology has been able to improve the working of the industry. This includes the process of working with the latest technology that helps to save, cut down costs and save from human error. The process of wire transfer has been improved. This has enabled the process of working with the customer to save time processing process as well. </w:t>
      </w:r>
    </w:p>
    <w:p w14:paraId="168F7FCF" w14:textId="3328B23E" w:rsidR="00477E87" w:rsidRDefault="00477E87" w:rsidP="00477E87">
      <w:pPr>
        <w:numPr>
          <w:ilvl w:val="0"/>
          <w:numId w:val="6"/>
        </w:numPr>
        <w:ind w:left="720" w:hanging="360"/>
        <w:rPr>
          <w:color w:val="000000"/>
          <w:lang w:val="en-AU"/>
        </w:rPr>
      </w:pPr>
      <w:r>
        <w:rPr>
          <w:color w:val="000000"/>
          <w:lang w:val="en-AU"/>
        </w:rPr>
        <w:t>The other development that can be monitored with this process is speed and security. At the same time, the company will be working on the development of blockchain technology for effective transparency of the business. This includes the use of payment applications, trade finance platforms etc.</w:t>
      </w:r>
    </w:p>
    <w:p w14:paraId="1A26DFF3" w14:textId="4114E95C" w:rsidR="00477E87" w:rsidRDefault="00477E87" w:rsidP="00477E87">
      <w:pPr>
        <w:numPr>
          <w:ilvl w:val="0"/>
          <w:numId w:val="6"/>
        </w:numPr>
        <w:ind w:left="720" w:hanging="360"/>
        <w:rPr>
          <w:color w:val="000000"/>
          <w:lang w:val="en-AU"/>
        </w:rPr>
      </w:pPr>
      <w:r>
        <w:rPr>
          <w:color w:val="000000"/>
          <w:lang w:val="en-AU"/>
        </w:rPr>
        <w:t xml:space="preserve">The future of the industry can be described as populated by the financial technology company. Based on the study within the global market, the present market size of this industry is estimated at </w:t>
      </w:r>
      <w:r>
        <w:rPr>
          <w:color w:val="202124"/>
          <w:highlight w:val="white"/>
          <w:lang w:val="en-AU"/>
        </w:rPr>
        <w:t>$</w:t>
      </w:r>
      <w:r w:rsidRPr="00B53F78">
        <w:rPr>
          <w:color w:val="202124"/>
          <w:highlight w:val="white"/>
          <w:lang w:val="en-AU"/>
        </w:rPr>
        <w:t>7.3 trillion in 2020</w:t>
      </w:r>
      <w:r w:rsidR="00B53F78" w:rsidRPr="00B53F78">
        <w:rPr>
          <w:color w:val="202124"/>
          <w:highlight w:val="white"/>
          <w:lang w:val="en-AU"/>
        </w:rPr>
        <w:t xml:space="preserve"> (</w:t>
      </w:r>
      <w:r w:rsidR="00B53F78" w:rsidRPr="00B53F78">
        <w:rPr>
          <w:rFonts w:cs="Arial"/>
        </w:rPr>
        <w:t>Financier Worldwide Magazine</w:t>
      </w:r>
      <w:r w:rsidR="00B53F78" w:rsidRPr="00B53F78">
        <w:rPr>
          <w:rFonts w:eastAsiaTheme="majorEastAsia" w:cs="Arial"/>
        </w:rPr>
        <w:t>. 2022</w:t>
      </w:r>
      <w:r w:rsidR="00B53F78" w:rsidRPr="00B53F78">
        <w:rPr>
          <w:color w:val="202124"/>
          <w:highlight w:val="white"/>
          <w:lang w:val="en-AU"/>
        </w:rPr>
        <w:t>)</w:t>
      </w:r>
      <w:r w:rsidRPr="00B53F78">
        <w:rPr>
          <w:color w:val="202124"/>
          <w:highlight w:val="white"/>
          <w:lang w:val="en-AU"/>
        </w:rPr>
        <w:t xml:space="preserve">. Based </w:t>
      </w:r>
      <w:r>
        <w:rPr>
          <w:color w:val="202124"/>
          <w:highlight w:val="white"/>
          <w:lang w:val="en-AU"/>
        </w:rPr>
        <w:t xml:space="preserve">on the growth of the company </w:t>
      </w:r>
      <w:r>
        <w:rPr>
          <w:b/>
          <w:bCs/>
          <w:color w:val="202124"/>
          <w:highlight w:val="white"/>
          <w:lang w:val="en-AU"/>
        </w:rPr>
        <w:t xml:space="preserve">(a CAGR) of 26.87 per cent up to 2026 </w:t>
      </w:r>
      <w:r>
        <w:rPr>
          <w:color w:val="202124"/>
          <w:highlight w:val="white"/>
          <w:lang w:val="en-AU"/>
        </w:rPr>
        <w:t xml:space="preserve">has been projected. </w:t>
      </w:r>
    </w:p>
    <w:p w14:paraId="606A2625" w14:textId="5A4952F9" w:rsidR="00477E87" w:rsidRDefault="00477E87" w:rsidP="00477E87">
      <w:r>
        <w:t>Within the global space, there is a factor that is responsible for the creation of barriers. Some of the barriers that are affecting the growth of this industry are</w:t>
      </w:r>
    </w:p>
    <w:p w14:paraId="63465479" w14:textId="2609E6D9" w:rsidR="00477E87" w:rsidRDefault="00477E87" w:rsidP="00477E87">
      <w:pPr>
        <w:numPr>
          <w:ilvl w:val="0"/>
          <w:numId w:val="6"/>
        </w:numPr>
        <w:ind w:left="720" w:hanging="360"/>
        <w:rPr>
          <w:color w:val="000000"/>
          <w:lang w:val="en-AU"/>
        </w:rPr>
      </w:pPr>
      <w:r>
        <w:rPr>
          <w:color w:val="000000"/>
          <w:lang w:val="en-AU"/>
        </w:rPr>
        <w:t>The major barrier that has been faced by the companies in the technological aspect is security. The global is well connected for the company by the technology that has to enable the system to be compromised under cyber hacking. The practice is very established</w:t>
      </w:r>
      <w:r w:rsidR="00861D9D">
        <w:rPr>
          <w:color w:val="000000"/>
          <w:lang w:val="en-AU"/>
        </w:rPr>
        <w:t>,</w:t>
      </w:r>
      <w:r>
        <w:rPr>
          <w:color w:val="000000"/>
          <w:lang w:val="en-AU"/>
        </w:rPr>
        <w:t xml:space="preserve"> which has resulted in many companies losing money and facing the comprises in security.</w:t>
      </w:r>
    </w:p>
    <w:p w14:paraId="1C23898A" w14:textId="77F39029" w:rsidR="00477E87" w:rsidRDefault="00477E87" w:rsidP="00477E87">
      <w:pPr>
        <w:numPr>
          <w:ilvl w:val="0"/>
          <w:numId w:val="6"/>
        </w:numPr>
        <w:ind w:left="720" w:hanging="360"/>
        <w:rPr>
          <w:color w:val="000000"/>
          <w:lang w:val="en-AU"/>
        </w:rPr>
      </w:pPr>
      <w:r>
        <w:rPr>
          <w:color w:val="000000"/>
          <w:lang w:val="en-AU"/>
        </w:rPr>
        <w:t xml:space="preserve">The other barrier is the lack of trained and skilled workforces on a global scale. A skilled workforce is highly significant for companies to be able to work on the </w:t>
      </w:r>
      <w:r>
        <w:rPr>
          <w:color w:val="000000"/>
          <w:lang w:val="en-AU"/>
        </w:rPr>
        <w:lastRenderedPageBreak/>
        <w:t xml:space="preserve">development process. The lack of a skilled workforce is therefore effective for the industry to safeguard the system. </w:t>
      </w:r>
    </w:p>
    <w:p w14:paraId="1A6035F9" w14:textId="3717DCF4" w:rsidR="00477E87" w:rsidRDefault="00477E87" w:rsidP="00477E87">
      <w:pPr>
        <w:numPr>
          <w:ilvl w:val="0"/>
          <w:numId w:val="6"/>
        </w:numPr>
        <w:ind w:left="720" w:hanging="360"/>
        <w:rPr>
          <w:color w:val="000000"/>
          <w:lang w:val="en-AU"/>
        </w:rPr>
      </w:pPr>
      <w:r>
        <w:rPr>
          <w:color w:val="000000"/>
          <w:lang w:val="en-AU"/>
        </w:rPr>
        <w:t>The other barrier is digital transparency</w:t>
      </w:r>
      <w:r w:rsidR="00A12655">
        <w:rPr>
          <w:color w:val="000000"/>
          <w:lang w:val="en-AU"/>
        </w:rPr>
        <w:t>;</w:t>
      </w:r>
      <w:r>
        <w:rPr>
          <w:color w:val="000000"/>
          <w:lang w:val="en-AU"/>
        </w:rPr>
        <w:t xml:space="preserve"> the public is also less aware of the system and its working process. The lack of knowledge results in the lack of digital transparency of the company. To meet this gap, growth and development should focus on teaching and bringing transparency to the system. </w:t>
      </w:r>
    </w:p>
    <w:p w14:paraId="780345D4" w14:textId="77777777" w:rsidR="00477E87" w:rsidRDefault="00477E87" w:rsidP="00477E87"/>
    <w:p w14:paraId="309AD4F2" w14:textId="77777777" w:rsidR="00477E87" w:rsidRDefault="00477E87" w:rsidP="00477E87">
      <w:r>
        <w:t>Based on the evaluated data of economic and technology global factors, the highlights that can be considered are the</w:t>
      </w:r>
    </w:p>
    <w:p w14:paraId="3EE8165D" w14:textId="0A02ED95" w:rsidR="00477E87" w:rsidRDefault="00477E87" w:rsidP="00477E87">
      <w:pPr>
        <w:numPr>
          <w:ilvl w:val="0"/>
          <w:numId w:val="6"/>
        </w:numPr>
        <w:ind w:left="720" w:hanging="360"/>
        <w:rPr>
          <w:color w:val="000000"/>
          <w:lang w:val="en-AU"/>
        </w:rPr>
      </w:pPr>
      <w:r>
        <w:rPr>
          <w:color w:val="000000"/>
          <w:lang w:val="en-AU"/>
        </w:rPr>
        <w:t xml:space="preserve">With the </w:t>
      </w:r>
      <w:r>
        <w:rPr>
          <w:b/>
          <w:bCs/>
          <w:color w:val="000000"/>
          <w:lang w:val="en-AU"/>
        </w:rPr>
        <w:t>decline of DIR</w:t>
      </w:r>
      <w:r>
        <w:rPr>
          <w:color w:val="000000"/>
          <w:lang w:val="en-AU"/>
        </w:rPr>
        <w:t xml:space="preserve"> and the </w:t>
      </w:r>
      <w:r>
        <w:rPr>
          <w:b/>
          <w:bCs/>
          <w:color w:val="000000"/>
          <w:lang w:val="en-AU"/>
        </w:rPr>
        <w:t>Gross operating</w:t>
      </w:r>
      <w:r>
        <w:rPr>
          <w:color w:val="000000"/>
          <w:lang w:val="en-AU"/>
        </w:rPr>
        <w:t>, HSBC should consider bringing changes within its process. The company revenue has been dropping from 56,098-50,429-49,552 ($m) for year 2019-</w:t>
      </w:r>
      <w:r w:rsidRPr="00B53F78">
        <w:rPr>
          <w:color w:val="000000"/>
          <w:lang w:val="en-AU"/>
        </w:rPr>
        <w:t>20-21</w:t>
      </w:r>
      <w:r w:rsidR="00B53F78" w:rsidRPr="00B53F78">
        <w:rPr>
          <w:color w:val="000000"/>
          <w:lang w:val="en-AU"/>
        </w:rPr>
        <w:t xml:space="preserve"> (</w:t>
      </w:r>
      <w:r w:rsidR="00B53F78" w:rsidRPr="00B53F78">
        <w:rPr>
          <w:rFonts w:cs="Arial"/>
          <w:bCs/>
          <w:color w:val="000000"/>
        </w:rPr>
        <w:t>HSBC, 2022.</w:t>
      </w:r>
      <w:r w:rsidR="00B53F78" w:rsidRPr="00B53F78">
        <w:rPr>
          <w:color w:val="000000"/>
          <w:lang w:val="en-AU"/>
        </w:rPr>
        <w:t>)</w:t>
      </w:r>
      <w:r w:rsidRPr="00B53F78">
        <w:rPr>
          <w:color w:val="000000"/>
          <w:lang w:val="en-AU"/>
        </w:rPr>
        <w:t>. This</w:t>
      </w:r>
      <w:r>
        <w:rPr>
          <w:color w:val="000000"/>
          <w:lang w:val="en-AU"/>
        </w:rPr>
        <w:t xml:space="preserve"> indicates the increased expenses of the company. Thus, </w:t>
      </w:r>
      <w:r w:rsidR="00222B62">
        <w:rPr>
          <w:color w:val="000000"/>
          <w:lang w:val="en-AU"/>
        </w:rPr>
        <w:t>d</w:t>
      </w:r>
      <w:r>
        <w:rPr>
          <w:color w:val="000000"/>
          <w:lang w:val="en-AU"/>
        </w:rPr>
        <w:t>ebt is increasing in the public sector bank</w:t>
      </w:r>
      <w:r w:rsidR="00311976">
        <w:rPr>
          <w:color w:val="000000"/>
          <w:lang w:val="en-AU"/>
        </w:rPr>
        <w:t>,</w:t>
      </w:r>
      <w:r>
        <w:rPr>
          <w:color w:val="000000"/>
          <w:lang w:val="en-AU"/>
        </w:rPr>
        <w:t xml:space="preserve"> and the contribution of such banks to the GDP of the UK is declining year over year. HSBC need to take care of this factor and work down the process to meet these challenges.</w:t>
      </w:r>
    </w:p>
    <w:p w14:paraId="68AECE71" w14:textId="316D9A43" w:rsidR="00477E87" w:rsidRDefault="00477E87" w:rsidP="00477E87">
      <w:pPr>
        <w:numPr>
          <w:ilvl w:val="0"/>
          <w:numId w:val="6"/>
        </w:numPr>
        <w:ind w:left="720" w:hanging="360"/>
        <w:rPr>
          <w:color w:val="000000"/>
          <w:lang w:val="en-AU"/>
        </w:rPr>
      </w:pPr>
      <w:r>
        <w:rPr>
          <w:color w:val="000000"/>
          <w:lang w:val="en-AU"/>
        </w:rPr>
        <w:t>Based on the technical understanding and study, the global factor of technology has been effectively promoting the industry. There has been significant growth has been within digitalization. HSBC should have been adapting to changes by investing in technology. The company has “invested $6bn in technology in 2021”</w:t>
      </w:r>
      <w:r w:rsidR="00B53F78">
        <w:rPr>
          <w:color w:val="000000"/>
          <w:lang w:val="en-AU"/>
        </w:rPr>
        <w:t xml:space="preserve"> (</w:t>
      </w:r>
      <w:r w:rsidR="00B53F78" w:rsidRPr="00F86D58">
        <w:rPr>
          <w:rFonts w:cs="Arial"/>
          <w:color w:val="000000"/>
        </w:rPr>
        <w:t>HSBC. 2022</w:t>
      </w:r>
      <w:r w:rsidR="00B53F78">
        <w:rPr>
          <w:color w:val="000000"/>
          <w:lang w:val="en-AU"/>
        </w:rPr>
        <w:t>)</w:t>
      </w:r>
      <w:r>
        <w:rPr>
          <w:color w:val="000000"/>
          <w:lang w:val="en-AU"/>
        </w:rPr>
        <w:t>. This has resulted in the company to “97% of transactions automated”. This way</w:t>
      </w:r>
      <w:r w:rsidR="00311976">
        <w:rPr>
          <w:color w:val="000000"/>
          <w:lang w:val="en-AU"/>
        </w:rPr>
        <w:t>,</w:t>
      </w:r>
      <w:r>
        <w:rPr>
          <w:color w:val="000000"/>
          <w:lang w:val="en-AU"/>
        </w:rPr>
        <w:t xml:space="preserve"> the company is more active and online in the digital space. </w:t>
      </w:r>
    </w:p>
    <w:p w14:paraId="1532AB08" w14:textId="77777777" w:rsidR="00477E87" w:rsidRDefault="00477E87" w:rsidP="00477E87">
      <w:pPr>
        <w:spacing w:after="200" w:line="276" w:lineRule="auto"/>
      </w:pPr>
      <w:r>
        <w:br w:type="page"/>
      </w:r>
    </w:p>
    <w:p w14:paraId="53D80D8C" w14:textId="57DA0E08" w:rsidR="00477E87" w:rsidRDefault="00477E87" w:rsidP="00477E87">
      <w:pPr>
        <w:pStyle w:val="Heading1"/>
      </w:pPr>
      <w:bookmarkStart w:id="6" w:name="_Toc108813949"/>
      <w:r>
        <w:lastRenderedPageBreak/>
        <w:t xml:space="preserve">Porter </w:t>
      </w:r>
      <w:r w:rsidR="005958A2">
        <w:t xml:space="preserve">five </w:t>
      </w:r>
      <w:r>
        <w:t>forces</w:t>
      </w:r>
      <w:bookmarkEnd w:id="6"/>
    </w:p>
    <w:p w14:paraId="228CA42E" w14:textId="748CDBF4" w:rsidR="00477E87" w:rsidRDefault="00477E87" w:rsidP="00477E87">
      <w:r>
        <w:t xml:space="preserve">With the help of Porter’s five forces, the report will discuss the understanding competitive environment of the organization within its globe. </w:t>
      </w:r>
      <w:r w:rsidR="00683D50">
        <w:t>Five</w:t>
      </w:r>
      <w:r>
        <w:t xml:space="preserve"> major factors should be studied the company power of supplier, rivalry, power of buyer, the threat of new entrants and the threat of getting a substitute. For the global factors, the power of buyers and the threat of new entrants will be studied.</w:t>
      </w:r>
    </w:p>
    <w:p w14:paraId="088336E8" w14:textId="77777777" w:rsidR="00477E87" w:rsidRDefault="00477E87" w:rsidP="00477E87">
      <w:pPr>
        <w:pStyle w:val="Heading2"/>
      </w:pPr>
      <w:bookmarkStart w:id="7" w:name="_Toc108813950"/>
      <w:r>
        <w:t>Power of buyer</w:t>
      </w:r>
      <w:bookmarkEnd w:id="7"/>
    </w:p>
    <w:p w14:paraId="2CDE0C9E" w14:textId="5ADF1A72" w:rsidR="00477E87" w:rsidRDefault="00477E87" w:rsidP="00477E87">
      <w:r>
        <w:t>Based on the study taken by the ONS 2022, the total receipts of the public bank in the UK for the last two years are 2020: 21580,  2021: 19864. There has been a significant drop in the receipts of the public bank</w:t>
      </w:r>
      <w:r w:rsidR="00F901A6">
        <w:t xml:space="preserve"> (</w:t>
      </w:r>
      <w:r w:rsidR="00F901A6" w:rsidRPr="00B53F78">
        <w:rPr>
          <w:rFonts w:cs="Arial"/>
        </w:rPr>
        <w:t>ONS.</w:t>
      </w:r>
      <w:r w:rsidR="00F901A6">
        <w:rPr>
          <w:rFonts w:cs="Arial"/>
        </w:rPr>
        <w:t xml:space="preserve"> PS. TCR</w:t>
      </w:r>
      <w:r w:rsidR="00F901A6" w:rsidRPr="00B53F78">
        <w:rPr>
          <w:rFonts w:cs="Arial"/>
        </w:rPr>
        <w:t xml:space="preserve"> 2022</w:t>
      </w:r>
      <w:r w:rsidR="00F901A6">
        <w:t>)</w:t>
      </w:r>
      <w:r>
        <w:t>.</w:t>
      </w:r>
    </w:p>
    <w:p w14:paraId="5D96D4ED" w14:textId="77777777" w:rsidR="00477E87" w:rsidRDefault="00477E87" w:rsidP="00477E87">
      <w:pPr>
        <w:rPr>
          <w:lang w:val="en-IN"/>
        </w:rPr>
      </w:pPr>
    </w:p>
    <w:p w14:paraId="7E736588" w14:textId="77777777" w:rsidR="00477E87" w:rsidRDefault="00477E87" w:rsidP="00477E87">
      <w:pPr>
        <w:keepNext/>
        <w:jc w:val="center"/>
      </w:pPr>
      <w:r>
        <w:rPr>
          <w:rFonts w:ascii="Calibri" w:hAnsi="Calibri" w:cs="Calibri"/>
          <w:noProof/>
          <w:lang w:val="en-IN" w:eastAsia="en-IN"/>
        </w:rPr>
        <w:drawing>
          <wp:inline distT="0" distB="0" distL="0" distR="0" wp14:anchorId="27932AD5" wp14:editId="53DEE5E0">
            <wp:extent cx="1859280" cy="533400"/>
            <wp:effectExtent l="0" t="0" r="762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3">
                      <a:extLst>
                        <a:ext uri="{28A0092B-C50C-407E-A947-70E740481C1C}">
                          <a14:useLocalDpi xmlns:a14="http://schemas.microsoft.com/office/drawing/2010/main" val="0"/>
                        </a:ext>
                      </a:extLst>
                    </a:blip>
                    <a:srcRect t="54645" r="83647" b="36815"/>
                    <a:stretch>
                      <a:fillRect/>
                    </a:stretch>
                  </pic:blipFill>
                  <pic:spPr bwMode="auto">
                    <a:xfrm>
                      <a:off x="0" y="0"/>
                      <a:ext cx="1859280" cy="533400"/>
                    </a:xfrm>
                    <a:prstGeom prst="rect">
                      <a:avLst/>
                    </a:prstGeom>
                    <a:noFill/>
                    <a:ln>
                      <a:noFill/>
                    </a:ln>
                  </pic:spPr>
                </pic:pic>
              </a:graphicData>
            </a:graphic>
          </wp:inline>
        </w:drawing>
      </w:r>
    </w:p>
    <w:p w14:paraId="2C0AFFA7" w14:textId="77777777" w:rsidR="00477E87" w:rsidRDefault="00477E87" w:rsidP="00477E87">
      <w:pPr>
        <w:spacing w:after="200"/>
        <w:jc w:val="center"/>
        <w:rPr>
          <w:b/>
          <w:bCs/>
          <w:color w:val="4F81BD"/>
          <w:sz w:val="18"/>
          <w:szCs w:val="18"/>
        </w:rPr>
      </w:pPr>
      <w:r>
        <w:rPr>
          <w:b/>
          <w:bCs/>
          <w:color w:val="4F81BD"/>
          <w:sz w:val="18"/>
          <w:szCs w:val="18"/>
        </w:rPr>
        <w:t xml:space="preserve">Figure </w:t>
      </w:r>
      <w:r>
        <w:rPr>
          <w:b/>
          <w:bCs/>
          <w:color w:val="4F81BD"/>
          <w:sz w:val="18"/>
          <w:szCs w:val="18"/>
          <w:lang w:val="en-IN"/>
        </w:rPr>
        <w:t>3</w:t>
      </w:r>
      <w:r>
        <w:rPr>
          <w:b/>
          <w:bCs/>
          <w:color w:val="4F81BD"/>
          <w:sz w:val="18"/>
          <w:szCs w:val="18"/>
        </w:rPr>
        <w:t>: Public Sector Banks: Total current receipts</w:t>
      </w:r>
    </w:p>
    <w:p w14:paraId="3CFE7D37" w14:textId="00E9EE24" w:rsidR="00477E87" w:rsidRDefault="00477E87" w:rsidP="00477E87">
      <w:pPr>
        <w:jc w:val="center"/>
      </w:pPr>
      <w:r>
        <w:t>(</w:t>
      </w:r>
      <w:r w:rsidR="00F901A6" w:rsidRPr="00B53F78">
        <w:rPr>
          <w:rFonts w:cs="Arial"/>
        </w:rPr>
        <w:t>ONS.</w:t>
      </w:r>
      <w:r w:rsidR="00F901A6">
        <w:rPr>
          <w:rFonts w:cs="Arial"/>
        </w:rPr>
        <w:t xml:space="preserve"> PS. TCR</w:t>
      </w:r>
      <w:r w:rsidR="00F901A6" w:rsidRPr="00B53F78">
        <w:rPr>
          <w:rFonts w:cs="Arial"/>
        </w:rPr>
        <w:t xml:space="preserve"> 2022</w:t>
      </w:r>
      <w:r>
        <w:t>)</w:t>
      </w:r>
    </w:p>
    <w:p w14:paraId="0A166EC4" w14:textId="4A0F5339" w:rsidR="00477E87" w:rsidRDefault="00477E87" w:rsidP="00477E87">
      <w:r>
        <w:t xml:space="preserve">Based on the above figure, the customer is more focused on spending money rather than saving or investing the money. This describes the imbalance of the banking industry and its future. The bargaining power of customers of the UK has influenced the rate of receipt of the banks as they are not ready to block their funds in the bank in exchange for low-interest rates. </w:t>
      </w:r>
    </w:p>
    <w:p w14:paraId="19A40922" w14:textId="77777777" w:rsidR="00477E87" w:rsidRDefault="00477E87" w:rsidP="00477E87">
      <w:pPr>
        <w:pStyle w:val="Heading2"/>
      </w:pPr>
      <w:bookmarkStart w:id="8" w:name="_Toc108813951"/>
      <w:r>
        <w:t>The threat of new entrant</w:t>
      </w:r>
      <w:bookmarkEnd w:id="8"/>
    </w:p>
    <w:p w14:paraId="44FF0C1B" w14:textId="3C3076FB" w:rsidR="00477E87" w:rsidRDefault="00477E87" w:rsidP="00477E87">
      <w:r>
        <w:t xml:space="preserve">The new industry that is revolving around the banking and finance sector is the Fintech companies. These are the new entrant that is taking advantage of the fluidity of the money. The banking groups are in </w:t>
      </w:r>
      <w:r w:rsidR="00EA094A">
        <w:t>collaboration</w:t>
      </w:r>
      <w:r>
        <w:t xml:space="preserve"> with the Fintech companies</w:t>
      </w:r>
      <w:r w:rsidR="00FE0053">
        <w:t>,</w:t>
      </w:r>
      <w:r>
        <w:t xml:space="preserve"> but it is impacting the industry as the major purpose of banking is the save</w:t>
      </w:r>
      <w:r w:rsidR="00FE0053">
        <w:t>,</w:t>
      </w:r>
      <w:r>
        <w:t xml:space="preserve"> and collected funds are dropping. Also, the industry has competitors that </w:t>
      </w:r>
      <w:r w:rsidR="00222B62">
        <w:t xml:space="preserve">are </w:t>
      </w:r>
      <w:r>
        <w:t xml:space="preserve">working on providing services at lower interest rates along with other benefits. Thus, within the global scenario, the impact due to the threat of new entrants is significantly high. </w:t>
      </w:r>
    </w:p>
    <w:p w14:paraId="07804ED7" w14:textId="77777777" w:rsidR="00477E87" w:rsidRDefault="00477E87" w:rsidP="00477E87"/>
    <w:p w14:paraId="605D3837" w14:textId="555C4F2C" w:rsidR="00477E87" w:rsidRDefault="00477E87" w:rsidP="00477E87">
      <w:r>
        <w:lastRenderedPageBreak/>
        <w:t xml:space="preserve">Based on the study with the help of the Porter </w:t>
      </w:r>
      <w:r w:rsidR="004053E1">
        <w:t>five</w:t>
      </w:r>
      <w:r w:rsidR="00794762">
        <w:t xml:space="preserve"> </w:t>
      </w:r>
      <w:r>
        <w:t>forces model, HSBC can be seen struggling as the total receipts of the public bank in the UK for the last two years has been dropped. At the same time, the entrant of the new banking and companies like Fintech have been creating issues as it is making money more fluid into the market.</w:t>
      </w:r>
    </w:p>
    <w:p w14:paraId="734272F7" w14:textId="77777777" w:rsidR="00477E87" w:rsidRDefault="00477E87" w:rsidP="00477E87">
      <w:pPr>
        <w:spacing w:after="200" w:line="276" w:lineRule="auto"/>
      </w:pPr>
      <w:r>
        <w:br w:type="page"/>
      </w:r>
    </w:p>
    <w:p w14:paraId="57415787" w14:textId="77777777" w:rsidR="00477E87" w:rsidRDefault="00477E87" w:rsidP="00477E87">
      <w:pPr>
        <w:pStyle w:val="Heading1"/>
      </w:pPr>
      <w:bookmarkStart w:id="9" w:name="_Toc108813952"/>
      <w:r>
        <w:lastRenderedPageBreak/>
        <w:t>Conclusion</w:t>
      </w:r>
      <w:bookmarkEnd w:id="9"/>
    </w:p>
    <w:p w14:paraId="00C7C22B" w14:textId="4DA165C3" w:rsidR="00477E87" w:rsidRDefault="00477E87" w:rsidP="00477E87">
      <w:pPr>
        <w:rPr>
          <w:lang w:val="en-IN"/>
        </w:rPr>
      </w:pPr>
      <w:r>
        <w:rPr>
          <w:lang w:val="en-IN"/>
        </w:rPr>
        <w:t xml:space="preserve">The report aimed to study global business management by evaluating the business environment of the UK nation. The report has achieved an understanding of changing global business environment using two global factors using PESTEL and Porter </w:t>
      </w:r>
      <w:r w:rsidR="00AD5804">
        <w:rPr>
          <w:lang w:val="en-IN"/>
        </w:rPr>
        <w:t>five</w:t>
      </w:r>
      <w:r>
        <w:rPr>
          <w:lang w:val="en-IN"/>
        </w:rPr>
        <w:t xml:space="preserve"> forces analysis. Based on the analysis, finding that can be highlighted are </w:t>
      </w:r>
    </w:p>
    <w:p w14:paraId="0A70A339" w14:textId="096E357A" w:rsidR="00477E87" w:rsidRDefault="00477E87" w:rsidP="00477E87">
      <w:r>
        <w:t>HSBC revenue has been dropping from 56,098-50,429-49,552 ($m) for year 2019-20-21</w:t>
      </w:r>
      <w:r w:rsidR="00F901A6">
        <w:t xml:space="preserve"> (</w:t>
      </w:r>
      <w:r w:rsidR="00F901A6">
        <w:rPr>
          <w:rFonts w:cs="Arial"/>
        </w:rPr>
        <w:t>HSBC.</w:t>
      </w:r>
      <w:r w:rsidR="00F901A6" w:rsidRPr="00B53F78">
        <w:rPr>
          <w:rFonts w:cs="Arial"/>
        </w:rPr>
        <w:t xml:space="preserve"> 2022</w:t>
      </w:r>
      <w:r w:rsidR="00F901A6">
        <w:t>)</w:t>
      </w:r>
      <w:r>
        <w:t xml:space="preserve">. This indicates the increase in expenses of the company. This indicated the increase of debt in the public sector bank and the contribution of HSBC to the GDP of the UK, and it is declining year over year. </w:t>
      </w:r>
    </w:p>
    <w:p w14:paraId="1E326CA5" w14:textId="118F5DEB" w:rsidR="00477E87" w:rsidRDefault="00477E87" w:rsidP="00477E87">
      <w:r>
        <w:t>The company has “invested $6bn in technology in 2021”</w:t>
      </w:r>
      <w:r w:rsidR="00F901A6">
        <w:t xml:space="preserve"> </w:t>
      </w:r>
      <w:r w:rsidR="00925E3F">
        <w:t>(</w:t>
      </w:r>
      <w:r w:rsidR="00F901A6">
        <w:rPr>
          <w:rFonts w:cs="Arial"/>
        </w:rPr>
        <w:t>HSBC.</w:t>
      </w:r>
      <w:r w:rsidR="00B4166B">
        <w:rPr>
          <w:rFonts w:cs="Arial"/>
        </w:rPr>
        <w:t xml:space="preserve"> </w:t>
      </w:r>
      <w:r w:rsidR="00F901A6" w:rsidRPr="00B53F78">
        <w:rPr>
          <w:rFonts w:cs="Arial"/>
        </w:rPr>
        <w:t xml:space="preserve"> 2022</w:t>
      </w:r>
      <w:r w:rsidR="00925E3F">
        <w:rPr>
          <w:rFonts w:cs="Arial"/>
        </w:rPr>
        <w:t>)</w:t>
      </w:r>
      <w:r>
        <w:t>. This has resulted in the company to “97% of transactions automated”</w:t>
      </w:r>
      <w:r w:rsidR="00F901A6">
        <w:t xml:space="preserve"> (</w:t>
      </w:r>
      <w:r w:rsidR="00F901A6">
        <w:rPr>
          <w:rFonts w:cs="Arial"/>
        </w:rPr>
        <w:t>HSBC.</w:t>
      </w:r>
      <w:r w:rsidR="00F901A6" w:rsidRPr="00B53F78">
        <w:rPr>
          <w:rFonts w:cs="Arial"/>
        </w:rPr>
        <w:t xml:space="preserve"> 2022</w:t>
      </w:r>
      <w:r w:rsidR="00F901A6">
        <w:t>)</w:t>
      </w:r>
      <w:r>
        <w:t>. This way</w:t>
      </w:r>
      <w:r w:rsidR="00ED3821">
        <w:t>,</w:t>
      </w:r>
      <w:r>
        <w:t xml:space="preserve"> the company is more active online in the digital space. </w:t>
      </w:r>
    </w:p>
    <w:p w14:paraId="0F7EB7FE" w14:textId="49FEFA97" w:rsidR="00477E87" w:rsidRDefault="00477E87" w:rsidP="00477E87">
      <w:r>
        <w:t xml:space="preserve">The company should take care of the entrant of new banking companies like Fintech. As it has been creating issues as it is making money more fluid into the market. Thus, the company should focus on collaboration and the expansion process. </w:t>
      </w:r>
    </w:p>
    <w:p w14:paraId="0B655665" w14:textId="77777777" w:rsidR="00477E87" w:rsidRDefault="00477E87" w:rsidP="00477E87">
      <w:r>
        <w:br w:type="page"/>
      </w:r>
    </w:p>
    <w:p w14:paraId="49B0049F" w14:textId="77777777" w:rsidR="00B53F78" w:rsidRPr="00B53F78" w:rsidRDefault="00477E87" w:rsidP="00B53F78">
      <w:pPr>
        <w:pStyle w:val="Heading1"/>
        <w:rPr>
          <w:sz w:val="22"/>
          <w:szCs w:val="22"/>
        </w:rPr>
      </w:pPr>
      <w:bookmarkStart w:id="10" w:name="_Toc108813953"/>
      <w:r>
        <w:lastRenderedPageBreak/>
        <w:t>References</w:t>
      </w:r>
      <w:bookmarkEnd w:id="10"/>
    </w:p>
    <w:p w14:paraId="00AE1222" w14:textId="3BD04399" w:rsidR="00B53F78" w:rsidRPr="00B53F78" w:rsidRDefault="00B53F78" w:rsidP="00BC6044">
      <w:pPr>
        <w:jc w:val="left"/>
        <w:rPr>
          <w:b/>
          <w:bCs/>
        </w:rPr>
      </w:pPr>
      <w:r w:rsidRPr="00B53F78">
        <w:rPr>
          <w:rFonts w:cs="Arial"/>
        </w:rPr>
        <w:t>Financier Worldwide Magazine. 2022. The</w:t>
      </w:r>
      <w:r w:rsidRPr="00B53F78">
        <w:t xml:space="preserve"> future of FinTech — </w:t>
      </w:r>
      <w:r w:rsidRPr="00F901A6">
        <w:rPr>
          <w:i/>
        </w:rPr>
        <w:t>Financier Worldwide (2022)</w:t>
      </w:r>
      <w:r w:rsidRPr="00B53F78">
        <w:t xml:space="preserve">. Available at: </w:t>
      </w:r>
      <w:hyperlink r:id="rId14" w:history="1">
        <w:r w:rsidRPr="00BC6044">
          <w:rPr>
            <w:rStyle w:val="Hyperlink"/>
          </w:rPr>
          <w:t>https://www.financierworldwide.com/the-future-of-fintech</w:t>
        </w:r>
      </w:hyperlink>
      <w:r w:rsidRPr="00B53F78">
        <w:t xml:space="preserve"> Accessed: </w:t>
      </w:r>
      <w:r w:rsidR="007359AC">
        <w:t>6</w:t>
      </w:r>
      <w:r w:rsidRPr="00B53F78">
        <w:t xml:space="preserve"> July 2022.</w:t>
      </w:r>
    </w:p>
    <w:p w14:paraId="30FA4D5D" w14:textId="38903F77" w:rsidR="00B53F78" w:rsidRPr="00B53F78" w:rsidRDefault="00F901A6" w:rsidP="00BC6044">
      <w:pPr>
        <w:jc w:val="left"/>
        <w:rPr>
          <w:rFonts w:cs="Arial"/>
          <w:b/>
          <w:bCs/>
        </w:rPr>
      </w:pPr>
      <w:r>
        <w:rPr>
          <w:rFonts w:cs="Arial"/>
        </w:rPr>
        <w:t>HSBC.</w:t>
      </w:r>
      <w:r w:rsidR="00B53F78" w:rsidRPr="00B53F78">
        <w:rPr>
          <w:rFonts w:cs="Arial"/>
        </w:rPr>
        <w:t xml:space="preserve"> 2022. Annual Report | </w:t>
      </w:r>
      <w:r w:rsidR="00B53F78" w:rsidRPr="00F901A6">
        <w:rPr>
          <w:rFonts w:cs="Arial"/>
          <w:i/>
        </w:rPr>
        <w:t>HSBC Holdings plc.</w:t>
      </w:r>
      <w:r w:rsidR="00B53F78" w:rsidRPr="00B53F78">
        <w:rPr>
          <w:rFonts w:cs="Arial"/>
        </w:rPr>
        <w:t xml:space="preserve"> </w:t>
      </w:r>
      <w:r w:rsidR="0096604E">
        <w:rPr>
          <w:rFonts w:cs="Arial"/>
        </w:rPr>
        <w:t xml:space="preserve">Available </w:t>
      </w:r>
      <w:r w:rsidR="003A7178">
        <w:rPr>
          <w:rFonts w:cs="Arial"/>
        </w:rPr>
        <w:t>at:</w:t>
      </w:r>
      <w:r w:rsidR="00B53F78" w:rsidRPr="00B53F78">
        <w:rPr>
          <w:rFonts w:cs="Arial"/>
        </w:rPr>
        <w:t xml:space="preserve"> </w:t>
      </w:r>
      <w:hyperlink r:id="rId15" w:history="1">
        <w:r w:rsidR="00B53F78" w:rsidRPr="00BC6044">
          <w:rPr>
            <w:rStyle w:val="Hyperlink"/>
            <w:rFonts w:cs="Arial"/>
          </w:rPr>
          <w:t>https://www.hsbc.com/investors/results-and-announcements/annual-report</w:t>
        </w:r>
      </w:hyperlink>
      <w:r w:rsidR="003A7178">
        <w:rPr>
          <w:rFonts w:cs="Arial"/>
        </w:rPr>
        <w:t xml:space="preserve"> Accessed: 07</w:t>
      </w:r>
      <w:r w:rsidR="00BF2D93">
        <w:rPr>
          <w:rFonts w:cs="Arial"/>
        </w:rPr>
        <w:t xml:space="preserve"> July 2022</w:t>
      </w:r>
    </w:p>
    <w:p w14:paraId="0D76A64E" w14:textId="10DF98F7" w:rsidR="00B53F78" w:rsidRPr="00B53F78" w:rsidRDefault="00F901A6" w:rsidP="00BC6044">
      <w:pPr>
        <w:jc w:val="left"/>
        <w:rPr>
          <w:rFonts w:eastAsia="Times New Roman" w:cs="Arial"/>
          <w:lang w:val="en-IN" w:eastAsia="en-IN"/>
        </w:rPr>
      </w:pPr>
      <w:r w:rsidRPr="00F901A6">
        <w:rPr>
          <w:rFonts w:eastAsia="Times New Roman" w:cs="Arial"/>
          <w:lang w:val="en-IN" w:eastAsia="en-IN"/>
        </w:rPr>
        <w:t>HSBC Group.</w:t>
      </w:r>
      <w:r w:rsidR="00B53F78" w:rsidRPr="00B53F78">
        <w:rPr>
          <w:rFonts w:eastAsia="Times New Roman" w:cs="Arial"/>
          <w:lang w:val="en-IN" w:eastAsia="en-IN"/>
        </w:rPr>
        <w:t xml:space="preserve"> 2022</w:t>
      </w:r>
      <w:r w:rsidR="00B53F78" w:rsidRPr="005E6948">
        <w:rPr>
          <w:rFonts w:eastAsia="Times New Roman" w:cs="Arial"/>
          <w:i/>
          <w:lang w:val="en-IN" w:eastAsia="en-IN"/>
        </w:rPr>
        <w:t>. HSBC Group corporate website</w:t>
      </w:r>
      <w:r w:rsidR="00B53F78" w:rsidRPr="005E6948">
        <w:rPr>
          <w:rFonts w:eastAsia="Times New Roman" w:cs="Arial"/>
          <w:lang w:val="en-IN" w:eastAsia="en-IN"/>
        </w:rPr>
        <w:t xml:space="preserve"> | HSBC Holdings plc.</w:t>
      </w:r>
      <w:r w:rsidR="00B4166B">
        <w:rPr>
          <w:rFonts w:eastAsia="Times New Roman" w:cs="Arial"/>
          <w:lang w:val="en-IN" w:eastAsia="en-IN"/>
        </w:rPr>
        <w:t xml:space="preserve"> </w:t>
      </w:r>
      <w:r w:rsidR="00B53F78" w:rsidRPr="005E6948">
        <w:rPr>
          <w:rFonts w:eastAsia="Times New Roman" w:cs="Arial"/>
          <w:lang w:val="en-IN" w:eastAsia="en-IN"/>
        </w:rPr>
        <w:t xml:space="preserve">  </w:t>
      </w:r>
      <w:r w:rsidR="003B65DD">
        <w:rPr>
          <w:rFonts w:cs="Arial"/>
        </w:rPr>
        <w:t xml:space="preserve">Available at: </w:t>
      </w:r>
      <w:hyperlink r:id="rId16" w:history="1">
        <w:r w:rsidR="00937305" w:rsidRPr="008A01D6">
          <w:rPr>
            <w:rStyle w:val="Hyperlink"/>
            <w:rFonts w:eastAsia="Times New Roman" w:cs="Arial"/>
            <w:lang w:val="en-IN" w:eastAsia="en-IN"/>
          </w:rPr>
          <w:t>https://www.hsbc.com/</w:t>
        </w:r>
      </w:hyperlink>
      <w:r w:rsidR="002F7B10">
        <w:rPr>
          <w:rFonts w:eastAsia="Times New Roman" w:cs="Arial"/>
          <w:lang w:val="en-IN" w:eastAsia="en-IN"/>
        </w:rPr>
        <w:t xml:space="preserve"> </w:t>
      </w:r>
      <w:r w:rsidR="002F7B10" w:rsidRPr="00B53F78">
        <w:t xml:space="preserve">Accessed: </w:t>
      </w:r>
      <w:r w:rsidR="00A34793">
        <w:t>5</w:t>
      </w:r>
      <w:r w:rsidR="002F7B10" w:rsidRPr="00B53F78">
        <w:t xml:space="preserve"> July 2022.</w:t>
      </w:r>
    </w:p>
    <w:p w14:paraId="1BD6C230" w14:textId="40EBF8AE" w:rsidR="00B53F78" w:rsidRPr="00B53F78" w:rsidRDefault="00B53F78" w:rsidP="00BC6044">
      <w:pPr>
        <w:jc w:val="left"/>
        <w:rPr>
          <w:rFonts w:cs="Arial"/>
          <w:b/>
          <w:bCs/>
        </w:rPr>
      </w:pPr>
      <w:r w:rsidRPr="00B53F78">
        <w:rPr>
          <w:rFonts w:cs="Arial"/>
        </w:rPr>
        <w:t xml:space="preserve">IBIS. 2022. </w:t>
      </w:r>
      <w:r w:rsidRPr="00F901A6">
        <w:rPr>
          <w:rFonts w:cs="Arial"/>
          <w:i/>
        </w:rPr>
        <w:t>IBISWorld - Industry Market Research, Reports, and Statistics (2022</w:t>
      </w:r>
      <w:r w:rsidRPr="00B53F78">
        <w:rPr>
          <w:rFonts w:cs="Arial"/>
        </w:rPr>
        <w:t xml:space="preserve">). Available at: </w:t>
      </w:r>
      <w:hyperlink r:id="rId17" w:history="1">
        <w:r w:rsidRPr="005926F9">
          <w:rPr>
            <w:rStyle w:val="Hyperlink"/>
            <w:rFonts w:cs="Arial"/>
          </w:rPr>
          <w:t>https://www.ibisworld.com/united-kingdom/market-size/financial-management/</w:t>
        </w:r>
      </w:hyperlink>
      <w:r w:rsidRPr="00B53F78">
        <w:rPr>
          <w:rFonts w:cs="Arial"/>
        </w:rPr>
        <w:t xml:space="preserve"> </w:t>
      </w:r>
      <w:r w:rsidR="00631EC9" w:rsidRPr="00B53F78">
        <w:t xml:space="preserve">Accessed: </w:t>
      </w:r>
      <w:r w:rsidR="00E53E15">
        <w:t>3</w:t>
      </w:r>
      <w:r w:rsidR="00631EC9" w:rsidRPr="00B53F78">
        <w:t xml:space="preserve"> July 2022.</w:t>
      </w:r>
    </w:p>
    <w:p w14:paraId="18E45DFB" w14:textId="2DF569DE" w:rsidR="00B53F78" w:rsidRPr="00B53F78" w:rsidRDefault="00B53F78" w:rsidP="00BC6044">
      <w:pPr>
        <w:jc w:val="left"/>
        <w:rPr>
          <w:rFonts w:cs="Arial"/>
          <w:b/>
          <w:bCs/>
        </w:rPr>
      </w:pPr>
      <w:r w:rsidRPr="00B53F78">
        <w:rPr>
          <w:rFonts w:cs="Arial"/>
        </w:rPr>
        <w:t>ONS.</w:t>
      </w:r>
      <w:r w:rsidR="00F901A6">
        <w:rPr>
          <w:rFonts w:cs="Arial"/>
        </w:rPr>
        <w:t xml:space="preserve"> </w:t>
      </w:r>
      <w:r w:rsidR="00F901A6" w:rsidRPr="00B53F78">
        <w:rPr>
          <w:rFonts w:cs="Arial"/>
        </w:rPr>
        <w:t>PS</w:t>
      </w:r>
      <w:r w:rsidR="00F901A6">
        <w:rPr>
          <w:rFonts w:cs="Arial"/>
        </w:rPr>
        <w:t>. GOS.</w:t>
      </w:r>
      <w:r w:rsidRPr="00B53F78">
        <w:rPr>
          <w:rFonts w:cs="Arial"/>
        </w:rPr>
        <w:t xml:space="preserve"> 2022. PS: Public Sector Banks: Gross Operating Surplus: £m CPNSA - </w:t>
      </w:r>
      <w:r w:rsidRPr="00F901A6">
        <w:rPr>
          <w:rFonts w:cs="Arial"/>
          <w:i/>
        </w:rPr>
        <w:t>Office for National Statistics (2022)</w:t>
      </w:r>
      <w:r w:rsidRPr="00B53F78">
        <w:rPr>
          <w:rFonts w:cs="Arial"/>
        </w:rPr>
        <w:t xml:space="preserve">. Available at: </w:t>
      </w:r>
      <w:hyperlink r:id="rId18" w:history="1">
        <w:r w:rsidRPr="009F213A">
          <w:rPr>
            <w:rStyle w:val="Hyperlink"/>
            <w:rFonts w:cs="Arial"/>
          </w:rPr>
          <w:t>https://www.ons.gov.uk/economy/governmentpublicsectorandtaxes/publicsectorfinance/timeseries/il64/pusf</w:t>
        </w:r>
      </w:hyperlink>
      <w:r w:rsidRPr="00B53F78">
        <w:rPr>
          <w:rFonts w:cs="Arial"/>
        </w:rPr>
        <w:t xml:space="preserve"> </w:t>
      </w:r>
      <w:r w:rsidR="00631EC9" w:rsidRPr="00B53F78">
        <w:t xml:space="preserve">Accessed: </w:t>
      </w:r>
      <w:r w:rsidR="00631EC9">
        <w:t>6</w:t>
      </w:r>
      <w:r w:rsidR="00631EC9" w:rsidRPr="00B53F78">
        <w:t xml:space="preserve"> July 2022.</w:t>
      </w:r>
    </w:p>
    <w:p w14:paraId="0BF61A4D" w14:textId="00353D18" w:rsidR="00B53F78" w:rsidRPr="00B53F78" w:rsidRDefault="00B53F78" w:rsidP="00BC6044">
      <w:pPr>
        <w:jc w:val="left"/>
        <w:rPr>
          <w:rFonts w:cs="Arial"/>
          <w:b/>
          <w:bCs/>
        </w:rPr>
      </w:pPr>
      <w:r w:rsidRPr="00B53F78">
        <w:rPr>
          <w:rFonts w:cs="Arial"/>
        </w:rPr>
        <w:t>ONS.</w:t>
      </w:r>
      <w:r w:rsidR="00F901A6">
        <w:rPr>
          <w:rFonts w:cs="Arial"/>
        </w:rPr>
        <w:t xml:space="preserve"> PS. TCR</w:t>
      </w:r>
      <w:r w:rsidRPr="00B53F78">
        <w:rPr>
          <w:rFonts w:cs="Arial"/>
        </w:rPr>
        <w:t xml:space="preserve"> 2022. PS: Public Sector Banks: Total current receipts: £m CPNSA - </w:t>
      </w:r>
      <w:r w:rsidRPr="00F901A6">
        <w:rPr>
          <w:rFonts w:cs="Arial"/>
          <w:i/>
        </w:rPr>
        <w:t>Office for National Statistics. (2022).</w:t>
      </w:r>
      <w:r w:rsidRPr="00B53F78">
        <w:rPr>
          <w:rFonts w:cs="Arial"/>
        </w:rPr>
        <w:t xml:space="preserve"> </w:t>
      </w:r>
      <w:r w:rsidR="00937305">
        <w:rPr>
          <w:rFonts w:cs="Arial"/>
        </w:rPr>
        <w:t xml:space="preserve">Available at: </w:t>
      </w:r>
      <w:hyperlink r:id="rId19" w:history="1">
        <w:r w:rsidR="00861D9D" w:rsidRPr="008A01D6">
          <w:rPr>
            <w:rStyle w:val="Hyperlink"/>
            <w:rFonts w:cs="Arial"/>
          </w:rPr>
          <w:t>https://www.ons.gov.uk/economy/governmentpublicsectorandtaxes/publicsectorfinance/timeseries/il65/pusf</w:t>
        </w:r>
      </w:hyperlink>
      <w:r w:rsidR="00D622A6">
        <w:rPr>
          <w:rFonts w:cs="Arial"/>
        </w:rPr>
        <w:t xml:space="preserve">  </w:t>
      </w:r>
      <w:r w:rsidR="00D622A6" w:rsidRPr="00B53F78">
        <w:t xml:space="preserve">Accessed: </w:t>
      </w:r>
      <w:r w:rsidR="00B40D49">
        <w:t>4</w:t>
      </w:r>
      <w:r w:rsidR="00D622A6" w:rsidRPr="00B53F78">
        <w:t xml:space="preserve"> July 2022.</w:t>
      </w:r>
    </w:p>
    <w:p w14:paraId="7B5BA8F7" w14:textId="586276B6" w:rsidR="00B53F78" w:rsidRPr="00B53F78" w:rsidRDefault="00B53F78" w:rsidP="00BC6044">
      <w:pPr>
        <w:jc w:val="left"/>
        <w:rPr>
          <w:rFonts w:cs="Arial"/>
          <w:b/>
          <w:bCs/>
        </w:rPr>
      </w:pPr>
      <w:r w:rsidRPr="00B53F78">
        <w:rPr>
          <w:rFonts w:cs="Arial"/>
        </w:rPr>
        <w:t xml:space="preserve">ONS. 2022. Public sector debt interest to revenue ratio: Appendix I - </w:t>
      </w:r>
      <w:r w:rsidRPr="00F901A6">
        <w:rPr>
          <w:rFonts w:cs="Arial"/>
          <w:i/>
        </w:rPr>
        <w:t>Office for National Statistics (2022).</w:t>
      </w:r>
      <w:r w:rsidRPr="00B53F78">
        <w:rPr>
          <w:rFonts w:cs="Arial"/>
        </w:rPr>
        <w:t xml:space="preserve"> Available at: </w:t>
      </w:r>
      <w:hyperlink r:id="rId20" w:history="1">
        <w:r w:rsidRPr="009F213A">
          <w:rPr>
            <w:rStyle w:val="Hyperlink"/>
            <w:rFonts w:cs="Arial"/>
          </w:rPr>
          <w:t>https://www.ons.gov.uk/economy/governmentpublicsectorandtaxes/publicsectorfinance/datasets/publicsectordebtinteresttorevenueratioappendixi</w:t>
        </w:r>
      </w:hyperlink>
      <w:r w:rsidRPr="00B53F78">
        <w:rPr>
          <w:rFonts w:cs="Arial"/>
        </w:rPr>
        <w:t xml:space="preserve"> </w:t>
      </w:r>
      <w:r w:rsidR="00D444CB" w:rsidRPr="00B53F78">
        <w:t xml:space="preserve">Accessed: </w:t>
      </w:r>
      <w:r w:rsidR="00D444CB">
        <w:t>6</w:t>
      </w:r>
      <w:r w:rsidR="00D444CB" w:rsidRPr="00B53F78">
        <w:t xml:space="preserve"> July 2022.</w:t>
      </w:r>
    </w:p>
    <w:p w14:paraId="066DFBA4" w14:textId="119C0DC2" w:rsidR="00B53F78" w:rsidRPr="00B53F78" w:rsidRDefault="00B53F78" w:rsidP="00BC6044">
      <w:pPr>
        <w:jc w:val="left"/>
        <w:rPr>
          <w:rFonts w:cs="Arial"/>
          <w:b/>
          <w:bCs/>
        </w:rPr>
      </w:pPr>
      <w:r w:rsidRPr="00B53F78">
        <w:rPr>
          <w:rFonts w:cs="Arial"/>
        </w:rPr>
        <w:t xml:space="preserve">Statista. 2022. UK finance &amp; insurance businesses 2021, by size | </w:t>
      </w:r>
      <w:r w:rsidRPr="00F901A6">
        <w:rPr>
          <w:rFonts w:cs="Arial"/>
          <w:i/>
        </w:rPr>
        <w:t xml:space="preserve">Statista (2022). </w:t>
      </w:r>
      <w:r w:rsidRPr="00B53F78">
        <w:rPr>
          <w:rFonts w:cs="Arial"/>
        </w:rPr>
        <w:t xml:space="preserve">Available at: </w:t>
      </w:r>
      <w:hyperlink r:id="rId21" w:history="1">
        <w:r w:rsidRPr="009F213A">
          <w:rPr>
            <w:rStyle w:val="Hyperlink"/>
            <w:rFonts w:cs="Arial"/>
          </w:rPr>
          <w:t>https://www.statista.com/statistics/678392/uk-finance-and-insurance-number-of-businesses-by-number-of-employees/</w:t>
        </w:r>
      </w:hyperlink>
      <w:r w:rsidRPr="00B53F78">
        <w:rPr>
          <w:rFonts w:cs="Arial"/>
        </w:rPr>
        <w:t xml:space="preserve"> </w:t>
      </w:r>
      <w:r w:rsidR="00D444CB" w:rsidRPr="00B53F78">
        <w:t xml:space="preserve">Accessed: </w:t>
      </w:r>
      <w:r w:rsidR="008F7148">
        <w:t>8</w:t>
      </w:r>
      <w:r w:rsidR="00D444CB" w:rsidRPr="00B53F78">
        <w:t xml:space="preserve"> July 2022.</w:t>
      </w:r>
    </w:p>
    <w:p w14:paraId="445B6DA9" w14:textId="77777777" w:rsidR="00B53F78" w:rsidRPr="005E6948" w:rsidRDefault="00B53F78" w:rsidP="00BC6044">
      <w:pPr>
        <w:jc w:val="left"/>
        <w:rPr>
          <w:rFonts w:cs="Arial"/>
          <w:b/>
          <w:bCs/>
          <w:color w:val="000000"/>
        </w:rPr>
      </w:pPr>
    </w:p>
    <w:p w14:paraId="028AD73F" w14:textId="77777777" w:rsidR="00B53F78" w:rsidRPr="005E6948" w:rsidRDefault="00B53F78" w:rsidP="00BC6044">
      <w:pPr>
        <w:jc w:val="left"/>
        <w:rPr>
          <w:rFonts w:cs="Arial"/>
          <w:b/>
          <w:bCs/>
          <w:color w:val="000000"/>
        </w:rPr>
      </w:pPr>
    </w:p>
    <w:p w14:paraId="2370401D" w14:textId="77777777" w:rsidR="00B53F78" w:rsidRPr="005E6948" w:rsidRDefault="00B53F78" w:rsidP="00BC6044">
      <w:pPr>
        <w:jc w:val="left"/>
        <w:rPr>
          <w:rFonts w:cs="Arial"/>
        </w:rPr>
      </w:pPr>
    </w:p>
    <w:p w14:paraId="2458632B" w14:textId="77777777" w:rsidR="00477E87" w:rsidRDefault="00477E87" w:rsidP="00BC6044">
      <w:pPr>
        <w:jc w:val="left"/>
        <w:rPr>
          <w:rFonts w:ascii="Calibri" w:hAnsi="Calibri" w:cs="Calibri"/>
          <w:lang w:val="en"/>
        </w:rPr>
      </w:pPr>
    </w:p>
    <w:p w14:paraId="6DE12FCD" w14:textId="77777777" w:rsidR="00477E87" w:rsidRDefault="00477E87" w:rsidP="00BC6044">
      <w:pPr>
        <w:jc w:val="left"/>
      </w:pPr>
    </w:p>
    <w:p w14:paraId="72F3BABD" w14:textId="77777777" w:rsidR="00477E87" w:rsidRDefault="00477E87" w:rsidP="00477E87"/>
    <w:p w14:paraId="0B4FDAD3" w14:textId="77777777" w:rsidR="00477E87" w:rsidRDefault="00477E87" w:rsidP="00D36B79"/>
    <w:p w14:paraId="118A955D" w14:textId="77777777" w:rsidR="00875F6C" w:rsidRDefault="00875F6C" w:rsidP="0048099D"/>
    <w:p w14:paraId="0C90D9EB" w14:textId="77777777" w:rsidR="0048099D" w:rsidRDefault="0048099D" w:rsidP="0048099D"/>
    <w:p w14:paraId="2C04CAA3" w14:textId="77777777" w:rsidR="0048099D" w:rsidRDefault="0048099D" w:rsidP="0048099D"/>
    <w:p w14:paraId="4EDEA6E1" w14:textId="77777777" w:rsidR="0048099D" w:rsidRPr="009E1FA1" w:rsidRDefault="0048099D" w:rsidP="0048099D"/>
    <w:sectPr w:rsidR="0048099D" w:rsidRPr="009E1FA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25885" w14:textId="77777777" w:rsidR="00664862" w:rsidRDefault="00664862" w:rsidP="001C1BA9">
      <w:pPr>
        <w:spacing w:after="0" w:line="240" w:lineRule="auto"/>
      </w:pPr>
      <w:r>
        <w:separator/>
      </w:r>
    </w:p>
  </w:endnote>
  <w:endnote w:type="continuationSeparator" w:id="0">
    <w:p w14:paraId="5D9E372B" w14:textId="77777777" w:rsidR="00664862" w:rsidRDefault="00664862" w:rsidP="001C1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Kalinga">
    <w:altName w:val="Kalinga"/>
    <w:charset w:val="00"/>
    <w:family w:val="swiss"/>
    <w:pitch w:val="variable"/>
    <w:sig w:usb0="0008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267031"/>
      <w:docPartObj>
        <w:docPartGallery w:val="Page Numbers (Bottom of Page)"/>
        <w:docPartUnique/>
      </w:docPartObj>
    </w:sdtPr>
    <w:sdtEndPr>
      <w:rPr>
        <w:noProof/>
      </w:rPr>
    </w:sdtEndPr>
    <w:sdtContent>
      <w:p w14:paraId="230864C8" w14:textId="0D37DFCB" w:rsidR="001C1BA9" w:rsidRDefault="001C1B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029A40" w14:textId="77777777" w:rsidR="001C1BA9" w:rsidRDefault="001C1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E6178" w14:textId="77777777" w:rsidR="00664862" w:rsidRDefault="00664862" w:rsidP="001C1BA9">
      <w:pPr>
        <w:spacing w:after="0" w:line="240" w:lineRule="auto"/>
      </w:pPr>
      <w:r>
        <w:separator/>
      </w:r>
    </w:p>
  </w:footnote>
  <w:footnote w:type="continuationSeparator" w:id="0">
    <w:p w14:paraId="3A18B442" w14:textId="77777777" w:rsidR="00664862" w:rsidRDefault="00664862" w:rsidP="001C1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D15C5BEC"/>
    <w:lvl w:ilvl="0">
      <w:numFmt w:val="bullet"/>
      <w:lvlText w:val="*"/>
      <w:lvlJc w:val="left"/>
    </w:lvl>
  </w:abstractNum>
  <w:abstractNum w:abstractNumId="1" w15:restartNumberingAfterBreak="0">
    <w:nsid w:val="1EB6585F"/>
    <w:multiLevelType w:val="hybridMultilevel"/>
    <w:tmpl w:val="0D6679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6512F8B"/>
    <w:multiLevelType w:val="multilevel"/>
    <w:tmpl w:val="8E14041E"/>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28A04AC"/>
    <w:multiLevelType w:val="hybridMultilevel"/>
    <w:tmpl w:val="C4F447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99C4DC7"/>
    <w:multiLevelType w:val="hybridMultilevel"/>
    <w:tmpl w:val="FCA048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78A29C2"/>
    <w:multiLevelType w:val="hybridMultilevel"/>
    <w:tmpl w:val="8752B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95721124">
    <w:abstractNumId w:val="2"/>
  </w:num>
  <w:num w:numId="2" w16cid:durableId="1801996509">
    <w:abstractNumId w:val="1"/>
  </w:num>
  <w:num w:numId="3" w16cid:durableId="2098165296">
    <w:abstractNumId w:val="4"/>
  </w:num>
  <w:num w:numId="4" w16cid:durableId="2084057802">
    <w:abstractNumId w:val="5"/>
  </w:num>
  <w:num w:numId="5" w16cid:durableId="1725450620">
    <w:abstractNumId w:val="3"/>
  </w:num>
  <w:num w:numId="6" w16cid:durableId="2067411035">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2Nzc0NzY0NDcxMrJQ0lEKTi0uzszPAykwqgUAUEXTVywAAAA="/>
  </w:docVars>
  <w:rsids>
    <w:rsidRoot w:val="007C2047"/>
    <w:rsid w:val="00003BA8"/>
    <w:rsid w:val="00021B03"/>
    <w:rsid w:val="00024E59"/>
    <w:rsid w:val="00036250"/>
    <w:rsid w:val="00056CA5"/>
    <w:rsid w:val="00067387"/>
    <w:rsid w:val="00096916"/>
    <w:rsid w:val="000D304A"/>
    <w:rsid w:val="001165FE"/>
    <w:rsid w:val="0013613D"/>
    <w:rsid w:val="00196C12"/>
    <w:rsid w:val="001C1BA9"/>
    <w:rsid w:val="001E3A45"/>
    <w:rsid w:val="001F46AE"/>
    <w:rsid w:val="00222B62"/>
    <w:rsid w:val="00224C02"/>
    <w:rsid w:val="00256E7B"/>
    <w:rsid w:val="002E7518"/>
    <w:rsid w:val="002F7B10"/>
    <w:rsid w:val="00311976"/>
    <w:rsid w:val="00333B7C"/>
    <w:rsid w:val="00356DC6"/>
    <w:rsid w:val="00357BF2"/>
    <w:rsid w:val="003A163F"/>
    <w:rsid w:val="003A3A41"/>
    <w:rsid w:val="003A66CF"/>
    <w:rsid w:val="003A7178"/>
    <w:rsid w:val="003B65DD"/>
    <w:rsid w:val="003C7339"/>
    <w:rsid w:val="003E1575"/>
    <w:rsid w:val="003E6E8F"/>
    <w:rsid w:val="003F1A9B"/>
    <w:rsid w:val="004053E1"/>
    <w:rsid w:val="004557D7"/>
    <w:rsid w:val="00460AAB"/>
    <w:rsid w:val="00477E87"/>
    <w:rsid w:val="0048099D"/>
    <w:rsid w:val="00493183"/>
    <w:rsid w:val="00546480"/>
    <w:rsid w:val="00551D6A"/>
    <w:rsid w:val="0055285A"/>
    <w:rsid w:val="00560A14"/>
    <w:rsid w:val="00576445"/>
    <w:rsid w:val="005926F9"/>
    <w:rsid w:val="0059325A"/>
    <w:rsid w:val="005958A2"/>
    <w:rsid w:val="005C5156"/>
    <w:rsid w:val="005D3842"/>
    <w:rsid w:val="005D5866"/>
    <w:rsid w:val="005E2EA3"/>
    <w:rsid w:val="006068B9"/>
    <w:rsid w:val="00620F38"/>
    <w:rsid w:val="00631EC9"/>
    <w:rsid w:val="00664862"/>
    <w:rsid w:val="00671204"/>
    <w:rsid w:val="006736DB"/>
    <w:rsid w:val="00676469"/>
    <w:rsid w:val="00680F23"/>
    <w:rsid w:val="00683D50"/>
    <w:rsid w:val="006A34A6"/>
    <w:rsid w:val="006A61F2"/>
    <w:rsid w:val="006D01F1"/>
    <w:rsid w:val="006D43D5"/>
    <w:rsid w:val="006F57D0"/>
    <w:rsid w:val="007359AC"/>
    <w:rsid w:val="00737639"/>
    <w:rsid w:val="007724C9"/>
    <w:rsid w:val="007748E3"/>
    <w:rsid w:val="00777EBC"/>
    <w:rsid w:val="00782F74"/>
    <w:rsid w:val="00794762"/>
    <w:rsid w:val="007A094E"/>
    <w:rsid w:val="007A0AF4"/>
    <w:rsid w:val="007A7FF4"/>
    <w:rsid w:val="007C2047"/>
    <w:rsid w:val="007F53A2"/>
    <w:rsid w:val="00841A79"/>
    <w:rsid w:val="00861D9D"/>
    <w:rsid w:val="00867F8D"/>
    <w:rsid w:val="0087042E"/>
    <w:rsid w:val="00875F6C"/>
    <w:rsid w:val="008844B1"/>
    <w:rsid w:val="008F3FAE"/>
    <w:rsid w:val="008F5002"/>
    <w:rsid w:val="008F7148"/>
    <w:rsid w:val="0090069D"/>
    <w:rsid w:val="00925E3F"/>
    <w:rsid w:val="00936187"/>
    <w:rsid w:val="0093676A"/>
    <w:rsid w:val="00937305"/>
    <w:rsid w:val="00944BC5"/>
    <w:rsid w:val="0094660B"/>
    <w:rsid w:val="0096604E"/>
    <w:rsid w:val="00981783"/>
    <w:rsid w:val="00986C2A"/>
    <w:rsid w:val="00990C31"/>
    <w:rsid w:val="0099245E"/>
    <w:rsid w:val="009B5CF7"/>
    <w:rsid w:val="009E1FA1"/>
    <w:rsid w:val="009F141A"/>
    <w:rsid w:val="009F213A"/>
    <w:rsid w:val="009F3A71"/>
    <w:rsid w:val="009F7B4E"/>
    <w:rsid w:val="00A12655"/>
    <w:rsid w:val="00A147A7"/>
    <w:rsid w:val="00A234BD"/>
    <w:rsid w:val="00A34793"/>
    <w:rsid w:val="00A35A76"/>
    <w:rsid w:val="00A548FB"/>
    <w:rsid w:val="00A60856"/>
    <w:rsid w:val="00A63D7A"/>
    <w:rsid w:val="00AD5804"/>
    <w:rsid w:val="00AE3225"/>
    <w:rsid w:val="00AF0CC5"/>
    <w:rsid w:val="00B25FEB"/>
    <w:rsid w:val="00B40D49"/>
    <w:rsid w:val="00B4166B"/>
    <w:rsid w:val="00B43F95"/>
    <w:rsid w:val="00B53F78"/>
    <w:rsid w:val="00B962BF"/>
    <w:rsid w:val="00BC6044"/>
    <w:rsid w:val="00BD61E6"/>
    <w:rsid w:val="00BF2D93"/>
    <w:rsid w:val="00C84A16"/>
    <w:rsid w:val="00CB5468"/>
    <w:rsid w:val="00CC1278"/>
    <w:rsid w:val="00D21AC0"/>
    <w:rsid w:val="00D36B79"/>
    <w:rsid w:val="00D444CB"/>
    <w:rsid w:val="00D508C6"/>
    <w:rsid w:val="00D622A6"/>
    <w:rsid w:val="00D76A32"/>
    <w:rsid w:val="00D93FA6"/>
    <w:rsid w:val="00DC1254"/>
    <w:rsid w:val="00DE3122"/>
    <w:rsid w:val="00DF7546"/>
    <w:rsid w:val="00E0119A"/>
    <w:rsid w:val="00E0529B"/>
    <w:rsid w:val="00E13F9F"/>
    <w:rsid w:val="00E51566"/>
    <w:rsid w:val="00E53E15"/>
    <w:rsid w:val="00E71F41"/>
    <w:rsid w:val="00EA094A"/>
    <w:rsid w:val="00ED3821"/>
    <w:rsid w:val="00EE06D0"/>
    <w:rsid w:val="00EE5718"/>
    <w:rsid w:val="00EF70D2"/>
    <w:rsid w:val="00F00027"/>
    <w:rsid w:val="00F810AE"/>
    <w:rsid w:val="00F86D58"/>
    <w:rsid w:val="00F901A6"/>
    <w:rsid w:val="00F95108"/>
    <w:rsid w:val="00F96EEE"/>
    <w:rsid w:val="00FD3EA7"/>
    <w:rsid w:val="00FE0053"/>
    <w:rsid w:val="00FE1CBC"/>
    <w:rsid w:val="00FE437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77E80"/>
  <w15:docId w15:val="{6D6B5C6E-A707-45CE-9255-49385C50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783"/>
    <w:pPr>
      <w:spacing w:after="160" w:line="360" w:lineRule="auto"/>
      <w:jc w:val="both"/>
    </w:pPr>
    <w:rPr>
      <w:rFonts w:ascii="Arial" w:hAnsi="Arial"/>
      <w:lang w:val="en-US"/>
    </w:rPr>
  </w:style>
  <w:style w:type="paragraph" w:styleId="Heading1">
    <w:name w:val="heading 1"/>
    <w:basedOn w:val="Normal"/>
    <w:next w:val="Normal"/>
    <w:link w:val="Heading1Char"/>
    <w:uiPriority w:val="9"/>
    <w:qFormat/>
    <w:rsid w:val="00B962BF"/>
    <w:pPr>
      <w:keepNext/>
      <w:keepLines/>
      <w:spacing w:before="240"/>
      <w:jc w:val="left"/>
      <w:outlineLvl w:val="0"/>
    </w:pPr>
    <w:rPr>
      <w:rFonts w:eastAsiaTheme="majorEastAsia" w:cstheme="majorBidi"/>
      <w:b/>
      <w:sz w:val="28"/>
      <w:szCs w:val="32"/>
      <w:lang w:val="en-IN"/>
    </w:rPr>
  </w:style>
  <w:style w:type="paragraph" w:styleId="Heading2">
    <w:name w:val="heading 2"/>
    <w:basedOn w:val="Normal"/>
    <w:next w:val="Normal"/>
    <w:link w:val="Heading2Char"/>
    <w:uiPriority w:val="9"/>
    <w:unhideWhenUsed/>
    <w:qFormat/>
    <w:rsid w:val="00551D6A"/>
    <w:pPr>
      <w:keepNext/>
      <w:keepLines/>
      <w:spacing w:before="200"/>
      <w:outlineLvl w:val="1"/>
    </w:pPr>
    <w:rPr>
      <w:rFonts w:eastAsiaTheme="majorEastAsia" w:cstheme="majorBidi"/>
      <w:b/>
      <w:bCs/>
      <w:sz w:val="26"/>
      <w:szCs w:val="26"/>
    </w:rPr>
  </w:style>
  <w:style w:type="paragraph" w:styleId="Heading4">
    <w:name w:val="heading 4"/>
    <w:basedOn w:val="Normal"/>
    <w:next w:val="Normal"/>
    <w:link w:val="Heading4Char"/>
    <w:uiPriority w:val="9"/>
    <w:semiHidden/>
    <w:unhideWhenUsed/>
    <w:qFormat/>
    <w:rsid w:val="00B53F7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2B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51D6A"/>
    <w:rPr>
      <w:rFonts w:ascii="Times New Roman" w:eastAsiaTheme="majorEastAsia" w:hAnsi="Times New Roman" w:cstheme="majorBidi"/>
      <w:b/>
      <w:bCs/>
      <w:color w:val="000000" w:themeColor="text1"/>
      <w:sz w:val="26"/>
      <w:szCs w:val="26"/>
    </w:rPr>
  </w:style>
  <w:style w:type="paragraph" w:styleId="Title">
    <w:name w:val="Title"/>
    <w:basedOn w:val="Normal"/>
    <w:next w:val="Normal"/>
    <w:link w:val="TitleChar"/>
    <w:uiPriority w:val="10"/>
    <w:qFormat/>
    <w:rsid w:val="009F7B4E"/>
    <w:pPr>
      <w:pBdr>
        <w:bottom w:val="single" w:sz="8" w:space="4" w:color="4F81BD" w:themeColor="accent1"/>
      </w:pBdr>
      <w:spacing w:after="300"/>
      <w:contextualSpacing/>
      <w:jc w:val="center"/>
    </w:pPr>
    <w:rPr>
      <w:rFonts w:eastAsiaTheme="majorEastAsia"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F7B4E"/>
    <w:rPr>
      <w:rFonts w:ascii="Times New Roman" w:eastAsiaTheme="majorEastAsia" w:hAnsi="Times New Roman" w:cstheme="majorBidi"/>
      <w:color w:val="17365D" w:themeColor="text2" w:themeShade="BF"/>
      <w:spacing w:val="5"/>
      <w:kern w:val="28"/>
      <w:sz w:val="52"/>
      <w:szCs w:val="52"/>
    </w:rPr>
  </w:style>
  <w:style w:type="paragraph" w:styleId="PlainText">
    <w:name w:val="Plain Text"/>
    <w:basedOn w:val="Normal"/>
    <w:link w:val="PlainTextChar"/>
    <w:uiPriority w:val="99"/>
    <w:semiHidden/>
    <w:unhideWhenUsed/>
    <w:rsid w:val="003A163F"/>
    <w:rPr>
      <w:rFonts w:ascii="Consolas" w:hAnsi="Consolas"/>
      <w:sz w:val="21"/>
      <w:szCs w:val="21"/>
    </w:rPr>
  </w:style>
  <w:style w:type="character" w:customStyle="1" w:styleId="PlainTextChar">
    <w:name w:val="Plain Text Char"/>
    <w:basedOn w:val="DefaultParagraphFont"/>
    <w:link w:val="PlainText"/>
    <w:uiPriority w:val="99"/>
    <w:semiHidden/>
    <w:rsid w:val="003A163F"/>
    <w:rPr>
      <w:rFonts w:ascii="Consolas" w:eastAsiaTheme="minorEastAsia" w:hAnsi="Consolas"/>
      <w:sz w:val="21"/>
      <w:szCs w:val="21"/>
      <w:lang w:val="en-US" w:eastAsia="zh-CN"/>
    </w:rPr>
  </w:style>
  <w:style w:type="paragraph" w:customStyle="1" w:styleId="AABT">
    <w:name w:val="AA BT"/>
    <w:basedOn w:val="Normal"/>
    <w:link w:val="AABTChar"/>
    <w:qFormat/>
    <w:rsid w:val="006A34A6"/>
    <w:pPr>
      <w:spacing w:before="80" w:after="80" w:line="240" w:lineRule="exact"/>
    </w:pPr>
    <w:rPr>
      <w:rFonts w:cs="Kalinga"/>
      <w:szCs w:val="20"/>
      <w:lang w:val="en-AU" w:eastAsia="en-AU"/>
    </w:rPr>
  </w:style>
  <w:style w:type="character" w:customStyle="1" w:styleId="AABTChar">
    <w:name w:val="AA BT Char"/>
    <w:basedOn w:val="DefaultParagraphFont"/>
    <w:link w:val="AABT"/>
    <w:rsid w:val="006A34A6"/>
    <w:rPr>
      <w:rFonts w:ascii="Times New Roman" w:eastAsiaTheme="minorEastAsia" w:hAnsi="Times New Roman" w:cs="Kalinga"/>
      <w:sz w:val="24"/>
      <w:szCs w:val="20"/>
      <w:lang w:val="en-AU" w:eastAsia="en-AU"/>
    </w:rPr>
  </w:style>
  <w:style w:type="paragraph" w:styleId="ListParagraph">
    <w:name w:val="List Paragraph"/>
    <w:basedOn w:val="Normal"/>
    <w:uiPriority w:val="34"/>
    <w:qFormat/>
    <w:rsid w:val="003F1A9B"/>
    <w:pPr>
      <w:ind w:left="720"/>
      <w:contextualSpacing/>
    </w:pPr>
    <w:rPr>
      <w:rFonts w:eastAsiaTheme="minorEastAsia"/>
      <w:color w:val="000000" w:themeColor="text1"/>
      <w:lang w:val="en-AU" w:eastAsia="ja-JP"/>
    </w:rPr>
  </w:style>
  <w:style w:type="table" w:styleId="TableGrid">
    <w:name w:val="Table Grid"/>
    <w:basedOn w:val="TableNormal"/>
    <w:uiPriority w:val="59"/>
    <w:rsid w:val="00F95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1F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FA1"/>
    <w:rPr>
      <w:rFonts w:ascii="Tahoma" w:hAnsi="Tahoma" w:cs="Tahoma"/>
      <w:sz w:val="16"/>
      <w:szCs w:val="16"/>
      <w:lang w:val="en-US"/>
    </w:rPr>
  </w:style>
  <w:style w:type="paragraph" w:styleId="Caption">
    <w:name w:val="caption"/>
    <w:basedOn w:val="Normal"/>
    <w:next w:val="Normal"/>
    <w:uiPriority w:val="35"/>
    <w:unhideWhenUsed/>
    <w:qFormat/>
    <w:rsid w:val="009E1FA1"/>
    <w:pPr>
      <w:spacing w:after="200"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477E87"/>
    <w:pPr>
      <w:spacing w:before="480" w:after="0" w:line="276" w:lineRule="auto"/>
      <w:outlineLvl w:val="9"/>
    </w:pPr>
    <w:rPr>
      <w:rFonts w:asciiTheme="majorHAnsi" w:hAnsiTheme="majorHAnsi"/>
      <w:bCs/>
      <w:color w:val="365F91" w:themeColor="accent1" w:themeShade="BF"/>
      <w:szCs w:val="28"/>
      <w:lang w:val="en-US" w:eastAsia="ja-JP"/>
    </w:rPr>
  </w:style>
  <w:style w:type="paragraph" w:styleId="TOC1">
    <w:name w:val="toc 1"/>
    <w:basedOn w:val="Normal"/>
    <w:next w:val="Normal"/>
    <w:autoRedefine/>
    <w:uiPriority w:val="39"/>
    <w:unhideWhenUsed/>
    <w:rsid w:val="00477E87"/>
    <w:pPr>
      <w:spacing w:after="100"/>
    </w:pPr>
  </w:style>
  <w:style w:type="paragraph" w:styleId="TOC2">
    <w:name w:val="toc 2"/>
    <w:basedOn w:val="Normal"/>
    <w:next w:val="Normal"/>
    <w:autoRedefine/>
    <w:uiPriority w:val="39"/>
    <w:unhideWhenUsed/>
    <w:rsid w:val="00477E87"/>
    <w:pPr>
      <w:spacing w:after="100"/>
      <w:ind w:left="220"/>
    </w:pPr>
  </w:style>
  <w:style w:type="character" w:styleId="Hyperlink">
    <w:name w:val="Hyperlink"/>
    <w:basedOn w:val="DefaultParagraphFont"/>
    <w:uiPriority w:val="99"/>
    <w:unhideWhenUsed/>
    <w:rsid w:val="00477E87"/>
    <w:rPr>
      <w:color w:val="0000FF" w:themeColor="hyperlink"/>
      <w:u w:val="single"/>
    </w:rPr>
  </w:style>
  <w:style w:type="character" w:customStyle="1" w:styleId="Heading4Char">
    <w:name w:val="Heading 4 Char"/>
    <w:basedOn w:val="DefaultParagraphFont"/>
    <w:link w:val="Heading4"/>
    <w:uiPriority w:val="9"/>
    <w:semiHidden/>
    <w:rsid w:val="00B53F78"/>
    <w:rPr>
      <w:rFonts w:asciiTheme="majorHAnsi" w:eastAsiaTheme="majorEastAsia" w:hAnsiTheme="majorHAnsi" w:cstheme="majorBidi"/>
      <w:b/>
      <w:bCs/>
      <w:i/>
      <w:iCs/>
      <w:color w:val="4F81BD" w:themeColor="accent1"/>
      <w:lang w:val="en-US"/>
    </w:rPr>
  </w:style>
  <w:style w:type="paragraph" w:styleId="Header">
    <w:name w:val="header"/>
    <w:basedOn w:val="Normal"/>
    <w:link w:val="HeaderChar"/>
    <w:uiPriority w:val="99"/>
    <w:unhideWhenUsed/>
    <w:rsid w:val="001C1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BA9"/>
    <w:rPr>
      <w:rFonts w:ascii="Arial" w:hAnsi="Arial"/>
      <w:lang w:val="en-US"/>
    </w:rPr>
  </w:style>
  <w:style w:type="paragraph" w:styleId="Footer">
    <w:name w:val="footer"/>
    <w:basedOn w:val="Normal"/>
    <w:link w:val="FooterChar"/>
    <w:uiPriority w:val="99"/>
    <w:unhideWhenUsed/>
    <w:rsid w:val="001C1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BA9"/>
    <w:rPr>
      <w:rFonts w:ascii="Arial" w:hAnsi="Arial"/>
      <w:lang w:val="en-US"/>
    </w:rPr>
  </w:style>
  <w:style w:type="character" w:styleId="UnresolvedMention">
    <w:name w:val="Unresolved Mention"/>
    <w:basedOn w:val="DefaultParagraphFont"/>
    <w:uiPriority w:val="99"/>
    <w:semiHidden/>
    <w:unhideWhenUsed/>
    <w:rsid w:val="00BC60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997811">
      <w:bodyDiv w:val="1"/>
      <w:marLeft w:val="0"/>
      <w:marRight w:val="0"/>
      <w:marTop w:val="0"/>
      <w:marBottom w:val="0"/>
      <w:divBdr>
        <w:top w:val="none" w:sz="0" w:space="0" w:color="auto"/>
        <w:left w:val="none" w:sz="0" w:space="0" w:color="auto"/>
        <w:bottom w:val="none" w:sz="0" w:space="0" w:color="auto"/>
        <w:right w:val="none" w:sz="0" w:space="0" w:color="auto"/>
      </w:divBdr>
    </w:div>
    <w:div w:id="1835950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ons.gov.uk/economy/governmentpublicsectorandtaxes/publicsectorfinance/timeseries/il64/pusf" TargetMode="External"/><Relationship Id="rId3" Type="http://schemas.openxmlformats.org/officeDocument/2006/relationships/customXml" Target="../customXml/item3.xml"/><Relationship Id="rId21" Type="http://schemas.openxmlformats.org/officeDocument/2006/relationships/hyperlink" Target="https://www.statista.com/statistics/678392/uk-finance-and-insurance-number-of-businesses-by-number-of-employee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ibisworld.com/united-kingdom/market-size/financial-management/" TargetMode="External"/><Relationship Id="rId2" Type="http://schemas.openxmlformats.org/officeDocument/2006/relationships/customXml" Target="../customXml/item2.xml"/><Relationship Id="rId16" Type="http://schemas.openxmlformats.org/officeDocument/2006/relationships/hyperlink" Target="https://www.hsbc.com/" TargetMode="External"/><Relationship Id="rId20" Type="http://schemas.openxmlformats.org/officeDocument/2006/relationships/hyperlink" Target="https://www.ons.gov.uk/economy/governmentpublicsectorandtaxes/publicsectorfinance/datasets/publicsectordebtinteresttorevenueratioappendix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sbc.com/investors/results-and-announcements/annual-repor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ns.gov.uk/economy/governmentpublicsectorandtaxes/publicsectorfinance/timeseries/il65/pus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inancierworldwide.com/the-future-of-fintech"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8CFC67-570F-43FC-9C48-A3A8880A6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2732C-8668-42FC-866B-013896FF9570}">
  <ds:schemaRefs>
    <ds:schemaRef ds:uri="http://schemas.openxmlformats.org/officeDocument/2006/bibliography"/>
  </ds:schemaRefs>
</ds:datastoreItem>
</file>

<file path=customXml/itemProps3.xml><?xml version="1.0" encoding="utf-8"?>
<ds:datastoreItem xmlns:ds="http://schemas.openxmlformats.org/officeDocument/2006/customXml" ds:itemID="{4081748A-5E1B-4679-AED2-F13F56B1A2C3}">
  <ds:schemaRefs>
    <ds:schemaRef ds:uri="be49ff73-cec0-4379-9da8-63ff3cc411bb"/>
    <ds:schemaRef ds:uri="http://purl.org/dc/terms/"/>
    <ds:schemaRef ds:uri="http://purl.org/dc/elements/1.1/"/>
    <ds:schemaRef ds:uri="http://www.w3.org/XML/1998/namespace"/>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90b58af8-24e5-4252-ab67-b2f2985aee88"/>
    <ds:schemaRef ds:uri="http://schemas.microsoft.com/office/2006/metadata/properties"/>
  </ds:schemaRefs>
</ds:datastoreItem>
</file>

<file path=customXml/itemProps4.xml><?xml version="1.0" encoding="utf-8"?>
<ds:datastoreItem xmlns:ds="http://schemas.openxmlformats.org/officeDocument/2006/customXml" ds:itemID="{CC164613-7EF3-4A64-B4C5-1EBEA26E3D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2385</Words>
  <Characters>13597</Characters>
  <Application>Microsoft Office Word</Application>
  <DocSecurity>0</DocSecurity>
  <Lines>113</Lines>
  <Paragraphs>31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Introduction</vt:lpstr>
      <vt:lpstr>    Overview of HSBC</vt:lpstr>
      <vt:lpstr>Business environment</vt:lpstr>
      <vt:lpstr>PESTEL </vt:lpstr>
      <vt:lpstr>    Economic</vt:lpstr>
      <vt:lpstr>    Technological</vt:lpstr>
      <vt:lpstr>Porter 5 forces</vt:lpstr>
      <vt:lpstr>    Power of buyer</vt:lpstr>
      <vt:lpstr>    The threat of new entrant</vt:lpstr>
      <vt:lpstr>Conclusion</vt:lpstr>
      <vt:lpstr>References</vt:lpstr>
    </vt:vector>
  </TitlesOfParts>
  <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Ionela Dobrin (2111156)</cp:lastModifiedBy>
  <cp:revision>61</cp:revision>
  <dcterms:created xsi:type="dcterms:W3CDTF">2022-07-15T16:47:00Z</dcterms:created>
  <dcterms:modified xsi:type="dcterms:W3CDTF">2022-07-16T09:04:00Z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