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282A0" w14:textId="77777777" w:rsidR="00E13EBB" w:rsidRDefault="00E13EBB" w:rsidP="00E13EBB">
      <w:pPr>
        <w:rPr>
          <w:lang w:val="en-GB"/>
        </w:rPr>
      </w:pPr>
    </w:p>
    <w:p w14:paraId="4E01F2EE" w14:textId="77777777" w:rsidR="00E13EBB" w:rsidRDefault="00E13EBB" w:rsidP="00E13EBB">
      <w:pPr>
        <w:rPr>
          <w:lang w:val="en-GB"/>
        </w:rPr>
      </w:pPr>
    </w:p>
    <w:p w14:paraId="6B0E8253" w14:textId="77777777" w:rsidR="00E13EBB" w:rsidRDefault="00E13EBB" w:rsidP="00E13EBB">
      <w:pPr>
        <w:rPr>
          <w:lang w:val="en-GB"/>
        </w:rPr>
      </w:pPr>
    </w:p>
    <w:p w14:paraId="7B7320F2" w14:textId="77777777" w:rsidR="00E13EBB" w:rsidRDefault="00E13EBB" w:rsidP="00E13EBB">
      <w:pPr>
        <w:rPr>
          <w:lang w:val="en-GB"/>
        </w:rPr>
      </w:pPr>
    </w:p>
    <w:p w14:paraId="150DE783" w14:textId="77777777" w:rsidR="00E13EBB" w:rsidRDefault="00E13EBB" w:rsidP="00E13EBB">
      <w:pPr>
        <w:rPr>
          <w:lang w:val="en-GB"/>
        </w:rPr>
      </w:pPr>
    </w:p>
    <w:p w14:paraId="684EAD6C" w14:textId="77777777" w:rsidR="00E13EBB" w:rsidRDefault="00E13EBB" w:rsidP="00346557">
      <w:pPr>
        <w:jc w:val="center"/>
        <w:rPr>
          <w:lang w:val="en-GB"/>
        </w:rPr>
      </w:pPr>
    </w:p>
    <w:p w14:paraId="546D8DAF" w14:textId="77777777" w:rsidR="00E13EBB" w:rsidRPr="00E774B8" w:rsidRDefault="00E13EBB" w:rsidP="00346557">
      <w:pPr>
        <w:jc w:val="center"/>
        <w:rPr>
          <w:b/>
          <w:lang w:val="en-GB"/>
        </w:rPr>
      </w:pPr>
    </w:p>
    <w:p w14:paraId="770127F7" w14:textId="6B3556FD" w:rsidR="00E13EBB" w:rsidRPr="00E774B8" w:rsidRDefault="00E13EBB" w:rsidP="00346557">
      <w:pPr>
        <w:jc w:val="center"/>
        <w:rPr>
          <w:b/>
          <w:lang w:val="en-GB"/>
        </w:rPr>
      </w:pPr>
      <w:r w:rsidRPr="00E774B8">
        <w:rPr>
          <w:b/>
          <w:lang w:val="en-GB"/>
        </w:rPr>
        <w:t>Student name:</w:t>
      </w:r>
      <w:r w:rsidR="001B175A">
        <w:rPr>
          <w:b/>
          <w:lang w:val="en-GB"/>
        </w:rPr>
        <w:t xml:space="preserve">Liviu Zaharia </w:t>
      </w:r>
    </w:p>
    <w:p w14:paraId="02672BDD" w14:textId="46B8B1CD" w:rsidR="00E13EBB" w:rsidRPr="00E774B8" w:rsidRDefault="00E13EBB" w:rsidP="00346557">
      <w:pPr>
        <w:jc w:val="center"/>
        <w:rPr>
          <w:b/>
          <w:lang w:val="en-GB"/>
        </w:rPr>
      </w:pPr>
      <w:r w:rsidRPr="00E774B8">
        <w:rPr>
          <w:b/>
          <w:lang w:val="en-GB"/>
        </w:rPr>
        <w:t>Student ID number:</w:t>
      </w:r>
      <w:r w:rsidR="001B175A">
        <w:rPr>
          <w:b/>
          <w:lang w:val="en-GB"/>
        </w:rPr>
        <w:t>2122</w:t>
      </w:r>
      <w:r w:rsidR="005A4DAE">
        <w:rPr>
          <w:b/>
          <w:lang w:val="en-GB"/>
        </w:rPr>
        <w:t>725</w:t>
      </w:r>
    </w:p>
    <w:p w14:paraId="4B0A7DF3" w14:textId="77777777" w:rsidR="00E13EBB" w:rsidRPr="00E774B8" w:rsidRDefault="00E13EBB" w:rsidP="00346557">
      <w:pPr>
        <w:jc w:val="center"/>
        <w:rPr>
          <w:b/>
          <w:lang w:val="en-GB"/>
        </w:rPr>
      </w:pPr>
      <w:r w:rsidRPr="00E774B8">
        <w:rPr>
          <w:b/>
          <w:lang w:val="en-GB"/>
        </w:rPr>
        <w:t>Programme: International Hotel Management (BA)</w:t>
      </w:r>
    </w:p>
    <w:p w14:paraId="6C8EA3C0" w14:textId="77777777" w:rsidR="00E13EBB" w:rsidRPr="00E774B8" w:rsidRDefault="00E13EBB" w:rsidP="00346557">
      <w:pPr>
        <w:jc w:val="center"/>
        <w:rPr>
          <w:b/>
          <w:lang w:val="en-GB"/>
        </w:rPr>
      </w:pPr>
      <w:r w:rsidRPr="00E774B8">
        <w:rPr>
          <w:b/>
          <w:lang w:val="en-GB"/>
        </w:rPr>
        <w:t>Module: International Meetings Management for the Hotel Industry</w:t>
      </w:r>
    </w:p>
    <w:p w14:paraId="372CF0BD" w14:textId="77777777" w:rsidR="00E13EBB" w:rsidRPr="00E774B8" w:rsidRDefault="00E13EBB" w:rsidP="00346557">
      <w:pPr>
        <w:jc w:val="center"/>
        <w:rPr>
          <w:b/>
          <w:lang w:val="en-GB"/>
        </w:rPr>
      </w:pPr>
      <w:r w:rsidRPr="00E774B8">
        <w:rPr>
          <w:b/>
          <w:lang w:val="en-GB"/>
        </w:rPr>
        <w:t>Module code: BMIH6007</w:t>
      </w:r>
    </w:p>
    <w:p w14:paraId="521C6364" w14:textId="68A66D85" w:rsidR="00E13EBB" w:rsidRDefault="00E13EBB" w:rsidP="00346557">
      <w:pPr>
        <w:jc w:val="center"/>
        <w:rPr>
          <w:b/>
          <w:lang w:val="en-GB"/>
        </w:rPr>
      </w:pPr>
      <w:r w:rsidRPr="00E774B8">
        <w:rPr>
          <w:b/>
          <w:lang w:val="en-GB"/>
        </w:rPr>
        <w:t>Assignment 1: Feasibility Plan for an International Meeting.</w:t>
      </w:r>
    </w:p>
    <w:p w14:paraId="0C29660B" w14:textId="2F051ED4" w:rsidR="00E774B8" w:rsidRPr="00E774B8" w:rsidRDefault="00E774B8" w:rsidP="00346557">
      <w:pPr>
        <w:jc w:val="center"/>
        <w:rPr>
          <w:b/>
          <w:lang w:val="en-GB"/>
        </w:rPr>
      </w:pPr>
      <w:r>
        <w:rPr>
          <w:b/>
          <w:lang w:val="en-GB"/>
        </w:rPr>
        <w:t>Slides Notes</w:t>
      </w:r>
    </w:p>
    <w:p w14:paraId="53C47709" w14:textId="77777777" w:rsidR="00E13EBB" w:rsidRDefault="00E13EBB" w:rsidP="00E13EBB">
      <w:pPr>
        <w:rPr>
          <w:lang w:val="en-GB"/>
        </w:rPr>
      </w:pPr>
      <w:r>
        <w:rPr>
          <w:lang w:val="en-GB"/>
        </w:rPr>
        <w:br w:type="page"/>
      </w:r>
    </w:p>
    <w:p w14:paraId="6A30BE1B" w14:textId="109F8DE9" w:rsidR="00E13EBB" w:rsidRDefault="00E13EBB" w:rsidP="00E774B8">
      <w:pPr>
        <w:pStyle w:val="Titlu1"/>
      </w:pPr>
      <w:bookmarkStart w:id="0" w:name="_Toc165912769"/>
      <w:r w:rsidRPr="00E13EBB">
        <w:t>Introduction</w:t>
      </w:r>
      <w:bookmarkEnd w:id="0"/>
    </w:p>
    <w:p w14:paraId="4DC05296" w14:textId="7BA22B96" w:rsidR="00E13EBB" w:rsidRDefault="00E13EBB" w:rsidP="00E13EBB">
      <w:pPr>
        <w:rPr>
          <w:lang w:val="en-GB"/>
        </w:rPr>
      </w:pPr>
      <w:r w:rsidRPr="00E13EBB">
        <w:rPr>
          <w:lang w:val="en-GB"/>
        </w:rPr>
        <w:t>This presentation provides a thorough evaluation and a solid program of the upcoming event, namely ExCeL London on the 15th and 16th of October in 2024. The Hospitality Tech Expo is an event venues to show the latest technology introducing preferable transformation in hospitality sector during business meetings, exchange of knowledge and networking between the companies that correspond with this industry. The exhibition authorities have committed to rigorous work and collaborations in order to surge the industrial growth, kindle innovation, and revamp the consumer experience. The following presentation serves to examine the feasibility and strategic planning as well as the core important items for Hospitality Tech Expo UK 2024 execution.</w:t>
      </w:r>
    </w:p>
    <w:p w14:paraId="00B7FFBD" w14:textId="63F5219C" w:rsidR="00E13EBB" w:rsidRDefault="00E13EBB" w:rsidP="00E13EBB">
      <w:pPr>
        <w:pStyle w:val="Titlu1"/>
      </w:pPr>
      <w:bookmarkStart w:id="1" w:name="_Toc165912770"/>
      <w:r w:rsidRPr="00E13EBB">
        <w:t>Overview of the event</w:t>
      </w:r>
      <w:bookmarkEnd w:id="1"/>
    </w:p>
    <w:p w14:paraId="4A72E668" w14:textId="34836654" w:rsidR="00E13EBB" w:rsidRPr="00E13EBB" w:rsidRDefault="00E13EBB" w:rsidP="00E13EBB">
      <w:pPr>
        <w:rPr>
          <w:lang w:val="en-GB"/>
        </w:rPr>
      </w:pPr>
      <w:r w:rsidRPr="00E13EBB">
        <w:rPr>
          <w:lang w:val="en-GB"/>
        </w:rPr>
        <w:t>The UK hospitality industry is among the dinosaurs about to become extinct due to rapidly progressing technologies, and the Hospitality Expo 2024 will be the center of this change. The two-day event, on October 15th and 16th, at ExCeL London will be a hub where the industry experts, technology innovators, and hospitality professionals will meet to identify ways on the best practices in guest experience creation and influence the future of guest experience.</w:t>
      </w:r>
      <w:r w:rsidR="009A7E42">
        <w:rPr>
          <w:lang w:val="en-GB"/>
        </w:rPr>
        <w:t xml:space="preserve"> </w:t>
      </w:r>
      <w:r w:rsidRPr="00E13EBB">
        <w:rPr>
          <w:lang w:val="en-GB"/>
        </w:rPr>
        <w:t>Participants will be introduced to the most avant guard systems that were made to respond to the most advanced issues and opportunities the modern-day hospitality industry is facing (Buhalis and Moldavska, 2021). Among others, covering intelligent automation of business processes and back-office functions, developing guest-oriented tech innovations and championing sustainability, the Expo will give the all-round picture.</w:t>
      </w:r>
      <w:r w:rsidR="009A7E42">
        <w:rPr>
          <w:lang w:val="en-GB"/>
        </w:rPr>
        <w:t xml:space="preserve"> </w:t>
      </w:r>
      <w:r w:rsidRPr="00E13EBB">
        <w:rPr>
          <w:lang w:val="en-GB"/>
        </w:rPr>
        <w:t>The Expo will not only foster a platform for technology exhibits but also offer seminars and striking keynote addresses by major industry players. These sessions are designed to give you a clear understanding of the technology trends that are happening now and how it is affecting the overall picture of the hotel landscape.</w:t>
      </w:r>
    </w:p>
    <w:p w14:paraId="16E70DC9" w14:textId="35771231" w:rsidR="00AE6AC6" w:rsidRDefault="00E13EBB" w:rsidP="00E13EBB">
      <w:pPr>
        <w:pStyle w:val="Titlu1"/>
      </w:pPr>
      <w:bookmarkStart w:id="2" w:name="_Toc165912771"/>
      <w:r w:rsidRPr="00E13EBB">
        <w:t>Market Factors</w:t>
      </w:r>
      <w:bookmarkEnd w:id="2"/>
    </w:p>
    <w:tbl>
      <w:tblPr>
        <w:tblStyle w:val="Tabelprimar2"/>
        <w:tblW w:w="0" w:type="auto"/>
        <w:tblLook w:val="04A0" w:firstRow="1" w:lastRow="0" w:firstColumn="1" w:lastColumn="0" w:noHBand="0" w:noVBand="1"/>
      </w:tblPr>
      <w:tblGrid>
        <w:gridCol w:w="1796"/>
        <w:gridCol w:w="1656"/>
        <w:gridCol w:w="5908"/>
      </w:tblGrid>
      <w:tr w:rsidR="00F03687" w14:paraId="47573605" w14:textId="77777777" w:rsidTr="00F036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2236AD7A" w14:textId="4D09D396" w:rsidR="00F03687" w:rsidRDefault="00F03687" w:rsidP="00F03687">
            <w:r w:rsidRPr="00DA2D3F">
              <w:t>Segmentation Criteria</w:t>
            </w:r>
          </w:p>
        </w:tc>
        <w:tc>
          <w:tcPr>
            <w:tcW w:w="1134" w:type="dxa"/>
          </w:tcPr>
          <w:p w14:paraId="26A9E1D6" w14:textId="0D06ED77" w:rsidR="00F03687" w:rsidRDefault="00F03687" w:rsidP="00F03687">
            <w:pPr>
              <w:cnfStyle w:val="100000000000" w:firstRow="1" w:lastRow="0" w:firstColumn="0" w:lastColumn="0" w:oddVBand="0" w:evenVBand="0" w:oddHBand="0" w:evenHBand="0" w:firstRowFirstColumn="0" w:firstRowLastColumn="0" w:lastRowFirstColumn="0" w:lastRowLastColumn="0"/>
            </w:pPr>
            <w:r w:rsidRPr="00DA2D3F">
              <w:t>Target Market Segment</w:t>
            </w:r>
          </w:p>
        </w:tc>
        <w:tc>
          <w:tcPr>
            <w:tcW w:w="6633" w:type="dxa"/>
          </w:tcPr>
          <w:p w14:paraId="5E499147" w14:textId="5DD09976" w:rsidR="00F03687" w:rsidRDefault="00F03687" w:rsidP="00F03687">
            <w:pPr>
              <w:cnfStyle w:val="100000000000" w:firstRow="1" w:lastRow="0" w:firstColumn="0" w:lastColumn="0" w:oddVBand="0" w:evenVBand="0" w:oddHBand="0" w:evenHBand="0" w:firstRowFirstColumn="0" w:firstRowLastColumn="0" w:lastRowFirstColumn="0" w:lastRowLastColumn="0"/>
            </w:pPr>
            <w:r w:rsidRPr="00DA2D3F">
              <w:t>Description</w:t>
            </w:r>
          </w:p>
        </w:tc>
      </w:tr>
      <w:tr w:rsidR="00F03687" w14:paraId="35680AEA" w14:textId="77777777" w:rsidTr="00F036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77C046DD" w14:textId="269C3CA7" w:rsidR="00F03687" w:rsidRDefault="00F03687" w:rsidP="00F03687">
            <w:r w:rsidRPr="00DA2D3F">
              <w:t>Demographic</w:t>
            </w:r>
          </w:p>
        </w:tc>
        <w:tc>
          <w:tcPr>
            <w:tcW w:w="1134" w:type="dxa"/>
          </w:tcPr>
          <w:p w14:paraId="266B7F74" w14:textId="52CFA503"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DA2D3F">
              <w:t>Hospitality Professionals</w:t>
            </w:r>
          </w:p>
        </w:tc>
        <w:tc>
          <w:tcPr>
            <w:tcW w:w="6633" w:type="dxa"/>
          </w:tcPr>
          <w:p w14:paraId="05053FAA" w14:textId="7CD83A72" w:rsidR="00F03687" w:rsidRDefault="000E7914" w:rsidP="00F03687">
            <w:pPr>
              <w:cnfStyle w:val="000000100000" w:firstRow="0" w:lastRow="0" w:firstColumn="0" w:lastColumn="0" w:oddVBand="0" w:evenVBand="0" w:oddHBand="1" w:evenHBand="0" w:firstRowFirstColumn="0" w:firstRowLastColumn="0" w:lastRowFirstColumn="0" w:lastRowLastColumn="0"/>
            </w:pPr>
            <w:r w:rsidRPr="000E7914">
              <w:t>This group is comprised of hotel owners, restaurant proprietors, organizers of events, and individuals functioning in the industry, in different roles, as well.</w:t>
            </w:r>
          </w:p>
        </w:tc>
      </w:tr>
      <w:tr w:rsidR="00F03687" w14:paraId="07BBB83B" w14:textId="77777777" w:rsidTr="00F03687">
        <w:tc>
          <w:tcPr>
            <w:cnfStyle w:val="001000000000" w:firstRow="0" w:lastRow="0" w:firstColumn="1" w:lastColumn="0" w:oddVBand="0" w:evenVBand="0" w:oddHBand="0" w:evenHBand="0" w:firstRowFirstColumn="0" w:firstRowLastColumn="0" w:lastRowFirstColumn="0" w:lastRowLastColumn="0"/>
            <w:tcW w:w="1809" w:type="dxa"/>
          </w:tcPr>
          <w:p w14:paraId="737788A6" w14:textId="77777777" w:rsidR="00F03687" w:rsidRDefault="00F03687" w:rsidP="00F03687"/>
        </w:tc>
        <w:tc>
          <w:tcPr>
            <w:tcW w:w="1134" w:type="dxa"/>
          </w:tcPr>
          <w:p w14:paraId="4BC239BF" w14:textId="58BB9BE0"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DA2D3F">
              <w:t>Technology Providers</w:t>
            </w:r>
          </w:p>
        </w:tc>
        <w:tc>
          <w:tcPr>
            <w:tcW w:w="6633" w:type="dxa"/>
          </w:tcPr>
          <w:p w14:paraId="752E2E86" w14:textId="24C98B4E" w:rsidR="00F03687" w:rsidRDefault="000E7914" w:rsidP="00F03687">
            <w:pPr>
              <w:cnfStyle w:val="000000000000" w:firstRow="0" w:lastRow="0" w:firstColumn="0" w:lastColumn="0" w:oddVBand="0" w:evenVBand="0" w:oddHBand="0" w:evenHBand="0" w:firstRowFirstColumn="0" w:firstRowLastColumn="0" w:lastRowFirstColumn="0" w:lastRowLastColumn="0"/>
            </w:pPr>
            <w:r w:rsidRPr="000E7914">
              <w:t>This is the part of the group that deals with the numerous companies that offer technology-related solutions and services to the tourism industry including the developers of software operators machinery and information technology service providers.</w:t>
            </w:r>
          </w:p>
        </w:tc>
      </w:tr>
      <w:tr w:rsidR="00F03687" w14:paraId="10AD04BC" w14:textId="77777777" w:rsidTr="00F036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47975220" w14:textId="34B468EF" w:rsidR="00F03687" w:rsidRDefault="00F03687" w:rsidP="00F03687">
            <w:r w:rsidRPr="00DA2D3F">
              <w:t>Psychographic</w:t>
            </w:r>
          </w:p>
        </w:tc>
        <w:tc>
          <w:tcPr>
            <w:tcW w:w="1134" w:type="dxa"/>
          </w:tcPr>
          <w:p w14:paraId="1336734A" w14:textId="082A7703"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DA2D3F">
              <w:t>Innovators and Early Adopters</w:t>
            </w:r>
          </w:p>
        </w:tc>
        <w:tc>
          <w:tcPr>
            <w:tcW w:w="6633" w:type="dxa"/>
          </w:tcPr>
          <w:p w14:paraId="2AF1934F" w14:textId="0D60ACA5" w:rsidR="00F03687" w:rsidRDefault="000E7914" w:rsidP="000E7914">
            <w:pPr>
              <w:jc w:val="left"/>
              <w:cnfStyle w:val="000000100000" w:firstRow="0" w:lastRow="0" w:firstColumn="0" w:lastColumn="0" w:oddVBand="0" w:evenVBand="0" w:oddHBand="1" w:evenHBand="0" w:firstRowFirstColumn="0" w:firstRowLastColumn="0" w:lastRowFirstColumn="0" w:lastRowLastColumn="0"/>
            </w:pPr>
            <w:r w:rsidRPr="000E7914">
              <w:t>Nevertheless, these are highly enthusiastic personalities and companies who are up-to-date with the latest innovations in technology that greatly influence their decision to stay on top in the hospitality industry. As innovation professionals, they are willing to try out new solutions and expand the boundaries of the industry. They are the main driving force behind the trends present in the field.</w:t>
            </w:r>
          </w:p>
        </w:tc>
      </w:tr>
      <w:tr w:rsidR="00F03687" w14:paraId="08A9E2BF" w14:textId="77777777" w:rsidTr="00F03687">
        <w:tc>
          <w:tcPr>
            <w:cnfStyle w:val="001000000000" w:firstRow="0" w:lastRow="0" w:firstColumn="1" w:lastColumn="0" w:oddVBand="0" w:evenVBand="0" w:oddHBand="0" w:evenHBand="0" w:firstRowFirstColumn="0" w:firstRowLastColumn="0" w:lastRowFirstColumn="0" w:lastRowLastColumn="0"/>
            <w:tcW w:w="1809" w:type="dxa"/>
          </w:tcPr>
          <w:p w14:paraId="589B5B44" w14:textId="77777777" w:rsidR="00F03687" w:rsidRDefault="00F03687" w:rsidP="00F03687"/>
        </w:tc>
        <w:tc>
          <w:tcPr>
            <w:tcW w:w="1134" w:type="dxa"/>
          </w:tcPr>
          <w:p w14:paraId="5B0917AB" w14:textId="709A1402"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DA2D3F">
              <w:t>Sustainability Advocates</w:t>
            </w:r>
          </w:p>
        </w:tc>
        <w:tc>
          <w:tcPr>
            <w:tcW w:w="6633" w:type="dxa"/>
          </w:tcPr>
          <w:p w14:paraId="06DDDE68" w14:textId="140E8974" w:rsidR="00F03687" w:rsidRDefault="000E7914" w:rsidP="000E7914">
            <w:pPr>
              <w:jc w:val="left"/>
              <w:cnfStyle w:val="000000000000" w:firstRow="0" w:lastRow="0" w:firstColumn="0" w:lastColumn="0" w:oddVBand="0" w:evenVBand="0" w:oddHBand="0" w:evenHBand="0" w:firstRowFirstColumn="0" w:firstRowLastColumn="0" w:lastRowFirstColumn="0" w:lastRowLastColumn="0"/>
            </w:pPr>
            <w:r w:rsidRPr="000E7914">
              <w:t>This group of stakeholders highly prefer environmentally efficient practices and take technologies aid into consideration which fosters the implementation of energy efficiency, waste reduction, and eco-friendliness into the operations of the hospitality industry.</w:t>
            </w:r>
          </w:p>
        </w:tc>
      </w:tr>
      <w:tr w:rsidR="00F03687" w14:paraId="78AD72C6" w14:textId="77777777" w:rsidTr="00F036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786C7E3E" w14:textId="79CF1D09" w:rsidR="00F03687" w:rsidRDefault="00F03687" w:rsidP="00F03687">
            <w:r w:rsidRPr="00DA2D3F">
              <w:t>Behavioral</w:t>
            </w:r>
          </w:p>
        </w:tc>
        <w:tc>
          <w:tcPr>
            <w:tcW w:w="1134" w:type="dxa"/>
          </w:tcPr>
          <w:p w14:paraId="75340DF3" w14:textId="1999DCB4"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DA2D3F">
              <w:t>Attendee Preferences</w:t>
            </w:r>
          </w:p>
        </w:tc>
        <w:tc>
          <w:tcPr>
            <w:tcW w:w="6633" w:type="dxa"/>
          </w:tcPr>
          <w:p w14:paraId="6908262D" w14:textId="6A3AB08D" w:rsidR="00F03687" w:rsidRDefault="000E7914" w:rsidP="00F03687">
            <w:pPr>
              <w:cnfStyle w:val="000000100000" w:firstRow="0" w:lastRow="0" w:firstColumn="0" w:lastColumn="0" w:oddVBand="0" w:evenVBand="0" w:oddHBand="1" w:evenHBand="0" w:firstRowFirstColumn="0" w:firstRowLastColumn="0" w:lastRowFirstColumn="0" w:lastRowLastColumn="0"/>
            </w:pPr>
            <w:r>
              <w:t>The</w:t>
            </w:r>
            <w:r w:rsidRPr="000E7914">
              <w:t xml:space="preserve"> group of attendees who are always on look-out for opportunities to attend educational events, networking, judging and exploring new products at hospitality technology expo and thus stay ahead of the latest trends.</w:t>
            </w:r>
          </w:p>
        </w:tc>
      </w:tr>
      <w:tr w:rsidR="00F03687" w14:paraId="7E1C35A8" w14:textId="77777777" w:rsidTr="00F03687">
        <w:tc>
          <w:tcPr>
            <w:cnfStyle w:val="001000000000" w:firstRow="0" w:lastRow="0" w:firstColumn="1" w:lastColumn="0" w:oddVBand="0" w:evenVBand="0" w:oddHBand="0" w:evenHBand="0" w:firstRowFirstColumn="0" w:firstRowLastColumn="0" w:lastRowFirstColumn="0" w:lastRowLastColumn="0"/>
            <w:tcW w:w="1809" w:type="dxa"/>
          </w:tcPr>
          <w:p w14:paraId="3118FB62" w14:textId="77777777" w:rsidR="00F03687" w:rsidRDefault="00F03687" w:rsidP="00F03687"/>
        </w:tc>
        <w:tc>
          <w:tcPr>
            <w:tcW w:w="1134" w:type="dxa"/>
          </w:tcPr>
          <w:p w14:paraId="2670B658" w14:textId="35F9990A"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DA2D3F">
              <w:t>Budget Considerations</w:t>
            </w:r>
          </w:p>
        </w:tc>
        <w:tc>
          <w:tcPr>
            <w:tcW w:w="6633" w:type="dxa"/>
          </w:tcPr>
          <w:p w14:paraId="4D101C58" w14:textId="672FAD26" w:rsidR="00F03687" w:rsidRDefault="000E7914" w:rsidP="00F03687">
            <w:pPr>
              <w:cnfStyle w:val="000000000000" w:firstRow="0" w:lastRow="0" w:firstColumn="0" w:lastColumn="0" w:oddVBand="0" w:evenVBand="0" w:oddHBand="0" w:evenHBand="0" w:firstRowFirstColumn="0" w:firstRowLastColumn="0" w:lastRowFirstColumn="0" w:lastRowLastColumn="0"/>
            </w:pPr>
            <w:r w:rsidRPr="000E7914">
              <w:t>This segment comprises conference participants who are bargain-hunters and nearly on the lookout for events that have been priced within the pocket and of high value in terms of opportunity knowledge, network, and technological solutions that can be incorporated into their business.</w:t>
            </w:r>
          </w:p>
        </w:tc>
      </w:tr>
    </w:tbl>
    <w:p w14:paraId="5C88E242" w14:textId="77777777" w:rsidR="00E13EBB" w:rsidRDefault="00E13EBB" w:rsidP="00E13EBB"/>
    <w:p w14:paraId="4D0AAAAD" w14:textId="673F6919" w:rsidR="00E13EBB" w:rsidRDefault="00E13EBB" w:rsidP="00E13EBB">
      <w:pPr>
        <w:pStyle w:val="Titlu1"/>
      </w:pPr>
      <w:bookmarkStart w:id="3" w:name="_Toc165912772"/>
      <w:r w:rsidRPr="00E13EBB">
        <w:t>Positioning</w:t>
      </w:r>
      <w:bookmarkEnd w:id="3"/>
    </w:p>
    <w:tbl>
      <w:tblPr>
        <w:tblStyle w:val="Tabelprimar2"/>
        <w:tblW w:w="0" w:type="auto"/>
        <w:tblLook w:val="04A0" w:firstRow="1" w:lastRow="0" w:firstColumn="1" w:lastColumn="0" w:noHBand="0" w:noVBand="1"/>
      </w:tblPr>
      <w:tblGrid>
        <w:gridCol w:w="3128"/>
        <w:gridCol w:w="3116"/>
        <w:gridCol w:w="3116"/>
      </w:tblGrid>
      <w:tr w:rsidR="00E13EBB" w:rsidRPr="00E13EBB" w14:paraId="3FAF82C1" w14:textId="77777777" w:rsidTr="00E13E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66D05A2A" w14:textId="1C1530AD" w:rsidR="00E13EBB" w:rsidRPr="00E13EBB" w:rsidRDefault="00E13EBB" w:rsidP="00E13EBB">
            <w:r w:rsidRPr="00E13EBB">
              <w:t>Aspect / Event</w:t>
            </w:r>
          </w:p>
        </w:tc>
        <w:tc>
          <w:tcPr>
            <w:tcW w:w="3192" w:type="dxa"/>
          </w:tcPr>
          <w:p w14:paraId="621FD84B" w14:textId="73F90B27" w:rsidR="00E13EBB" w:rsidRPr="00E13EBB" w:rsidRDefault="00E13EBB" w:rsidP="00E13EBB">
            <w:pPr>
              <w:cnfStyle w:val="100000000000" w:firstRow="1" w:lastRow="0" w:firstColumn="0" w:lastColumn="0" w:oddVBand="0" w:evenVBand="0" w:oddHBand="0" w:evenHBand="0" w:firstRowFirstColumn="0" w:firstRowLastColumn="0" w:lastRowFirstColumn="0" w:lastRowLastColumn="0"/>
            </w:pPr>
            <w:r w:rsidRPr="00E13EBB">
              <w:t>Hospitality Tech Expo UK 2024</w:t>
            </w:r>
          </w:p>
        </w:tc>
        <w:tc>
          <w:tcPr>
            <w:tcW w:w="3192" w:type="dxa"/>
          </w:tcPr>
          <w:p w14:paraId="7AB9A9AE" w14:textId="342DBAC0" w:rsidR="00E13EBB" w:rsidRPr="00E13EBB" w:rsidRDefault="00E13EBB" w:rsidP="00E13EBB">
            <w:pPr>
              <w:cnfStyle w:val="100000000000" w:firstRow="1" w:lastRow="0" w:firstColumn="0" w:lastColumn="0" w:oddVBand="0" w:evenVBand="0" w:oddHBand="0" w:evenHBand="0" w:firstRowFirstColumn="0" w:firstRowLastColumn="0" w:lastRowFirstColumn="0" w:lastRowLastColumn="0"/>
            </w:pPr>
            <w:r w:rsidRPr="00E13EBB">
              <w:t>Competing Events</w:t>
            </w:r>
          </w:p>
        </w:tc>
      </w:tr>
      <w:tr w:rsidR="00E13EBB" w:rsidRPr="00E13EBB" w14:paraId="0048AC5E" w14:textId="77777777" w:rsidTr="00E13E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4B37FA68" w14:textId="59621AA9" w:rsidR="00E13EBB" w:rsidRPr="00E13EBB" w:rsidRDefault="00E13EBB" w:rsidP="00E13EBB">
            <w:r w:rsidRPr="00E13EBB">
              <w:t>Focus on Technology and Innovation</w:t>
            </w:r>
          </w:p>
        </w:tc>
        <w:tc>
          <w:tcPr>
            <w:tcW w:w="3192" w:type="dxa"/>
          </w:tcPr>
          <w:p w14:paraId="3D8E4EE2" w14:textId="23A5A71A" w:rsidR="00E13EBB" w:rsidRPr="00E13EBB" w:rsidRDefault="00E13EBB" w:rsidP="00E13EBB">
            <w:pPr>
              <w:cnfStyle w:val="000000100000" w:firstRow="0" w:lastRow="0" w:firstColumn="0" w:lastColumn="0" w:oddVBand="0" w:evenVBand="0" w:oddHBand="1" w:evenHBand="0" w:firstRowFirstColumn="0" w:firstRowLastColumn="0" w:lastRowFirstColumn="0" w:lastRowLastColumn="0"/>
            </w:pPr>
            <w:r w:rsidRPr="00E13EBB">
              <w:t>High</w:t>
            </w:r>
          </w:p>
        </w:tc>
        <w:tc>
          <w:tcPr>
            <w:tcW w:w="3192" w:type="dxa"/>
          </w:tcPr>
          <w:p w14:paraId="17750B8C" w14:textId="250864E4" w:rsidR="00E13EBB" w:rsidRPr="00E13EBB" w:rsidRDefault="00E13EBB" w:rsidP="00E13EBB">
            <w:pPr>
              <w:jc w:val="left"/>
              <w:cnfStyle w:val="000000100000" w:firstRow="0" w:lastRow="0" w:firstColumn="0" w:lastColumn="0" w:oddVBand="0" w:evenVBand="0" w:oddHBand="1" w:evenHBand="0" w:firstRowFirstColumn="0" w:firstRowLastColumn="0" w:lastRowFirstColumn="0" w:lastRowLastColumn="0"/>
            </w:pPr>
            <w:r w:rsidRPr="00E13EBB">
              <w:t>Low to Medium</w:t>
            </w:r>
          </w:p>
        </w:tc>
      </w:tr>
      <w:tr w:rsidR="00E13EBB" w:rsidRPr="00E13EBB" w14:paraId="2B246348" w14:textId="77777777" w:rsidTr="00E13EBB">
        <w:tc>
          <w:tcPr>
            <w:cnfStyle w:val="001000000000" w:firstRow="0" w:lastRow="0" w:firstColumn="1" w:lastColumn="0" w:oddVBand="0" w:evenVBand="0" w:oddHBand="0" w:evenHBand="0" w:firstRowFirstColumn="0" w:firstRowLastColumn="0" w:lastRowFirstColumn="0" w:lastRowLastColumn="0"/>
            <w:tcW w:w="3192" w:type="dxa"/>
          </w:tcPr>
          <w:p w14:paraId="7F092F97" w14:textId="4E134D81" w:rsidR="00E13EBB" w:rsidRPr="00E13EBB" w:rsidRDefault="00E13EBB" w:rsidP="00E13EBB">
            <w:r w:rsidRPr="00E13EBB">
              <w:t>Degree of Specialization</w:t>
            </w:r>
          </w:p>
        </w:tc>
        <w:tc>
          <w:tcPr>
            <w:tcW w:w="3192" w:type="dxa"/>
          </w:tcPr>
          <w:p w14:paraId="1E73C2D3" w14:textId="55911D10" w:rsidR="00E13EBB" w:rsidRPr="00E13EBB" w:rsidRDefault="00E13EBB" w:rsidP="00E13EBB">
            <w:pPr>
              <w:cnfStyle w:val="000000000000" w:firstRow="0" w:lastRow="0" w:firstColumn="0" w:lastColumn="0" w:oddVBand="0" w:evenVBand="0" w:oddHBand="0" w:evenHBand="0" w:firstRowFirstColumn="0" w:firstRowLastColumn="0" w:lastRowFirstColumn="0" w:lastRowLastColumn="0"/>
            </w:pPr>
            <w:r w:rsidRPr="00E13EBB">
              <w:t>High</w:t>
            </w:r>
          </w:p>
        </w:tc>
        <w:tc>
          <w:tcPr>
            <w:tcW w:w="3192" w:type="dxa"/>
          </w:tcPr>
          <w:p w14:paraId="5A05CA07" w14:textId="3B14C86D" w:rsidR="00E13EBB" w:rsidRPr="00E13EBB" w:rsidRDefault="00E13EBB" w:rsidP="00E13EBB">
            <w:pPr>
              <w:cnfStyle w:val="000000000000" w:firstRow="0" w:lastRow="0" w:firstColumn="0" w:lastColumn="0" w:oddVBand="0" w:evenVBand="0" w:oddHBand="0" w:evenHBand="0" w:firstRowFirstColumn="0" w:firstRowLastColumn="0" w:lastRowFirstColumn="0" w:lastRowLastColumn="0"/>
            </w:pPr>
            <w:r w:rsidRPr="00E13EBB">
              <w:t>Low</w:t>
            </w:r>
          </w:p>
        </w:tc>
      </w:tr>
    </w:tbl>
    <w:p w14:paraId="58AA018A" w14:textId="77777777" w:rsidR="00E13EBB" w:rsidRDefault="00E13EBB" w:rsidP="00E13EBB"/>
    <w:p w14:paraId="23347C23" w14:textId="28A6E395" w:rsidR="00E13EBB" w:rsidRDefault="00E13EBB" w:rsidP="00E13EBB">
      <w:pPr>
        <w:pStyle w:val="Titlu1"/>
      </w:pPr>
      <w:bookmarkStart w:id="4" w:name="_Toc165912773"/>
      <w:r w:rsidRPr="00E13EBB">
        <w:t>Operational Factors</w:t>
      </w:r>
      <w:bookmarkEnd w:id="4"/>
    </w:p>
    <w:p w14:paraId="63B909B3" w14:textId="77777777" w:rsidR="00426601" w:rsidRDefault="00426601" w:rsidP="00E13EBB">
      <w:r w:rsidRPr="00426601">
        <w:t>Venue: The London ExCeL Center has all the features of the venue such as high technology facilities and the central location that can make it the most convenient for the Expo thus Hospitality Tech would be held. Its spacious exhibition halls, classy conference rooms, and tech-savvy infrastructure are built in such a way to project a sense of how perfect spaces are for showcasing contemporary products and innovations.</w:t>
      </w:r>
    </w:p>
    <w:p w14:paraId="640A0027" w14:textId="7E24C57B" w:rsidR="00E13EBB" w:rsidRPr="00E13EBB" w:rsidRDefault="00E13EBB" w:rsidP="00E13EBB">
      <w:r w:rsidRPr="00E13EBB">
        <w:t>Skills Required: The expo organizers will employ staff with a variety of skills such as event management, technology setup, audiovisual equipment, guest services and crowd control, to guarantee smooth operation in the exhibitions (Wong et al., 2024).</w:t>
      </w:r>
    </w:p>
    <w:p w14:paraId="569CEAD0" w14:textId="6EB4CEC7" w:rsidR="00E13EBB" w:rsidRDefault="00E13EBB" w:rsidP="00E13EBB">
      <w:r w:rsidRPr="00E13EBB">
        <w:t>Resources: This sector comprises of booth setups installation, AV equipment and Wi-Fi interconnection, catering services, presence of personnel responsible for security issues, and provision of parking space and seating arrangements.</w:t>
      </w:r>
    </w:p>
    <w:p w14:paraId="1A2C2D72" w14:textId="62CD0FF6" w:rsidR="00E13EBB" w:rsidRDefault="00E13EBB" w:rsidP="00F03687">
      <w:pPr>
        <w:pStyle w:val="Titlu1"/>
      </w:pPr>
      <w:bookmarkStart w:id="5" w:name="_Toc165912774"/>
      <w:r w:rsidRPr="00E13EBB">
        <w:t>Financial Factors:</w:t>
      </w:r>
      <w:bookmarkEnd w:id="5"/>
    </w:p>
    <w:tbl>
      <w:tblPr>
        <w:tblStyle w:val="Tabelprimar2"/>
        <w:tblW w:w="10104" w:type="dxa"/>
        <w:tblLook w:val="04A0" w:firstRow="1" w:lastRow="0" w:firstColumn="1" w:lastColumn="0" w:noHBand="0" w:noVBand="1"/>
      </w:tblPr>
      <w:tblGrid>
        <w:gridCol w:w="3368"/>
        <w:gridCol w:w="3368"/>
        <w:gridCol w:w="3368"/>
      </w:tblGrid>
      <w:tr w:rsidR="00F03687" w14:paraId="66805019" w14:textId="77777777" w:rsidTr="00F03687">
        <w:trPr>
          <w:cnfStyle w:val="100000000000" w:firstRow="1" w:lastRow="0" w:firstColumn="0" w:lastColumn="0" w:oddVBand="0" w:evenVBand="0" w:oddHBand="0" w:evenHBand="0" w:firstRowFirstColumn="0" w:firstRowLastColumn="0" w:lastRowFirstColumn="0" w:lastRowLastColumn="0"/>
          <w:trHeight w:val="190"/>
        </w:trPr>
        <w:tc>
          <w:tcPr>
            <w:cnfStyle w:val="001000000000" w:firstRow="0" w:lastRow="0" w:firstColumn="1" w:lastColumn="0" w:oddVBand="0" w:evenVBand="0" w:oddHBand="0" w:evenHBand="0" w:firstRowFirstColumn="0" w:firstRowLastColumn="0" w:lastRowFirstColumn="0" w:lastRowLastColumn="0"/>
            <w:tcW w:w="3368" w:type="dxa"/>
          </w:tcPr>
          <w:p w14:paraId="18396177" w14:textId="2C6DF512" w:rsidR="00F03687" w:rsidRDefault="00F03687" w:rsidP="00F03687">
            <w:r w:rsidRPr="001C27F0">
              <w:t>Expense Category</w:t>
            </w:r>
          </w:p>
        </w:tc>
        <w:tc>
          <w:tcPr>
            <w:tcW w:w="3368" w:type="dxa"/>
          </w:tcPr>
          <w:p w14:paraId="6C5CCBB3" w14:textId="115F7C4C" w:rsidR="00F03687" w:rsidRDefault="00F03687" w:rsidP="00F03687">
            <w:pPr>
              <w:cnfStyle w:val="100000000000" w:firstRow="1" w:lastRow="0" w:firstColumn="0" w:lastColumn="0" w:oddVBand="0" w:evenVBand="0" w:oddHBand="0" w:evenHBand="0" w:firstRowFirstColumn="0" w:firstRowLastColumn="0" w:lastRowFirstColumn="0" w:lastRowLastColumn="0"/>
            </w:pPr>
            <w:r w:rsidRPr="001C27F0">
              <w:t>Hypothetical Description</w:t>
            </w:r>
          </w:p>
        </w:tc>
        <w:tc>
          <w:tcPr>
            <w:tcW w:w="3368" w:type="dxa"/>
          </w:tcPr>
          <w:p w14:paraId="3EFF7815" w14:textId="17303166" w:rsidR="00F03687" w:rsidRDefault="00F03687" w:rsidP="00F03687">
            <w:pPr>
              <w:cnfStyle w:val="100000000000" w:firstRow="1" w:lastRow="0" w:firstColumn="0" w:lastColumn="0" w:oddVBand="0" w:evenVBand="0" w:oddHBand="0" w:evenHBand="0" w:firstRowFirstColumn="0" w:firstRowLastColumn="0" w:lastRowFirstColumn="0" w:lastRowLastColumn="0"/>
            </w:pPr>
            <w:r w:rsidRPr="001C27F0">
              <w:t>Estimated Cost (GBP)</w:t>
            </w:r>
          </w:p>
        </w:tc>
      </w:tr>
      <w:tr w:rsidR="00F03687" w14:paraId="15522365" w14:textId="77777777" w:rsidTr="00F03687">
        <w:trPr>
          <w:cnfStyle w:val="000000100000" w:firstRow="0" w:lastRow="0" w:firstColumn="0" w:lastColumn="0" w:oddVBand="0" w:evenVBand="0" w:oddHBand="1" w:evenHBand="0" w:firstRowFirstColumn="0" w:firstRowLastColumn="0" w:lastRowFirstColumn="0" w:lastRowLastColumn="0"/>
          <w:trHeight w:val="282"/>
        </w:trPr>
        <w:tc>
          <w:tcPr>
            <w:cnfStyle w:val="001000000000" w:firstRow="0" w:lastRow="0" w:firstColumn="1" w:lastColumn="0" w:oddVBand="0" w:evenVBand="0" w:oddHBand="0" w:evenHBand="0" w:firstRowFirstColumn="0" w:firstRowLastColumn="0" w:lastRowFirstColumn="0" w:lastRowLastColumn="0"/>
            <w:tcW w:w="3368" w:type="dxa"/>
          </w:tcPr>
          <w:p w14:paraId="638DABC4" w14:textId="2EE3DBF7" w:rsidR="00F03687" w:rsidRDefault="00F03687" w:rsidP="00F03687">
            <w:r w:rsidRPr="001C27F0">
              <w:t>Venue Rental</w:t>
            </w:r>
          </w:p>
        </w:tc>
        <w:tc>
          <w:tcPr>
            <w:tcW w:w="3368" w:type="dxa"/>
          </w:tcPr>
          <w:p w14:paraId="4D03727E" w14:textId="767A5843"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Rental fees for exhibition halls at ExCeL London</w:t>
            </w:r>
          </w:p>
        </w:tc>
        <w:tc>
          <w:tcPr>
            <w:tcW w:w="3368" w:type="dxa"/>
          </w:tcPr>
          <w:p w14:paraId="184C2205" w14:textId="4E98F1C2"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£50,000</w:t>
            </w:r>
          </w:p>
        </w:tc>
      </w:tr>
      <w:tr w:rsidR="00F03687" w14:paraId="385A49FA" w14:textId="77777777" w:rsidTr="00F03687">
        <w:trPr>
          <w:trHeight w:val="282"/>
        </w:trPr>
        <w:tc>
          <w:tcPr>
            <w:cnfStyle w:val="001000000000" w:firstRow="0" w:lastRow="0" w:firstColumn="1" w:lastColumn="0" w:oddVBand="0" w:evenVBand="0" w:oddHBand="0" w:evenHBand="0" w:firstRowFirstColumn="0" w:firstRowLastColumn="0" w:lastRowFirstColumn="0" w:lastRowLastColumn="0"/>
            <w:tcW w:w="3368" w:type="dxa"/>
          </w:tcPr>
          <w:p w14:paraId="0B2495F0" w14:textId="5C7F7D36" w:rsidR="00F03687" w:rsidRDefault="00F03687" w:rsidP="00F03687">
            <w:r w:rsidRPr="001C27F0">
              <w:t>Booth Construction</w:t>
            </w:r>
          </w:p>
        </w:tc>
        <w:tc>
          <w:tcPr>
            <w:tcW w:w="3368" w:type="dxa"/>
          </w:tcPr>
          <w:p w14:paraId="1598CD2A" w14:textId="21F36360"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1C27F0">
              <w:t>Designing, constructing, and setting up exhibition booths</w:t>
            </w:r>
          </w:p>
        </w:tc>
        <w:tc>
          <w:tcPr>
            <w:tcW w:w="3368" w:type="dxa"/>
          </w:tcPr>
          <w:p w14:paraId="220387D8" w14:textId="11381CCA"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1C27F0">
              <w:t>£30,000</w:t>
            </w:r>
          </w:p>
        </w:tc>
      </w:tr>
      <w:tr w:rsidR="00F03687" w14:paraId="16E31214" w14:textId="77777777" w:rsidTr="00F03687">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368" w:type="dxa"/>
          </w:tcPr>
          <w:p w14:paraId="7AD4CDDD" w14:textId="30B52CBA" w:rsidR="00F03687" w:rsidRDefault="00F03687" w:rsidP="00F03687">
            <w:r w:rsidRPr="001C27F0">
              <w:t>Marketing &amp; Promotion</w:t>
            </w:r>
          </w:p>
        </w:tc>
        <w:tc>
          <w:tcPr>
            <w:tcW w:w="3368" w:type="dxa"/>
          </w:tcPr>
          <w:p w14:paraId="50EA9384" w14:textId="3181B004"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Advertising, promotional materials, online campaigns</w:t>
            </w:r>
          </w:p>
        </w:tc>
        <w:tc>
          <w:tcPr>
            <w:tcW w:w="3368" w:type="dxa"/>
          </w:tcPr>
          <w:p w14:paraId="522A0F16" w14:textId="574A5820"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£20,000</w:t>
            </w:r>
          </w:p>
        </w:tc>
      </w:tr>
      <w:tr w:rsidR="00F03687" w14:paraId="19BE489A" w14:textId="77777777" w:rsidTr="00F03687">
        <w:trPr>
          <w:trHeight w:val="282"/>
        </w:trPr>
        <w:tc>
          <w:tcPr>
            <w:cnfStyle w:val="001000000000" w:firstRow="0" w:lastRow="0" w:firstColumn="1" w:lastColumn="0" w:oddVBand="0" w:evenVBand="0" w:oddHBand="0" w:evenHBand="0" w:firstRowFirstColumn="0" w:firstRowLastColumn="0" w:lastRowFirstColumn="0" w:lastRowLastColumn="0"/>
            <w:tcW w:w="3368" w:type="dxa"/>
          </w:tcPr>
          <w:p w14:paraId="2039509A" w14:textId="5A23B930" w:rsidR="00F03687" w:rsidRDefault="00F03687" w:rsidP="00F03687">
            <w:r w:rsidRPr="001C27F0">
              <w:t>Staffing</w:t>
            </w:r>
          </w:p>
        </w:tc>
        <w:tc>
          <w:tcPr>
            <w:tcW w:w="3368" w:type="dxa"/>
          </w:tcPr>
          <w:p w14:paraId="51D5D46C" w14:textId="2784400E"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1C27F0">
              <w:t>Event management, security, registration staff</w:t>
            </w:r>
          </w:p>
        </w:tc>
        <w:tc>
          <w:tcPr>
            <w:tcW w:w="3368" w:type="dxa"/>
          </w:tcPr>
          <w:p w14:paraId="13432115" w14:textId="179A15DB"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1C27F0">
              <w:t>£15,000</w:t>
            </w:r>
          </w:p>
        </w:tc>
      </w:tr>
      <w:tr w:rsidR="00F03687" w14:paraId="7D52776E" w14:textId="77777777" w:rsidTr="00F03687">
        <w:trPr>
          <w:cnfStyle w:val="000000100000" w:firstRow="0" w:lastRow="0" w:firstColumn="0" w:lastColumn="0" w:oddVBand="0" w:evenVBand="0" w:oddHBand="1" w:evenHBand="0" w:firstRowFirstColumn="0" w:firstRowLastColumn="0" w:lastRowFirstColumn="0" w:lastRowLastColumn="0"/>
          <w:trHeight w:val="190"/>
        </w:trPr>
        <w:tc>
          <w:tcPr>
            <w:cnfStyle w:val="001000000000" w:firstRow="0" w:lastRow="0" w:firstColumn="1" w:lastColumn="0" w:oddVBand="0" w:evenVBand="0" w:oddHBand="0" w:evenHBand="0" w:firstRowFirstColumn="0" w:firstRowLastColumn="0" w:lastRowFirstColumn="0" w:lastRowLastColumn="0"/>
            <w:tcW w:w="3368" w:type="dxa"/>
          </w:tcPr>
          <w:p w14:paraId="33F3FB1C" w14:textId="0D4531F4" w:rsidR="00F03687" w:rsidRDefault="00F03687" w:rsidP="00F03687">
            <w:r w:rsidRPr="001C27F0">
              <w:t>Technology Demonstrations</w:t>
            </w:r>
          </w:p>
        </w:tc>
        <w:tc>
          <w:tcPr>
            <w:tcW w:w="3368" w:type="dxa"/>
          </w:tcPr>
          <w:p w14:paraId="31F53FBC" w14:textId="329A0461"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AV equipment rental, tech setups, demos</w:t>
            </w:r>
          </w:p>
        </w:tc>
        <w:tc>
          <w:tcPr>
            <w:tcW w:w="3368" w:type="dxa"/>
          </w:tcPr>
          <w:p w14:paraId="289ACB9E" w14:textId="59A6D38E"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£25,000</w:t>
            </w:r>
          </w:p>
        </w:tc>
      </w:tr>
      <w:tr w:rsidR="00F03687" w14:paraId="298F96FB" w14:textId="77777777" w:rsidTr="00F03687">
        <w:trPr>
          <w:trHeight w:val="282"/>
        </w:trPr>
        <w:tc>
          <w:tcPr>
            <w:cnfStyle w:val="001000000000" w:firstRow="0" w:lastRow="0" w:firstColumn="1" w:lastColumn="0" w:oddVBand="0" w:evenVBand="0" w:oddHBand="0" w:evenHBand="0" w:firstRowFirstColumn="0" w:firstRowLastColumn="0" w:lastRowFirstColumn="0" w:lastRowLastColumn="0"/>
            <w:tcW w:w="3368" w:type="dxa"/>
          </w:tcPr>
          <w:p w14:paraId="5FBCB164" w14:textId="700ED203" w:rsidR="00F03687" w:rsidRDefault="00F03687" w:rsidP="00F03687">
            <w:r w:rsidRPr="001C27F0">
              <w:t>Catering</w:t>
            </w:r>
          </w:p>
        </w:tc>
        <w:tc>
          <w:tcPr>
            <w:tcW w:w="3368" w:type="dxa"/>
          </w:tcPr>
          <w:p w14:paraId="64EE4209" w14:textId="039BBEB8"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1C27F0">
              <w:t>Food and beverage for attendees, exhibitors, staff</w:t>
            </w:r>
          </w:p>
        </w:tc>
        <w:tc>
          <w:tcPr>
            <w:tcW w:w="3368" w:type="dxa"/>
          </w:tcPr>
          <w:p w14:paraId="23684503" w14:textId="08F0559D" w:rsidR="00F03687" w:rsidRDefault="00F03687" w:rsidP="00F03687">
            <w:pPr>
              <w:cnfStyle w:val="000000000000" w:firstRow="0" w:lastRow="0" w:firstColumn="0" w:lastColumn="0" w:oddVBand="0" w:evenVBand="0" w:oddHBand="0" w:evenHBand="0" w:firstRowFirstColumn="0" w:firstRowLastColumn="0" w:lastRowFirstColumn="0" w:lastRowLastColumn="0"/>
            </w:pPr>
            <w:r w:rsidRPr="001C27F0">
              <w:t>£15,000</w:t>
            </w:r>
          </w:p>
        </w:tc>
      </w:tr>
      <w:tr w:rsidR="00F03687" w14:paraId="79EFFF2B" w14:textId="77777777" w:rsidTr="00F03687">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368" w:type="dxa"/>
          </w:tcPr>
          <w:p w14:paraId="049FEDD5" w14:textId="0711276E" w:rsidR="00F03687" w:rsidRDefault="00F03687" w:rsidP="00F03687">
            <w:r w:rsidRPr="001C27F0">
              <w:t>Logistics</w:t>
            </w:r>
          </w:p>
        </w:tc>
        <w:tc>
          <w:tcPr>
            <w:tcW w:w="3368" w:type="dxa"/>
          </w:tcPr>
          <w:p w14:paraId="0673C545" w14:textId="38224DB3"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Transportation, storage, shipping of event materials</w:t>
            </w:r>
          </w:p>
        </w:tc>
        <w:tc>
          <w:tcPr>
            <w:tcW w:w="3368" w:type="dxa"/>
          </w:tcPr>
          <w:p w14:paraId="2263A715" w14:textId="170BA259" w:rsidR="00F03687" w:rsidRDefault="00F03687" w:rsidP="00F03687">
            <w:pPr>
              <w:cnfStyle w:val="000000100000" w:firstRow="0" w:lastRow="0" w:firstColumn="0" w:lastColumn="0" w:oddVBand="0" w:evenVBand="0" w:oddHBand="1" w:evenHBand="0" w:firstRowFirstColumn="0" w:firstRowLastColumn="0" w:lastRowFirstColumn="0" w:lastRowLastColumn="0"/>
            </w:pPr>
            <w:r w:rsidRPr="001C27F0">
              <w:t>£10,000</w:t>
            </w:r>
          </w:p>
        </w:tc>
      </w:tr>
    </w:tbl>
    <w:p w14:paraId="43A42ED2" w14:textId="77777777" w:rsidR="00E13EBB" w:rsidRDefault="00E13EBB" w:rsidP="00E13EBB"/>
    <w:p w14:paraId="6A52DB95" w14:textId="77777777" w:rsidR="00E13EBB" w:rsidRPr="00E13EBB" w:rsidRDefault="00E13EBB" w:rsidP="00E13EBB">
      <w:pPr>
        <w:pStyle w:val="Listparagraf"/>
        <w:numPr>
          <w:ilvl w:val="0"/>
          <w:numId w:val="2"/>
        </w:numPr>
      </w:pPr>
      <w:r w:rsidRPr="00E13EBB">
        <w:t>Costs: The cost breakdowns entail venue rent, booth construction, marketing and promotional expenses, staffing costs, and huge fees for the technology demonstrations, catering services, logistics, and raining funds (Ratna et al., 2024).</w:t>
      </w:r>
    </w:p>
    <w:p w14:paraId="07BECDFB" w14:textId="77777777" w:rsidR="00E13EBB" w:rsidRPr="00E13EBB" w:rsidRDefault="00E13EBB" w:rsidP="00E13EBB">
      <w:pPr>
        <w:pStyle w:val="Listparagraf"/>
        <w:numPr>
          <w:ilvl w:val="0"/>
          <w:numId w:val="2"/>
        </w:numPr>
      </w:pPr>
      <w:r w:rsidRPr="00E13EBB">
        <w:t>Predicted Revenues: Streams of income will cover admission tickets charges, exhibitors fees, sponsorship deals, advertising options as well as technological providers partnerships, and conversion of post events leads to sales.</w:t>
      </w:r>
    </w:p>
    <w:p w14:paraId="23B85A6B" w14:textId="3DF0CA69" w:rsidR="00E13EBB" w:rsidRDefault="00E13EBB" w:rsidP="00E13EBB">
      <w:pPr>
        <w:pStyle w:val="Listparagraf"/>
        <w:numPr>
          <w:ilvl w:val="0"/>
          <w:numId w:val="2"/>
        </w:numPr>
      </w:pPr>
      <w:r w:rsidRPr="00E13EBB">
        <w:t>Funding Sources: Sources of funding that might be exploited are these: sponsorships from electronic companies, partnership deals with the Industrial Associations, government grants for the innovation programs and tickets.</w:t>
      </w:r>
    </w:p>
    <w:p w14:paraId="670C3668" w14:textId="3B8013DB" w:rsidR="005C081F" w:rsidRDefault="005C081F" w:rsidP="005C081F">
      <w:pPr>
        <w:pStyle w:val="Titlu1"/>
      </w:pPr>
      <w:bookmarkStart w:id="6" w:name="_Toc165912775"/>
      <w:r>
        <w:t>Risk Mitigation</w:t>
      </w:r>
      <w:bookmarkEnd w:id="6"/>
    </w:p>
    <w:tbl>
      <w:tblPr>
        <w:tblStyle w:val="Tabelprimar2"/>
        <w:tblW w:w="9404" w:type="dxa"/>
        <w:tblLook w:val="0600" w:firstRow="0" w:lastRow="0" w:firstColumn="0" w:lastColumn="0" w:noHBand="1" w:noVBand="1"/>
      </w:tblPr>
      <w:tblGrid>
        <w:gridCol w:w="683"/>
        <w:gridCol w:w="1403"/>
        <w:gridCol w:w="1696"/>
        <w:gridCol w:w="1324"/>
        <w:gridCol w:w="1709"/>
        <w:gridCol w:w="2589"/>
      </w:tblGrid>
      <w:tr w:rsidR="005C081F" w:rsidRPr="005C081F" w14:paraId="7324296D" w14:textId="77777777" w:rsidTr="005C081F">
        <w:trPr>
          <w:trHeight w:val="474"/>
        </w:trPr>
        <w:tc>
          <w:tcPr>
            <w:tcW w:w="563" w:type="dxa"/>
            <w:hideMark/>
          </w:tcPr>
          <w:p w14:paraId="38059317" w14:textId="77777777" w:rsidR="005C081F" w:rsidRPr="005C081F" w:rsidRDefault="005C081F" w:rsidP="005C081F">
            <w:pPr>
              <w:spacing w:after="160"/>
              <w:rPr>
                <w:lang w:val="en-GB"/>
              </w:rPr>
            </w:pPr>
            <w:r w:rsidRPr="005C081F">
              <w:rPr>
                <w:b/>
                <w:bCs/>
                <w:lang w:val="en-GB"/>
              </w:rPr>
              <w:t>Risk ID</w:t>
            </w:r>
          </w:p>
        </w:tc>
        <w:tc>
          <w:tcPr>
            <w:tcW w:w="1283" w:type="dxa"/>
            <w:hideMark/>
          </w:tcPr>
          <w:p w14:paraId="48E8B717" w14:textId="77777777" w:rsidR="005C081F" w:rsidRPr="005C081F" w:rsidRDefault="005C081F" w:rsidP="005C081F">
            <w:pPr>
              <w:spacing w:after="160"/>
              <w:rPr>
                <w:lang w:val="en-GB"/>
              </w:rPr>
            </w:pPr>
            <w:r w:rsidRPr="005C081F">
              <w:rPr>
                <w:b/>
                <w:bCs/>
                <w:lang w:val="en-GB"/>
              </w:rPr>
              <w:t>Risk Description</w:t>
            </w:r>
          </w:p>
        </w:tc>
        <w:tc>
          <w:tcPr>
            <w:tcW w:w="1576" w:type="dxa"/>
            <w:hideMark/>
          </w:tcPr>
          <w:p w14:paraId="22C4D01D" w14:textId="77777777" w:rsidR="005C081F" w:rsidRPr="005C081F" w:rsidRDefault="005C081F" w:rsidP="005C081F">
            <w:pPr>
              <w:spacing w:after="160"/>
              <w:rPr>
                <w:lang w:val="en-GB"/>
              </w:rPr>
            </w:pPr>
            <w:r w:rsidRPr="005C081F">
              <w:rPr>
                <w:b/>
                <w:bCs/>
                <w:lang w:val="en-GB"/>
              </w:rPr>
              <w:t>Impact</w:t>
            </w:r>
          </w:p>
        </w:tc>
        <w:tc>
          <w:tcPr>
            <w:tcW w:w="1204" w:type="dxa"/>
            <w:hideMark/>
          </w:tcPr>
          <w:p w14:paraId="7370AB71" w14:textId="77777777" w:rsidR="005C081F" w:rsidRPr="005C081F" w:rsidRDefault="005C081F" w:rsidP="005C081F">
            <w:pPr>
              <w:spacing w:after="160"/>
              <w:rPr>
                <w:lang w:val="en-GB"/>
              </w:rPr>
            </w:pPr>
            <w:r w:rsidRPr="005C081F">
              <w:rPr>
                <w:b/>
                <w:bCs/>
                <w:lang w:val="en-GB"/>
              </w:rPr>
              <w:t>Likelihood</w:t>
            </w:r>
          </w:p>
        </w:tc>
        <w:tc>
          <w:tcPr>
            <w:tcW w:w="1589" w:type="dxa"/>
            <w:hideMark/>
          </w:tcPr>
          <w:p w14:paraId="446E161F" w14:textId="77777777" w:rsidR="005C081F" w:rsidRPr="005C081F" w:rsidRDefault="005C081F" w:rsidP="005C081F">
            <w:pPr>
              <w:spacing w:after="160"/>
              <w:rPr>
                <w:lang w:val="en-GB"/>
              </w:rPr>
            </w:pPr>
            <w:r w:rsidRPr="005C081F">
              <w:rPr>
                <w:b/>
                <w:bCs/>
                <w:lang w:val="en-GB"/>
              </w:rPr>
              <w:t>Mitigation</w:t>
            </w:r>
          </w:p>
        </w:tc>
        <w:tc>
          <w:tcPr>
            <w:tcW w:w="3189" w:type="dxa"/>
            <w:hideMark/>
          </w:tcPr>
          <w:p w14:paraId="4E5377B5" w14:textId="77777777" w:rsidR="005C081F" w:rsidRPr="005C081F" w:rsidRDefault="005C081F" w:rsidP="005C081F">
            <w:pPr>
              <w:spacing w:after="160"/>
              <w:rPr>
                <w:lang w:val="en-GB"/>
              </w:rPr>
            </w:pPr>
            <w:r w:rsidRPr="005C081F">
              <w:rPr>
                <w:b/>
                <w:bCs/>
                <w:lang w:val="en-GB"/>
              </w:rPr>
              <w:t>Contingency</w:t>
            </w:r>
          </w:p>
        </w:tc>
      </w:tr>
      <w:tr w:rsidR="005C081F" w:rsidRPr="005C081F" w14:paraId="22B06D22" w14:textId="77777777" w:rsidTr="005C081F">
        <w:trPr>
          <w:trHeight w:val="1044"/>
        </w:trPr>
        <w:tc>
          <w:tcPr>
            <w:tcW w:w="563" w:type="dxa"/>
            <w:hideMark/>
          </w:tcPr>
          <w:p w14:paraId="4D563029" w14:textId="77777777" w:rsidR="005C081F" w:rsidRPr="005C081F" w:rsidRDefault="005C081F" w:rsidP="005C081F">
            <w:pPr>
              <w:spacing w:after="160"/>
              <w:rPr>
                <w:lang w:val="en-GB"/>
              </w:rPr>
            </w:pPr>
            <w:r w:rsidRPr="005C081F">
              <w:rPr>
                <w:lang w:val="en-GB"/>
              </w:rPr>
              <w:t>R1</w:t>
            </w:r>
          </w:p>
        </w:tc>
        <w:tc>
          <w:tcPr>
            <w:tcW w:w="1283" w:type="dxa"/>
            <w:hideMark/>
          </w:tcPr>
          <w:p w14:paraId="7E826E95" w14:textId="77777777" w:rsidR="005C081F" w:rsidRPr="005C081F" w:rsidRDefault="005C081F" w:rsidP="005C081F">
            <w:pPr>
              <w:spacing w:after="160"/>
              <w:rPr>
                <w:lang w:val="en-GB"/>
              </w:rPr>
            </w:pPr>
            <w:r w:rsidRPr="005C081F">
              <w:rPr>
                <w:lang w:val="en-GB"/>
              </w:rPr>
              <w:t>Low Attendee Turnout</w:t>
            </w:r>
          </w:p>
        </w:tc>
        <w:tc>
          <w:tcPr>
            <w:tcW w:w="1576" w:type="dxa"/>
            <w:hideMark/>
          </w:tcPr>
          <w:p w14:paraId="6CD9343A" w14:textId="77777777" w:rsidR="005C081F" w:rsidRPr="005C081F" w:rsidRDefault="005C081F" w:rsidP="005C081F">
            <w:pPr>
              <w:spacing w:after="160"/>
              <w:rPr>
                <w:lang w:val="en-GB"/>
              </w:rPr>
            </w:pPr>
            <w:r w:rsidRPr="005C081F">
              <w:rPr>
                <w:lang w:val="en-GB"/>
              </w:rPr>
              <w:t>Revenue loss, exhibitor dissatisfaction</w:t>
            </w:r>
          </w:p>
        </w:tc>
        <w:tc>
          <w:tcPr>
            <w:tcW w:w="1204" w:type="dxa"/>
            <w:hideMark/>
          </w:tcPr>
          <w:p w14:paraId="63B576B3" w14:textId="77777777" w:rsidR="005C081F" w:rsidRPr="005C081F" w:rsidRDefault="005C081F" w:rsidP="005C081F">
            <w:pPr>
              <w:spacing w:after="160"/>
              <w:rPr>
                <w:lang w:val="en-GB"/>
              </w:rPr>
            </w:pPr>
            <w:r w:rsidRPr="005C081F">
              <w:rPr>
                <w:lang w:val="en-GB"/>
              </w:rPr>
              <w:t>Moderate</w:t>
            </w:r>
          </w:p>
        </w:tc>
        <w:tc>
          <w:tcPr>
            <w:tcW w:w="1589" w:type="dxa"/>
            <w:hideMark/>
          </w:tcPr>
          <w:p w14:paraId="4397A4F1" w14:textId="77777777" w:rsidR="005C081F" w:rsidRPr="005C081F" w:rsidRDefault="005C081F" w:rsidP="005C081F">
            <w:pPr>
              <w:spacing w:after="160"/>
              <w:rPr>
                <w:lang w:val="en-GB"/>
              </w:rPr>
            </w:pPr>
            <w:r w:rsidRPr="005C081F">
              <w:rPr>
                <w:lang w:val="en-GB"/>
              </w:rPr>
              <w:t>Aggressive marketing, partnerships</w:t>
            </w:r>
          </w:p>
        </w:tc>
        <w:tc>
          <w:tcPr>
            <w:tcW w:w="3189" w:type="dxa"/>
            <w:hideMark/>
          </w:tcPr>
          <w:p w14:paraId="2B9F8B51" w14:textId="77777777" w:rsidR="005C081F" w:rsidRPr="005C081F" w:rsidRDefault="005C081F" w:rsidP="005C081F">
            <w:pPr>
              <w:spacing w:after="160"/>
              <w:rPr>
                <w:lang w:val="en-GB"/>
              </w:rPr>
            </w:pPr>
            <w:r w:rsidRPr="005C081F">
              <w:rPr>
                <w:lang w:val="en-GB"/>
              </w:rPr>
              <w:t>Discounted exhibitor tickets, targeted promotions</w:t>
            </w:r>
          </w:p>
        </w:tc>
      </w:tr>
      <w:tr w:rsidR="005C081F" w:rsidRPr="005C081F" w14:paraId="7464E884" w14:textId="77777777" w:rsidTr="005C081F">
        <w:trPr>
          <w:trHeight w:val="1044"/>
        </w:trPr>
        <w:tc>
          <w:tcPr>
            <w:tcW w:w="563" w:type="dxa"/>
            <w:hideMark/>
          </w:tcPr>
          <w:p w14:paraId="6557687F" w14:textId="77777777" w:rsidR="005C081F" w:rsidRPr="005C081F" w:rsidRDefault="005C081F" w:rsidP="005C081F">
            <w:pPr>
              <w:spacing w:after="160"/>
              <w:rPr>
                <w:lang w:val="en-GB"/>
              </w:rPr>
            </w:pPr>
            <w:r w:rsidRPr="005C081F">
              <w:rPr>
                <w:lang w:val="en-GB"/>
              </w:rPr>
              <w:t>R2</w:t>
            </w:r>
          </w:p>
        </w:tc>
        <w:tc>
          <w:tcPr>
            <w:tcW w:w="1283" w:type="dxa"/>
            <w:hideMark/>
          </w:tcPr>
          <w:p w14:paraId="6550C459" w14:textId="77777777" w:rsidR="005C081F" w:rsidRPr="005C081F" w:rsidRDefault="005C081F" w:rsidP="005C081F">
            <w:pPr>
              <w:spacing w:after="160"/>
              <w:rPr>
                <w:lang w:val="en-GB"/>
              </w:rPr>
            </w:pPr>
            <w:r w:rsidRPr="005C081F">
              <w:rPr>
                <w:lang w:val="en-GB"/>
              </w:rPr>
              <w:t>Technical Glitches</w:t>
            </w:r>
          </w:p>
        </w:tc>
        <w:tc>
          <w:tcPr>
            <w:tcW w:w="1576" w:type="dxa"/>
            <w:hideMark/>
          </w:tcPr>
          <w:p w14:paraId="66897FF8" w14:textId="77777777" w:rsidR="005C081F" w:rsidRPr="005C081F" w:rsidRDefault="005C081F" w:rsidP="005C081F">
            <w:pPr>
              <w:spacing w:after="160"/>
              <w:rPr>
                <w:lang w:val="en-GB"/>
              </w:rPr>
            </w:pPr>
            <w:r w:rsidRPr="005C081F">
              <w:rPr>
                <w:lang w:val="en-GB"/>
              </w:rPr>
              <w:t>Disruption of presentations, attendee dissatisfaction</w:t>
            </w:r>
          </w:p>
        </w:tc>
        <w:tc>
          <w:tcPr>
            <w:tcW w:w="1204" w:type="dxa"/>
            <w:hideMark/>
          </w:tcPr>
          <w:p w14:paraId="43FF2DAD" w14:textId="77777777" w:rsidR="005C081F" w:rsidRPr="005C081F" w:rsidRDefault="005C081F" w:rsidP="005C081F">
            <w:pPr>
              <w:spacing w:after="160"/>
              <w:rPr>
                <w:lang w:val="en-GB"/>
              </w:rPr>
            </w:pPr>
            <w:r w:rsidRPr="005C081F">
              <w:rPr>
                <w:lang w:val="en-GB"/>
              </w:rPr>
              <w:t>High</w:t>
            </w:r>
          </w:p>
        </w:tc>
        <w:tc>
          <w:tcPr>
            <w:tcW w:w="1589" w:type="dxa"/>
            <w:hideMark/>
          </w:tcPr>
          <w:p w14:paraId="2F8824DC" w14:textId="77777777" w:rsidR="005C081F" w:rsidRPr="005C081F" w:rsidRDefault="005C081F" w:rsidP="005C081F">
            <w:pPr>
              <w:spacing w:after="160"/>
              <w:rPr>
                <w:lang w:val="en-GB"/>
              </w:rPr>
            </w:pPr>
            <w:r w:rsidRPr="005C081F">
              <w:rPr>
                <w:lang w:val="en-GB"/>
              </w:rPr>
              <w:t>Thorough equipment testing, skilled technical support</w:t>
            </w:r>
          </w:p>
        </w:tc>
        <w:tc>
          <w:tcPr>
            <w:tcW w:w="3189" w:type="dxa"/>
            <w:hideMark/>
          </w:tcPr>
          <w:p w14:paraId="14FACBB0" w14:textId="77777777" w:rsidR="005C081F" w:rsidRPr="005C081F" w:rsidRDefault="005C081F" w:rsidP="005C081F">
            <w:pPr>
              <w:spacing w:after="160"/>
              <w:rPr>
                <w:lang w:val="en-GB"/>
              </w:rPr>
            </w:pPr>
            <w:r w:rsidRPr="005C081F">
              <w:rPr>
                <w:lang w:val="en-GB"/>
              </w:rPr>
              <w:t>Backup equipment, real-time troubleshooting</w:t>
            </w:r>
          </w:p>
        </w:tc>
      </w:tr>
      <w:tr w:rsidR="005C081F" w:rsidRPr="005C081F" w14:paraId="799AAD52" w14:textId="77777777" w:rsidTr="005C081F">
        <w:trPr>
          <w:trHeight w:val="1044"/>
        </w:trPr>
        <w:tc>
          <w:tcPr>
            <w:tcW w:w="563" w:type="dxa"/>
            <w:hideMark/>
          </w:tcPr>
          <w:p w14:paraId="5E38F807" w14:textId="77777777" w:rsidR="005C081F" w:rsidRPr="005C081F" w:rsidRDefault="005C081F" w:rsidP="005C081F">
            <w:pPr>
              <w:spacing w:after="160"/>
              <w:rPr>
                <w:lang w:val="en-GB"/>
              </w:rPr>
            </w:pPr>
            <w:r w:rsidRPr="005C081F">
              <w:rPr>
                <w:lang w:val="en-GB"/>
              </w:rPr>
              <w:t>R3</w:t>
            </w:r>
          </w:p>
        </w:tc>
        <w:tc>
          <w:tcPr>
            <w:tcW w:w="1283" w:type="dxa"/>
            <w:hideMark/>
          </w:tcPr>
          <w:p w14:paraId="4A9009EC" w14:textId="77777777" w:rsidR="005C081F" w:rsidRPr="005C081F" w:rsidRDefault="005C081F" w:rsidP="005C081F">
            <w:pPr>
              <w:spacing w:after="160"/>
              <w:rPr>
                <w:lang w:val="en-GB"/>
              </w:rPr>
            </w:pPr>
            <w:r w:rsidRPr="005C081F">
              <w:rPr>
                <w:lang w:val="en-GB"/>
              </w:rPr>
              <w:t>Budget Overrun</w:t>
            </w:r>
          </w:p>
        </w:tc>
        <w:tc>
          <w:tcPr>
            <w:tcW w:w="1576" w:type="dxa"/>
            <w:hideMark/>
          </w:tcPr>
          <w:p w14:paraId="12D9735C" w14:textId="77777777" w:rsidR="005C081F" w:rsidRPr="005C081F" w:rsidRDefault="005C081F" w:rsidP="005C081F">
            <w:pPr>
              <w:spacing w:after="160"/>
              <w:rPr>
                <w:lang w:val="en-GB"/>
              </w:rPr>
            </w:pPr>
            <w:r w:rsidRPr="005C081F">
              <w:rPr>
                <w:lang w:val="en-GB"/>
              </w:rPr>
              <w:t>Financial strain, reduced event quality</w:t>
            </w:r>
          </w:p>
        </w:tc>
        <w:tc>
          <w:tcPr>
            <w:tcW w:w="1204" w:type="dxa"/>
            <w:hideMark/>
          </w:tcPr>
          <w:p w14:paraId="3B2B54FB" w14:textId="77777777" w:rsidR="005C081F" w:rsidRPr="005C081F" w:rsidRDefault="005C081F" w:rsidP="005C081F">
            <w:pPr>
              <w:spacing w:after="160"/>
              <w:rPr>
                <w:lang w:val="en-GB"/>
              </w:rPr>
            </w:pPr>
            <w:r w:rsidRPr="005C081F">
              <w:rPr>
                <w:lang w:val="en-GB"/>
              </w:rPr>
              <w:t>Moderate</w:t>
            </w:r>
          </w:p>
        </w:tc>
        <w:tc>
          <w:tcPr>
            <w:tcW w:w="1589" w:type="dxa"/>
            <w:hideMark/>
          </w:tcPr>
          <w:p w14:paraId="086802BE" w14:textId="77777777" w:rsidR="005C081F" w:rsidRPr="005C081F" w:rsidRDefault="005C081F" w:rsidP="005C081F">
            <w:pPr>
              <w:spacing w:after="160"/>
              <w:rPr>
                <w:lang w:val="en-GB"/>
              </w:rPr>
            </w:pPr>
            <w:r w:rsidRPr="005C081F">
              <w:rPr>
                <w:lang w:val="en-GB"/>
              </w:rPr>
              <w:t>Budget controls, vendor negotiations</w:t>
            </w:r>
          </w:p>
        </w:tc>
        <w:tc>
          <w:tcPr>
            <w:tcW w:w="3189" w:type="dxa"/>
            <w:hideMark/>
          </w:tcPr>
          <w:p w14:paraId="193DF989" w14:textId="77777777" w:rsidR="005C081F" w:rsidRPr="005C081F" w:rsidRDefault="005C081F" w:rsidP="005C081F">
            <w:pPr>
              <w:spacing w:after="160"/>
              <w:rPr>
                <w:lang w:val="en-GB"/>
              </w:rPr>
            </w:pPr>
            <w:r w:rsidRPr="005C081F">
              <w:rPr>
                <w:lang w:val="en-GB"/>
              </w:rPr>
              <w:t>Cost-saving measures, additional funding sources</w:t>
            </w:r>
          </w:p>
        </w:tc>
      </w:tr>
      <w:tr w:rsidR="005C081F" w:rsidRPr="005C081F" w14:paraId="261F9EE3" w14:textId="77777777" w:rsidTr="005C081F">
        <w:trPr>
          <w:trHeight w:val="1044"/>
        </w:trPr>
        <w:tc>
          <w:tcPr>
            <w:tcW w:w="563" w:type="dxa"/>
            <w:hideMark/>
          </w:tcPr>
          <w:p w14:paraId="3DF8179A" w14:textId="77777777" w:rsidR="005C081F" w:rsidRPr="005C081F" w:rsidRDefault="005C081F" w:rsidP="005C081F">
            <w:pPr>
              <w:spacing w:after="160"/>
              <w:rPr>
                <w:lang w:val="en-GB"/>
              </w:rPr>
            </w:pPr>
            <w:r w:rsidRPr="005C081F">
              <w:rPr>
                <w:lang w:val="en-GB"/>
              </w:rPr>
              <w:t>R4</w:t>
            </w:r>
          </w:p>
        </w:tc>
        <w:tc>
          <w:tcPr>
            <w:tcW w:w="1283" w:type="dxa"/>
            <w:hideMark/>
          </w:tcPr>
          <w:p w14:paraId="71AE4FAD" w14:textId="77777777" w:rsidR="005C081F" w:rsidRPr="005C081F" w:rsidRDefault="005C081F" w:rsidP="005C081F">
            <w:pPr>
              <w:spacing w:after="160"/>
              <w:rPr>
                <w:lang w:val="en-GB"/>
              </w:rPr>
            </w:pPr>
            <w:r w:rsidRPr="005C081F">
              <w:rPr>
                <w:lang w:val="en-GB"/>
              </w:rPr>
              <w:t>Exhibitor Withdrawal</w:t>
            </w:r>
          </w:p>
        </w:tc>
        <w:tc>
          <w:tcPr>
            <w:tcW w:w="1576" w:type="dxa"/>
            <w:hideMark/>
          </w:tcPr>
          <w:p w14:paraId="47338CCB" w14:textId="77777777" w:rsidR="005C081F" w:rsidRPr="005C081F" w:rsidRDefault="005C081F" w:rsidP="005C081F">
            <w:pPr>
              <w:spacing w:after="160"/>
              <w:rPr>
                <w:lang w:val="en-GB"/>
              </w:rPr>
            </w:pPr>
            <w:r w:rsidRPr="005C081F">
              <w:rPr>
                <w:lang w:val="en-GB"/>
              </w:rPr>
              <w:t>Gaps in exhibition, attendee disappointment</w:t>
            </w:r>
          </w:p>
        </w:tc>
        <w:tc>
          <w:tcPr>
            <w:tcW w:w="1204" w:type="dxa"/>
            <w:hideMark/>
          </w:tcPr>
          <w:p w14:paraId="1FAD25C9" w14:textId="77777777" w:rsidR="005C081F" w:rsidRPr="005C081F" w:rsidRDefault="005C081F" w:rsidP="005C081F">
            <w:pPr>
              <w:spacing w:after="160"/>
              <w:rPr>
                <w:lang w:val="en-GB"/>
              </w:rPr>
            </w:pPr>
            <w:r w:rsidRPr="005C081F">
              <w:rPr>
                <w:lang w:val="en-GB"/>
              </w:rPr>
              <w:t>High</w:t>
            </w:r>
          </w:p>
        </w:tc>
        <w:tc>
          <w:tcPr>
            <w:tcW w:w="1589" w:type="dxa"/>
            <w:hideMark/>
          </w:tcPr>
          <w:p w14:paraId="508F41EC" w14:textId="77777777" w:rsidR="005C081F" w:rsidRPr="005C081F" w:rsidRDefault="005C081F" w:rsidP="005C081F">
            <w:pPr>
              <w:spacing w:after="160"/>
              <w:rPr>
                <w:lang w:val="en-GB"/>
              </w:rPr>
            </w:pPr>
            <w:r w:rsidRPr="005C081F">
              <w:rPr>
                <w:lang w:val="en-GB"/>
              </w:rPr>
              <w:t>Clear contracts, incentives for commitment</w:t>
            </w:r>
          </w:p>
        </w:tc>
        <w:tc>
          <w:tcPr>
            <w:tcW w:w="3189" w:type="dxa"/>
            <w:hideMark/>
          </w:tcPr>
          <w:p w14:paraId="22E0D387" w14:textId="77777777" w:rsidR="005C081F" w:rsidRPr="005C081F" w:rsidRDefault="005C081F" w:rsidP="005C081F">
            <w:pPr>
              <w:spacing w:after="160"/>
              <w:rPr>
                <w:lang w:val="en-GB"/>
              </w:rPr>
            </w:pPr>
            <w:r w:rsidRPr="005C081F">
              <w:rPr>
                <w:lang w:val="en-GB"/>
              </w:rPr>
              <w:t>Replacement exhibitors, reallocation of space</w:t>
            </w:r>
          </w:p>
        </w:tc>
      </w:tr>
      <w:tr w:rsidR="005C081F" w:rsidRPr="005C081F" w14:paraId="6FD2EBB4" w14:textId="77777777" w:rsidTr="005C081F">
        <w:trPr>
          <w:trHeight w:val="901"/>
        </w:trPr>
        <w:tc>
          <w:tcPr>
            <w:tcW w:w="563" w:type="dxa"/>
            <w:hideMark/>
          </w:tcPr>
          <w:p w14:paraId="261F30D3" w14:textId="77777777" w:rsidR="005C081F" w:rsidRPr="005C081F" w:rsidRDefault="005C081F" w:rsidP="005C081F">
            <w:pPr>
              <w:spacing w:after="160"/>
              <w:rPr>
                <w:lang w:val="en-GB"/>
              </w:rPr>
            </w:pPr>
            <w:r w:rsidRPr="005C081F">
              <w:rPr>
                <w:lang w:val="en-GB"/>
              </w:rPr>
              <w:t>R5</w:t>
            </w:r>
          </w:p>
        </w:tc>
        <w:tc>
          <w:tcPr>
            <w:tcW w:w="1283" w:type="dxa"/>
            <w:hideMark/>
          </w:tcPr>
          <w:p w14:paraId="15A0D7A3" w14:textId="77777777" w:rsidR="005C081F" w:rsidRPr="005C081F" w:rsidRDefault="005C081F" w:rsidP="005C081F">
            <w:pPr>
              <w:spacing w:after="160"/>
              <w:rPr>
                <w:lang w:val="en-GB"/>
              </w:rPr>
            </w:pPr>
            <w:r w:rsidRPr="005C081F">
              <w:rPr>
                <w:lang w:val="en-GB"/>
              </w:rPr>
              <w:t>Regulatory Compliance</w:t>
            </w:r>
          </w:p>
        </w:tc>
        <w:tc>
          <w:tcPr>
            <w:tcW w:w="1576" w:type="dxa"/>
            <w:hideMark/>
          </w:tcPr>
          <w:p w14:paraId="567D388B" w14:textId="77777777" w:rsidR="005C081F" w:rsidRPr="005C081F" w:rsidRDefault="005C081F" w:rsidP="005C081F">
            <w:pPr>
              <w:spacing w:after="160"/>
              <w:rPr>
                <w:lang w:val="en-GB"/>
              </w:rPr>
            </w:pPr>
            <w:r w:rsidRPr="005C081F">
              <w:rPr>
                <w:lang w:val="en-GB"/>
              </w:rPr>
              <w:t>Fines, legal liabilities, reputational damage</w:t>
            </w:r>
          </w:p>
        </w:tc>
        <w:tc>
          <w:tcPr>
            <w:tcW w:w="1204" w:type="dxa"/>
            <w:hideMark/>
          </w:tcPr>
          <w:p w14:paraId="1CEF0C68" w14:textId="77777777" w:rsidR="005C081F" w:rsidRPr="005C081F" w:rsidRDefault="005C081F" w:rsidP="005C081F">
            <w:pPr>
              <w:spacing w:after="160"/>
              <w:rPr>
                <w:lang w:val="en-GB"/>
              </w:rPr>
            </w:pPr>
            <w:r w:rsidRPr="005C081F">
              <w:rPr>
                <w:lang w:val="en-GB"/>
              </w:rPr>
              <w:t>High</w:t>
            </w:r>
          </w:p>
        </w:tc>
        <w:tc>
          <w:tcPr>
            <w:tcW w:w="1589" w:type="dxa"/>
            <w:hideMark/>
          </w:tcPr>
          <w:p w14:paraId="19BBB871" w14:textId="77777777" w:rsidR="005C081F" w:rsidRPr="005C081F" w:rsidRDefault="005C081F" w:rsidP="005C081F">
            <w:pPr>
              <w:spacing w:after="160"/>
              <w:rPr>
                <w:lang w:val="en-GB"/>
              </w:rPr>
            </w:pPr>
            <w:r w:rsidRPr="005C081F">
              <w:rPr>
                <w:lang w:val="en-GB"/>
              </w:rPr>
              <w:t>Research, legal review, compliance protocols</w:t>
            </w:r>
          </w:p>
        </w:tc>
        <w:tc>
          <w:tcPr>
            <w:tcW w:w="3189" w:type="dxa"/>
            <w:hideMark/>
          </w:tcPr>
          <w:p w14:paraId="519F858A" w14:textId="77777777" w:rsidR="005C081F" w:rsidRPr="005C081F" w:rsidRDefault="005C081F" w:rsidP="005C081F">
            <w:pPr>
              <w:spacing w:after="160"/>
              <w:rPr>
                <w:lang w:val="en-GB"/>
              </w:rPr>
            </w:pPr>
            <w:r w:rsidRPr="005C081F">
              <w:rPr>
                <w:lang w:val="en-GB"/>
              </w:rPr>
              <w:t>Crisis communication, corrective actions</w:t>
            </w:r>
          </w:p>
        </w:tc>
      </w:tr>
      <w:tr w:rsidR="005C081F" w:rsidRPr="005C081F" w14:paraId="30461980" w14:textId="77777777" w:rsidTr="005C081F">
        <w:trPr>
          <w:trHeight w:val="1186"/>
        </w:trPr>
        <w:tc>
          <w:tcPr>
            <w:tcW w:w="563" w:type="dxa"/>
            <w:hideMark/>
          </w:tcPr>
          <w:p w14:paraId="09A939CD" w14:textId="77777777" w:rsidR="005C081F" w:rsidRPr="005C081F" w:rsidRDefault="005C081F" w:rsidP="005C081F">
            <w:pPr>
              <w:spacing w:after="160"/>
              <w:rPr>
                <w:lang w:val="en-GB"/>
              </w:rPr>
            </w:pPr>
            <w:r w:rsidRPr="005C081F">
              <w:rPr>
                <w:lang w:val="en-GB"/>
              </w:rPr>
              <w:t>R6</w:t>
            </w:r>
          </w:p>
        </w:tc>
        <w:tc>
          <w:tcPr>
            <w:tcW w:w="1283" w:type="dxa"/>
            <w:hideMark/>
          </w:tcPr>
          <w:p w14:paraId="3C1B260B" w14:textId="77777777" w:rsidR="005C081F" w:rsidRPr="005C081F" w:rsidRDefault="005C081F" w:rsidP="005C081F">
            <w:pPr>
              <w:spacing w:after="160"/>
              <w:rPr>
                <w:lang w:val="en-GB"/>
              </w:rPr>
            </w:pPr>
            <w:r w:rsidRPr="005C081F">
              <w:rPr>
                <w:lang w:val="en-GB"/>
              </w:rPr>
              <w:t>Negative Publicity</w:t>
            </w:r>
          </w:p>
        </w:tc>
        <w:tc>
          <w:tcPr>
            <w:tcW w:w="1576" w:type="dxa"/>
            <w:hideMark/>
          </w:tcPr>
          <w:p w14:paraId="788F5327" w14:textId="77777777" w:rsidR="005C081F" w:rsidRPr="005C081F" w:rsidRDefault="005C081F" w:rsidP="005C081F">
            <w:pPr>
              <w:spacing w:after="160"/>
              <w:rPr>
                <w:lang w:val="en-GB"/>
              </w:rPr>
            </w:pPr>
            <w:r w:rsidRPr="005C081F">
              <w:rPr>
                <w:lang w:val="en-GB"/>
              </w:rPr>
              <w:t>Brand damage, stakeholder distrust</w:t>
            </w:r>
          </w:p>
        </w:tc>
        <w:tc>
          <w:tcPr>
            <w:tcW w:w="1204" w:type="dxa"/>
            <w:hideMark/>
          </w:tcPr>
          <w:p w14:paraId="2D75F33C" w14:textId="77777777" w:rsidR="005C081F" w:rsidRPr="005C081F" w:rsidRDefault="005C081F" w:rsidP="005C081F">
            <w:pPr>
              <w:spacing w:after="160"/>
              <w:rPr>
                <w:lang w:val="en-GB"/>
              </w:rPr>
            </w:pPr>
            <w:r w:rsidRPr="005C081F">
              <w:rPr>
                <w:lang w:val="en-GB"/>
              </w:rPr>
              <w:t>High</w:t>
            </w:r>
          </w:p>
        </w:tc>
        <w:tc>
          <w:tcPr>
            <w:tcW w:w="1589" w:type="dxa"/>
            <w:hideMark/>
          </w:tcPr>
          <w:p w14:paraId="21010636" w14:textId="77777777" w:rsidR="005C081F" w:rsidRPr="005C081F" w:rsidRDefault="005C081F" w:rsidP="005C081F">
            <w:pPr>
              <w:spacing w:after="160"/>
              <w:rPr>
                <w:lang w:val="en-GB"/>
              </w:rPr>
            </w:pPr>
            <w:r w:rsidRPr="005C081F">
              <w:rPr>
                <w:lang w:val="en-GB"/>
              </w:rPr>
              <w:t>Crisis communication plan, social media monitoring</w:t>
            </w:r>
          </w:p>
        </w:tc>
        <w:tc>
          <w:tcPr>
            <w:tcW w:w="3189" w:type="dxa"/>
            <w:hideMark/>
          </w:tcPr>
          <w:p w14:paraId="3F580F0C" w14:textId="77777777" w:rsidR="005C081F" w:rsidRPr="005C081F" w:rsidRDefault="005C081F" w:rsidP="005C081F">
            <w:pPr>
              <w:spacing w:after="160"/>
              <w:rPr>
                <w:lang w:val="en-GB"/>
              </w:rPr>
            </w:pPr>
            <w:r w:rsidRPr="005C081F">
              <w:rPr>
                <w:lang w:val="en-GB"/>
              </w:rPr>
              <w:t>Stakeholder engagement, corrective actions</w:t>
            </w:r>
          </w:p>
        </w:tc>
      </w:tr>
    </w:tbl>
    <w:p w14:paraId="358E3A83" w14:textId="77777777" w:rsidR="005C081F" w:rsidRPr="005C081F" w:rsidRDefault="005C081F" w:rsidP="005C081F"/>
    <w:p w14:paraId="1BCF6B2B" w14:textId="67BA06FC" w:rsidR="00E13EBB" w:rsidRDefault="00E13EBB" w:rsidP="00E13EBB">
      <w:pPr>
        <w:pStyle w:val="Titlu1"/>
      </w:pPr>
      <w:bookmarkStart w:id="7" w:name="_Toc165912776"/>
      <w:r w:rsidRPr="00E13EBB">
        <w:t>Clear Vision and Objectives</w:t>
      </w:r>
      <w:bookmarkEnd w:id="7"/>
    </w:p>
    <w:p w14:paraId="09FF02EA" w14:textId="3091AA72" w:rsidR="00E13EBB" w:rsidRDefault="00E13EBB" w:rsidP="005C081F">
      <w:r w:rsidRPr="00E13EBB">
        <w:t>Strategic planning provides a roadmap for defining clear objectives and a vision for the event.</w:t>
      </w:r>
      <w:r w:rsidR="005C081F">
        <w:t xml:space="preserve"> </w:t>
      </w:r>
      <w:r w:rsidRPr="00E13EBB">
        <w:t>It allows to articulate what it aims to achieve with Hospitality Tech Expo UK 2024, whether it's fostering innovation, facilitating networking, or driving business growth within the hospitality and technology sectors.</w:t>
      </w:r>
    </w:p>
    <w:p w14:paraId="346EDF96" w14:textId="2C826A85" w:rsidR="00E13EBB" w:rsidRDefault="00E13EBB" w:rsidP="00E13EBB">
      <w:pPr>
        <w:pStyle w:val="Titlu1"/>
      </w:pPr>
      <w:bookmarkStart w:id="8" w:name="_Toc165912777"/>
      <w:r w:rsidRPr="00E13EBB">
        <w:t>Conclusion</w:t>
      </w:r>
      <w:bookmarkEnd w:id="8"/>
    </w:p>
    <w:p w14:paraId="2D0CEBE5" w14:textId="67911ABC" w:rsidR="00E13EBB" w:rsidRDefault="00E13EBB" w:rsidP="00E13EBB">
      <w:r w:rsidRPr="00E13EBB">
        <w:t>The Hospitality Tech Expo UK, scheduled for 2024, is on course to set a pace for hospitality professionals who want to surpass competition in a digitalized environment. Through the critically assessing the feasibility factors outlined above, the event reveals its capacity to draw from a very diverse yet highly relevant audience, enlighten the participants with valuable insights and create a platform for mutual collaborations between the hospitality and technology sectors. By using the smart planning and fulfilment, Hospitality Tech Expo hopefully will make a good shift on to the UK hospitality industry’s market pointing the way for future advance.</w:t>
      </w:r>
      <w:r w:rsidR="009A7E42">
        <w:t xml:space="preserve"> </w:t>
      </w:r>
      <w:r w:rsidRPr="00E13EBB">
        <w:t>This proposal has focused precisely on the Hospitality Tech Expo that will be held at ExCeL London from 15-16th of October 2024 because the assignment requirements have been considered and you will be providing a presentation along with a PowerPoint slide.</w:t>
      </w:r>
    </w:p>
    <w:p w14:paraId="671A3BBB" w14:textId="77777777" w:rsidR="00E13EBB" w:rsidRDefault="00E13EBB" w:rsidP="00E13EBB">
      <w:r>
        <w:br w:type="page"/>
      </w:r>
    </w:p>
    <w:p w14:paraId="6B5DAA7B" w14:textId="6C0FD99F" w:rsidR="00E13EBB" w:rsidRDefault="00E13EBB" w:rsidP="00E13EBB">
      <w:pPr>
        <w:pStyle w:val="Titlu1"/>
      </w:pPr>
      <w:bookmarkStart w:id="9" w:name="_Toc165912778"/>
      <w:r w:rsidRPr="00E13EBB">
        <w:t>References</w:t>
      </w:r>
      <w:bookmarkEnd w:id="9"/>
    </w:p>
    <w:p w14:paraId="5BAADDB5" w14:textId="77777777" w:rsidR="00E13EBB" w:rsidRPr="00E13EBB" w:rsidRDefault="00E13EBB" w:rsidP="00020AEF">
      <w:pPr>
        <w:ind w:left="720" w:hanging="720"/>
      </w:pPr>
      <w:r w:rsidRPr="00E13EBB">
        <w:t>Filimonau, V., Ashton, M. and Stankov, U., 2024. Virtual spaces as the future of consumption in tourism, hospitality and events. Journal of Tourism Futures, 10(1), pp.110-115.</w:t>
      </w:r>
    </w:p>
    <w:p w14:paraId="45084990" w14:textId="77777777" w:rsidR="00E13EBB" w:rsidRPr="00E13EBB" w:rsidRDefault="00E13EBB" w:rsidP="00020AEF">
      <w:pPr>
        <w:ind w:left="720" w:hanging="720"/>
      </w:pPr>
      <w:r w:rsidRPr="00E13EBB">
        <w:t>Dwivedi, Y.K., Pandey, N., Currie, W. and Micu, A., 2024. Leveraging ChatGPT and other generative artificial intelligence (AI)-based applications in the hospitality and tourism industry: practices, challenges and research agenda. International Journal of Contemporary Hospitality Management, 36(1), pp.1-12.</w:t>
      </w:r>
    </w:p>
    <w:p w14:paraId="69FAE6DC" w14:textId="77777777" w:rsidR="00E13EBB" w:rsidRPr="00E13EBB" w:rsidRDefault="00E13EBB" w:rsidP="00020AEF">
      <w:pPr>
        <w:ind w:left="720" w:hanging="720"/>
      </w:pPr>
      <w:r w:rsidRPr="00E13EBB">
        <w:t>Lehto, X.Y., Kirillova, K., Wang, D. and Fu, X., 2024. Convergence of boundaries in tourism, hospitality, events, and leisure: defining the core and knowledge structure. Journal of Hospitality &amp; Tourism Research, 48(3), pp.407-419.</w:t>
      </w:r>
    </w:p>
    <w:p w14:paraId="5977860C" w14:textId="77777777" w:rsidR="00E13EBB" w:rsidRPr="00E13EBB" w:rsidRDefault="00E13EBB" w:rsidP="00020AEF">
      <w:pPr>
        <w:ind w:left="720" w:hanging="720"/>
      </w:pPr>
      <w:r w:rsidRPr="00E13EBB">
        <w:t>Ratna, S., Saide, S., Putri, A.M., Indrajit, R.E. and Muwardi, D., 2024. Digital transformation in tourism and hospitality industry: a literature review of blockchain, financial technology, and knowledge management. EuroMed Journal of Business, 19(1), pp.84-112.</w:t>
      </w:r>
    </w:p>
    <w:p w14:paraId="595E6B6D" w14:textId="77777777" w:rsidR="00E13EBB" w:rsidRPr="00E13EBB" w:rsidRDefault="00E13EBB" w:rsidP="00020AEF">
      <w:pPr>
        <w:ind w:left="720" w:hanging="720"/>
      </w:pPr>
      <w:r w:rsidRPr="00E13EBB">
        <w:t>Camilleri, M.A. ed., 2024. Tourism planning and destination marketing. Emerald Publishing Limited.</w:t>
      </w:r>
    </w:p>
    <w:p w14:paraId="164C121C" w14:textId="77777777" w:rsidR="00E13EBB" w:rsidRPr="00E13EBB" w:rsidRDefault="00E13EBB" w:rsidP="00020AEF">
      <w:pPr>
        <w:ind w:left="720" w:hanging="720"/>
      </w:pPr>
      <w:r w:rsidRPr="00E13EBB">
        <w:t>Wong, L.W., Tan, G.W.H., Ooi, K.B. and Dwivedi, Y., 2024. The role of institutional and self in the formation of trust in artificial intelligence technologies. Internet Research, 34(2), pp.343-370.</w:t>
      </w:r>
    </w:p>
    <w:p w14:paraId="6DFF5E22" w14:textId="7F5F8A05" w:rsidR="00E13EBB" w:rsidRDefault="00E13EBB" w:rsidP="00020AEF">
      <w:pPr>
        <w:ind w:left="720" w:hanging="720"/>
      </w:pPr>
      <w:r w:rsidRPr="00E13EBB">
        <w:t>Buhalis, D. and Moldavska, I., 2021. In-room voice-based AI digital assistants transforming on-site hotel services and guests’ experiences. In Information and Communication Technologies in Tourism 2021: Proceedings of the ENTER 2021 eTourism Conference, January 19–22, 2021 (pp. 30-44). Springer International Publishing.</w:t>
      </w:r>
    </w:p>
    <w:sectPr w:rsidR="00E13E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E4317"/>
    <w:multiLevelType w:val="hybridMultilevel"/>
    <w:tmpl w:val="24ECC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865326"/>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2" w15:restartNumberingAfterBreak="0">
    <w:nsid w:val="723A7738"/>
    <w:multiLevelType w:val="hybridMultilevel"/>
    <w:tmpl w:val="CE286226"/>
    <w:lvl w:ilvl="0" w:tplc="BA362C2E">
      <w:start w:val="1"/>
      <w:numFmt w:val="bullet"/>
      <w:lvlText w:val="•"/>
      <w:lvlJc w:val="left"/>
      <w:pPr>
        <w:tabs>
          <w:tab w:val="num" w:pos="720"/>
        </w:tabs>
        <w:ind w:left="720" w:hanging="360"/>
      </w:pPr>
      <w:rPr>
        <w:rFonts w:ascii="Times New Roman" w:hAnsi="Times New Roman" w:hint="default"/>
      </w:rPr>
    </w:lvl>
    <w:lvl w:ilvl="1" w:tplc="3EACA144" w:tentative="1">
      <w:start w:val="1"/>
      <w:numFmt w:val="bullet"/>
      <w:lvlText w:val="•"/>
      <w:lvlJc w:val="left"/>
      <w:pPr>
        <w:tabs>
          <w:tab w:val="num" w:pos="1440"/>
        </w:tabs>
        <w:ind w:left="1440" w:hanging="360"/>
      </w:pPr>
      <w:rPr>
        <w:rFonts w:ascii="Times New Roman" w:hAnsi="Times New Roman" w:hint="default"/>
      </w:rPr>
    </w:lvl>
    <w:lvl w:ilvl="2" w:tplc="5860CB0A" w:tentative="1">
      <w:start w:val="1"/>
      <w:numFmt w:val="bullet"/>
      <w:lvlText w:val="•"/>
      <w:lvlJc w:val="left"/>
      <w:pPr>
        <w:tabs>
          <w:tab w:val="num" w:pos="2160"/>
        </w:tabs>
        <w:ind w:left="2160" w:hanging="360"/>
      </w:pPr>
      <w:rPr>
        <w:rFonts w:ascii="Times New Roman" w:hAnsi="Times New Roman" w:hint="default"/>
      </w:rPr>
    </w:lvl>
    <w:lvl w:ilvl="3" w:tplc="C98A6494" w:tentative="1">
      <w:start w:val="1"/>
      <w:numFmt w:val="bullet"/>
      <w:lvlText w:val="•"/>
      <w:lvlJc w:val="left"/>
      <w:pPr>
        <w:tabs>
          <w:tab w:val="num" w:pos="2880"/>
        </w:tabs>
        <w:ind w:left="2880" w:hanging="360"/>
      </w:pPr>
      <w:rPr>
        <w:rFonts w:ascii="Times New Roman" w:hAnsi="Times New Roman" w:hint="default"/>
      </w:rPr>
    </w:lvl>
    <w:lvl w:ilvl="4" w:tplc="1A5EEECE" w:tentative="1">
      <w:start w:val="1"/>
      <w:numFmt w:val="bullet"/>
      <w:lvlText w:val="•"/>
      <w:lvlJc w:val="left"/>
      <w:pPr>
        <w:tabs>
          <w:tab w:val="num" w:pos="3600"/>
        </w:tabs>
        <w:ind w:left="3600" w:hanging="360"/>
      </w:pPr>
      <w:rPr>
        <w:rFonts w:ascii="Times New Roman" w:hAnsi="Times New Roman" w:hint="default"/>
      </w:rPr>
    </w:lvl>
    <w:lvl w:ilvl="5" w:tplc="DB38AF62" w:tentative="1">
      <w:start w:val="1"/>
      <w:numFmt w:val="bullet"/>
      <w:lvlText w:val="•"/>
      <w:lvlJc w:val="left"/>
      <w:pPr>
        <w:tabs>
          <w:tab w:val="num" w:pos="4320"/>
        </w:tabs>
        <w:ind w:left="4320" w:hanging="360"/>
      </w:pPr>
      <w:rPr>
        <w:rFonts w:ascii="Times New Roman" w:hAnsi="Times New Roman" w:hint="default"/>
      </w:rPr>
    </w:lvl>
    <w:lvl w:ilvl="6" w:tplc="BD8E7B1E" w:tentative="1">
      <w:start w:val="1"/>
      <w:numFmt w:val="bullet"/>
      <w:lvlText w:val="•"/>
      <w:lvlJc w:val="left"/>
      <w:pPr>
        <w:tabs>
          <w:tab w:val="num" w:pos="5040"/>
        </w:tabs>
        <w:ind w:left="5040" w:hanging="360"/>
      </w:pPr>
      <w:rPr>
        <w:rFonts w:ascii="Times New Roman" w:hAnsi="Times New Roman" w:hint="default"/>
      </w:rPr>
    </w:lvl>
    <w:lvl w:ilvl="7" w:tplc="8BA4BCE0" w:tentative="1">
      <w:start w:val="1"/>
      <w:numFmt w:val="bullet"/>
      <w:lvlText w:val="•"/>
      <w:lvlJc w:val="left"/>
      <w:pPr>
        <w:tabs>
          <w:tab w:val="num" w:pos="5760"/>
        </w:tabs>
        <w:ind w:left="5760" w:hanging="360"/>
      </w:pPr>
      <w:rPr>
        <w:rFonts w:ascii="Times New Roman" w:hAnsi="Times New Roman" w:hint="default"/>
      </w:rPr>
    </w:lvl>
    <w:lvl w:ilvl="8" w:tplc="63EEFA0E" w:tentative="1">
      <w:start w:val="1"/>
      <w:numFmt w:val="bullet"/>
      <w:lvlText w:val="•"/>
      <w:lvlJc w:val="left"/>
      <w:pPr>
        <w:tabs>
          <w:tab w:val="num" w:pos="6480"/>
        </w:tabs>
        <w:ind w:left="6480" w:hanging="360"/>
      </w:pPr>
      <w:rPr>
        <w:rFonts w:ascii="Times New Roman" w:hAnsi="Times New Roman" w:hint="default"/>
      </w:rPr>
    </w:lvl>
  </w:abstractNum>
  <w:num w:numId="1" w16cid:durableId="2045665337">
    <w:abstractNumId w:val="2"/>
  </w:num>
  <w:num w:numId="2" w16cid:durableId="1186627354">
    <w:abstractNumId w:val="0"/>
  </w:num>
  <w:num w:numId="3" w16cid:durableId="445777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EBB"/>
    <w:rsid w:val="00020AEF"/>
    <w:rsid w:val="000E7914"/>
    <w:rsid w:val="000F26EE"/>
    <w:rsid w:val="00165483"/>
    <w:rsid w:val="001B175A"/>
    <w:rsid w:val="00346557"/>
    <w:rsid w:val="00426601"/>
    <w:rsid w:val="005A4DAE"/>
    <w:rsid w:val="005C081F"/>
    <w:rsid w:val="0066382A"/>
    <w:rsid w:val="00880C15"/>
    <w:rsid w:val="009A7E42"/>
    <w:rsid w:val="00A2125E"/>
    <w:rsid w:val="00AA6B54"/>
    <w:rsid w:val="00AE6AC6"/>
    <w:rsid w:val="00D04924"/>
    <w:rsid w:val="00D14491"/>
    <w:rsid w:val="00DD0FAF"/>
    <w:rsid w:val="00E13EBB"/>
    <w:rsid w:val="00E774B8"/>
    <w:rsid w:val="00F036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21156E"/>
  <w15:chartTrackingRefBased/>
  <w15:docId w15:val="{4B43EC66-1AF2-49B1-874F-C6AC82728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EBB"/>
    <w:pPr>
      <w:spacing w:line="360" w:lineRule="auto"/>
      <w:jc w:val="both"/>
    </w:pPr>
    <w:rPr>
      <w:rFonts w:asciiTheme="majorBidi" w:hAnsiTheme="majorBidi" w:cstheme="majorBidi"/>
      <w:sz w:val="24"/>
      <w:szCs w:val="24"/>
    </w:rPr>
  </w:style>
  <w:style w:type="paragraph" w:styleId="Titlu1">
    <w:name w:val="heading 1"/>
    <w:basedOn w:val="Normal"/>
    <w:next w:val="Normal"/>
    <w:link w:val="Titlu1Caracter"/>
    <w:uiPriority w:val="9"/>
    <w:qFormat/>
    <w:rsid w:val="00E13EBB"/>
    <w:pPr>
      <w:numPr>
        <w:numId w:val="3"/>
      </w:numPr>
      <w:outlineLvl w:val="0"/>
    </w:pPr>
    <w:rPr>
      <w:b/>
      <w:bCs/>
    </w:rPr>
  </w:style>
  <w:style w:type="paragraph" w:styleId="Titlu2">
    <w:name w:val="heading 2"/>
    <w:basedOn w:val="Normal"/>
    <w:next w:val="Normal"/>
    <w:link w:val="Titlu2Caracter"/>
    <w:uiPriority w:val="9"/>
    <w:semiHidden/>
    <w:unhideWhenUsed/>
    <w:qFormat/>
    <w:rsid w:val="00E13EBB"/>
    <w:pPr>
      <w:keepNext/>
      <w:keepLines/>
      <w:numPr>
        <w:ilvl w:val="1"/>
        <w:numId w:val="3"/>
      </w:numPr>
      <w:spacing w:before="160" w:after="80"/>
      <w:outlineLvl w:val="1"/>
    </w:pPr>
    <w:rPr>
      <w:rFonts w:asciiTheme="majorHAnsi" w:eastAsiaTheme="majorEastAsia" w:hAnsiTheme="majorHAnsi"/>
      <w:color w:val="2E74B5" w:themeColor="accent1" w:themeShade="BF"/>
      <w:sz w:val="32"/>
      <w:szCs w:val="32"/>
    </w:rPr>
  </w:style>
  <w:style w:type="paragraph" w:styleId="Titlu3">
    <w:name w:val="heading 3"/>
    <w:basedOn w:val="Normal"/>
    <w:next w:val="Normal"/>
    <w:link w:val="Titlu3Caracter"/>
    <w:uiPriority w:val="9"/>
    <w:semiHidden/>
    <w:unhideWhenUsed/>
    <w:qFormat/>
    <w:rsid w:val="00E13EBB"/>
    <w:pPr>
      <w:keepNext/>
      <w:keepLines/>
      <w:numPr>
        <w:ilvl w:val="2"/>
        <w:numId w:val="3"/>
      </w:numPr>
      <w:spacing w:before="160" w:after="80"/>
      <w:outlineLvl w:val="2"/>
    </w:pPr>
    <w:rPr>
      <w:rFonts w:eastAsiaTheme="majorEastAsia"/>
      <w:color w:val="2E74B5" w:themeColor="accent1" w:themeShade="BF"/>
      <w:sz w:val="28"/>
      <w:szCs w:val="28"/>
    </w:rPr>
  </w:style>
  <w:style w:type="paragraph" w:styleId="Titlu4">
    <w:name w:val="heading 4"/>
    <w:basedOn w:val="Normal"/>
    <w:next w:val="Normal"/>
    <w:link w:val="Titlu4Caracter"/>
    <w:uiPriority w:val="9"/>
    <w:semiHidden/>
    <w:unhideWhenUsed/>
    <w:qFormat/>
    <w:rsid w:val="00E13EBB"/>
    <w:pPr>
      <w:keepNext/>
      <w:keepLines/>
      <w:numPr>
        <w:ilvl w:val="3"/>
        <w:numId w:val="3"/>
      </w:numPr>
      <w:spacing w:before="80" w:after="40"/>
      <w:outlineLvl w:val="3"/>
    </w:pPr>
    <w:rPr>
      <w:rFonts w:eastAsiaTheme="majorEastAsia"/>
      <w:i/>
      <w:iCs/>
      <w:color w:val="2E74B5" w:themeColor="accent1" w:themeShade="BF"/>
    </w:rPr>
  </w:style>
  <w:style w:type="paragraph" w:styleId="Titlu5">
    <w:name w:val="heading 5"/>
    <w:basedOn w:val="Normal"/>
    <w:next w:val="Normal"/>
    <w:link w:val="Titlu5Caracter"/>
    <w:uiPriority w:val="9"/>
    <w:semiHidden/>
    <w:unhideWhenUsed/>
    <w:qFormat/>
    <w:rsid w:val="00E13EBB"/>
    <w:pPr>
      <w:keepNext/>
      <w:keepLines/>
      <w:numPr>
        <w:ilvl w:val="4"/>
        <w:numId w:val="3"/>
      </w:numPr>
      <w:spacing w:before="80" w:after="40"/>
      <w:outlineLvl w:val="4"/>
    </w:pPr>
    <w:rPr>
      <w:rFonts w:eastAsiaTheme="majorEastAsia"/>
      <w:color w:val="2E74B5" w:themeColor="accent1" w:themeShade="BF"/>
    </w:rPr>
  </w:style>
  <w:style w:type="paragraph" w:styleId="Titlu6">
    <w:name w:val="heading 6"/>
    <w:basedOn w:val="Normal"/>
    <w:next w:val="Normal"/>
    <w:link w:val="Titlu6Caracter"/>
    <w:uiPriority w:val="9"/>
    <w:semiHidden/>
    <w:unhideWhenUsed/>
    <w:qFormat/>
    <w:rsid w:val="00E13EBB"/>
    <w:pPr>
      <w:keepNext/>
      <w:keepLines/>
      <w:numPr>
        <w:ilvl w:val="5"/>
        <w:numId w:val="3"/>
      </w:numPr>
      <w:spacing w:before="40" w:after="0"/>
      <w:outlineLvl w:val="5"/>
    </w:pPr>
    <w:rPr>
      <w:rFonts w:eastAsiaTheme="majorEastAsia"/>
      <w:i/>
      <w:iCs/>
      <w:color w:val="595959" w:themeColor="text1" w:themeTint="A6"/>
    </w:rPr>
  </w:style>
  <w:style w:type="paragraph" w:styleId="Titlu7">
    <w:name w:val="heading 7"/>
    <w:basedOn w:val="Normal"/>
    <w:next w:val="Normal"/>
    <w:link w:val="Titlu7Caracter"/>
    <w:uiPriority w:val="9"/>
    <w:semiHidden/>
    <w:unhideWhenUsed/>
    <w:qFormat/>
    <w:rsid w:val="00E13EBB"/>
    <w:pPr>
      <w:keepNext/>
      <w:keepLines/>
      <w:numPr>
        <w:ilvl w:val="6"/>
        <w:numId w:val="3"/>
      </w:numPr>
      <w:spacing w:before="40" w:after="0"/>
      <w:outlineLvl w:val="6"/>
    </w:pPr>
    <w:rPr>
      <w:rFonts w:eastAsiaTheme="majorEastAsia"/>
      <w:color w:val="595959" w:themeColor="text1" w:themeTint="A6"/>
    </w:rPr>
  </w:style>
  <w:style w:type="paragraph" w:styleId="Titlu8">
    <w:name w:val="heading 8"/>
    <w:basedOn w:val="Normal"/>
    <w:next w:val="Normal"/>
    <w:link w:val="Titlu8Caracter"/>
    <w:uiPriority w:val="9"/>
    <w:semiHidden/>
    <w:unhideWhenUsed/>
    <w:qFormat/>
    <w:rsid w:val="00E13EBB"/>
    <w:pPr>
      <w:keepNext/>
      <w:keepLines/>
      <w:numPr>
        <w:ilvl w:val="7"/>
        <w:numId w:val="3"/>
      </w:numPr>
      <w:spacing w:after="0"/>
      <w:outlineLvl w:val="7"/>
    </w:pPr>
    <w:rPr>
      <w:rFonts w:eastAsiaTheme="majorEastAsia"/>
      <w:i/>
      <w:iCs/>
      <w:color w:val="272727" w:themeColor="text1" w:themeTint="D8"/>
    </w:rPr>
  </w:style>
  <w:style w:type="paragraph" w:styleId="Titlu9">
    <w:name w:val="heading 9"/>
    <w:basedOn w:val="Normal"/>
    <w:next w:val="Normal"/>
    <w:link w:val="Titlu9Caracter"/>
    <w:uiPriority w:val="9"/>
    <w:semiHidden/>
    <w:unhideWhenUsed/>
    <w:qFormat/>
    <w:rsid w:val="00E13EBB"/>
    <w:pPr>
      <w:keepNext/>
      <w:keepLines/>
      <w:numPr>
        <w:ilvl w:val="8"/>
        <w:numId w:val="3"/>
      </w:numPr>
      <w:spacing w:after="0"/>
      <w:outlineLvl w:val="8"/>
    </w:pPr>
    <w:rPr>
      <w:rFonts w:eastAsiaTheme="majorEastAsia"/>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13EBB"/>
    <w:rPr>
      <w:rFonts w:asciiTheme="majorBidi" w:hAnsiTheme="majorBidi" w:cstheme="majorBidi"/>
      <w:b/>
      <w:bCs/>
      <w:sz w:val="24"/>
      <w:szCs w:val="24"/>
    </w:rPr>
  </w:style>
  <w:style w:type="character" w:customStyle="1" w:styleId="Titlu2Caracter">
    <w:name w:val="Titlu 2 Caracter"/>
    <w:basedOn w:val="Fontdeparagrafimplicit"/>
    <w:link w:val="Titlu2"/>
    <w:uiPriority w:val="9"/>
    <w:semiHidden/>
    <w:rsid w:val="00E13EBB"/>
    <w:rPr>
      <w:rFonts w:asciiTheme="majorHAnsi" w:eastAsiaTheme="majorEastAsia" w:hAnsiTheme="majorHAnsi" w:cstheme="majorBidi"/>
      <w:color w:val="2E74B5" w:themeColor="accent1" w:themeShade="BF"/>
      <w:sz w:val="32"/>
      <w:szCs w:val="32"/>
    </w:rPr>
  </w:style>
  <w:style w:type="character" w:customStyle="1" w:styleId="Titlu3Caracter">
    <w:name w:val="Titlu 3 Caracter"/>
    <w:basedOn w:val="Fontdeparagrafimplicit"/>
    <w:link w:val="Titlu3"/>
    <w:uiPriority w:val="9"/>
    <w:semiHidden/>
    <w:rsid w:val="00E13EBB"/>
    <w:rPr>
      <w:rFonts w:eastAsiaTheme="majorEastAsia" w:cstheme="majorBidi"/>
      <w:color w:val="2E74B5" w:themeColor="accent1" w:themeShade="BF"/>
      <w:sz w:val="28"/>
      <w:szCs w:val="28"/>
    </w:rPr>
  </w:style>
  <w:style w:type="character" w:customStyle="1" w:styleId="Titlu4Caracter">
    <w:name w:val="Titlu 4 Caracter"/>
    <w:basedOn w:val="Fontdeparagrafimplicit"/>
    <w:link w:val="Titlu4"/>
    <w:uiPriority w:val="9"/>
    <w:semiHidden/>
    <w:rsid w:val="00E13EBB"/>
    <w:rPr>
      <w:rFonts w:eastAsiaTheme="majorEastAsia" w:cstheme="majorBidi"/>
      <w:i/>
      <w:iCs/>
      <w:color w:val="2E74B5" w:themeColor="accent1" w:themeShade="BF"/>
    </w:rPr>
  </w:style>
  <w:style w:type="character" w:customStyle="1" w:styleId="Titlu5Caracter">
    <w:name w:val="Titlu 5 Caracter"/>
    <w:basedOn w:val="Fontdeparagrafimplicit"/>
    <w:link w:val="Titlu5"/>
    <w:uiPriority w:val="9"/>
    <w:semiHidden/>
    <w:rsid w:val="00E13EBB"/>
    <w:rPr>
      <w:rFonts w:eastAsiaTheme="majorEastAsia" w:cstheme="majorBidi"/>
      <w:color w:val="2E74B5" w:themeColor="accent1" w:themeShade="BF"/>
    </w:rPr>
  </w:style>
  <w:style w:type="character" w:customStyle="1" w:styleId="Titlu6Caracter">
    <w:name w:val="Titlu 6 Caracter"/>
    <w:basedOn w:val="Fontdeparagrafimplicit"/>
    <w:link w:val="Titlu6"/>
    <w:uiPriority w:val="9"/>
    <w:semiHidden/>
    <w:rsid w:val="00E13EB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13EB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13EB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13EBB"/>
    <w:rPr>
      <w:rFonts w:eastAsiaTheme="majorEastAsia" w:cstheme="majorBidi"/>
      <w:color w:val="272727" w:themeColor="text1" w:themeTint="D8"/>
    </w:rPr>
  </w:style>
  <w:style w:type="paragraph" w:styleId="Titlu">
    <w:name w:val="Title"/>
    <w:basedOn w:val="Normal"/>
    <w:next w:val="Normal"/>
    <w:link w:val="TitluCaracter"/>
    <w:uiPriority w:val="10"/>
    <w:qFormat/>
    <w:rsid w:val="00E13EBB"/>
    <w:pPr>
      <w:spacing w:after="80" w:line="240" w:lineRule="auto"/>
      <w:contextualSpacing/>
    </w:pPr>
    <w:rPr>
      <w:rFonts w:asciiTheme="majorHAnsi" w:eastAsiaTheme="majorEastAsia" w:hAnsiTheme="majorHAnsi"/>
      <w:spacing w:val="-10"/>
      <w:kern w:val="28"/>
      <w:sz w:val="56"/>
      <w:szCs w:val="56"/>
    </w:rPr>
  </w:style>
  <w:style w:type="character" w:customStyle="1" w:styleId="TitluCaracter">
    <w:name w:val="Titlu Caracter"/>
    <w:basedOn w:val="Fontdeparagrafimplicit"/>
    <w:link w:val="Titlu"/>
    <w:uiPriority w:val="10"/>
    <w:rsid w:val="00E13EB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13EBB"/>
    <w:pPr>
      <w:numPr>
        <w:ilvl w:val="1"/>
      </w:numPr>
    </w:pPr>
    <w:rPr>
      <w:rFonts w:eastAsiaTheme="majorEastAsia"/>
      <w:color w:val="595959" w:themeColor="text1" w:themeTint="A6"/>
      <w:spacing w:val="15"/>
      <w:sz w:val="28"/>
      <w:szCs w:val="28"/>
    </w:rPr>
  </w:style>
  <w:style w:type="character" w:customStyle="1" w:styleId="SubtitluCaracter">
    <w:name w:val="Subtitlu Caracter"/>
    <w:basedOn w:val="Fontdeparagrafimplicit"/>
    <w:link w:val="Subtitlu"/>
    <w:uiPriority w:val="11"/>
    <w:rsid w:val="00E13EB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13EB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13EBB"/>
    <w:rPr>
      <w:i/>
      <w:iCs/>
      <w:color w:val="404040" w:themeColor="text1" w:themeTint="BF"/>
    </w:rPr>
  </w:style>
  <w:style w:type="paragraph" w:styleId="Listparagraf">
    <w:name w:val="List Paragraph"/>
    <w:basedOn w:val="Normal"/>
    <w:uiPriority w:val="34"/>
    <w:qFormat/>
    <w:rsid w:val="00E13EBB"/>
    <w:pPr>
      <w:ind w:left="720"/>
      <w:contextualSpacing/>
    </w:pPr>
  </w:style>
  <w:style w:type="character" w:styleId="Accentuareintens">
    <w:name w:val="Intense Emphasis"/>
    <w:basedOn w:val="Fontdeparagrafimplicit"/>
    <w:uiPriority w:val="21"/>
    <w:qFormat/>
    <w:rsid w:val="00E13EBB"/>
    <w:rPr>
      <w:i/>
      <w:iCs/>
      <w:color w:val="2E74B5" w:themeColor="accent1" w:themeShade="BF"/>
    </w:rPr>
  </w:style>
  <w:style w:type="paragraph" w:styleId="Citatintens">
    <w:name w:val="Intense Quote"/>
    <w:basedOn w:val="Normal"/>
    <w:next w:val="Normal"/>
    <w:link w:val="CitatintensCaracter"/>
    <w:uiPriority w:val="30"/>
    <w:qFormat/>
    <w:rsid w:val="00E13EB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CitatintensCaracter">
    <w:name w:val="Citat intens Caracter"/>
    <w:basedOn w:val="Fontdeparagrafimplicit"/>
    <w:link w:val="Citatintens"/>
    <w:uiPriority w:val="30"/>
    <w:rsid w:val="00E13EBB"/>
    <w:rPr>
      <w:i/>
      <w:iCs/>
      <w:color w:val="2E74B5" w:themeColor="accent1" w:themeShade="BF"/>
    </w:rPr>
  </w:style>
  <w:style w:type="character" w:styleId="Referireintens">
    <w:name w:val="Intense Reference"/>
    <w:basedOn w:val="Fontdeparagrafimplicit"/>
    <w:uiPriority w:val="32"/>
    <w:qFormat/>
    <w:rsid w:val="00E13EBB"/>
    <w:rPr>
      <w:b/>
      <w:bCs/>
      <w:smallCaps/>
      <w:color w:val="2E74B5" w:themeColor="accent1" w:themeShade="BF"/>
      <w:spacing w:val="5"/>
    </w:rPr>
  </w:style>
  <w:style w:type="paragraph" w:styleId="Titlucuprins">
    <w:name w:val="TOC Heading"/>
    <w:basedOn w:val="Titlu1"/>
    <w:next w:val="Normal"/>
    <w:uiPriority w:val="39"/>
    <w:unhideWhenUsed/>
    <w:qFormat/>
    <w:rsid w:val="00E13EBB"/>
    <w:pPr>
      <w:spacing w:before="240" w:after="0"/>
      <w:outlineLvl w:val="9"/>
    </w:pPr>
    <w:rPr>
      <w:kern w:val="0"/>
      <w:sz w:val="32"/>
      <w:szCs w:val="32"/>
      <w:lang w:val="en-GB" w:eastAsia="en-GB"/>
    </w:rPr>
  </w:style>
  <w:style w:type="table" w:styleId="Tabelprimar2">
    <w:name w:val="Plain Table 2"/>
    <w:basedOn w:val="TabelNormal"/>
    <w:uiPriority w:val="42"/>
    <w:rsid w:val="00E13EB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uprins1">
    <w:name w:val="toc 1"/>
    <w:basedOn w:val="Normal"/>
    <w:next w:val="Normal"/>
    <w:autoRedefine/>
    <w:uiPriority w:val="39"/>
    <w:unhideWhenUsed/>
    <w:rsid w:val="00E13EBB"/>
    <w:pPr>
      <w:spacing w:after="100"/>
    </w:pPr>
  </w:style>
  <w:style w:type="character" w:styleId="Hyperlink">
    <w:name w:val="Hyperlink"/>
    <w:basedOn w:val="Fontdeparagrafimplicit"/>
    <w:uiPriority w:val="99"/>
    <w:unhideWhenUsed/>
    <w:rsid w:val="00E13EBB"/>
    <w:rPr>
      <w:color w:val="0563C1" w:themeColor="hyperlink"/>
      <w:u w:val="single"/>
    </w:rPr>
  </w:style>
  <w:style w:type="table" w:styleId="Tabelgril">
    <w:name w:val="Table Grid"/>
    <w:basedOn w:val="TabelNormal"/>
    <w:uiPriority w:val="39"/>
    <w:rsid w:val="00E13E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76971">
      <w:bodyDiv w:val="1"/>
      <w:marLeft w:val="0"/>
      <w:marRight w:val="0"/>
      <w:marTop w:val="0"/>
      <w:marBottom w:val="0"/>
      <w:divBdr>
        <w:top w:val="none" w:sz="0" w:space="0" w:color="auto"/>
        <w:left w:val="none" w:sz="0" w:space="0" w:color="auto"/>
        <w:bottom w:val="none" w:sz="0" w:space="0" w:color="auto"/>
        <w:right w:val="none" w:sz="0" w:space="0" w:color="auto"/>
      </w:divBdr>
    </w:div>
    <w:div w:id="299657428">
      <w:bodyDiv w:val="1"/>
      <w:marLeft w:val="0"/>
      <w:marRight w:val="0"/>
      <w:marTop w:val="0"/>
      <w:marBottom w:val="0"/>
      <w:divBdr>
        <w:top w:val="none" w:sz="0" w:space="0" w:color="auto"/>
        <w:left w:val="none" w:sz="0" w:space="0" w:color="auto"/>
        <w:bottom w:val="none" w:sz="0" w:space="0" w:color="auto"/>
        <w:right w:val="none" w:sz="0" w:space="0" w:color="auto"/>
      </w:divBdr>
    </w:div>
    <w:div w:id="828711851">
      <w:bodyDiv w:val="1"/>
      <w:marLeft w:val="0"/>
      <w:marRight w:val="0"/>
      <w:marTop w:val="0"/>
      <w:marBottom w:val="0"/>
      <w:divBdr>
        <w:top w:val="none" w:sz="0" w:space="0" w:color="auto"/>
        <w:left w:val="none" w:sz="0" w:space="0" w:color="auto"/>
        <w:bottom w:val="none" w:sz="0" w:space="0" w:color="auto"/>
        <w:right w:val="none" w:sz="0" w:space="0" w:color="auto"/>
      </w:divBdr>
      <w:divsChild>
        <w:div w:id="233930460">
          <w:marLeft w:val="547"/>
          <w:marRight w:val="0"/>
          <w:marTop w:val="0"/>
          <w:marBottom w:val="0"/>
          <w:divBdr>
            <w:top w:val="none" w:sz="0" w:space="0" w:color="auto"/>
            <w:left w:val="none" w:sz="0" w:space="0" w:color="auto"/>
            <w:bottom w:val="none" w:sz="0" w:space="0" w:color="auto"/>
            <w:right w:val="none" w:sz="0" w:space="0" w:color="auto"/>
          </w:divBdr>
        </w:div>
        <w:div w:id="364718680">
          <w:marLeft w:val="547"/>
          <w:marRight w:val="0"/>
          <w:marTop w:val="0"/>
          <w:marBottom w:val="0"/>
          <w:divBdr>
            <w:top w:val="none" w:sz="0" w:space="0" w:color="auto"/>
            <w:left w:val="none" w:sz="0" w:space="0" w:color="auto"/>
            <w:bottom w:val="none" w:sz="0" w:space="0" w:color="auto"/>
            <w:right w:val="none" w:sz="0" w:space="0" w:color="auto"/>
          </w:divBdr>
        </w:div>
        <w:div w:id="960454359">
          <w:marLeft w:val="547"/>
          <w:marRight w:val="0"/>
          <w:marTop w:val="0"/>
          <w:marBottom w:val="0"/>
          <w:divBdr>
            <w:top w:val="none" w:sz="0" w:space="0" w:color="auto"/>
            <w:left w:val="none" w:sz="0" w:space="0" w:color="auto"/>
            <w:bottom w:val="none" w:sz="0" w:space="0" w:color="auto"/>
            <w:right w:val="none" w:sz="0" w:space="0" w:color="auto"/>
          </w:divBdr>
        </w:div>
        <w:div w:id="1358507429">
          <w:marLeft w:val="547"/>
          <w:marRight w:val="0"/>
          <w:marTop w:val="0"/>
          <w:marBottom w:val="0"/>
          <w:divBdr>
            <w:top w:val="none" w:sz="0" w:space="0" w:color="auto"/>
            <w:left w:val="none" w:sz="0" w:space="0" w:color="auto"/>
            <w:bottom w:val="none" w:sz="0" w:space="0" w:color="auto"/>
            <w:right w:val="none" w:sz="0" w:space="0" w:color="auto"/>
          </w:divBdr>
        </w:div>
      </w:divsChild>
    </w:div>
    <w:div w:id="957758411">
      <w:bodyDiv w:val="1"/>
      <w:marLeft w:val="0"/>
      <w:marRight w:val="0"/>
      <w:marTop w:val="0"/>
      <w:marBottom w:val="0"/>
      <w:divBdr>
        <w:top w:val="none" w:sz="0" w:space="0" w:color="auto"/>
        <w:left w:val="none" w:sz="0" w:space="0" w:color="auto"/>
        <w:bottom w:val="none" w:sz="0" w:space="0" w:color="auto"/>
        <w:right w:val="none" w:sz="0" w:space="0" w:color="auto"/>
      </w:divBdr>
      <w:divsChild>
        <w:div w:id="1931237146">
          <w:marLeft w:val="360"/>
          <w:marRight w:val="0"/>
          <w:marTop w:val="200"/>
          <w:marBottom w:val="0"/>
          <w:divBdr>
            <w:top w:val="none" w:sz="0" w:space="0" w:color="auto"/>
            <w:left w:val="none" w:sz="0" w:space="0" w:color="auto"/>
            <w:bottom w:val="none" w:sz="0" w:space="0" w:color="auto"/>
            <w:right w:val="none" w:sz="0" w:space="0" w:color="auto"/>
          </w:divBdr>
        </w:div>
        <w:div w:id="416756315">
          <w:marLeft w:val="360"/>
          <w:marRight w:val="0"/>
          <w:marTop w:val="200"/>
          <w:marBottom w:val="0"/>
          <w:divBdr>
            <w:top w:val="none" w:sz="0" w:space="0" w:color="auto"/>
            <w:left w:val="none" w:sz="0" w:space="0" w:color="auto"/>
            <w:bottom w:val="none" w:sz="0" w:space="0" w:color="auto"/>
            <w:right w:val="none" w:sz="0" w:space="0" w:color="auto"/>
          </w:divBdr>
        </w:div>
        <w:div w:id="1759786720">
          <w:marLeft w:val="360"/>
          <w:marRight w:val="0"/>
          <w:marTop w:val="200"/>
          <w:marBottom w:val="0"/>
          <w:divBdr>
            <w:top w:val="none" w:sz="0" w:space="0" w:color="auto"/>
            <w:left w:val="none" w:sz="0" w:space="0" w:color="auto"/>
            <w:bottom w:val="none" w:sz="0" w:space="0" w:color="auto"/>
            <w:right w:val="none" w:sz="0" w:space="0" w:color="auto"/>
          </w:divBdr>
        </w:div>
        <w:div w:id="1906989366">
          <w:marLeft w:val="360"/>
          <w:marRight w:val="0"/>
          <w:marTop w:val="200"/>
          <w:marBottom w:val="0"/>
          <w:divBdr>
            <w:top w:val="none" w:sz="0" w:space="0" w:color="auto"/>
            <w:left w:val="none" w:sz="0" w:space="0" w:color="auto"/>
            <w:bottom w:val="none" w:sz="0" w:space="0" w:color="auto"/>
            <w:right w:val="none" w:sz="0" w:space="0" w:color="auto"/>
          </w:divBdr>
        </w:div>
        <w:div w:id="1930186991">
          <w:marLeft w:val="360"/>
          <w:marRight w:val="0"/>
          <w:marTop w:val="200"/>
          <w:marBottom w:val="0"/>
          <w:divBdr>
            <w:top w:val="none" w:sz="0" w:space="0" w:color="auto"/>
            <w:left w:val="none" w:sz="0" w:space="0" w:color="auto"/>
            <w:bottom w:val="none" w:sz="0" w:space="0" w:color="auto"/>
            <w:right w:val="none" w:sz="0" w:space="0" w:color="auto"/>
          </w:divBdr>
        </w:div>
        <w:div w:id="1340502295">
          <w:marLeft w:val="360"/>
          <w:marRight w:val="0"/>
          <w:marTop w:val="200"/>
          <w:marBottom w:val="0"/>
          <w:divBdr>
            <w:top w:val="none" w:sz="0" w:space="0" w:color="auto"/>
            <w:left w:val="none" w:sz="0" w:space="0" w:color="auto"/>
            <w:bottom w:val="none" w:sz="0" w:space="0" w:color="auto"/>
            <w:right w:val="none" w:sz="0" w:space="0" w:color="auto"/>
          </w:divBdr>
        </w:div>
      </w:divsChild>
    </w:div>
    <w:div w:id="1409033483">
      <w:bodyDiv w:val="1"/>
      <w:marLeft w:val="0"/>
      <w:marRight w:val="0"/>
      <w:marTop w:val="0"/>
      <w:marBottom w:val="0"/>
      <w:divBdr>
        <w:top w:val="none" w:sz="0" w:space="0" w:color="auto"/>
        <w:left w:val="none" w:sz="0" w:space="0" w:color="auto"/>
        <w:bottom w:val="none" w:sz="0" w:space="0" w:color="auto"/>
        <w:right w:val="none" w:sz="0" w:space="0" w:color="auto"/>
      </w:divBdr>
    </w:div>
    <w:div w:id="200909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A0622-FA71-4DFC-A8BE-64F04E8063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1533</Words>
  <Characters>8894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Liliana Zaharia</cp:lastModifiedBy>
  <cp:revision>4</cp:revision>
  <dcterms:created xsi:type="dcterms:W3CDTF">2024-05-09T06:29:00Z</dcterms:created>
  <dcterms:modified xsi:type="dcterms:W3CDTF">2024-05-09T06:30:00Z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d8862c6a-bbec-4182-b61c-2c3dabba529f</vt:lpwstr>
  </property>
</Properties>
</file>