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55842B" w14:textId="72E2C2D3" w:rsidR="00A16813" w:rsidRDefault="00277EB4" w:rsidP="00A16813">
      <w:pPr>
        <w:rPr>
          <w:rFonts w:ascii="Arial" w:hAnsi="Arial" w:cs="Arial"/>
          <w:sz w:val="24"/>
          <w:szCs w:val="24"/>
        </w:rPr>
      </w:pPr>
      <w:r>
        <w:rPr>
          <w:rFonts w:ascii="Arial" w:hAnsi="Arial" w:cs="Arial"/>
          <w:sz w:val="24"/>
          <w:szCs w:val="24"/>
        </w:rPr>
        <w:t>T</w:t>
      </w:r>
      <w:r w:rsidR="00A16813">
        <w:rPr>
          <w:rFonts w:ascii="Arial" w:hAnsi="Arial" w:cs="Arial"/>
          <w:sz w:val="24"/>
          <w:szCs w:val="24"/>
        </w:rPr>
        <w:t xml:space="preserve">his essay will be </w:t>
      </w:r>
      <w:r>
        <w:rPr>
          <w:rFonts w:ascii="Arial" w:hAnsi="Arial" w:cs="Arial"/>
          <w:sz w:val="24"/>
          <w:szCs w:val="24"/>
        </w:rPr>
        <w:t>discuss</w:t>
      </w:r>
      <w:r w:rsidR="008A524D">
        <w:rPr>
          <w:rFonts w:ascii="Arial" w:hAnsi="Arial" w:cs="Arial"/>
          <w:sz w:val="24"/>
          <w:szCs w:val="24"/>
        </w:rPr>
        <w:t>ing</w:t>
      </w:r>
      <w:r w:rsidR="00A16813">
        <w:rPr>
          <w:rFonts w:ascii="Arial" w:hAnsi="Arial" w:cs="Arial"/>
          <w:sz w:val="24"/>
          <w:szCs w:val="24"/>
        </w:rPr>
        <w:t xml:space="preserve"> a section of chapter 44 in </w:t>
      </w:r>
      <w:proofErr w:type="spellStart"/>
      <w:proofErr w:type="gramStart"/>
      <w:r w:rsidR="00A16813">
        <w:rPr>
          <w:rFonts w:ascii="Arial" w:hAnsi="Arial" w:cs="Arial"/>
          <w:sz w:val="24"/>
          <w:szCs w:val="24"/>
        </w:rPr>
        <w:t>Gross,R</w:t>
      </w:r>
      <w:proofErr w:type="spellEnd"/>
      <w:proofErr w:type="gramEnd"/>
      <w:r w:rsidR="00A16813">
        <w:rPr>
          <w:rFonts w:ascii="Arial" w:hAnsi="Arial" w:cs="Arial"/>
          <w:sz w:val="24"/>
          <w:szCs w:val="24"/>
        </w:rPr>
        <w:t xml:space="preserve">, (2010) Psychology: The science of mind and behaviour. The section is schizophrenia. </w:t>
      </w:r>
      <w:proofErr w:type="spellStart"/>
      <w:r w:rsidR="00A16813">
        <w:rPr>
          <w:rFonts w:ascii="Arial" w:hAnsi="Arial" w:cs="Arial"/>
          <w:sz w:val="24"/>
          <w:szCs w:val="24"/>
        </w:rPr>
        <w:t>Kraeplin</w:t>
      </w:r>
      <w:proofErr w:type="spellEnd"/>
      <w:r w:rsidR="00A16813">
        <w:rPr>
          <w:rFonts w:ascii="Arial" w:hAnsi="Arial" w:cs="Arial"/>
          <w:sz w:val="24"/>
          <w:szCs w:val="24"/>
        </w:rPr>
        <w:t xml:space="preserve"> (1896) first named schizophrenia as dementia praecox. He believed that the common symptoms started in teenagers because of deteriorating mental issues. However, Bleuler (1911) studied people with symptoms of schizophrenia and noted that they did deteriorate but the illness started </w:t>
      </w:r>
      <w:proofErr w:type="gramStart"/>
      <w:r w:rsidR="00A16813">
        <w:rPr>
          <w:rFonts w:ascii="Arial" w:hAnsi="Arial" w:cs="Arial"/>
          <w:sz w:val="24"/>
          <w:szCs w:val="24"/>
        </w:rPr>
        <w:t>later on</w:t>
      </w:r>
      <w:proofErr w:type="gramEnd"/>
      <w:r w:rsidR="00A16813">
        <w:rPr>
          <w:rFonts w:ascii="Arial" w:hAnsi="Arial" w:cs="Arial"/>
          <w:sz w:val="24"/>
          <w:szCs w:val="24"/>
        </w:rPr>
        <w:t xml:space="preserve"> in adulthood. </w:t>
      </w:r>
      <w:proofErr w:type="spellStart"/>
      <w:proofErr w:type="gramStart"/>
      <w:r w:rsidR="00A16813">
        <w:rPr>
          <w:rFonts w:ascii="Arial" w:hAnsi="Arial" w:cs="Arial"/>
          <w:sz w:val="24"/>
          <w:szCs w:val="24"/>
        </w:rPr>
        <w:t>Gross,R</w:t>
      </w:r>
      <w:proofErr w:type="spellEnd"/>
      <w:proofErr w:type="gramEnd"/>
      <w:r w:rsidR="00A16813">
        <w:rPr>
          <w:rFonts w:ascii="Arial" w:hAnsi="Arial" w:cs="Arial"/>
          <w:sz w:val="24"/>
          <w:szCs w:val="24"/>
        </w:rPr>
        <w:t xml:space="preserve"> (2010) states that according to </w:t>
      </w:r>
      <w:proofErr w:type="spellStart"/>
      <w:r w:rsidR="00A16813">
        <w:rPr>
          <w:rFonts w:ascii="Arial" w:hAnsi="Arial" w:cs="Arial"/>
          <w:sz w:val="24"/>
          <w:szCs w:val="24"/>
        </w:rPr>
        <w:t>Schneiders</w:t>
      </w:r>
      <w:proofErr w:type="spellEnd"/>
      <w:r w:rsidR="00A16813">
        <w:rPr>
          <w:rFonts w:ascii="Arial" w:hAnsi="Arial" w:cs="Arial"/>
          <w:sz w:val="24"/>
          <w:szCs w:val="24"/>
        </w:rPr>
        <w:t xml:space="preserve"> (1959) symptoms of schizophrenia are passivity experiences, thought disturbances, auditory hallucinations and primary delusions. However, Slater and Roth, (1969) believe the main symptoms are thought process disorder, disturbance of affect, psychomotor disorders and lack of volition.</w:t>
      </w:r>
    </w:p>
    <w:p w14:paraId="60BC5171" w14:textId="2FBF4AD9" w:rsidR="00A16813" w:rsidRDefault="00A16813" w:rsidP="00A16813">
      <w:pPr>
        <w:rPr>
          <w:rFonts w:ascii="Arial" w:hAnsi="Arial" w:cs="Arial"/>
          <w:sz w:val="24"/>
          <w:szCs w:val="24"/>
        </w:rPr>
      </w:pPr>
      <w:r>
        <w:rPr>
          <w:rFonts w:ascii="Arial" w:hAnsi="Arial" w:cs="Arial"/>
          <w:sz w:val="24"/>
          <w:szCs w:val="24"/>
        </w:rPr>
        <w:t xml:space="preserve">      The majority of </w:t>
      </w:r>
      <w:proofErr w:type="spellStart"/>
      <w:r>
        <w:rPr>
          <w:rFonts w:ascii="Arial" w:hAnsi="Arial" w:cs="Arial"/>
          <w:sz w:val="24"/>
          <w:szCs w:val="24"/>
        </w:rPr>
        <w:t>schneiders</w:t>
      </w:r>
      <w:proofErr w:type="spellEnd"/>
      <w:r>
        <w:rPr>
          <w:rFonts w:ascii="Arial" w:hAnsi="Arial" w:cs="Arial"/>
          <w:sz w:val="24"/>
          <w:szCs w:val="24"/>
        </w:rPr>
        <w:t xml:space="preserve"> first rank symptoms are known as positive symptoms or type 1 symptoms. These symptoms are part of an acute episode which are beyond normal experiences (</w:t>
      </w:r>
      <w:proofErr w:type="spellStart"/>
      <w:r>
        <w:rPr>
          <w:rFonts w:ascii="Arial" w:hAnsi="Arial" w:cs="Arial"/>
          <w:sz w:val="24"/>
          <w:szCs w:val="24"/>
        </w:rPr>
        <w:t>Javitt</w:t>
      </w:r>
      <w:proofErr w:type="spellEnd"/>
      <w:r>
        <w:rPr>
          <w:rFonts w:ascii="Arial" w:hAnsi="Arial" w:cs="Arial"/>
          <w:sz w:val="24"/>
          <w:szCs w:val="24"/>
        </w:rPr>
        <w:t xml:space="preserve"> and Coyle 2004). According to Gross, R</w:t>
      </w:r>
      <w:r w:rsidR="00FB0FBE">
        <w:rPr>
          <w:rFonts w:ascii="Arial" w:hAnsi="Arial" w:cs="Arial"/>
          <w:sz w:val="24"/>
          <w:szCs w:val="24"/>
        </w:rPr>
        <w:t xml:space="preserve"> </w:t>
      </w:r>
      <w:r>
        <w:rPr>
          <w:rFonts w:ascii="Arial" w:hAnsi="Arial" w:cs="Arial"/>
          <w:sz w:val="24"/>
          <w:szCs w:val="24"/>
        </w:rPr>
        <w:t xml:space="preserve">(2010) patients have acute episodes and </w:t>
      </w:r>
      <w:proofErr w:type="spellStart"/>
      <w:r>
        <w:rPr>
          <w:rFonts w:ascii="Arial" w:hAnsi="Arial" w:cs="Arial"/>
          <w:sz w:val="24"/>
          <w:szCs w:val="24"/>
        </w:rPr>
        <w:t>inbetween</w:t>
      </w:r>
      <w:proofErr w:type="spellEnd"/>
      <w:r>
        <w:rPr>
          <w:rFonts w:ascii="Arial" w:hAnsi="Arial" w:cs="Arial"/>
          <w:sz w:val="24"/>
          <w:szCs w:val="24"/>
        </w:rPr>
        <w:t xml:space="preserve"> they will have less serious symptoms which are still debilitating to patients. The majority of Slater and Roth’s symptoms are negative symptoms. These are known as type 2 symptoms. These symptoms cause behavioural issues and last longer than an acute episode therefore having a major impact on a patient’s life.</w:t>
      </w:r>
    </w:p>
    <w:p w14:paraId="338D4494" w14:textId="77777777" w:rsidR="00A16813" w:rsidRDefault="00A16813" w:rsidP="00A16813">
      <w:pPr>
        <w:rPr>
          <w:rFonts w:ascii="Arial" w:hAnsi="Arial" w:cs="Arial"/>
          <w:sz w:val="24"/>
          <w:szCs w:val="24"/>
        </w:rPr>
      </w:pPr>
      <w:r>
        <w:rPr>
          <w:rFonts w:ascii="Arial" w:hAnsi="Arial" w:cs="Arial"/>
          <w:sz w:val="24"/>
          <w:szCs w:val="24"/>
        </w:rPr>
        <w:t xml:space="preserve">    According to Gross, R, (2010) there are 3 types of schizophrenia which are disorganised schizophrenia, catatonic schizophrenia and paranoid schizophrenia. Disorganised schizophrenia symptoms include low mood, disorganised thoughts, incoherent speech, </w:t>
      </w:r>
      <w:proofErr w:type="spellStart"/>
      <w:r>
        <w:rPr>
          <w:rFonts w:ascii="Arial" w:hAnsi="Arial" w:cs="Arial"/>
          <w:sz w:val="24"/>
          <w:szCs w:val="24"/>
        </w:rPr>
        <w:t>wreckless</w:t>
      </w:r>
      <w:proofErr w:type="spellEnd"/>
      <w:r>
        <w:rPr>
          <w:rFonts w:ascii="Arial" w:hAnsi="Arial" w:cs="Arial"/>
          <w:sz w:val="24"/>
          <w:szCs w:val="24"/>
        </w:rPr>
        <w:t xml:space="preserve"> behaviour and lack of hygiene. Catatonic schizophrenia symptoms include hyperactivity and reluctance to follow instructions. Patients can experience episodes of hallucinations that appear real to them. Paranoid schizophrenia symptoms also include </w:t>
      </w:r>
      <w:proofErr w:type="gramStart"/>
      <w:r>
        <w:rPr>
          <w:rFonts w:ascii="Arial" w:hAnsi="Arial" w:cs="Arial"/>
          <w:sz w:val="24"/>
          <w:szCs w:val="24"/>
        </w:rPr>
        <w:t>hallucinations</w:t>
      </w:r>
      <w:proofErr w:type="gramEnd"/>
      <w:r>
        <w:rPr>
          <w:rFonts w:ascii="Arial" w:hAnsi="Arial" w:cs="Arial"/>
          <w:sz w:val="24"/>
          <w:szCs w:val="24"/>
        </w:rPr>
        <w:t xml:space="preserve"> but patients are more verbal than the other types of schizophrenia. Patients may be agitated and aggressive (Davison and Neale,2001).</w:t>
      </w:r>
    </w:p>
    <w:p w14:paraId="4D8CA427" w14:textId="77777777" w:rsidR="00A16813" w:rsidRDefault="00A16813" w:rsidP="00A16813">
      <w:pPr>
        <w:rPr>
          <w:rFonts w:ascii="Arial" w:hAnsi="Arial" w:cs="Arial"/>
          <w:sz w:val="24"/>
          <w:szCs w:val="24"/>
        </w:rPr>
      </w:pPr>
      <w:r>
        <w:rPr>
          <w:rFonts w:ascii="Arial" w:hAnsi="Arial" w:cs="Arial"/>
          <w:sz w:val="24"/>
          <w:szCs w:val="24"/>
        </w:rPr>
        <w:t xml:space="preserve">     In Gross, R, (2010) he states that too much of the neurotransmitter dopamine is the cause of schizophrenia. This is called the dopamine hypothesis or DH. There are 3 main sources for this idea. The first is </w:t>
      </w:r>
      <w:proofErr w:type="gramStart"/>
      <w:r>
        <w:rPr>
          <w:rFonts w:ascii="Arial" w:hAnsi="Arial" w:cs="Arial"/>
          <w:sz w:val="24"/>
          <w:szCs w:val="24"/>
        </w:rPr>
        <w:t>post mortems</w:t>
      </w:r>
      <w:proofErr w:type="gramEnd"/>
      <w:r>
        <w:rPr>
          <w:rFonts w:ascii="Arial" w:hAnsi="Arial" w:cs="Arial"/>
          <w:sz w:val="24"/>
          <w:szCs w:val="24"/>
        </w:rPr>
        <w:t xml:space="preserve">. When performed on schizophrenics </w:t>
      </w:r>
      <w:proofErr w:type="gramStart"/>
      <w:r>
        <w:rPr>
          <w:rFonts w:ascii="Arial" w:hAnsi="Arial" w:cs="Arial"/>
          <w:sz w:val="24"/>
          <w:szCs w:val="24"/>
        </w:rPr>
        <w:t>post mortem</w:t>
      </w:r>
      <w:proofErr w:type="gramEnd"/>
      <w:r>
        <w:rPr>
          <w:rFonts w:ascii="Arial" w:hAnsi="Arial" w:cs="Arial"/>
          <w:sz w:val="24"/>
          <w:szCs w:val="24"/>
        </w:rPr>
        <w:t xml:space="preserve"> results show high levels of dopamine, (Iverson,1979). The second is anti-schizophrenic drugs </w:t>
      </w:r>
      <w:proofErr w:type="spellStart"/>
      <w:r>
        <w:rPr>
          <w:rFonts w:ascii="Arial" w:hAnsi="Arial" w:cs="Arial"/>
          <w:sz w:val="24"/>
          <w:szCs w:val="24"/>
        </w:rPr>
        <w:t>e.g</w:t>
      </w:r>
      <w:proofErr w:type="spellEnd"/>
      <w:r>
        <w:rPr>
          <w:rFonts w:ascii="Arial" w:hAnsi="Arial" w:cs="Arial"/>
          <w:sz w:val="24"/>
          <w:szCs w:val="24"/>
        </w:rPr>
        <w:t xml:space="preserve"> chlorpromazine. This medication works by decreasing dopamine activity and creating side effects like the symptom of </w:t>
      </w:r>
      <w:proofErr w:type="spellStart"/>
      <w:r>
        <w:rPr>
          <w:rFonts w:ascii="Arial" w:hAnsi="Arial" w:cs="Arial"/>
          <w:sz w:val="24"/>
          <w:szCs w:val="24"/>
        </w:rPr>
        <w:t>parkinsons</w:t>
      </w:r>
      <w:proofErr w:type="spellEnd"/>
      <w:r>
        <w:rPr>
          <w:rFonts w:ascii="Arial" w:hAnsi="Arial" w:cs="Arial"/>
          <w:sz w:val="24"/>
          <w:szCs w:val="24"/>
        </w:rPr>
        <w:t xml:space="preserve"> disease, (Gross,2010). The third is that large doses of L-dopa which is medication used to treat </w:t>
      </w:r>
      <w:proofErr w:type="spellStart"/>
      <w:r>
        <w:rPr>
          <w:rFonts w:ascii="Arial" w:hAnsi="Arial" w:cs="Arial"/>
          <w:sz w:val="24"/>
          <w:szCs w:val="24"/>
        </w:rPr>
        <w:t>parkinsons</w:t>
      </w:r>
      <w:proofErr w:type="spellEnd"/>
      <w:r>
        <w:rPr>
          <w:rFonts w:ascii="Arial" w:hAnsi="Arial" w:cs="Arial"/>
          <w:sz w:val="24"/>
          <w:szCs w:val="24"/>
        </w:rPr>
        <w:t xml:space="preserve"> disease produces symptoms very similar to schizophrenia. This drug increases dopamine levels which therefore increases the initiation and control of movement, (Gross,2010).</w:t>
      </w:r>
    </w:p>
    <w:p w14:paraId="27824376" w14:textId="6F6DB260" w:rsidR="00A16813" w:rsidRDefault="00A16813" w:rsidP="00A16813">
      <w:pPr>
        <w:rPr>
          <w:rFonts w:ascii="Arial" w:hAnsi="Arial" w:cs="Arial"/>
          <w:sz w:val="24"/>
          <w:szCs w:val="24"/>
        </w:rPr>
      </w:pPr>
      <w:r>
        <w:rPr>
          <w:rFonts w:ascii="Arial" w:hAnsi="Arial" w:cs="Arial"/>
          <w:sz w:val="24"/>
          <w:szCs w:val="24"/>
        </w:rPr>
        <w:t xml:space="preserve">     In conclusion, the evidence is inconclusive. There is not any obvious difference in dopamine levels between schizophrenics that are drug free and people that do not have schizophrenia, (Jackson 1986). If dopamine were found to be a cause, this may only be due to other factors such as abnormal home life which then causes dopamine levels to rise, triggering schizophrenic symptoms, (Lloyd et al., 1984). The dopamine hypothesis can’t be used as a full explanation because it takes a few </w:t>
      </w:r>
      <w:r>
        <w:rPr>
          <w:rFonts w:ascii="Arial" w:hAnsi="Arial" w:cs="Arial"/>
          <w:sz w:val="24"/>
          <w:szCs w:val="24"/>
        </w:rPr>
        <w:lastRenderedPageBreak/>
        <w:t>weeks for anti-psychotic medication to decrease positive symptoms even though D2 receptors are blocked very quickly, (Davis,1978).</w:t>
      </w:r>
    </w:p>
    <w:p w14:paraId="5E60F52C" w14:textId="48AA9331" w:rsidR="005A5BF5" w:rsidRDefault="005A5BF5" w:rsidP="00A16813">
      <w:pPr>
        <w:rPr>
          <w:rFonts w:ascii="Arial" w:hAnsi="Arial" w:cs="Arial"/>
          <w:sz w:val="24"/>
          <w:szCs w:val="24"/>
        </w:rPr>
      </w:pPr>
    </w:p>
    <w:p w14:paraId="52DDA274" w14:textId="271C08FC" w:rsidR="005A5BF5" w:rsidRDefault="005A5BF5" w:rsidP="00A16813">
      <w:pPr>
        <w:rPr>
          <w:rFonts w:ascii="Arial" w:hAnsi="Arial" w:cs="Arial"/>
          <w:sz w:val="24"/>
          <w:szCs w:val="24"/>
        </w:rPr>
      </w:pPr>
      <w:r>
        <w:rPr>
          <w:rFonts w:ascii="Arial" w:hAnsi="Arial" w:cs="Arial"/>
          <w:sz w:val="24"/>
          <w:szCs w:val="24"/>
        </w:rPr>
        <w:t>Reference</w:t>
      </w:r>
      <w:r w:rsidR="00561E93">
        <w:rPr>
          <w:rFonts w:ascii="Arial" w:hAnsi="Arial" w:cs="Arial"/>
          <w:sz w:val="24"/>
          <w:szCs w:val="24"/>
        </w:rPr>
        <w:t>s.</w:t>
      </w:r>
      <w:bookmarkStart w:id="0" w:name="_GoBack"/>
      <w:bookmarkEnd w:id="0"/>
    </w:p>
    <w:p w14:paraId="799163BD" w14:textId="59AC52B4" w:rsidR="00561E93" w:rsidRDefault="00561E93" w:rsidP="00A16813">
      <w:pPr>
        <w:rPr>
          <w:rFonts w:ascii="Arial" w:hAnsi="Arial" w:cs="Arial"/>
          <w:sz w:val="24"/>
          <w:szCs w:val="24"/>
        </w:rPr>
      </w:pPr>
    </w:p>
    <w:p w14:paraId="42EDA5C6" w14:textId="5B6E70DB" w:rsidR="00561E93" w:rsidRPr="009656E4" w:rsidRDefault="00561E93" w:rsidP="00A16813">
      <w:pPr>
        <w:rPr>
          <w:rFonts w:ascii="Arial" w:hAnsi="Arial" w:cs="Arial"/>
          <w:sz w:val="24"/>
          <w:szCs w:val="24"/>
        </w:rPr>
      </w:pPr>
      <w:r w:rsidRPr="009656E4">
        <w:rPr>
          <w:rFonts w:ascii="Arial" w:hAnsi="Arial" w:cs="Arial"/>
          <w:sz w:val="24"/>
          <w:szCs w:val="24"/>
        </w:rPr>
        <w:t>Gross, R</w:t>
      </w:r>
      <w:r w:rsidR="005A5050" w:rsidRPr="009656E4">
        <w:rPr>
          <w:rFonts w:ascii="Arial" w:hAnsi="Arial" w:cs="Arial"/>
          <w:sz w:val="24"/>
          <w:szCs w:val="24"/>
        </w:rPr>
        <w:t xml:space="preserve">. (2010). </w:t>
      </w:r>
      <w:r w:rsidR="003474FF" w:rsidRPr="009656E4">
        <w:rPr>
          <w:rFonts w:ascii="Arial" w:hAnsi="Arial" w:cs="Arial"/>
          <w:i/>
          <w:iCs/>
          <w:sz w:val="24"/>
          <w:szCs w:val="24"/>
        </w:rPr>
        <w:t>Psychology</w:t>
      </w:r>
      <w:r w:rsidR="007A2F93" w:rsidRPr="009656E4">
        <w:rPr>
          <w:rFonts w:ascii="Arial" w:hAnsi="Arial" w:cs="Arial"/>
          <w:i/>
          <w:iCs/>
          <w:sz w:val="24"/>
          <w:szCs w:val="24"/>
        </w:rPr>
        <w:t>: The science of mind and behaviour</w:t>
      </w:r>
      <w:r w:rsidR="009656E4" w:rsidRPr="009656E4">
        <w:rPr>
          <w:rFonts w:ascii="Arial" w:hAnsi="Arial" w:cs="Arial"/>
          <w:sz w:val="24"/>
          <w:szCs w:val="24"/>
        </w:rPr>
        <w:t>. London: Hodder Education.</w:t>
      </w:r>
    </w:p>
    <w:p w14:paraId="28F0EE2A" w14:textId="77777777" w:rsidR="00A16813" w:rsidRPr="007D13EE" w:rsidRDefault="00A16813" w:rsidP="00A16813">
      <w:pPr>
        <w:rPr>
          <w:rFonts w:ascii="Arial" w:hAnsi="Arial" w:cs="Arial"/>
          <w:sz w:val="24"/>
          <w:szCs w:val="24"/>
        </w:rPr>
      </w:pPr>
    </w:p>
    <w:p w14:paraId="7E6A7F7C" w14:textId="7DD240F8" w:rsidR="004336B3" w:rsidRDefault="68531744" w:rsidP="68531744">
      <w:pPr>
        <w:jc w:val="center"/>
        <w:rPr>
          <w:rFonts w:ascii="Arial" w:eastAsia="Arial" w:hAnsi="Arial" w:cs="Arial"/>
          <w:sz w:val="24"/>
          <w:szCs w:val="24"/>
        </w:rPr>
      </w:pPr>
      <w:r w:rsidRPr="68531744">
        <w:rPr>
          <w:rFonts w:ascii="Arial" w:eastAsia="Arial" w:hAnsi="Arial" w:cs="Arial"/>
          <w:sz w:val="24"/>
          <w:szCs w:val="24"/>
        </w:rPr>
        <w:t>Journal 1</w:t>
      </w:r>
    </w:p>
    <w:p w14:paraId="7D248280" w14:textId="47D7BF8A" w:rsidR="004336B3" w:rsidRDefault="6353141D" w:rsidP="6599A265">
      <w:pPr>
        <w:rPr>
          <w:rFonts w:ascii="Arial" w:eastAsia="Arial" w:hAnsi="Arial" w:cs="Arial"/>
          <w:sz w:val="24"/>
          <w:szCs w:val="24"/>
        </w:rPr>
      </w:pPr>
      <w:r w:rsidRPr="6353141D">
        <w:rPr>
          <w:rFonts w:ascii="Arial" w:eastAsia="Arial" w:hAnsi="Arial" w:cs="Arial"/>
          <w:sz w:val="24"/>
          <w:szCs w:val="24"/>
        </w:rPr>
        <w:t>The definition of gambling is to bet money or an object of value on a game or sport in the hope of winning more back. (1) Gambling is socially accepted as an activity and offers jobs and other benefits to the economy including tax revenues. Extensive data and a huge body of literature was used to see if gambling is harmful and is it a growing public health issue in wales.</w:t>
      </w:r>
      <w:r w:rsidR="00F41D7B">
        <w:rPr>
          <w:rFonts w:ascii="Arial" w:eastAsia="Arial" w:hAnsi="Arial" w:cs="Arial"/>
          <w:sz w:val="24"/>
          <w:szCs w:val="24"/>
        </w:rPr>
        <w:t xml:space="preserve"> </w:t>
      </w:r>
      <w:r w:rsidRPr="6353141D">
        <w:rPr>
          <w:rFonts w:ascii="Arial" w:eastAsia="Arial" w:hAnsi="Arial" w:cs="Arial"/>
          <w:sz w:val="24"/>
          <w:szCs w:val="24"/>
        </w:rPr>
        <w:t>The 10</w:t>
      </w:r>
      <w:r w:rsidRPr="6353141D">
        <w:rPr>
          <w:rFonts w:ascii="Arial" w:eastAsia="Arial" w:hAnsi="Arial" w:cs="Arial"/>
          <w:sz w:val="24"/>
          <w:szCs w:val="24"/>
          <w:vertAlign w:val="superscript"/>
        </w:rPr>
        <w:t>th</w:t>
      </w:r>
      <w:r w:rsidRPr="6353141D">
        <w:rPr>
          <w:rFonts w:ascii="Arial" w:eastAsia="Arial" w:hAnsi="Arial" w:cs="Arial"/>
          <w:sz w:val="24"/>
          <w:szCs w:val="24"/>
        </w:rPr>
        <w:t xml:space="preserve"> highest gambling spend in the world is the U.K with 61% of people in wales having gambled in the last year. (8,9) In wales 30,000 people have reported having a problem with gambling. (11) Anxiety, depression, stress, alcohol and drug use have all been linked to gambling. (14) Gambling causes issues such as financial problems and the inability to concentrate at work. Gambling should be classified as an emerging public health issue in wales. Further work needs to be done to lower the level of harm on family, friends and society.</w:t>
      </w:r>
    </w:p>
    <w:p w14:paraId="2A789544" w14:textId="7C81A9DB" w:rsidR="6353141D" w:rsidRDefault="6353141D" w:rsidP="6353141D">
      <w:pPr>
        <w:rPr>
          <w:rFonts w:ascii="Arial" w:eastAsia="Arial" w:hAnsi="Arial" w:cs="Arial"/>
          <w:sz w:val="24"/>
          <w:szCs w:val="24"/>
        </w:rPr>
      </w:pPr>
    </w:p>
    <w:p w14:paraId="4F637A22" w14:textId="16A3F13D" w:rsidR="004336B3" w:rsidRDefault="6353141D" w:rsidP="6599A265">
      <w:pPr>
        <w:rPr>
          <w:rFonts w:ascii="Arial" w:eastAsia="Arial" w:hAnsi="Arial" w:cs="Arial"/>
          <w:sz w:val="24"/>
          <w:szCs w:val="24"/>
        </w:rPr>
      </w:pPr>
      <w:r w:rsidRPr="6353141D">
        <w:rPr>
          <w:rFonts w:ascii="Arial" w:eastAsia="Arial" w:hAnsi="Arial" w:cs="Arial"/>
          <w:sz w:val="24"/>
          <w:szCs w:val="24"/>
        </w:rPr>
        <w:t>References.</w:t>
      </w:r>
    </w:p>
    <w:p w14:paraId="4301E223" w14:textId="36D445CB" w:rsidR="004336B3" w:rsidRDefault="004336B3" w:rsidP="6353141D">
      <w:pPr>
        <w:rPr>
          <w:rFonts w:ascii="Arial" w:eastAsia="Arial" w:hAnsi="Arial" w:cs="Arial"/>
          <w:sz w:val="24"/>
          <w:szCs w:val="24"/>
        </w:rPr>
      </w:pPr>
    </w:p>
    <w:p w14:paraId="4A6AFEAA" w14:textId="058F88CE" w:rsidR="004336B3" w:rsidRDefault="6353141D" w:rsidP="6353141D">
      <w:pPr>
        <w:rPr>
          <w:rFonts w:ascii="Arial" w:eastAsia="Arial" w:hAnsi="Arial" w:cs="Arial"/>
          <w:sz w:val="24"/>
          <w:szCs w:val="24"/>
        </w:rPr>
      </w:pPr>
      <w:proofErr w:type="spellStart"/>
      <w:r w:rsidRPr="6353141D">
        <w:rPr>
          <w:rFonts w:ascii="Arial" w:eastAsia="Arial" w:hAnsi="Arial" w:cs="Arial"/>
          <w:sz w:val="24"/>
          <w:szCs w:val="24"/>
        </w:rPr>
        <w:t>Cowlishaw</w:t>
      </w:r>
      <w:proofErr w:type="spellEnd"/>
      <w:r w:rsidRPr="6353141D">
        <w:rPr>
          <w:rFonts w:ascii="Arial" w:eastAsia="Arial" w:hAnsi="Arial" w:cs="Arial"/>
          <w:sz w:val="24"/>
          <w:szCs w:val="24"/>
        </w:rPr>
        <w:t xml:space="preserve">, S., Kessler, D. Problem gambling in the UK: implications for health, psychosocial adjustment and health care utilization. </w:t>
      </w:r>
      <w:r w:rsidRPr="6353141D">
        <w:rPr>
          <w:rFonts w:ascii="Arial" w:eastAsia="Arial" w:hAnsi="Arial" w:cs="Arial"/>
          <w:i/>
          <w:iCs/>
          <w:sz w:val="24"/>
          <w:szCs w:val="24"/>
        </w:rPr>
        <w:t xml:space="preserve">Eur Addict Res </w:t>
      </w:r>
      <w:r w:rsidRPr="6353141D">
        <w:rPr>
          <w:rFonts w:ascii="Arial" w:eastAsia="Arial" w:hAnsi="Arial" w:cs="Arial"/>
          <w:sz w:val="24"/>
          <w:szCs w:val="24"/>
        </w:rPr>
        <w:t>2016; 22(2):90-8.</w:t>
      </w:r>
    </w:p>
    <w:p w14:paraId="39CF5A35" w14:textId="271C95CC" w:rsidR="6353141D" w:rsidRDefault="6353141D" w:rsidP="6353141D">
      <w:pPr>
        <w:rPr>
          <w:rFonts w:ascii="Arial" w:eastAsia="Arial" w:hAnsi="Arial" w:cs="Arial"/>
          <w:sz w:val="24"/>
          <w:szCs w:val="24"/>
        </w:rPr>
      </w:pPr>
    </w:p>
    <w:p w14:paraId="272F1544" w14:textId="70BD296D" w:rsidR="6353141D" w:rsidRDefault="6353141D" w:rsidP="6353141D">
      <w:pPr>
        <w:rPr>
          <w:rFonts w:ascii="Arial" w:eastAsia="Arial" w:hAnsi="Arial" w:cs="Arial"/>
          <w:sz w:val="24"/>
          <w:szCs w:val="24"/>
        </w:rPr>
      </w:pPr>
      <w:r w:rsidRPr="6353141D">
        <w:rPr>
          <w:rFonts w:ascii="Arial" w:eastAsia="Arial" w:hAnsi="Arial" w:cs="Arial"/>
          <w:sz w:val="24"/>
          <w:szCs w:val="24"/>
        </w:rPr>
        <w:t xml:space="preserve">The Economist. </w:t>
      </w:r>
      <w:r w:rsidRPr="6353141D">
        <w:rPr>
          <w:rFonts w:ascii="Arial" w:eastAsia="Arial" w:hAnsi="Arial" w:cs="Arial"/>
          <w:i/>
          <w:iCs/>
          <w:sz w:val="24"/>
          <w:szCs w:val="24"/>
        </w:rPr>
        <w:t xml:space="preserve">The World’s Biggest Gamblers. </w:t>
      </w:r>
      <w:hyperlink r:id="rId4">
        <w:r w:rsidRPr="6353141D">
          <w:rPr>
            <w:rStyle w:val="Hyperlink"/>
            <w:rFonts w:ascii="Arial" w:eastAsia="Arial" w:hAnsi="Arial" w:cs="Arial"/>
            <w:sz w:val="24"/>
            <w:szCs w:val="24"/>
          </w:rPr>
          <w:t>Https://www.economist.com/blogs/graphicdetail/2017/02/daily-chart-4</w:t>
        </w:r>
      </w:hyperlink>
      <w:r w:rsidRPr="6353141D">
        <w:rPr>
          <w:rFonts w:ascii="Arial" w:eastAsia="Arial" w:hAnsi="Arial" w:cs="Arial"/>
          <w:sz w:val="24"/>
          <w:szCs w:val="24"/>
        </w:rPr>
        <w:t>. (6 September 2017, date last accessed).</w:t>
      </w:r>
    </w:p>
    <w:p w14:paraId="6277C501" w14:textId="6C7A0E78" w:rsidR="004336B3" w:rsidRDefault="004336B3" w:rsidP="6599A265">
      <w:pPr>
        <w:rPr>
          <w:rFonts w:ascii="Arial" w:eastAsia="Arial" w:hAnsi="Arial" w:cs="Arial"/>
          <w:sz w:val="24"/>
          <w:szCs w:val="24"/>
        </w:rPr>
      </w:pPr>
    </w:p>
    <w:p w14:paraId="2599165B" w14:textId="6FBCD3DB" w:rsidR="004336B3" w:rsidRDefault="6353141D" w:rsidP="6353141D">
      <w:pPr>
        <w:rPr>
          <w:rFonts w:ascii="Arial" w:eastAsia="Arial" w:hAnsi="Arial" w:cs="Arial"/>
          <w:sz w:val="24"/>
          <w:szCs w:val="24"/>
        </w:rPr>
      </w:pPr>
      <w:r w:rsidRPr="6353141D">
        <w:rPr>
          <w:rFonts w:ascii="Arial" w:eastAsia="Arial" w:hAnsi="Arial" w:cs="Arial"/>
          <w:sz w:val="24"/>
          <w:szCs w:val="24"/>
        </w:rPr>
        <w:t xml:space="preserve">Thorley, C., Stirling, A., Huynh, E. Cards on the Table-The Cost to Government Associated </w:t>
      </w:r>
      <w:proofErr w:type="gramStart"/>
      <w:r w:rsidRPr="6353141D">
        <w:rPr>
          <w:rFonts w:ascii="Arial" w:eastAsia="Arial" w:hAnsi="Arial" w:cs="Arial"/>
          <w:sz w:val="24"/>
          <w:szCs w:val="24"/>
        </w:rPr>
        <w:t>With</w:t>
      </w:r>
      <w:proofErr w:type="gramEnd"/>
      <w:r w:rsidRPr="6353141D">
        <w:rPr>
          <w:rFonts w:ascii="Arial" w:eastAsia="Arial" w:hAnsi="Arial" w:cs="Arial"/>
          <w:sz w:val="24"/>
          <w:szCs w:val="24"/>
        </w:rPr>
        <w:t xml:space="preserve"> People who are Problem Gamblers in Britain. IPPR Report. 2016.</w:t>
      </w:r>
    </w:p>
    <w:p w14:paraId="3A1CF39E" w14:textId="13083B17" w:rsidR="004336B3" w:rsidRDefault="004336B3" w:rsidP="6599A265">
      <w:pPr>
        <w:rPr>
          <w:rFonts w:ascii="Arial" w:eastAsia="Arial" w:hAnsi="Arial" w:cs="Arial"/>
          <w:sz w:val="24"/>
          <w:szCs w:val="24"/>
        </w:rPr>
      </w:pPr>
    </w:p>
    <w:p w14:paraId="5E3DF914" w14:textId="73E8244E" w:rsidR="6353141D" w:rsidRDefault="6353141D" w:rsidP="6353141D">
      <w:pPr>
        <w:rPr>
          <w:rFonts w:ascii="Arial" w:eastAsia="Arial" w:hAnsi="Arial" w:cs="Arial"/>
          <w:sz w:val="24"/>
          <w:szCs w:val="24"/>
        </w:rPr>
      </w:pPr>
      <w:proofErr w:type="spellStart"/>
      <w:r w:rsidRPr="6353141D">
        <w:rPr>
          <w:rFonts w:ascii="Arial" w:eastAsia="Arial" w:hAnsi="Arial" w:cs="Arial"/>
          <w:sz w:val="24"/>
          <w:szCs w:val="24"/>
        </w:rPr>
        <w:t>Volberg</w:t>
      </w:r>
      <w:proofErr w:type="spellEnd"/>
      <w:r w:rsidRPr="6353141D">
        <w:rPr>
          <w:rFonts w:ascii="Arial" w:eastAsia="Arial" w:hAnsi="Arial" w:cs="Arial"/>
          <w:sz w:val="24"/>
          <w:szCs w:val="24"/>
        </w:rPr>
        <w:t xml:space="preserve">, R.A., Williams, R.J. (2012). </w:t>
      </w:r>
      <w:r w:rsidRPr="6353141D">
        <w:rPr>
          <w:rFonts w:ascii="Arial" w:eastAsia="Arial" w:hAnsi="Arial" w:cs="Arial"/>
          <w:i/>
          <w:iCs/>
          <w:sz w:val="24"/>
          <w:szCs w:val="24"/>
        </w:rPr>
        <w:t xml:space="preserve">Developing a Short Form of the PGSI. Report to the Gambling Commission. </w:t>
      </w:r>
      <w:r w:rsidRPr="6353141D">
        <w:rPr>
          <w:rFonts w:ascii="Arial" w:eastAsia="Arial" w:hAnsi="Arial" w:cs="Arial"/>
          <w:sz w:val="24"/>
          <w:szCs w:val="24"/>
        </w:rPr>
        <w:t xml:space="preserve">Northampton, Massachusetts: Gemini Research. </w:t>
      </w:r>
      <w:hyperlink r:id="rId5">
        <w:r w:rsidRPr="6353141D">
          <w:rPr>
            <w:rStyle w:val="Hyperlink"/>
            <w:rFonts w:ascii="Arial" w:eastAsia="Arial" w:hAnsi="Arial" w:cs="Arial"/>
            <w:sz w:val="24"/>
            <w:szCs w:val="24"/>
          </w:rPr>
          <w:t>Http://www.gamblingcommission.gov.uk/PDF/survey-data/Developing-a-Short-Form-of-the-PGSI.pdf</w:t>
        </w:r>
      </w:hyperlink>
      <w:r w:rsidRPr="6353141D">
        <w:rPr>
          <w:rFonts w:ascii="Arial" w:eastAsia="Arial" w:hAnsi="Arial" w:cs="Arial"/>
          <w:sz w:val="24"/>
          <w:szCs w:val="24"/>
        </w:rPr>
        <w:t>.</w:t>
      </w:r>
    </w:p>
    <w:p w14:paraId="7EFF98B6" w14:textId="013E87C8" w:rsidR="6353141D" w:rsidRDefault="6353141D" w:rsidP="6353141D">
      <w:pPr>
        <w:rPr>
          <w:rFonts w:ascii="Arial" w:eastAsia="Arial" w:hAnsi="Arial" w:cs="Arial"/>
          <w:sz w:val="24"/>
          <w:szCs w:val="24"/>
        </w:rPr>
      </w:pPr>
    </w:p>
    <w:p w14:paraId="345976DB" w14:textId="426B34D3" w:rsidR="6353141D" w:rsidRDefault="6353141D" w:rsidP="6353141D">
      <w:pPr>
        <w:rPr>
          <w:rFonts w:ascii="Arial" w:eastAsia="Arial" w:hAnsi="Arial" w:cs="Arial"/>
          <w:sz w:val="24"/>
          <w:szCs w:val="24"/>
        </w:rPr>
      </w:pPr>
      <w:r w:rsidRPr="6353141D">
        <w:rPr>
          <w:rFonts w:ascii="Arial" w:eastAsia="Arial" w:hAnsi="Arial" w:cs="Arial"/>
          <w:sz w:val="24"/>
          <w:szCs w:val="24"/>
        </w:rPr>
        <w:t xml:space="preserve">Williams, R.J., </w:t>
      </w:r>
      <w:proofErr w:type="spellStart"/>
      <w:r w:rsidRPr="6353141D">
        <w:rPr>
          <w:rFonts w:ascii="Arial" w:eastAsia="Arial" w:hAnsi="Arial" w:cs="Arial"/>
          <w:sz w:val="24"/>
          <w:szCs w:val="24"/>
        </w:rPr>
        <w:t>Volberg</w:t>
      </w:r>
      <w:proofErr w:type="spellEnd"/>
      <w:r w:rsidRPr="6353141D">
        <w:rPr>
          <w:rFonts w:ascii="Arial" w:eastAsia="Arial" w:hAnsi="Arial" w:cs="Arial"/>
          <w:sz w:val="24"/>
          <w:szCs w:val="24"/>
        </w:rPr>
        <w:t xml:space="preserve">, R.A., Stevens, R.M.G., </w:t>
      </w:r>
      <w:r w:rsidRPr="6353141D">
        <w:rPr>
          <w:rFonts w:ascii="Arial" w:eastAsia="Arial" w:hAnsi="Arial" w:cs="Arial"/>
          <w:i/>
          <w:iCs/>
          <w:sz w:val="24"/>
          <w:szCs w:val="24"/>
        </w:rPr>
        <w:t xml:space="preserve">et al. </w:t>
      </w:r>
      <w:r w:rsidRPr="6353141D">
        <w:rPr>
          <w:rFonts w:ascii="Arial" w:eastAsia="Arial" w:hAnsi="Arial" w:cs="Arial"/>
          <w:sz w:val="24"/>
          <w:szCs w:val="24"/>
        </w:rPr>
        <w:t xml:space="preserve">The definition, </w:t>
      </w:r>
      <w:proofErr w:type="spellStart"/>
      <w:r w:rsidRPr="6353141D">
        <w:rPr>
          <w:rFonts w:ascii="Arial" w:eastAsia="Arial" w:hAnsi="Arial" w:cs="Arial"/>
          <w:sz w:val="24"/>
          <w:szCs w:val="24"/>
        </w:rPr>
        <w:t>Dimensionalization</w:t>
      </w:r>
      <w:proofErr w:type="spellEnd"/>
      <w:r w:rsidRPr="6353141D">
        <w:rPr>
          <w:rFonts w:ascii="Arial" w:eastAsia="Arial" w:hAnsi="Arial" w:cs="Arial"/>
          <w:sz w:val="24"/>
          <w:szCs w:val="24"/>
        </w:rPr>
        <w:t>, and Assessment of Gambling Participation. Report Prepared for the Canadian Consortium for Gambling Research. 2017.</w:t>
      </w:r>
    </w:p>
    <w:p w14:paraId="33604710" w14:textId="0396CEF5" w:rsidR="6353141D" w:rsidRDefault="6353141D" w:rsidP="6353141D">
      <w:pPr>
        <w:rPr>
          <w:rFonts w:ascii="Arial" w:eastAsia="Arial" w:hAnsi="Arial" w:cs="Arial"/>
          <w:sz w:val="24"/>
          <w:szCs w:val="24"/>
        </w:rPr>
      </w:pPr>
    </w:p>
    <w:p w14:paraId="42589F49" w14:textId="226870FB" w:rsidR="004336B3" w:rsidRDefault="004336B3" w:rsidP="6599A265">
      <w:pPr>
        <w:rPr>
          <w:rFonts w:ascii="Arial" w:eastAsia="Arial" w:hAnsi="Arial" w:cs="Arial"/>
          <w:sz w:val="24"/>
          <w:szCs w:val="24"/>
        </w:rPr>
      </w:pPr>
    </w:p>
    <w:p w14:paraId="313CBFC4" w14:textId="617264A0" w:rsidR="004336B3" w:rsidRDefault="004336B3" w:rsidP="6599A265">
      <w:pPr>
        <w:rPr>
          <w:rFonts w:ascii="Arial" w:eastAsia="Arial" w:hAnsi="Arial" w:cs="Arial"/>
          <w:sz w:val="24"/>
          <w:szCs w:val="24"/>
        </w:rPr>
      </w:pPr>
    </w:p>
    <w:p w14:paraId="549BA348" w14:textId="56ECD350" w:rsidR="004336B3" w:rsidRDefault="004336B3" w:rsidP="6599A265">
      <w:pPr>
        <w:jc w:val="center"/>
        <w:rPr>
          <w:rFonts w:ascii="Arial" w:eastAsia="Arial" w:hAnsi="Arial" w:cs="Arial"/>
          <w:sz w:val="24"/>
          <w:szCs w:val="24"/>
        </w:rPr>
      </w:pPr>
    </w:p>
    <w:p w14:paraId="7EBA9E3B" w14:textId="11E5112A" w:rsidR="004336B3" w:rsidRDefault="004336B3" w:rsidP="6599A265">
      <w:pPr>
        <w:jc w:val="center"/>
        <w:rPr>
          <w:rFonts w:ascii="Arial" w:eastAsia="Arial" w:hAnsi="Arial" w:cs="Arial"/>
          <w:sz w:val="24"/>
          <w:szCs w:val="24"/>
        </w:rPr>
      </w:pPr>
    </w:p>
    <w:p w14:paraId="4E1FCEA6" w14:textId="000AD296" w:rsidR="004336B3" w:rsidRDefault="6599A265" w:rsidP="6599A265">
      <w:pPr>
        <w:jc w:val="center"/>
        <w:rPr>
          <w:rFonts w:ascii="Arial" w:eastAsia="Arial" w:hAnsi="Arial" w:cs="Arial"/>
          <w:sz w:val="24"/>
          <w:szCs w:val="24"/>
        </w:rPr>
      </w:pPr>
      <w:r w:rsidRPr="6599A265">
        <w:rPr>
          <w:rFonts w:ascii="Arial" w:eastAsia="Arial" w:hAnsi="Arial" w:cs="Arial"/>
          <w:sz w:val="24"/>
          <w:szCs w:val="24"/>
        </w:rPr>
        <w:t>Journal 2</w:t>
      </w:r>
    </w:p>
    <w:p w14:paraId="013B95DC" w14:textId="16B8C64C" w:rsidR="004336B3" w:rsidRDefault="6599A265" w:rsidP="6599A265">
      <w:pPr>
        <w:rPr>
          <w:rFonts w:ascii="Arial" w:eastAsia="Arial" w:hAnsi="Arial" w:cs="Arial"/>
          <w:sz w:val="24"/>
          <w:szCs w:val="24"/>
        </w:rPr>
      </w:pPr>
      <w:r w:rsidRPr="6599A265">
        <w:rPr>
          <w:rFonts w:ascii="Arial" w:eastAsia="Arial" w:hAnsi="Arial" w:cs="Arial"/>
          <w:sz w:val="24"/>
          <w:szCs w:val="24"/>
        </w:rPr>
        <w:t>A huge amount of pressure is placed on females in America starting at a young age to portray as being sexy (American Psychological Association (APA), 2007; Levin &amp; Kilbourne, 2008; Zurbriggen &amp; Roberts, 2013). These standards are set through T.V and magazines (</w:t>
      </w:r>
      <w:proofErr w:type="spellStart"/>
      <w:r w:rsidRPr="6599A265">
        <w:rPr>
          <w:rFonts w:ascii="Arial" w:eastAsia="Arial" w:hAnsi="Arial" w:cs="Arial"/>
          <w:sz w:val="24"/>
          <w:szCs w:val="24"/>
        </w:rPr>
        <w:t>Murnen</w:t>
      </w:r>
      <w:proofErr w:type="spellEnd"/>
      <w:r w:rsidRPr="6599A265">
        <w:rPr>
          <w:rFonts w:ascii="Arial" w:eastAsia="Arial" w:hAnsi="Arial" w:cs="Arial"/>
          <w:sz w:val="24"/>
          <w:szCs w:val="24"/>
        </w:rPr>
        <w:t xml:space="preserve">, 2011; </w:t>
      </w:r>
      <w:proofErr w:type="spellStart"/>
      <w:r w:rsidRPr="6599A265">
        <w:rPr>
          <w:rFonts w:ascii="Arial" w:eastAsia="Arial" w:hAnsi="Arial" w:cs="Arial"/>
          <w:sz w:val="24"/>
          <w:szCs w:val="24"/>
        </w:rPr>
        <w:t>Murnen</w:t>
      </w:r>
      <w:proofErr w:type="spellEnd"/>
      <w:r w:rsidRPr="6599A265">
        <w:rPr>
          <w:rFonts w:ascii="Arial" w:eastAsia="Arial" w:hAnsi="Arial" w:cs="Arial"/>
          <w:sz w:val="24"/>
          <w:szCs w:val="24"/>
        </w:rPr>
        <w:t xml:space="preserve"> &amp; </w:t>
      </w:r>
      <w:proofErr w:type="spellStart"/>
      <w:r w:rsidRPr="6599A265">
        <w:rPr>
          <w:rFonts w:ascii="Arial" w:eastAsia="Arial" w:hAnsi="Arial" w:cs="Arial"/>
          <w:sz w:val="24"/>
          <w:szCs w:val="24"/>
        </w:rPr>
        <w:t>Smolak</w:t>
      </w:r>
      <w:proofErr w:type="spellEnd"/>
      <w:r w:rsidRPr="6599A265">
        <w:rPr>
          <w:rFonts w:ascii="Arial" w:eastAsia="Arial" w:hAnsi="Arial" w:cs="Arial"/>
          <w:sz w:val="24"/>
          <w:szCs w:val="24"/>
        </w:rPr>
        <w:t xml:space="preserve">, 2013; </w:t>
      </w:r>
      <w:proofErr w:type="spellStart"/>
      <w:r w:rsidRPr="6599A265">
        <w:rPr>
          <w:rFonts w:ascii="Arial" w:eastAsia="Arial" w:hAnsi="Arial" w:cs="Arial"/>
          <w:sz w:val="24"/>
          <w:szCs w:val="24"/>
        </w:rPr>
        <w:t>Tiggemann</w:t>
      </w:r>
      <w:proofErr w:type="spellEnd"/>
      <w:r w:rsidRPr="6599A265">
        <w:rPr>
          <w:rFonts w:ascii="Arial" w:eastAsia="Arial" w:hAnsi="Arial" w:cs="Arial"/>
          <w:sz w:val="24"/>
          <w:szCs w:val="24"/>
        </w:rPr>
        <w:t>, 2013). Benefits of following these trends are increased interest from the opposite sex and the costs are lower evaluations of intelligence (</w:t>
      </w:r>
      <w:proofErr w:type="spellStart"/>
      <w:r w:rsidRPr="6599A265">
        <w:rPr>
          <w:rFonts w:ascii="Arial" w:eastAsia="Arial" w:hAnsi="Arial" w:cs="Arial"/>
          <w:sz w:val="24"/>
          <w:szCs w:val="24"/>
        </w:rPr>
        <w:t>Murnen</w:t>
      </w:r>
      <w:proofErr w:type="spellEnd"/>
      <w:r w:rsidRPr="6599A265">
        <w:rPr>
          <w:rFonts w:ascii="Arial" w:eastAsia="Arial" w:hAnsi="Arial" w:cs="Arial"/>
          <w:sz w:val="24"/>
          <w:szCs w:val="24"/>
        </w:rPr>
        <w:t xml:space="preserve"> &amp; </w:t>
      </w:r>
      <w:proofErr w:type="spellStart"/>
      <w:r w:rsidRPr="6599A265">
        <w:rPr>
          <w:rFonts w:ascii="Arial" w:eastAsia="Arial" w:hAnsi="Arial" w:cs="Arial"/>
          <w:sz w:val="24"/>
          <w:szCs w:val="24"/>
        </w:rPr>
        <w:t>Smolak</w:t>
      </w:r>
      <w:proofErr w:type="spellEnd"/>
      <w:r w:rsidRPr="6599A265">
        <w:rPr>
          <w:rFonts w:ascii="Arial" w:eastAsia="Arial" w:hAnsi="Arial" w:cs="Arial"/>
          <w:sz w:val="24"/>
          <w:szCs w:val="24"/>
        </w:rPr>
        <w:t>, 2013). A range of 118 females was used in this study aged between 13 and 25 years old and a range of ethnic origin was reported. Consent was taken from participants over 18. Any participants under 18 parent consent was taken. Participants used Facebook during the week averaging nearly an hour per day. The time increased over the weekend. Participants that used Facebook 6-7 days per week spent roughly 62.99 weekday minutes increasing to 71.20 weekend minutes. Participants that used Facebook less than 5 days per week spent roughly 25.15 weekday minutes and 30.92 weekend minutes. This study found females that used a sexualised profile picture will be judged by other females as less attractive and less competent. More work needs to be done with young females to help them to think how they portray themselves on social media.</w:t>
      </w:r>
    </w:p>
    <w:p w14:paraId="292EC44C" w14:textId="2872E223" w:rsidR="004336B3" w:rsidRDefault="004336B3" w:rsidP="6599A265">
      <w:pPr>
        <w:rPr>
          <w:rFonts w:ascii="Arial" w:eastAsia="Arial" w:hAnsi="Arial" w:cs="Arial"/>
          <w:sz w:val="24"/>
          <w:szCs w:val="24"/>
        </w:rPr>
      </w:pPr>
    </w:p>
    <w:p w14:paraId="01C1C06C" w14:textId="3C4D1413" w:rsidR="004336B3" w:rsidRDefault="6353141D" w:rsidP="6599A265">
      <w:pPr>
        <w:rPr>
          <w:rFonts w:ascii="Arial" w:eastAsia="Arial" w:hAnsi="Arial" w:cs="Arial"/>
          <w:sz w:val="24"/>
          <w:szCs w:val="24"/>
        </w:rPr>
      </w:pPr>
      <w:r w:rsidRPr="6353141D">
        <w:rPr>
          <w:rFonts w:ascii="Arial" w:eastAsia="Arial" w:hAnsi="Arial" w:cs="Arial"/>
          <w:sz w:val="24"/>
          <w:szCs w:val="24"/>
        </w:rPr>
        <w:t>References.</w:t>
      </w:r>
    </w:p>
    <w:p w14:paraId="45EB1EDD" w14:textId="2064D600" w:rsidR="6353141D" w:rsidRDefault="6353141D" w:rsidP="6353141D">
      <w:pPr>
        <w:rPr>
          <w:rFonts w:ascii="Arial" w:eastAsia="Arial" w:hAnsi="Arial" w:cs="Arial"/>
          <w:sz w:val="24"/>
          <w:szCs w:val="24"/>
        </w:rPr>
      </w:pPr>
    </w:p>
    <w:p w14:paraId="25590C45" w14:textId="4C882818" w:rsidR="6353141D" w:rsidRDefault="6353141D" w:rsidP="6353141D">
      <w:pPr>
        <w:rPr>
          <w:rFonts w:ascii="Arial" w:eastAsia="Arial" w:hAnsi="Arial" w:cs="Arial"/>
          <w:i/>
          <w:iCs/>
          <w:sz w:val="24"/>
          <w:szCs w:val="24"/>
        </w:rPr>
      </w:pPr>
      <w:r w:rsidRPr="6353141D">
        <w:rPr>
          <w:rFonts w:ascii="Arial" w:eastAsia="Arial" w:hAnsi="Arial" w:cs="Arial"/>
          <w:sz w:val="24"/>
          <w:szCs w:val="24"/>
        </w:rPr>
        <w:t xml:space="preserve">American Psychological Association. Task Force on the Sexualisation of Girls. (2007). </w:t>
      </w:r>
      <w:r w:rsidRPr="6353141D">
        <w:rPr>
          <w:rFonts w:ascii="Arial" w:eastAsia="Arial" w:hAnsi="Arial" w:cs="Arial"/>
          <w:i/>
          <w:iCs/>
          <w:sz w:val="24"/>
          <w:szCs w:val="24"/>
        </w:rPr>
        <w:t xml:space="preserve">Report of the APA task force on the sexualisation of girls. </w:t>
      </w:r>
      <w:r w:rsidRPr="6353141D">
        <w:rPr>
          <w:rFonts w:ascii="Arial" w:eastAsia="Arial" w:hAnsi="Arial" w:cs="Arial"/>
          <w:sz w:val="24"/>
          <w:szCs w:val="24"/>
        </w:rPr>
        <w:t xml:space="preserve">Washington, DC: American Psychological Association. Retrieved from </w:t>
      </w:r>
      <w:hyperlink r:id="rId6">
        <w:r w:rsidRPr="6353141D">
          <w:rPr>
            <w:rStyle w:val="Hyperlink"/>
            <w:rFonts w:ascii="Arial" w:eastAsia="Arial" w:hAnsi="Arial" w:cs="Arial"/>
            <w:sz w:val="24"/>
            <w:szCs w:val="24"/>
          </w:rPr>
          <w:t>www.apa.org/pi/wpo/sexualisation.html</w:t>
        </w:r>
      </w:hyperlink>
      <w:r w:rsidRPr="6353141D">
        <w:rPr>
          <w:rFonts w:ascii="Arial" w:eastAsia="Arial" w:hAnsi="Arial" w:cs="Arial"/>
          <w:sz w:val="24"/>
          <w:szCs w:val="24"/>
        </w:rPr>
        <w:t xml:space="preserve">. </w:t>
      </w:r>
    </w:p>
    <w:p w14:paraId="3A450B4F" w14:textId="7721D8DD" w:rsidR="6353141D" w:rsidRDefault="6353141D" w:rsidP="6353141D">
      <w:pPr>
        <w:rPr>
          <w:rFonts w:ascii="Arial" w:eastAsia="Arial" w:hAnsi="Arial" w:cs="Arial"/>
          <w:sz w:val="24"/>
          <w:szCs w:val="24"/>
        </w:rPr>
      </w:pPr>
    </w:p>
    <w:p w14:paraId="0FB918BC" w14:textId="38D275A8" w:rsidR="6353141D" w:rsidRDefault="6353141D" w:rsidP="6353141D">
      <w:pPr>
        <w:rPr>
          <w:rFonts w:ascii="Arial" w:eastAsia="Arial" w:hAnsi="Arial" w:cs="Arial"/>
          <w:sz w:val="24"/>
          <w:szCs w:val="24"/>
        </w:rPr>
      </w:pPr>
      <w:r w:rsidRPr="6353141D">
        <w:rPr>
          <w:rFonts w:ascii="Arial" w:eastAsia="Arial" w:hAnsi="Arial" w:cs="Arial"/>
          <w:sz w:val="24"/>
          <w:szCs w:val="24"/>
        </w:rPr>
        <w:lastRenderedPageBreak/>
        <w:t xml:space="preserve">Levin, D.E., &amp; Kilbourne, J. (2008). </w:t>
      </w:r>
      <w:r w:rsidRPr="6353141D">
        <w:rPr>
          <w:rFonts w:ascii="Arial" w:eastAsia="Arial" w:hAnsi="Arial" w:cs="Arial"/>
          <w:i/>
          <w:iCs/>
          <w:sz w:val="24"/>
          <w:szCs w:val="24"/>
        </w:rPr>
        <w:t xml:space="preserve">So sexy so soon: The new sexualized childhood and what parents can do to protect their kids. </w:t>
      </w:r>
      <w:r w:rsidRPr="6353141D">
        <w:rPr>
          <w:rFonts w:ascii="Arial" w:eastAsia="Arial" w:hAnsi="Arial" w:cs="Arial"/>
          <w:sz w:val="24"/>
          <w:szCs w:val="24"/>
        </w:rPr>
        <w:t>New York, NY: Ballantine Books.</w:t>
      </w:r>
    </w:p>
    <w:p w14:paraId="5D3D0D9E" w14:textId="23F6A8EE" w:rsidR="6353141D" w:rsidRDefault="6353141D" w:rsidP="6353141D">
      <w:pPr>
        <w:rPr>
          <w:rFonts w:ascii="Arial" w:eastAsia="Arial" w:hAnsi="Arial" w:cs="Arial"/>
          <w:sz w:val="24"/>
          <w:szCs w:val="24"/>
        </w:rPr>
      </w:pPr>
    </w:p>
    <w:p w14:paraId="66CA1A8D" w14:textId="25F5948D" w:rsidR="6353141D" w:rsidRDefault="6353141D" w:rsidP="6353141D">
      <w:pPr>
        <w:rPr>
          <w:rFonts w:ascii="Arial" w:eastAsia="Arial" w:hAnsi="Arial" w:cs="Arial"/>
          <w:sz w:val="24"/>
          <w:szCs w:val="24"/>
        </w:rPr>
      </w:pPr>
      <w:proofErr w:type="spellStart"/>
      <w:r w:rsidRPr="6353141D">
        <w:rPr>
          <w:rFonts w:ascii="Arial" w:eastAsia="Arial" w:hAnsi="Arial" w:cs="Arial"/>
          <w:sz w:val="24"/>
          <w:szCs w:val="24"/>
        </w:rPr>
        <w:t>Murnen</w:t>
      </w:r>
      <w:proofErr w:type="spellEnd"/>
      <w:r w:rsidRPr="6353141D">
        <w:rPr>
          <w:rFonts w:ascii="Arial" w:eastAsia="Arial" w:hAnsi="Arial" w:cs="Arial"/>
          <w:sz w:val="24"/>
          <w:szCs w:val="24"/>
        </w:rPr>
        <w:t xml:space="preserve">, S.K. (2011). Gender and body images. In T.F. Cash &amp; L. </w:t>
      </w:r>
      <w:proofErr w:type="spellStart"/>
      <w:r w:rsidRPr="6353141D">
        <w:rPr>
          <w:rFonts w:ascii="Arial" w:eastAsia="Arial" w:hAnsi="Arial" w:cs="Arial"/>
          <w:sz w:val="24"/>
          <w:szCs w:val="24"/>
        </w:rPr>
        <w:t>Smolak</w:t>
      </w:r>
      <w:proofErr w:type="spellEnd"/>
      <w:r w:rsidRPr="6353141D">
        <w:rPr>
          <w:rFonts w:ascii="Arial" w:eastAsia="Arial" w:hAnsi="Arial" w:cs="Arial"/>
          <w:sz w:val="24"/>
          <w:szCs w:val="24"/>
        </w:rPr>
        <w:t xml:space="preserve"> (Eds.). </w:t>
      </w:r>
      <w:r w:rsidRPr="6353141D">
        <w:rPr>
          <w:rFonts w:ascii="Arial" w:eastAsia="Arial" w:hAnsi="Arial" w:cs="Arial"/>
          <w:i/>
          <w:iCs/>
          <w:sz w:val="24"/>
          <w:szCs w:val="24"/>
        </w:rPr>
        <w:t>Body image: A handbook of science, practice and prevention.</w:t>
      </w:r>
      <w:r w:rsidRPr="6353141D">
        <w:rPr>
          <w:rFonts w:ascii="Arial" w:eastAsia="Arial" w:hAnsi="Arial" w:cs="Arial"/>
          <w:sz w:val="24"/>
          <w:szCs w:val="24"/>
        </w:rPr>
        <w:t xml:space="preserve"> (2</w:t>
      </w:r>
      <w:r w:rsidRPr="6353141D">
        <w:rPr>
          <w:rFonts w:ascii="Arial" w:eastAsia="Arial" w:hAnsi="Arial" w:cs="Arial"/>
          <w:sz w:val="24"/>
          <w:szCs w:val="24"/>
          <w:vertAlign w:val="superscript"/>
        </w:rPr>
        <w:t>nd</w:t>
      </w:r>
      <w:r w:rsidRPr="6353141D">
        <w:rPr>
          <w:rFonts w:ascii="Arial" w:eastAsia="Arial" w:hAnsi="Arial" w:cs="Arial"/>
          <w:sz w:val="24"/>
          <w:szCs w:val="24"/>
        </w:rPr>
        <w:t xml:space="preserve"> ed., pp. 173-179). New York, NY: Guilford Press.</w:t>
      </w:r>
    </w:p>
    <w:p w14:paraId="5CF8AA86" w14:textId="4F60BA42" w:rsidR="6353141D" w:rsidRDefault="6353141D" w:rsidP="6353141D">
      <w:pPr>
        <w:rPr>
          <w:rFonts w:ascii="Arial" w:eastAsia="Arial" w:hAnsi="Arial" w:cs="Arial"/>
          <w:sz w:val="24"/>
          <w:szCs w:val="24"/>
        </w:rPr>
      </w:pPr>
    </w:p>
    <w:p w14:paraId="42313FA1" w14:textId="7CA21493" w:rsidR="68531744" w:rsidRDefault="68531744" w:rsidP="68531744">
      <w:pPr>
        <w:rPr>
          <w:rFonts w:ascii="Arial" w:eastAsia="Arial" w:hAnsi="Arial" w:cs="Arial"/>
          <w:sz w:val="24"/>
          <w:szCs w:val="24"/>
        </w:rPr>
      </w:pPr>
    </w:p>
    <w:p w14:paraId="05CDFE3D" w14:textId="44D686C4" w:rsidR="68531744" w:rsidRDefault="68531744" w:rsidP="68531744">
      <w:pPr>
        <w:rPr>
          <w:rFonts w:ascii="Arial" w:eastAsia="Arial" w:hAnsi="Arial" w:cs="Arial"/>
          <w:sz w:val="24"/>
          <w:szCs w:val="24"/>
        </w:rPr>
      </w:pPr>
    </w:p>
    <w:p w14:paraId="0D710EE0" w14:textId="54A56DD3" w:rsidR="68531744" w:rsidRDefault="68531744" w:rsidP="68531744">
      <w:pPr>
        <w:rPr>
          <w:rFonts w:ascii="Arial" w:eastAsia="Arial" w:hAnsi="Arial" w:cs="Arial"/>
          <w:sz w:val="24"/>
          <w:szCs w:val="24"/>
        </w:rPr>
      </w:pPr>
    </w:p>
    <w:p w14:paraId="5C593EDF" w14:textId="24E15F63" w:rsidR="6353141D" w:rsidRDefault="68531744" w:rsidP="68531744">
      <w:pPr>
        <w:rPr>
          <w:rFonts w:ascii="Arial" w:eastAsia="Arial" w:hAnsi="Arial" w:cs="Arial"/>
          <w:sz w:val="24"/>
          <w:szCs w:val="24"/>
        </w:rPr>
      </w:pPr>
      <w:proofErr w:type="spellStart"/>
      <w:r w:rsidRPr="68531744">
        <w:rPr>
          <w:rFonts w:ascii="Arial" w:eastAsia="Arial" w:hAnsi="Arial" w:cs="Arial"/>
          <w:sz w:val="24"/>
          <w:szCs w:val="24"/>
        </w:rPr>
        <w:t>Murnen</w:t>
      </w:r>
      <w:proofErr w:type="spellEnd"/>
      <w:r w:rsidRPr="68531744">
        <w:rPr>
          <w:rFonts w:ascii="Arial" w:eastAsia="Arial" w:hAnsi="Arial" w:cs="Arial"/>
          <w:sz w:val="24"/>
          <w:szCs w:val="24"/>
        </w:rPr>
        <w:t xml:space="preserve">, S.K., &amp; </w:t>
      </w:r>
      <w:proofErr w:type="spellStart"/>
      <w:r w:rsidRPr="68531744">
        <w:rPr>
          <w:rFonts w:ascii="Arial" w:eastAsia="Arial" w:hAnsi="Arial" w:cs="Arial"/>
          <w:sz w:val="24"/>
          <w:szCs w:val="24"/>
        </w:rPr>
        <w:t>Smolak</w:t>
      </w:r>
      <w:proofErr w:type="spellEnd"/>
      <w:r w:rsidRPr="68531744">
        <w:rPr>
          <w:rFonts w:ascii="Arial" w:eastAsia="Arial" w:hAnsi="Arial" w:cs="Arial"/>
          <w:sz w:val="24"/>
          <w:szCs w:val="24"/>
        </w:rPr>
        <w:t xml:space="preserve">, L. (2013). “I’d rather be a famous fashion model than a famous scientist:” The rewards and costs of internalized sexualisation. In E.L. Zurbriggen &amp; T.A. Roberts (Eds.). </w:t>
      </w:r>
      <w:r w:rsidRPr="68531744">
        <w:rPr>
          <w:rFonts w:ascii="Arial" w:eastAsia="Arial" w:hAnsi="Arial" w:cs="Arial"/>
          <w:i/>
          <w:iCs/>
          <w:sz w:val="24"/>
          <w:szCs w:val="24"/>
        </w:rPr>
        <w:t xml:space="preserve">The sexualisation of girls and girlhood: causes, consequences and resistance (pp. 235-253). </w:t>
      </w:r>
      <w:r w:rsidRPr="68531744">
        <w:rPr>
          <w:rFonts w:ascii="Arial" w:eastAsia="Arial" w:hAnsi="Arial" w:cs="Arial"/>
          <w:sz w:val="24"/>
          <w:szCs w:val="24"/>
        </w:rPr>
        <w:t>New York, NY: Oxford University Press.</w:t>
      </w:r>
    </w:p>
    <w:p w14:paraId="09748533" w14:textId="2054F726" w:rsidR="68531744" w:rsidRDefault="68531744" w:rsidP="68531744">
      <w:pPr>
        <w:rPr>
          <w:rFonts w:ascii="Arial" w:eastAsia="Arial" w:hAnsi="Arial" w:cs="Arial"/>
          <w:sz w:val="24"/>
          <w:szCs w:val="24"/>
        </w:rPr>
      </w:pPr>
    </w:p>
    <w:p w14:paraId="1E9D1598" w14:textId="03C5909A" w:rsidR="68531744" w:rsidRDefault="68531744" w:rsidP="68531744">
      <w:pPr>
        <w:rPr>
          <w:rFonts w:ascii="Arial" w:eastAsia="Arial" w:hAnsi="Arial" w:cs="Arial"/>
          <w:sz w:val="24"/>
          <w:szCs w:val="24"/>
        </w:rPr>
      </w:pPr>
      <w:proofErr w:type="spellStart"/>
      <w:r w:rsidRPr="68531744">
        <w:rPr>
          <w:rFonts w:ascii="Arial" w:eastAsia="Arial" w:hAnsi="Arial" w:cs="Arial"/>
          <w:sz w:val="24"/>
          <w:szCs w:val="24"/>
        </w:rPr>
        <w:t>Stankiewiez</w:t>
      </w:r>
      <w:proofErr w:type="spellEnd"/>
      <w:r w:rsidRPr="68531744">
        <w:rPr>
          <w:rFonts w:ascii="Arial" w:eastAsia="Arial" w:hAnsi="Arial" w:cs="Arial"/>
          <w:sz w:val="24"/>
          <w:szCs w:val="24"/>
        </w:rPr>
        <w:t xml:space="preserve">, J.M. &amp; </w:t>
      </w:r>
      <w:proofErr w:type="spellStart"/>
      <w:r w:rsidRPr="68531744">
        <w:rPr>
          <w:rFonts w:ascii="Arial" w:eastAsia="Arial" w:hAnsi="Arial" w:cs="Arial"/>
          <w:sz w:val="24"/>
          <w:szCs w:val="24"/>
        </w:rPr>
        <w:t>Rosselli</w:t>
      </w:r>
      <w:proofErr w:type="spellEnd"/>
      <w:r w:rsidRPr="68531744">
        <w:rPr>
          <w:rFonts w:ascii="Arial" w:eastAsia="Arial" w:hAnsi="Arial" w:cs="Arial"/>
          <w:sz w:val="24"/>
          <w:szCs w:val="24"/>
        </w:rPr>
        <w:t xml:space="preserve">, F. (2008). Women as sex objects and victims in print advertisements. </w:t>
      </w:r>
      <w:r w:rsidRPr="68531744">
        <w:rPr>
          <w:rFonts w:ascii="Arial" w:eastAsia="Arial" w:hAnsi="Arial" w:cs="Arial"/>
          <w:i/>
          <w:iCs/>
          <w:sz w:val="24"/>
          <w:szCs w:val="24"/>
        </w:rPr>
        <w:t xml:space="preserve">Sex Roles, 58, </w:t>
      </w:r>
      <w:r w:rsidRPr="68531744">
        <w:rPr>
          <w:rFonts w:ascii="Arial" w:eastAsia="Arial" w:hAnsi="Arial" w:cs="Arial"/>
          <w:sz w:val="24"/>
          <w:szCs w:val="24"/>
        </w:rPr>
        <w:t>579-589. Doi: 10.1007/s11199-007-9359-1.</w:t>
      </w:r>
    </w:p>
    <w:p w14:paraId="53C29C5A" w14:textId="01B0F616" w:rsidR="6353141D" w:rsidRDefault="6353141D" w:rsidP="6353141D">
      <w:pPr>
        <w:rPr>
          <w:rFonts w:ascii="Arial" w:eastAsia="Arial" w:hAnsi="Arial" w:cs="Arial"/>
          <w:sz w:val="24"/>
          <w:szCs w:val="24"/>
        </w:rPr>
      </w:pPr>
    </w:p>
    <w:p w14:paraId="391F2CC9" w14:textId="3F5A381C" w:rsidR="68531744" w:rsidRDefault="68531744" w:rsidP="68531744">
      <w:pPr>
        <w:rPr>
          <w:rFonts w:ascii="Arial" w:eastAsia="Arial" w:hAnsi="Arial" w:cs="Arial"/>
          <w:sz w:val="24"/>
          <w:szCs w:val="24"/>
        </w:rPr>
      </w:pPr>
      <w:proofErr w:type="spellStart"/>
      <w:r w:rsidRPr="68531744">
        <w:rPr>
          <w:rFonts w:ascii="Arial" w:eastAsia="Arial" w:hAnsi="Arial" w:cs="Arial"/>
          <w:sz w:val="24"/>
          <w:szCs w:val="24"/>
        </w:rPr>
        <w:t>Tiggemann</w:t>
      </w:r>
      <w:proofErr w:type="spellEnd"/>
      <w:r w:rsidRPr="68531744">
        <w:rPr>
          <w:rFonts w:ascii="Arial" w:eastAsia="Arial" w:hAnsi="Arial" w:cs="Arial"/>
          <w:sz w:val="24"/>
          <w:szCs w:val="24"/>
        </w:rPr>
        <w:t xml:space="preserve">, M. (2013). Teens, pre-teens and body image. In E.L. Zurbriggen &amp; T.A. Roberts (Eds.), </w:t>
      </w:r>
      <w:r w:rsidRPr="68531744">
        <w:rPr>
          <w:rFonts w:ascii="Arial" w:eastAsia="Arial" w:hAnsi="Arial" w:cs="Arial"/>
          <w:i/>
          <w:iCs/>
          <w:sz w:val="24"/>
          <w:szCs w:val="24"/>
        </w:rPr>
        <w:t xml:space="preserve">The sexualization of girls and girlhood: Causes, consequences and resistance </w:t>
      </w:r>
      <w:r w:rsidRPr="68531744">
        <w:rPr>
          <w:rFonts w:ascii="Arial" w:eastAsia="Arial" w:hAnsi="Arial" w:cs="Arial"/>
          <w:sz w:val="24"/>
          <w:szCs w:val="24"/>
        </w:rPr>
        <w:t>(pp. 197-212). New York, NY: Oxford University Press.</w:t>
      </w:r>
    </w:p>
    <w:p w14:paraId="50741568" w14:textId="6A1B7899" w:rsidR="6353141D" w:rsidRDefault="6353141D" w:rsidP="6353141D">
      <w:pPr>
        <w:rPr>
          <w:rFonts w:ascii="Arial" w:eastAsia="Arial" w:hAnsi="Arial" w:cs="Arial"/>
          <w:sz w:val="24"/>
          <w:szCs w:val="24"/>
        </w:rPr>
      </w:pPr>
    </w:p>
    <w:p w14:paraId="39BC1A9A" w14:textId="1CAE01CE" w:rsidR="6353141D" w:rsidRDefault="6353141D" w:rsidP="6353141D">
      <w:pPr>
        <w:rPr>
          <w:rFonts w:ascii="Arial" w:eastAsia="Arial" w:hAnsi="Arial" w:cs="Arial"/>
          <w:i/>
          <w:iCs/>
          <w:sz w:val="24"/>
          <w:szCs w:val="24"/>
        </w:rPr>
      </w:pPr>
      <w:r w:rsidRPr="6353141D">
        <w:rPr>
          <w:rFonts w:ascii="Arial" w:eastAsia="Arial" w:hAnsi="Arial" w:cs="Arial"/>
          <w:sz w:val="24"/>
          <w:szCs w:val="24"/>
        </w:rPr>
        <w:t xml:space="preserve">Zurbriggen, E.L., &amp; Roberts, T.A. (2013). </w:t>
      </w:r>
      <w:r w:rsidRPr="6353141D">
        <w:rPr>
          <w:rFonts w:ascii="Arial" w:eastAsia="Arial" w:hAnsi="Arial" w:cs="Arial"/>
          <w:i/>
          <w:iCs/>
          <w:sz w:val="24"/>
          <w:szCs w:val="24"/>
        </w:rPr>
        <w:t xml:space="preserve">The sexualization of girls and girlhood: Causes, Consequences and resistance. </w:t>
      </w:r>
      <w:r w:rsidRPr="6353141D">
        <w:rPr>
          <w:rFonts w:ascii="Arial" w:eastAsia="Arial" w:hAnsi="Arial" w:cs="Arial"/>
          <w:sz w:val="24"/>
          <w:szCs w:val="24"/>
        </w:rPr>
        <w:t>New York, NY: Oxford University Press.</w:t>
      </w:r>
    </w:p>
    <w:p w14:paraId="40BADB95" w14:textId="56877525" w:rsidR="004336B3" w:rsidRDefault="004336B3" w:rsidP="6599A265">
      <w:pPr>
        <w:rPr>
          <w:rFonts w:ascii="Arial" w:eastAsia="Arial" w:hAnsi="Arial" w:cs="Arial"/>
          <w:sz w:val="24"/>
          <w:szCs w:val="24"/>
        </w:rPr>
      </w:pPr>
    </w:p>
    <w:p w14:paraId="728B1A37" w14:textId="22550A1C" w:rsidR="6353141D" w:rsidRDefault="6353141D" w:rsidP="6353141D">
      <w:pPr>
        <w:rPr>
          <w:rFonts w:ascii="Arial" w:eastAsia="Arial" w:hAnsi="Arial" w:cs="Arial"/>
          <w:sz w:val="24"/>
          <w:szCs w:val="24"/>
        </w:rPr>
      </w:pPr>
    </w:p>
    <w:p w14:paraId="18F6B727" w14:textId="6097F605" w:rsidR="004336B3" w:rsidRDefault="004336B3" w:rsidP="6599A265">
      <w:pPr>
        <w:jc w:val="center"/>
        <w:rPr>
          <w:rFonts w:ascii="Arial" w:eastAsia="Arial" w:hAnsi="Arial" w:cs="Arial"/>
          <w:sz w:val="24"/>
          <w:szCs w:val="24"/>
        </w:rPr>
      </w:pPr>
    </w:p>
    <w:p w14:paraId="3B109663" w14:textId="0FB40B96" w:rsidR="004336B3" w:rsidRDefault="6599A265" w:rsidP="6599A265">
      <w:pPr>
        <w:jc w:val="center"/>
        <w:rPr>
          <w:rFonts w:ascii="Arial" w:eastAsia="Arial" w:hAnsi="Arial" w:cs="Arial"/>
          <w:sz w:val="24"/>
          <w:szCs w:val="24"/>
        </w:rPr>
      </w:pPr>
      <w:r w:rsidRPr="6599A265">
        <w:rPr>
          <w:rFonts w:ascii="Arial" w:eastAsia="Arial" w:hAnsi="Arial" w:cs="Arial"/>
          <w:sz w:val="24"/>
          <w:szCs w:val="24"/>
        </w:rPr>
        <w:t>Journal 3</w:t>
      </w:r>
    </w:p>
    <w:p w14:paraId="32E7872F" w14:textId="3733ADF7" w:rsidR="004336B3" w:rsidRDefault="68531744" w:rsidP="6599A265">
      <w:pPr>
        <w:rPr>
          <w:rFonts w:ascii="Arial" w:eastAsia="Arial" w:hAnsi="Arial" w:cs="Arial"/>
          <w:sz w:val="24"/>
          <w:szCs w:val="24"/>
        </w:rPr>
      </w:pPr>
      <w:r w:rsidRPr="68531744">
        <w:rPr>
          <w:rFonts w:ascii="Arial" w:eastAsia="Arial" w:hAnsi="Arial" w:cs="Arial"/>
          <w:sz w:val="24"/>
          <w:szCs w:val="24"/>
        </w:rPr>
        <w:t xml:space="preserve">Personality gives us an important insight in understanding health behaviours because personality traits can have a long- term influence on health and wellbeing (Friedman and Kern 2014). Narcissism is a personality trait of feelings of entitlement and self- importance (Twenge et al.,2008a). 129 males and 236 female students from a university in America took part in this study to finish the research credit for one of their classes. This was done in a classroom where the students completed questionnaires and received a debrief afterwards. Participants where aged between 18-43 years old and 76.7% classed themselves as white Americans. Males scored a </w:t>
      </w:r>
      <w:r w:rsidRPr="68531744">
        <w:rPr>
          <w:rFonts w:ascii="Arial" w:eastAsia="Arial" w:hAnsi="Arial" w:cs="Arial"/>
          <w:sz w:val="24"/>
          <w:szCs w:val="24"/>
        </w:rPr>
        <w:lastRenderedPageBreak/>
        <w:t>higher result than females showing they had a higher chance of showing narcissistic traits. In conclusion the study found the influence of narcissism increased health risk behaviours. These included alcohol use, drug use and dangerous driving.</w:t>
      </w:r>
    </w:p>
    <w:p w14:paraId="501471BB" w14:textId="5C49ADAF" w:rsidR="68531744" w:rsidRDefault="68531744" w:rsidP="68531744">
      <w:pPr>
        <w:rPr>
          <w:rFonts w:ascii="Arial" w:eastAsia="Arial" w:hAnsi="Arial" w:cs="Arial"/>
          <w:sz w:val="24"/>
          <w:szCs w:val="24"/>
        </w:rPr>
      </w:pPr>
    </w:p>
    <w:p w14:paraId="5C4644E3" w14:textId="5CF729D6" w:rsidR="68531744" w:rsidRDefault="68531744" w:rsidP="68531744">
      <w:pPr>
        <w:rPr>
          <w:rFonts w:ascii="Arial" w:eastAsia="Arial" w:hAnsi="Arial" w:cs="Arial"/>
          <w:sz w:val="24"/>
          <w:szCs w:val="24"/>
        </w:rPr>
      </w:pPr>
      <w:r w:rsidRPr="68531744">
        <w:rPr>
          <w:rFonts w:ascii="Arial" w:eastAsia="Arial" w:hAnsi="Arial" w:cs="Arial"/>
          <w:sz w:val="24"/>
          <w:szCs w:val="24"/>
        </w:rPr>
        <w:t>References.</w:t>
      </w:r>
    </w:p>
    <w:p w14:paraId="66FEEE67" w14:textId="04238A8E" w:rsidR="68531744" w:rsidRDefault="68531744" w:rsidP="68531744">
      <w:pPr>
        <w:rPr>
          <w:rFonts w:ascii="Arial" w:eastAsia="Arial" w:hAnsi="Arial" w:cs="Arial"/>
          <w:sz w:val="24"/>
          <w:szCs w:val="24"/>
        </w:rPr>
      </w:pPr>
    </w:p>
    <w:p w14:paraId="588D7C89" w14:textId="5C0A94F3" w:rsidR="68531744" w:rsidRDefault="68531744" w:rsidP="68531744">
      <w:pPr>
        <w:rPr>
          <w:rFonts w:ascii="Arial" w:eastAsia="Arial" w:hAnsi="Arial" w:cs="Arial"/>
          <w:sz w:val="24"/>
          <w:szCs w:val="24"/>
        </w:rPr>
      </w:pPr>
      <w:r w:rsidRPr="68531744">
        <w:rPr>
          <w:rFonts w:ascii="Arial" w:eastAsia="Arial" w:hAnsi="Arial" w:cs="Arial"/>
          <w:sz w:val="24"/>
          <w:szCs w:val="24"/>
        </w:rPr>
        <w:t xml:space="preserve">Friedman, H.S., and Kern, M.L. (2014). Personality, well-being and health. </w:t>
      </w:r>
      <w:r w:rsidRPr="68531744">
        <w:rPr>
          <w:rFonts w:ascii="Arial" w:eastAsia="Arial" w:hAnsi="Arial" w:cs="Arial"/>
          <w:i/>
          <w:iCs/>
          <w:sz w:val="24"/>
          <w:szCs w:val="24"/>
        </w:rPr>
        <w:t xml:space="preserve">Annual Review of Psychology </w:t>
      </w:r>
      <w:r w:rsidRPr="68531744">
        <w:rPr>
          <w:rFonts w:ascii="Arial" w:eastAsia="Arial" w:hAnsi="Arial" w:cs="Arial"/>
          <w:sz w:val="24"/>
          <w:szCs w:val="24"/>
        </w:rPr>
        <w:t>65: 719-742.</w:t>
      </w:r>
    </w:p>
    <w:p w14:paraId="5750DD68" w14:textId="581F40EC" w:rsidR="68531744" w:rsidRDefault="68531744" w:rsidP="68531744">
      <w:pPr>
        <w:rPr>
          <w:rFonts w:ascii="Arial" w:eastAsia="Arial" w:hAnsi="Arial" w:cs="Arial"/>
          <w:sz w:val="24"/>
          <w:szCs w:val="24"/>
        </w:rPr>
      </w:pPr>
    </w:p>
    <w:p w14:paraId="4A3692D1" w14:textId="684B33BE" w:rsidR="68531744" w:rsidRDefault="68531744" w:rsidP="68531744">
      <w:pPr>
        <w:rPr>
          <w:rFonts w:ascii="Arial" w:eastAsia="Arial" w:hAnsi="Arial" w:cs="Arial"/>
          <w:sz w:val="24"/>
          <w:szCs w:val="24"/>
        </w:rPr>
      </w:pPr>
    </w:p>
    <w:p w14:paraId="13A2D4BB" w14:textId="150DF2FB" w:rsidR="68531744" w:rsidRDefault="68531744" w:rsidP="68531744">
      <w:pPr>
        <w:rPr>
          <w:rFonts w:ascii="Arial" w:eastAsia="Arial" w:hAnsi="Arial" w:cs="Arial"/>
          <w:sz w:val="24"/>
          <w:szCs w:val="24"/>
        </w:rPr>
      </w:pPr>
      <w:r w:rsidRPr="68531744">
        <w:rPr>
          <w:rFonts w:ascii="Arial" w:eastAsia="Arial" w:hAnsi="Arial" w:cs="Arial"/>
          <w:sz w:val="24"/>
          <w:szCs w:val="24"/>
        </w:rPr>
        <w:t xml:space="preserve">Twenge, J.M., Konrath, S., Foster, J.D., et al. (2008a). Egos inflating over time: A cross-temporal meta-analysis of the Narcissistic Personality Inventory. </w:t>
      </w:r>
      <w:r w:rsidRPr="68531744">
        <w:rPr>
          <w:rFonts w:ascii="Arial" w:eastAsia="Arial" w:hAnsi="Arial" w:cs="Arial"/>
          <w:i/>
          <w:iCs/>
          <w:sz w:val="24"/>
          <w:szCs w:val="24"/>
        </w:rPr>
        <w:t xml:space="preserve">Journal of Personality </w:t>
      </w:r>
      <w:r w:rsidRPr="68531744">
        <w:rPr>
          <w:rFonts w:ascii="Arial" w:eastAsia="Arial" w:hAnsi="Arial" w:cs="Arial"/>
          <w:sz w:val="24"/>
          <w:szCs w:val="24"/>
        </w:rPr>
        <w:t>76: 875-901.</w:t>
      </w:r>
    </w:p>
    <w:p w14:paraId="2CDCCEE1" w14:textId="5282CF55" w:rsidR="004336B3" w:rsidRDefault="004336B3" w:rsidP="6599A265">
      <w:pPr>
        <w:jc w:val="center"/>
        <w:rPr>
          <w:rFonts w:ascii="Calibri" w:eastAsia="Calibri" w:hAnsi="Calibri" w:cs="Calibri"/>
        </w:rPr>
      </w:pPr>
    </w:p>
    <w:p w14:paraId="1D288CF9" w14:textId="4D1FA2F9" w:rsidR="68531744" w:rsidRDefault="68531744" w:rsidP="68531744">
      <w:pPr>
        <w:ind w:left="720"/>
        <w:jc w:val="center"/>
        <w:rPr>
          <w:rFonts w:ascii="Arial" w:eastAsia="Arial" w:hAnsi="Arial" w:cs="Arial"/>
          <w:sz w:val="24"/>
          <w:szCs w:val="24"/>
        </w:rPr>
      </w:pPr>
    </w:p>
    <w:p w14:paraId="5E5787A5" w14:textId="3F8B0D80" w:rsidR="004336B3" w:rsidRDefault="6599A265" w:rsidP="116BDC09">
      <w:pPr>
        <w:ind w:left="720"/>
        <w:jc w:val="center"/>
      </w:pPr>
      <w:r w:rsidRPr="6599A265">
        <w:rPr>
          <w:rFonts w:ascii="Arial" w:eastAsia="Arial" w:hAnsi="Arial" w:cs="Arial"/>
          <w:sz w:val="24"/>
          <w:szCs w:val="24"/>
        </w:rPr>
        <w:t>Jumbled Reference List</w:t>
      </w:r>
    </w:p>
    <w:p w14:paraId="7854CD01" w14:textId="42D36EEB" w:rsidR="0F471CA3" w:rsidRDefault="5C6B00EA" w:rsidP="116BDC09">
      <w:pPr>
        <w:ind w:left="720" w:hanging="720"/>
        <w:rPr>
          <w:rFonts w:ascii="Arial" w:eastAsia="Arial" w:hAnsi="Arial" w:cs="Arial"/>
          <w:sz w:val="24"/>
          <w:szCs w:val="24"/>
        </w:rPr>
      </w:pPr>
      <w:r w:rsidRPr="5C6B00EA">
        <w:rPr>
          <w:rFonts w:ascii="Arial" w:eastAsia="Arial" w:hAnsi="Arial" w:cs="Arial"/>
          <w:sz w:val="24"/>
          <w:szCs w:val="24"/>
        </w:rPr>
        <w:t xml:space="preserve">Bennett, P. (2011). </w:t>
      </w:r>
      <w:r w:rsidRPr="5C6B00EA">
        <w:rPr>
          <w:rFonts w:ascii="Arial" w:eastAsia="Arial" w:hAnsi="Arial" w:cs="Arial"/>
          <w:i/>
          <w:iCs/>
          <w:sz w:val="24"/>
          <w:szCs w:val="24"/>
        </w:rPr>
        <w:t xml:space="preserve">Abnormal and clinical psychology: an introductory textbook. </w:t>
      </w:r>
      <w:r w:rsidRPr="5C6B00EA">
        <w:rPr>
          <w:rFonts w:ascii="Arial" w:eastAsia="Arial" w:hAnsi="Arial" w:cs="Arial"/>
          <w:sz w:val="24"/>
          <w:szCs w:val="24"/>
        </w:rPr>
        <w:t>3</w:t>
      </w:r>
      <w:r w:rsidRPr="5C6B00EA">
        <w:rPr>
          <w:rFonts w:ascii="Arial" w:eastAsia="Arial" w:hAnsi="Arial" w:cs="Arial"/>
          <w:sz w:val="24"/>
          <w:szCs w:val="24"/>
          <w:vertAlign w:val="superscript"/>
        </w:rPr>
        <w:t>rd</w:t>
      </w:r>
      <w:r w:rsidRPr="5C6B00EA">
        <w:rPr>
          <w:rFonts w:ascii="Arial" w:eastAsia="Arial" w:hAnsi="Arial" w:cs="Arial"/>
          <w:sz w:val="24"/>
          <w:szCs w:val="24"/>
        </w:rPr>
        <w:t xml:space="preserve"> edition. Berkshire: Open university press.</w:t>
      </w:r>
    </w:p>
    <w:p w14:paraId="76F2739F" w14:textId="1CCEC117" w:rsidR="0F471CA3" w:rsidRDefault="0F471CA3" w:rsidP="0F471CA3">
      <w:pPr>
        <w:rPr>
          <w:rFonts w:ascii="Arial" w:eastAsia="Arial" w:hAnsi="Arial" w:cs="Arial"/>
          <w:sz w:val="24"/>
          <w:szCs w:val="24"/>
        </w:rPr>
      </w:pPr>
    </w:p>
    <w:p w14:paraId="0A5BBEB0" w14:textId="06551893" w:rsidR="0F471CA3" w:rsidRDefault="5C6B00EA" w:rsidP="116A8F53">
      <w:pPr>
        <w:ind w:left="720" w:hanging="720"/>
        <w:rPr>
          <w:rFonts w:ascii="Arial" w:eastAsia="Arial" w:hAnsi="Arial" w:cs="Arial"/>
          <w:sz w:val="24"/>
          <w:szCs w:val="24"/>
        </w:rPr>
      </w:pPr>
      <w:r w:rsidRPr="5C6B00EA">
        <w:rPr>
          <w:rFonts w:ascii="Arial" w:eastAsia="Arial" w:hAnsi="Arial" w:cs="Arial"/>
          <w:sz w:val="24"/>
          <w:szCs w:val="24"/>
        </w:rPr>
        <w:t xml:space="preserve">Mental Health Foundation. (2017). </w:t>
      </w:r>
      <w:r w:rsidRPr="5C6B00EA">
        <w:rPr>
          <w:rFonts w:ascii="Arial" w:eastAsia="Arial" w:hAnsi="Arial" w:cs="Arial"/>
          <w:i/>
          <w:iCs/>
          <w:sz w:val="24"/>
          <w:szCs w:val="24"/>
        </w:rPr>
        <w:t>Computerised cognitive behavioural therapy</w:t>
      </w:r>
      <w:r w:rsidRPr="5C6B00EA">
        <w:rPr>
          <w:rFonts w:ascii="Arial" w:eastAsia="Arial" w:hAnsi="Arial" w:cs="Arial"/>
          <w:sz w:val="24"/>
          <w:szCs w:val="24"/>
        </w:rPr>
        <w:t xml:space="preserve">. Retrieved from </w:t>
      </w:r>
      <w:hyperlink r:id="rId7">
        <w:r w:rsidRPr="5C6B00EA">
          <w:rPr>
            <w:rStyle w:val="Hyperlink"/>
            <w:rFonts w:ascii="Arial" w:eastAsia="Arial" w:hAnsi="Arial" w:cs="Arial"/>
            <w:sz w:val="24"/>
            <w:szCs w:val="24"/>
          </w:rPr>
          <w:t>http://www.mentalhealth.org.uk/podcasts-and- videos/computerised-</w:t>
        </w:r>
        <w:proofErr w:type="spellStart"/>
        <w:r w:rsidRPr="5C6B00EA">
          <w:rPr>
            <w:rStyle w:val="Hyperlink"/>
            <w:rFonts w:ascii="Arial" w:eastAsia="Arial" w:hAnsi="Arial" w:cs="Arial"/>
            <w:sz w:val="24"/>
            <w:szCs w:val="24"/>
          </w:rPr>
          <w:t>cognitivebehavioural</w:t>
        </w:r>
        <w:proofErr w:type="spellEnd"/>
        <w:r w:rsidRPr="5C6B00EA">
          <w:rPr>
            <w:rStyle w:val="Hyperlink"/>
            <w:rFonts w:ascii="Arial" w:eastAsia="Arial" w:hAnsi="Arial" w:cs="Arial"/>
            <w:sz w:val="24"/>
            <w:szCs w:val="24"/>
          </w:rPr>
          <w:t>-therapy</w:t>
        </w:r>
      </w:hyperlink>
    </w:p>
    <w:p w14:paraId="40E894D6" w14:textId="352417CD" w:rsidR="0F471CA3" w:rsidRDefault="0F471CA3" w:rsidP="0F471CA3">
      <w:pPr>
        <w:rPr>
          <w:rFonts w:ascii="Arial" w:eastAsia="Arial" w:hAnsi="Arial" w:cs="Arial"/>
          <w:sz w:val="24"/>
          <w:szCs w:val="24"/>
        </w:rPr>
      </w:pPr>
    </w:p>
    <w:p w14:paraId="02A35705" w14:textId="0CA623FA" w:rsidR="0F471CA3" w:rsidRDefault="5C6B00EA" w:rsidP="5C6B00EA">
      <w:pPr>
        <w:ind w:left="720" w:hanging="720"/>
        <w:rPr>
          <w:rFonts w:ascii="Arial" w:eastAsia="Arial" w:hAnsi="Arial" w:cs="Arial"/>
          <w:sz w:val="24"/>
          <w:szCs w:val="24"/>
        </w:rPr>
      </w:pPr>
      <w:r w:rsidRPr="5C6B00EA">
        <w:rPr>
          <w:rFonts w:ascii="Arial" w:eastAsia="Arial" w:hAnsi="Arial" w:cs="Arial"/>
          <w:sz w:val="24"/>
          <w:szCs w:val="24"/>
        </w:rPr>
        <w:t>Davey, G. (2014)</w:t>
      </w:r>
      <w:r w:rsidRPr="5C6B00EA">
        <w:rPr>
          <w:rFonts w:ascii="Arial" w:eastAsia="Arial" w:hAnsi="Arial" w:cs="Arial"/>
          <w:i/>
          <w:iCs/>
          <w:sz w:val="24"/>
          <w:szCs w:val="24"/>
        </w:rPr>
        <w:t xml:space="preserve"> Psychopathology: Research, Assessment, and Treatment in</w:t>
      </w:r>
      <w:r w:rsidRPr="5C6B00EA">
        <w:rPr>
          <w:rFonts w:ascii="Arial" w:eastAsia="Arial" w:hAnsi="Arial" w:cs="Arial"/>
          <w:sz w:val="24"/>
          <w:szCs w:val="24"/>
        </w:rPr>
        <w:t xml:space="preserve"> </w:t>
      </w:r>
      <w:r w:rsidRPr="5C6B00EA">
        <w:rPr>
          <w:rFonts w:ascii="Arial" w:eastAsia="Arial" w:hAnsi="Arial" w:cs="Arial"/>
          <w:i/>
          <w:iCs/>
          <w:sz w:val="24"/>
          <w:szCs w:val="24"/>
        </w:rPr>
        <w:t>Clinical Psychology.</w:t>
      </w:r>
      <w:r w:rsidRPr="5C6B00EA">
        <w:rPr>
          <w:rFonts w:ascii="Arial" w:eastAsia="Arial" w:hAnsi="Arial" w:cs="Arial"/>
          <w:sz w:val="24"/>
          <w:szCs w:val="24"/>
        </w:rPr>
        <w:t xml:space="preserve"> (2</w:t>
      </w:r>
      <w:r w:rsidRPr="5C6B00EA">
        <w:rPr>
          <w:rFonts w:ascii="Arial" w:eastAsia="Arial" w:hAnsi="Arial" w:cs="Arial"/>
          <w:sz w:val="24"/>
          <w:szCs w:val="24"/>
          <w:vertAlign w:val="superscript"/>
        </w:rPr>
        <w:t>nd</w:t>
      </w:r>
      <w:r w:rsidRPr="5C6B00EA">
        <w:rPr>
          <w:rFonts w:ascii="Arial" w:eastAsia="Arial" w:hAnsi="Arial" w:cs="Arial"/>
          <w:sz w:val="24"/>
          <w:szCs w:val="24"/>
        </w:rPr>
        <w:t xml:space="preserve"> ed) Oxford, Blackwell</w:t>
      </w:r>
    </w:p>
    <w:p w14:paraId="273F6981" w14:textId="376BEE58" w:rsidR="0F471CA3" w:rsidRDefault="0F471CA3" w:rsidP="5C6B00EA">
      <w:pPr>
        <w:ind w:left="720" w:hanging="720"/>
        <w:rPr>
          <w:rFonts w:ascii="Arial" w:eastAsia="Arial" w:hAnsi="Arial" w:cs="Arial"/>
          <w:sz w:val="24"/>
          <w:szCs w:val="24"/>
        </w:rPr>
      </w:pPr>
    </w:p>
    <w:p w14:paraId="2786A012" w14:textId="128DED8D" w:rsidR="0F471CA3" w:rsidRDefault="5C6B00EA" w:rsidP="116A8F53">
      <w:pPr>
        <w:ind w:left="720" w:hanging="720"/>
        <w:rPr>
          <w:rFonts w:ascii="Arial" w:eastAsia="Arial" w:hAnsi="Arial" w:cs="Arial"/>
          <w:sz w:val="24"/>
          <w:szCs w:val="24"/>
        </w:rPr>
      </w:pPr>
      <w:r w:rsidRPr="5C6B00EA">
        <w:rPr>
          <w:rFonts w:ascii="Arial" w:eastAsia="Arial" w:hAnsi="Arial" w:cs="Arial"/>
          <w:sz w:val="24"/>
          <w:szCs w:val="24"/>
        </w:rPr>
        <w:t xml:space="preserve">Day, S. (2016) </w:t>
      </w:r>
      <w:r w:rsidRPr="5C6B00EA">
        <w:rPr>
          <w:rFonts w:ascii="Arial" w:eastAsia="Arial" w:hAnsi="Arial" w:cs="Arial"/>
          <w:i/>
          <w:iCs/>
          <w:sz w:val="24"/>
          <w:szCs w:val="24"/>
        </w:rPr>
        <w:t>Families experience of Poverty Stigma in Education</w:t>
      </w:r>
      <w:r w:rsidRPr="5C6B00EA">
        <w:rPr>
          <w:rFonts w:ascii="Arial" w:eastAsia="Arial" w:hAnsi="Arial" w:cs="Arial"/>
          <w:sz w:val="24"/>
          <w:szCs w:val="24"/>
        </w:rPr>
        <w:t>. Report number 6. University of Central Lancashire.</w:t>
      </w:r>
    </w:p>
    <w:p w14:paraId="4D548A06" w14:textId="2F6B8CD3" w:rsidR="0F471CA3" w:rsidRDefault="0F471CA3" w:rsidP="0F471CA3">
      <w:pPr>
        <w:rPr>
          <w:rFonts w:ascii="Arial" w:eastAsia="Arial" w:hAnsi="Arial" w:cs="Arial"/>
          <w:sz w:val="24"/>
          <w:szCs w:val="24"/>
        </w:rPr>
      </w:pPr>
    </w:p>
    <w:p w14:paraId="50D4F3E9" w14:textId="6D6A0E7D" w:rsidR="0F471CA3" w:rsidRDefault="5C6B00EA" w:rsidP="116A8F53">
      <w:pPr>
        <w:ind w:left="720" w:hanging="720"/>
        <w:rPr>
          <w:rFonts w:ascii="Arial" w:eastAsia="Arial" w:hAnsi="Arial" w:cs="Arial"/>
          <w:sz w:val="24"/>
          <w:szCs w:val="24"/>
        </w:rPr>
      </w:pPr>
      <w:r w:rsidRPr="5C6B00EA">
        <w:rPr>
          <w:rFonts w:ascii="Arial" w:eastAsia="Arial" w:hAnsi="Arial" w:cs="Arial"/>
          <w:sz w:val="24"/>
          <w:szCs w:val="24"/>
        </w:rPr>
        <w:t xml:space="preserve">Evans, L., Mitchell, I. D. and Jones, S. (2006). </w:t>
      </w:r>
      <w:r w:rsidRPr="5C6B00EA">
        <w:rPr>
          <w:rFonts w:ascii="Arial" w:eastAsia="Arial" w:hAnsi="Arial" w:cs="Arial"/>
          <w:i/>
          <w:iCs/>
          <w:sz w:val="24"/>
          <w:szCs w:val="24"/>
        </w:rPr>
        <w:t>Psychological Response to Sport Injury</w:t>
      </w:r>
      <w:r w:rsidRPr="5C6B00EA">
        <w:rPr>
          <w:rFonts w:ascii="Arial" w:eastAsia="Arial" w:hAnsi="Arial" w:cs="Arial"/>
          <w:sz w:val="24"/>
          <w:szCs w:val="24"/>
        </w:rPr>
        <w:t xml:space="preserve"> in </w:t>
      </w:r>
      <w:proofErr w:type="spellStart"/>
      <w:r w:rsidRPr="5C6B00EA">
        <w:rPr>
          <w:rFonts w:ascii="Arial" w:eastAsia="Arial" w:hAnsi="Arial" w:cs="Arial"/>
          <w:sz w:val="24"/>
          <w:szCs w:val="24"/>
        </w:rPr>
        <w:t>Hanton</w:t>
      </w:r>
      <w:proofErr w:type="spellEnd"/>
      <w:r w:rsidRPr="5C6B00EA">
        <w:rPr>
          <w:rFonts w:ascii="Arial" w:eastAsia="Arial" w:hAnsi="Arial" w:cs="Arial"/>
          <w:sz w:val="24"/>
          <w:szCs w:val="24"/>
        </w:rPr>
        <w:t xml:space="preserve">, S., </w:t>
      </w:r>
      <w:proofErr w:type="spellStart"/>
      <w:r w:rsidRPr="5C6B00EA">
        <w:rPr>
          <w:rFonts w:ascii="Arial" w:eastAsia="Arial" w:hAnsi="Arial" w:cs="Arial"/>
          <w:sz w:val="24"/>
          <w:szCs w:val="24"/>
        </w:rPr>
        <w:t>Mellalieu</w:t>
      </w:r>
      <w:proofErr w:type="spellEnd"/>
      <w:r w:rsidRPr="5C6B00EA">
        <w:rPr>
          <w:rFonts w:ascii="Arial" w:eastAsia="Arial" w:hAnsi="Arial" w:cs="Arial"/>
          <w:sz w:val="24"/>
          <w:szCs w:val="24"/>
        </w:rPr>
        <w:t>, S. D. Literature reviews in Sport Psychology. (</w:t>
      </w:r>
      <w:proofErr w:type="spellStart"/>
      <w:r w:rsidRPr="5C6B00EA">
        <w:rPr>
          <w:rFonts w:ascii="Arial" w:eastAsia="Arial" w:hAnsi="Arial" w:cs="Arial"/>
          <w:sz w:val="24"/>
          <w:szCs w:val="24"/>
        </w:rPr>
        <w:t>pg</w:t>
      </w:r>
      <w:proofErr w:type="spellEnd"/>
      <w:r w:rsidRPr="5C6B00EA">
        <w:rPr>
          <w:rFonts w:ascii="Arial" w:eastAsia="Arial" w:hAnsi="Arial" w:cs="Arial"/>
          <w:sz w:val="24"/>
          <w:szCs w:val="24"/>
        </w:rPr>
        <w:t xml:space="preserve"> 289-319). </w:t>
      </w:r>
      <w:proofErr w:type="spellStart"/>
      <w:r w:rsidRPr="5C6B00EA">
        <w:rPr>
          <w:rFonts w:ascii="Arial" w:eastAsia="Arial" w:hAnsi="Arial" w:cs="Arial"/>
          <w:sz w:val="24"/>
          <w:szCs w:val="24"/>
        </w:rPr>
        <w:t>Hauppage</w:t>
      </w:r>
      <w:proofErr w:type="spellEnd"/>
      <w:r w:rsidRPr="5C6B00EA">
        <w:rPr>
          <w:rFonts w:ascii="Arial" w:eastAsia="Arial" w:hAnsi="Arial" w:cs="Arial"/>
          <w:sz w:val="24"/>
          <w:szCs w:val="24"/>
        </w:rPr>
        <w:t>, NY. Nova Science Publications.</w:t>
      </w:r>
    </w:p>
    <w:p w14:paraId="5D0CD32D" w14:textId="5F6C361E" w:rsidR="0F471CA3" w:rsidRDefault="0F471CA3" w:rsidP="0F471CA3">
      <w:pPr>
        <w:rPr>
          <w:rFonts w:ascii="Arial" w:eastAsia="Arial" w:hAnsi="Arial" w:cs="Arial"/>
          <w:sz w:val="24"/>
          <w:szCs w:val="24"/>
        </w:rPr>
      </w:pPr>
    </w:p>
    <w:p w14:paraId="14FC56DB" w14:textId="23A6F99C" w:rsidR="0F471CA3" w:rsidRDefault="116A8F53" w:rsidP="116A8F53">
      <w:pPr>
        <w:ind w:left="720" w:hanging="720"/>
        <w:rPr>
          <w:rFonts w:ascii="Arial" w:eastAsia="Arial" w:hAnsi="Arial" w:cs="Arial"/>
          <w:sz w:val="24"/>
          <w:szCs w:val="24"/>
        </w:rPr>
      </w:pPr>
      <w:proofErr w:type="spellStart"/>
      <w:r w:rsidRPr="116A8F53">
        <w:rPr>
          <w:rFonts w:ascii="Arial" w:eastAsia="Arial" w:hAnsi="Arial" w:cs="Arial"/>
          <w:sz w:val="24"/>
          <w:szCs w:val="24"/>
        </w:rPr>
        <w:lastRenderedPageBreak/>
        <w:t>Geekie</w:t>
      </w:r>
      <w:proofErr w:type="spellEnd"/>
      <w:r w:rsidRPr="116A8F53">
        <w:rPr>
          <w:rFonts w:ascii="Arial" w:eastAsia="Arial" w:hAnsi="Arial" w:cs="Arial"/>
          <w:sz w:val="24"/>
          <w:szCs w:val="24"/>
        </w:rPr>
        <w:t xml:space="preserve">, J., &amp; </w:t>
      </w:r>
      <w:proofErr w:type="spellStart"/>
      <w:proofErr w:type="gramStart"/>
      <w:r w:rsidRPr="116A8F53">
        <w:rPr>
          <w:rFonts w:ascii="Arial" w:eastAsia="Arial" w:hAnsi="Arial" w:cs="Arial"/>
          <w:sz w:val="24"/>
          <w:szCs w:val="24"/>
        </w:rPr>
        <w:t>Read,J</w:t>
      </w:r>
      <w:proofErr w:type="spellEnd"/>
      <w:r w:rsidRPr="116A8F53">
        <w:rPr>
          <w:rFonts w:ascii="Arial" w:eastAsia="Arial" w:hAnsi="Arial" w:cs="Arial"/>
          <w:sz w:val="24"/>
          <w:szCs w:val="24"/>
        </w:rPr>
        <w:t>.</w:t>
      </w:r>
      <w:proofErr w:type="gramEnd"/>
      <w:r w:rsidRPr="116A8F53">
        <w:rPr>
          <w:rFonts w:ascii="Arial" w:eastAsia="Arial" w:hAnsi="Arial" w:cs="Arial"/>
          <w:sz w:val="24"/>
          <w:szCs w:val="24"/>
        </w:rPr>
        <w:t xml:space="preserve"> (2009).</w:t>
      </w:r>
      <w:r w:rsidRPr="116A8F53">
        <w:rPr>
          <w:rFonts w:ascii="Arial" w:eastAsia="Arial" w:hAnsi="Arial" w:cs="Arial"/>
          <w:i/>
          <w:iCs/>
          <w:sz w:val="24"/>
          <w:szCs w:val="24"/>
        </w:rPr>
        <w:t xml:space="preserve"> Making sense of madness: Contesting the meaning of schizophrenia</w:t>
      </w:r>
      <w:r w:rsidRPr="116A8F53">
        <w:rPr>
          <w:rFonts w:ascii="Arial" w:eastAsia="Arial" w:hAnsi="Arial" w:cs="Arial"/>
          <w:sz w:val="24"/>
          <w:szCs w:val="24"/>
        </w:rPr>
        <w:t xml:space="preserve">. London: Routledge Taylor &amp; Francis. Retrieved from </w:t>
      </w:r>
      <w:hyperlink r:id="rId8">
        <w:r w:rsidRPr="116A8F53">
          <w:rPr>
            <w:rStyle w:val="Hyperlink"/>
            <w:rFonts w:ascii="Arial" w:eastAsia="Arial" w:hAnsi="Arial" w:cs="Arial"/>
            <w:sz w:val="24"/>
            <w:szCs w:val="24"/>
          </w:rPr>
          <w:t>http://www.tandfebooks.com/doi/view/10.4324/9780203878422</w:t>
        </w:r>
      </w:hyperlink>
    </w:p>
    <w:p w14:paraId="0AB1F541" w14:textId="375814E7" w:rsidR="0F471CA3" w:rsidRDefault="0F471CA3" w:rsidP="0F471CA3">
      <w:pPr>
        <w:rPr>
          <w:rFonts w:ascii="Arial" w:eastAsia="Arial" w:hAnsi="Arial" w:cs="Arial"/>
          <w:sz w:val="24"/>
          <w:szCs w:val="24"/>
        </w:rPr>
      </w:pPr>
    </w:p>
    <w:p w14:paraId="716FDF83" w14:textId="765F014F" w:rsidR="0F471CA3" w:rsidRDefault="5C6B00EA" w:rsidP="116A8F53">
      <w:pPr>
        <w:ind w:left="720" w:hanging="720"/>
        <w:rPr>
          <w:rFonts w:ascii="Arial" w:eastAsia="Arial" w:hAnsi="Arial" w:cs="Arial"/>
          <w:sz w:val="24"/>
          <w:szCs w:val="24"/>
        </w:rPr>
      </w:pPr>
      <w:r w:rsidRPr="5C6B00EA">
        <w:rPr>
          <w:rFonts w:ascii="Arial" w:eastAsia="Arial" w:hAnsi="Arial" w:cs="Arial"/>
          <w:sz w:val="24"/>
          <w:szCs w:val="24"/>
        </w:rPr>
        <w:t xml:space="preserve">Hasselt, V. B. Van., Romano, S. J., </w:t>
      </w:r>
      <w:proofErr w:type="spellStart"/>
      <w:r w:rsidRPr="5C6B00EA">
        <w:rPr>
          <w:rFonts w:ascii="Arial" w:eastAsia="Arial" w:hAnsi="Arial" w:cs="Arial"/>
          <w:sz w:val="24"/>
          <w:szCs w:val="24"/>
        </w:rPr>
        <w:t>Vecchi</w:t>
      </w:r>
      <w:proofErr w:type="spellEnd"/>
      <w:r w:rsidRPr="5C6B00EA">
        <w:rPr>
          <w:rFonts w:ascii="Arial" w:eastAsia="Arial" w:hAnsi="Arial" w:cs="Arial"/>
          <w:sz w:val="24"/>
          <w:szCs w:val="24"/>
        </w:rPr>
        <w:t xml:space="preserve">, G. M. (2008) </w:t>
      </w:r>
      <w:r w:rsidRPr="5C6B00EA">
        <w:rPr>
          <w:rFonts w:ascii="Arial" w:eastAsia="Arial" w:hAnsi="Arial" w:cs="Arial"/>
          <w:i/>
          <w:iCs/>
          <w:sz w:val="24"/>
          <w:szCs w:val="24"/>
        </w:rPr>
        <w:t>Applications in hostage and crisis negotiation skills training</w:t>
      </w:r>
      <w:r w:rsidRPr="5C6B00EA">
        <w:rPr>
          <w:rFonts w:ascii="Arial" w:eastAsia="Arial" w:hAnsi="Arial" w:cs="Arial"/>
          <w:sz w:val="24"/>
          <w:szCs w:val="24"/>
        </w:rPr>
        <w:t>. Behaviour Modification. Volume 32. (issue 2). Pages 248-263. Doi:10.1177/0145445507308281.</w:t>
      </w:r>
    </w:p>
    <w:p w14:paraId="52112D75" w14:textId="17D99F17" w:rsidR="0F471CA3" w:rsidRDefault="0F471CA3" w:rsidP="0F471CA3">
      <w:pPr>
        <w:rPr>
          <w:rFonts w:ascii="Arial" w:eastAsia="Arial" w:hAnsi="Arial" w:cs="Arial"/>
          <w:sz w:val="24"/>
          <w:szCs w:val="24"/>
        </w:rPr>
      </w:pPr>
    </w:p>
    <w:p w14:paraId="7D6B445A" w14:textId="418DC0B7" w:rsidR="68531744" w:rsidRDefault="68531744" w:rsidP="68531744">
      <w:pPr>
        <w:ind w:left="720" w:hanging="720"/>
        <w:rPr>
          <w:rFonts w:ascii="Arial" w:eastAsia="Arial" w:hAnsi="Arial" w:cs="Arial"/>
          <w:sz w:val="24"/>
          <w:szCs w:val="24"/>
        </w:rPr>
      </w:pPr>
    </w:p>
    <w:p w14:paraId="097CAD3E" w14:textId="7A712DC2" w:rsidR="68531744" w:rsidRDefault="68531744" w:rsidP="68531744">
      <w:pPr>
        <w:ind w:left="720" w:hanging="720"/>
        <w:rPr>
          <w:rFonts w:ascii="Arial" w:eastAsia="Arial" w:hAnsi="Arial" w:cs="Arial"/>
          <w:sz w:val="24"/>
          <w:szCs w:val="24"/>
        </w:rPr>
      </w:pPr>
    </w:p>
    <w:p w14:paraId="4B02ECF0" w14:textId="79E1C68C" w:rsidR="68531744" w:rsidRDefault="68531744" w:rsidP="68531744">
      <w:pPr>
        <w:ind w:left="720" w:hanging="720"/>
        <w:rPr>
          <w:rFonts w:ascii="Arial" w:eastAsia="Arial" w:hAnsi="Arial" w:cs="Arial"/>
          <w:sz w:val="24"/>
          <w:szCs w:val="24"/>
        </w:rPr>
      </w:pPr>
    </w:p>
    <w:p w14:paraId="3AAA4C91" w14:textId="39D1DE60" w:rsidR="0F471CA3" w:rsidRDefault="5C6B00EA" w:rsidP="116A8F53">
      <w:pPr>
        <w:ind w:left="720" w:hanging="720"/>
        <w:rPr>
          <w:rFonts w:ascii="Arial" w:eastAsia="Arial" w:hAnsi="Arial" w:cs="Arial"/>
          <w:sz w:val="24"/>
          <w:szCs w:val="24"/>
        </w:rPr>
      </w:pPr>
      <w:proofErr w:type="spellStart"/>
      <w:r w:rsidRPr="5C6B00EA">
        <w:rPr>
          <w:rFonts w:ascii="Arial" w:eastAsia="Arial" w:hAnsi="Arial" w:cs="Arial"/>
          <w:sz w:val="24"/>
          <w:szCs w:val="24"/>
        </w:rPr>
        <w:t>Hefferon</w:t>
      </w:r>
      <w:proofErr w:type="spellEnd"/>
      <w:r w:rsidRPr="5C6B00EA">
        <w:rPr>
          <w:rFonts w:ascii="Arial" w:eastAsia="Arial" w:hAnsi="Arial" w:cs="Arial"/>
          <w:sz w:val="24"/>
          <w:szCs w:val="24"/>
        </w:rPr>
        <w:t xml:space="preserve">, K., and </w:t>
      </w:r>
      <w:proofErr w:type="spellStart"/>
      <w:r w:rsidRPr="5C6B00EA">
        <w:rPr>
          <w:rFonts w:ascii="Arial" w:eastAsia="Arial" w:hAnsi="Arial" w:cs="Arial"/>
          <w:sz w:val="24"/>
          <w:szCs w:val="24"/>
        </w:rPr>
        <w:t>Boniwell</w:t>
      </w:r>
      <w:proofErr w:type="spellEnd"/>
      <w:r w:rsidRPr="5C6B00EA">
        <w:rPr>
          <w:rFonts w:ascii="Arial" w:eastAsia="Arial" w:hAnsi="Arial" w:cs="Arial"/>
          <w:sz w:val="24"/>
          <w:szCs w:val="24"/>
        </w:rPr>
        <w:t xml:space="preserve">, I. (2011) </w:t>
      </w:r>
      <w:r w:rsidRPr="5C6B00EA">
        <w:rPr>
          <w:rFonts w:ascii="Arial" w:eastAsia="Arial" w:hAnsi="Arial" w:cs="Arial"/>
          <w:i/>
          <w:iCs/>
          <w:sz w:val="24"/>
          <w:szCs w:val="24"/>
        </w:rPr>
        <w:t>Positive psychology: theory, research and applications</w:t>
      </w:r>
      <w:r w:rsidRPr="5C6B00EA">
        <w:rPr>
          <w:rFonts w:ascii="Arial" w:eastAsia="Arial" w:hAnsi="Arial" w:cs="Arial"/>
          <w:sz w:val="24"/>
          <w:szCs w:val="24"/>
        </w:rPr>
        <w:t>. New York. Open University Press.</w:t>
      </w:r>
    </w:p>
    <w:p w14:paraId="4A937144" w14:textId="45E8AEA3" w:rsidR="0F471CA3" w:rsidRDefault="0F471CA3" w:rsidP="0F471CA3">
      <w:pPr>
        <w:rPr>
          <w:rFonts w:ascii="Arial" w:eastAsia="Arial" w:hAnsi="Arial" w:cs="Arial"/>
          <w:sz w:val="24"/>
          <w:szCs w:val="24"/>
        </w:rPr>
      </w:pPr>
    </w:p>
    <w:p w14:paraId="617E1A37" w14:textId="13962338" w:rsidR="0F471CA3" w:rsidRDefault="7BD09492" w:rsidP="116A8F53">
      <w:pPr>
        <w:ind w:left="720" w:hanging="720"/>
        <w:rPr>
          <w:rFonts w:ascii="Arial" w:eastAsia="Arial" w:hAnsi="Arial" w:cs="Arial"/>
          <w:sz w:val="24"/>
          <w:szCs w:val="24"/>
        </w:rPr>
      </w:pPr>
      <w:r w:rsidRPr="7BD09492">
        <w:rPr>
          <w:rFonts w:ascii="Arial" w:eastAsia="Arial" w:hAnsi="Arial" w:cs="Arial"/>
          <w:sz w:val="24"/>
          <w:szCs w:val="24"/>
        </w:rPr>
        <w:t xml:space="preserve">Hill, E. M. (2015) The role of narcissism in health-risk and health-protective behaviours. </w:t>
      </w:r>
      <w:r w:rsidRPr="7BD09492">
        <w:rPr>
          <w:rFonts w:ascii="Arial" w:eastAsia="Arial" w:hAnsi="Arial" w:cs="Arial"/>
          <w:i/>
          <w:iCs/>
          <w:sz w:val="24"/>
          <w:szCs w:val="24"/>
        </w:rPr>
        <w:t xml:space="preserve">Journal of health psychology. </w:t>
      </w:r>
      <w:r w:rsidRPr="7BD09492">
        <w:rPr>
          <w:rFonts w:ascii="Arial" w:eastAsia="Arial" w:hAnsi="Arial" w:cs="Arial"/>
          <w:sz w:val="24"/>
          <w:szCs w:val="24"/>
        </w:rPr>
        <w:t>(Pages 1-12). DOI:10.1177/1359105315569858</w:t>
      </w:r>
    </w:p>
    <w:p w14:paraId="721C75BE" w14:textId="778DCADB" w:rsidR="0F471CA3" w:rsidRDefault="0F471CA3" w:rsidP="0F471CA3">
      <w:pPr>
        <w:rPr>
          <w:rFonts w:ascii="Arial" w:eastAsia="Arial" w:hAnsi="Arial" w:cs="Arial"/>
          <w:sz w:val="24"/>
          <w:szCs w:val="24"/>
        </w:rPr>
      </w:pPr>
    </w:p>
    <w:p w14:paraId="7ECE09A0" w14:textId="42447343" w:rsidR="0F471CA3" w:rsidRDefault="7BD09492" w:rsidP="116A8F53">
      <w:pPr>
        <w:ind w:left="720" w:hanging="720"/>
        <w:rPr>
          <w:rFonts w:ascii="Arial" w:eastAsia="Arial" w:hAnsi="Arial" w:cs="Arial"/>
          <w:sz w:val="24"/>
          <w:szCs w:val="24"/>
        </w:rPr>
      </w:pPr>
      <w:proofErr w:type="spellStart"/>
      <w:r w:rsidRPr="7BD09492">
        <w:rPr>
          <w:rFonts w:ascii="Arial" w:eastAsia="Arial" w:hAnsi="Arial" w:cs="Arial"/>
          <w:sz w:val="24"/>
          <w:szCs w:val="24"/>
        </w:rPr>
        <w:t>Mazetti</w:t>
      </w:r>
      <w:proofErr w:type="spellEnd"/>
      <w:r w:rsidRPr="7BD09492">
        <w:rPr>
          <w:rFonts w:ascii="Arial" w:eastAsia="Arial" w:hAnsi="Arial" w:cs="Arial"/>
          <w:sz w:val="24"/>
          <w:szCs w:val="24"/>
        </w:rPr>
        <w:t xml:space="preserve">, G., Schaufeli, W. B., </w:t>
      </w:r>
      <w:proofErr w:type="spellStart"/>
      <w:r w:rsidRPr="7BD09492">
        <w:rPr>
          <w:rFonts w:ascii="Arial" w:eastAsia="Arial" w:hAnsi="Arial" w:cs="Arial"/>
          <w:sz w:val="24"/>
          <w:szCs w:val="24"/>
        </w:rPr>
        <w:t>Guglielmi</w:t>
      </w:r>
      <w:proofErr w:type="spellEnd"/>
      <w:r w:rsidRPr="7BD09492">
        <w:rPr>
          <w:rFonts w:ascii="Arial" w:eastAsia="Arial" w:hAnsi="Arial" w:cs="Arial"/>
          <w:sz w:val="24"/>
          <w:szCs w:val="24"/>
        </w:rPr>
        <w:t>, D. (2014). Are workaholics born or made</w:t>
      </w:r>
      <w:proofErr w:type="gramStart"/>
      <w:r w:rsidRPr="7BD09492">
        <w:rPr>
          <w:rFonts w:ascii="Arial" w:eastAsia="Arial" w:hAnsi="Arial" w:cs="Arial"/>
          <w:sz w:val="24"/>
          <w:szCs w:val="24"/>
        </w:rPr>
        <w:t>? :</w:t>
      </w:r>
      <w:proofErr w:type="gramEnd"/>
      <w:r w:rsidRPr="7BD09492">
        <w:rPr>
          <w:rFonts w:ascii="Arial" w:eastAsia="Arial" w:hAnsi="Arial" w:cs="Arial"/>
          <w:sz w:val="24"/>
          <w:szCs w:val="24"/>
        </w:rPr>
        <w:t xml:space="preserve"> Relations of workaholism with person characteristics and overwork climate. </w:t>
      </w:r>
      <w:r w:rsidRPr="7BD09492">
        <w:rPr>
          <w:rFonts w:ascii="Arial" w:eastAsia="Arial" w:hAnsi="Arial" w:cs="Arial"/>
          <w:i/>
          <w:iCs/>
          <w:sz w:val="24"/>
          <w:szCs w:val="24"/>
        </w:rPr>
        <w:t xml:space="preserve">International journal of stress management. </w:t>
      </w:r>
      <w:r w:rsidRPr="7BD09492">
        <w:rPr>
          <w:rFonts w:ascii="Arial" w:eastAsia="Arial" w:hAnsi="Arial" w:cs="Arial"/>
          <w:sz w:val="24"/>
          <w:szCs w:val="24"/>
        </w:rPr>
        <w:t>Volume 23. (Issue 3). Pages 227-254.</w:t>
      </w:r>
    </w:p>
    <w:p w14:paraId="410885D7" w14:textId="4079096F" w:rsidR="0F471CA3" w:rsidRDefault="0F471CA3" w:rsidP="0F471CA3">
      <w:pPr>
        <w:rPr>
          <w:rFonts w:ascii="Arial" w:eastAsia="Arial" w:hAnsi="Arial" w:cs="Arial"/>
          <w:sz w:val="24"/>
          <w:szCs w:val="24"/>
        </w:rPr>
      </w:pPr>
    </w:p>
    <w:p w14:paraId="338B51DD" w14:textId="4609F966" w:rsidR="0F471CA3" w:rsidRDefault="5C6B00EA" w:rsidP="5C6B00EA">
      <w:pPr>
        <w:ind w:left="720" w:hanging="720"/>
        <w:rPr>
          <w:rFonts w:ascii="Arial" w:eastAsia="Arial" w:hAnsi="Arial" w:cs="Arial"/>
          <w:sz w:val="24"/>
          <w:szCs w:val="24"/>
        </w:rPr>
      </w:pPr>
      <w:r w:rsidRPr="5C6B00EA">
        <w:rPr>
          <w:rFonts w:ascii="Arial" w:eastAsia="Arial" w:hAnsi="Arial" w:cs="Arial"/>
          <w:sz w:val="24"/>
          <w:szCs w:val="24"/>
        </w:rPr>
        <w:t xml:space="preserve">Mohamed, S. (2011) </w:t>
      </w:r>
      <w:r w:rsidRPr="5C6B00EA">
        <w:rPr>
          <w:rFonts w:ascii="Arial" w:eastAsia="Arial" w:hAnsi="Arial" w:cs="Arial"/>
          <w:i/>
          <w:iCs/>
          <w:sz w:val="24"/>
          <w:szCs w:val="24"/>
        </w:rPr>
        <w:t xml:space="preserve">Stigma and mental illness: are there cultural differences? </w:t>
      </w:r>
      <w:r w:rsidRPr="5C6B00EA">
        <w:rPr>
          <w:rFonts w:ascii="Arial" w:eastAsia="Arial" w:hAnsi="Arial" w:cs="Arial"/>
          <w:sz w:val="24"/>
          <w:szCs w:val="24"/>
        </w:rPr>
        <w:t>(Doctoral dissertation). University of East Anglia. U.K.</w:t>
      </w:r>
    </w:p>
    <w:p w14:paraId="51B2C58D" w14:textId="0D8FD8D7" w:rsidR="1D552A45" w:rsidRDefault="1D552A45" w:rsidP="1D552A45">
      <w:pPr>
        <w:rPr>
          <w:rFonts w:ascii="Arial" w:eastAsia="Arial" w:hAnsi="Arial" w:cs="Arial"/>
          <w:sz w:val="24"/>
          <w:szCs w:val="24"/>
        </w:rPr>
      </w:pPr>
    </w:p>
    <w:p w14:paraId="3AE6417C" w14:textId="72C7494E" w:rsidR="1D552A45" w:rsidRDefault="5C6B00EA" w:rsidP="5C6B00EA">
      <w:pPr>
        <w:ind w:left="720" w:hanging="720"/>
        <w:rPr>
          <w:rFonts w:ascii="Arial" w:eastAsia="Arial" w:hAnsi="Arial" w:cs="Arial"/>
          <w:sz w:val="24"/>
          <w:szCs w:val="24"/>
        </w:rPr>
      </w:pPr>
      <w:r w:rsidRPr="5C6B00EA">
        <w:rPr>
          <w:rFonts w:ascii="Arial" w:eastAsia="Arial" w:hAnsi="Arial" w:cs="Arial"/>
          <w:sz w:val="24"/>
          <w:szCs w:val="24"/>
        </w:rPr>
        <w:t xml:space="preserve">Office for National Statistics. (2016) </w:t>
      </w:r>
      <w:r w:rsidRPr="5C6B00EA">
        <w:rPr>
          <w:rFonts w:ascii="Arial" w:eastAsia="Arial" w:hAnsi="Arial" w:cs="Arial"/>
          <w:i/>
          <w:iCs/>
          <w:sz w:val="24"/>
          <w:szCs w:val="24"/>
        </w:rPr>
        <w:t xml:space="preserve">Adult drinking habits in Great Britain:2005 to 2016. </w:t>
      </w:r>
      <w:r w:rsidRPr="5C6B00EA">
        <w:rPr>
          <w:rFonts w:ascii="Arial" w:eastAsia="Arial" w:hAnsi="Arial" w:cs="Arial"/>
          <w:sz w:val="24"/>
          <w:szCs w:val="24"/>
        </w:rPr>
        <w:t xml:space="preserve">Retrieved from: </w:t>
      </w:r>
      <w:hyperlink r:id="rId9">
        <w:r w:rsidRPr="5C6B00EA">
          <w:rPr>
            <w:rStyle w:val="Hyperlink"/>
            <w:rFonts w:ascii="Arial" w:eastAsia="Arial" w:hAnsi="Arial" w:cs="Arial"/>
            <w:sz w:val="24"/>
            <w:szCs w:val="24"/>
          </w:rPr>
          <w:t>https://www.ons.gov.uk/peoplepopulationandcommunity/healthandsocialcare/drugusealcoholandsmoking/bulletins/opinionsandlifestylesurveyadultdrinkinghabitsingreatbritain/2005to2016</w:t>
        </w:r>
      </w:hyperlink>
      <w:r w:rsidRPr="5C6B00EA">
        <w:rPr>
          <w:rFonts w:ascii="Arial" w:eastAsia="Arial" w:hAnsi="Arial" w:cs="Arial"/>
          <w:sz w:val="24"/>
          <w:szCs w:val="24"/>
        </w:rPr>
        <w:t xml:space="preserve"> </w:t>
      </w:r>
    </w:p>
    <w:p w14:paraId="4D6B5B87" w14:textId="5BBEF9AC" w:rsidR="1D552A45" w:rsidRDefault="1D552A45" w:rsidP="1D552A45">
      <w:pPr>
        <w:rPr>
          <w:rFonts w:ascii="Arial" w:eastAsia="Arial" w:hAnsi="Arial" w:cs="Arial"/>
          <w:sz w:val="24"/>
          <w:szCs w:val="24"/>
        </w:rPr>
      </w:pPr>
    </w:p>
    <w:p w14:paraId="13BFC1D5" w14:textId="6611676F" w:rsidR="1D552A45" w:rsidRDefault="5C6B00EA" w:rsidP="5C6B00EA">
      <w:pPr>
        <w:ind w:left="720" w:hanging="720"/>
        <w:rPr>
          <w:rFonts w:ascii="Arial" w:eastAsia="Arial" w:hAnsi="Arial" w:cs="Arial"/>
          <w:sz w:val="24"/>
          <w:szCs w:val="24"/>
        </w:rPr>
      </w:pPr>
      <w:r w:rsidRPr="5C6B00EA">
        <w:rPr>
          <w:rFonts w:ascii="Arial" w:eastAsia="Arial" w:hAnsi="Arial" w:cs="Arial"/>
          <w:sz w:val="24"/>
          <w:szCs w:val="24"/>
        </w:rPr>
        <w:t xml:space="preserve">Phelps, Ceri, </w:t>
      </w:r>
      <w:proofErr w:type="spellStart"/>
      <w:r w:rsidRPr="5C6B00EA">
        <w:rPr>
          <w:rFonts w:ascii="Arial" w:eastAsia="Arial" w:hAnsi="Arial" w:cs="Arial"/>
          <w:sz w:val="24"/>
          <w:szCs w:val="24"/>
        </w:rPr>
        <w:t>Minou</w:t>
      </w:r>
      <w:proofErr w:type="spellEnd"/>
      <w:r w:rsidRPr="5C6B00EA">
        <w:rPr>
          <w:rFonts w:ascii="Arial" w:eastAsia="Arial" w:hAnsi="Arial" w:cs="Arial"/>
          <w:sz w:val="24"/>
          <w:szCs w:val="24"/>
        </w:rPr>
        <w:t xml:space="preserve">, M., Baker, A., Hughes, C., French, H., Hawkins, W., </w:t>
      </w:r>
      <w:proofErr w:type="spellStart"/>
      <w:r w:rsidRPr="5C6B00EA">
        <w:rPr>
          <w:rFonts w:ascii="Arial" w:eastAsia="Arial" w:hAnsi="Arial" w:cs="Arial"/>
          <w:sz w:val="24"/>
          <w:szCs w:val="24"/>
        </w:rPr>
        <w:t>Leeuwenberg</w:t>
      </w:r>
      <w:proofErr w:type="spellEnd"/>
      <w:r w:rsidRPr="5C6B00EA">
        <w:rPr>
          <w:rFonts w:ascii="Arial" w:eastAsia="Arial" w:hAnsi="Arial" w:cs="Arial"/>
          <w:sz w:val="24"/>
          <w:szCs w:val="24"/>
        </w:rPr>
        <w:t xml:space="preserve">, A., Crabtree, R., Hutchings, P. B. (2017). “Necessary but not sufficient: Engaging young people in the development of an avatar-based online intervention designed to provide psychosocial support to young people </w:t>
      </w:r>
      <w:r w:rsidRPr="5C6B00EA">
        <w:rPr>
          <w:rFonts w:ascii="Arial" w:eastAsia="Arial" w:hAnsi="Arial" w:cs="Arial"/>
          <w:sz w:val="24"/>
          <w:szCs w:val="24"/>
        </w:rPr>
        <w:lastRenderedPageBreak/>
        <w:t xml:space="preserve">affected by their own or a family member’s cancer diagnosis.” </w:t>
      </w:r>
      <w:r w:rsidRPr="5C6B00EA">
        <w:rPr>
          <w:rFonts w:ascii="Arial" w:eastAsia="Arial" w:hAnsi="Arial" w:cs="Arial"/>
          <w:i/>
          <w:iCs/>
          <w:sz w:val="24"/>
          <w:szCs w:val="24"/>
        </w:rPr>
        <w:t xml:space="preserve">Health Expectations 20. </w:t>
      </w:r>
      <w:r w:rsidRPr="5C6B00EA">
        <w:rPr>
          <w:rFonts w:ascii="Arial" w:eastAsia="Arial" w:hAnsi="Arial" w:cs="Arial"/>
          <w:sz w:val="24"/>
          <w:szCs w:val="24"/>
        </w:rPr>
        <w:t>(Issue</w:t>
      </w:r>
      <w:r w:rsidRPr="5C6B00EA">
        <w:rPr>
          <w:rFonts w:ascii="Arial" w:eastAsia="Arial" w:hAnsi="Arial" w:cs="Arial"/>
          <w:i/>
          <w:iCs/>
          <w:sz w:val="24"/>
          <w:szCs w:val="24"/>
        </w:rPr>
        <w:t xml:space="preserve"> </w:t>
      </w:r>
      <w:r w:rsidRPr="5C6B00EA">
        <w:rPr>
          <w:rFonts w:ascii="Arial" w:eastAsia="Arial" w:hAnsi="Arial" w:cs="Arial"/>
          <w:sz w:val="24"/>
          <w:szCs w:val="24"/>
        </w:rPr>
        <w:t>no. 3). Pages 459-470.</w:t>
      </w:r>
    </w:p>
    <w:p w14:paraId="1F90B527" w14:textId="343EAEF0" w:rsidR="1D552A45" w:rsidRDefault="1D552A45" w:rsidP="1D552A45">
      <w:pPr>
        <w:rPr>
          <w:rFonts w:ascii="Arial" w:eastAsia="Arial" w:hAnsi="Arial" w:cs="Arial"/>
          <w:sz w:val="24"/>
          <w:szCs w:val="24"/>
        </w:rPr>
      </w:pPr>
    </w:p>
    <w:p w14:paraId="25422B49" w14:textId="04A07666" w:rsidR="1D552A45" w:rsidRDefault="5C6B00EA" w:rsidP="5C6B00EA">
      <w:pPr>
        <w:ind w:left="720" w:hanging="720"/>
        <w:rPr>
          <w:rFonts w:ascii="Arial" w:eastAsia="Arial" w:hAnsi="Arial" w:cs="Arial"/>
          <w:sz w:val="24"/>
          <w:szCs w:val="24"/>
        </w:rPr>
      </w:pPr>
      <w:r w:rsidRPr="5C6B00EA">
        <w:rPr>
          <w:rFonts w:ascii="Arial" w:eastAsia="Arial" w:hAnsi="Arial" w:cs="Arial"/>
          <w:sz w:val="24"/>
          <w:szCs w:val="24"/>
        </w:rPr>
        <w:t xml:space="preserve">Tarrier, N., Liversidge, T., Gregg, L. (2006). The acceptability and preference for the psychological treatment of PTSD. </w:t>
      </w:r>
      <w:r w:rsidRPr="5C6B00EA">
        <w:rPr>
          <w:rFonts w:ascii="Arial" w:eastAsia="Arial" w:hAnsi="Arial" w:cs="Arial"/>
          <w:i/>
          <w:iCs/>
          <w:sz w:val="24"/>
          <w:szCs w:val="24"/>
        </w:rPr>
        <w:t>Behaviour, research and therapy</w:t>
      </w:r>
      <w:r w:rsidRPr="5C6B00EA">
        <w:rPr>
          <w:rFonts w:ascii="Arial" w:eastAsia="Arial" w:hAnsi="Arial" w:cs="Arial"/>
          <w:sz w:val="24"/>
          <w:szCs w:val="24"/>
        </w:rPr>
        <w:t xml:space="preserve"> </w:t>
      </w:r>
      <w:r w:rsidRPr="5C6B00EA">
        <w:rPr>
          <w:rFonts w:ascii="Arial" w:eastAsia="Arial" w:hAnsi="Arial" w:cs="Arial"/>
          <w:i/>
          <w:iCs/>
          <w:sz w:val="24"/>
          <w:szCs w:val="24"/>
        </w:rPr>
        <w:t xml:space="preserve">44. </w:t>
      </w:r>
      <w:r w:rsidRPr="5C6B00EA">
        <w:rPr>
          <w:rFonts w:ascii="Arial" w:eastAsia="Arial" w:hAnsi="Arial" w:cs="Arial"/>
          <w:sz w:val="24"/>
          <w:szCs w:val="24"/>
        </w:rPr>
        <w:t>Pages 1643-1656.</w:t>
      </w:r>
    </w:p>
    <w:p w14:paraId="538BD186" w14:textId="448EE7EE" w:rsidR="1D552A45" w:rsidRDefault="1D552A45" w:rsidP="1D552A45">
      <w:pPr>
        <w:rPr>
          <w:rFonts w:ascii="Arial" w:eastAsia="Arial" w:hAnsi="Arial" w:cs="Arial"/>
          <w:sz w:val="24"/>
          <w:szCs w:val="24"/>
        </w:rPr>
      </w:pPr>
    </w:p>
    <w:p w14:paraId="2C2DE07B" w14:textId="6699E236" w:rsidR="68531744" w:rsidRDefault="68531744" w:rsidP="68531744">
      <w:pPr>
        <w:ind w:left="720" w:hanging="720"/>
        <w:rPr>
          <w:rFonts w:ascii="Arial" w:eastAsia="Arial" w:hAnsi="Arial" w:cs="Arial"/>
          <w:sz w:val="24"/>
          <w:szCs w:val="24"/>
        </w:rPr>
      </w:pPr>
    </w:p>
    <w:p w14:paraId="1F8970C8" w14:textId="0C6E2DE9" w:rsidR="68531744" w:rsidRDefault="68531744" w:rsidP="68531744">
      <w:pPr>
        <w:ind w:left="720" w:hanging="720"/>
        <w:rPr>
          <w:rFonts w:ascii="Arial" w:eastAsia="Arial" w:hAnsi="Arial" w:cs="Arial"/>
          <w:sz w:val="24"/>
          <w:szCs w:val="24"/>
        </w:rPr>
      </w:pPr>
    </w:p>
    <w:p w14:paraId="1A8AD5DE" w14:textId="1381A71A" w:rsidR="68531744" w:rsidRDefault="68531744" w:rsidP="68531744">
      <w:pPr>
        <w:ind w:left="720" w:hanging="720"/>
        <w:rPr>
          <w:rFonts w:ascii="Arial" w:eastAsia="Arial" w:hAnsi="Arial" w:cs="Arial"/>
          <w:sz w:val="24"/>
          <w:szCs w:val="24"/>
        </w:rPr>
      </w:pPr>
    </w:p>
    <w:p w14:paraId="31181214" w14:textId="6857AF5C" w:rsidR="68531744" w:rsidRDefault="68531744" w:rsidP="68531744">
      <w:pPr>
        <w:ind w:left="720" w:hanging="720"/>
        <w:rPr>
          <w:rFonts w:ascii="Arial" w:eastAsia="Arial" w:hAnsi="Arial" w:cs="Arial"/>
          <w:sz w:val="24"/>
          <w:szCs w:val="24"/>
        </w:rPr>
      </w:pPr>
    </w:p>
    <w:p w14:paraId="502A1D9F" w14:textId="6F802903" w:rsidR="68531744" w:rsidRDefault="68531744" w:rsidP="68531744">
      <w:pPr>
        <w:ind w:left="720" w:hanging="720"/>
        <w:rPr>
          <w:rFonts w:ascii="Arial" w:eastAsia="Arial" w:hAnsi="Arial" w:cs="Arial"/>
          <w:sz w:val="24"/>
          <w:szCs w:val="24"/>
        </w:rPr>
      </w:pPr>
    </w:p>
    <w:p w14:paraId="09632021" w14:textId="7CB5D91E" w:rsidR="1D552A45" w:rsidRDefault="5C6B00EA" w:rsidP="5C6B00EA">
      <w:pPr>
        <w:ind w:left="720" w:hanging="720"/>
        <w:rPr>
          <w:rFonts w:ascii="Arial" w:eastAsia="Arial" w:hAnsi="Arial" w:cs="Arial"/>
          <w:sz w:val="24"/>
          <w:szCs w:val="24"/>
        </w:rPr>
      </w:pPr>
      <w:proofErr w:type="spellStart"/>
      <w:r w:rsidRPr="5C6B00EA">
        <w:rPr>
          <w:rFonts w:ascii="Arial" w:eastAsia="Arial" w:hAnsi="Arial" w:cs="Arial"/>
          <w:sz w:val="24"/>
          <w:szCs w:val="24"/>
        </w:rPr>
        <w:t>Ulleberg</w:t>
      </w:r>
      <w:proofErr w:type="spellEnd"/>
      <w:r w:rsidRPr="5C6B00EA">
        <w:rPr>
          <w:rFonts w:ascii="Arial" w:eastAsia="Arial" w:hAnsi="Arial" w:cs="Arial"/>
          <w:sz w:val="24"/>
          <w:szCs w:val="24"/>
        </w:rPr>
        <w:t xml:space="preserve">, P., and </w:t>
      </w:r>
      <w:proofErr w:type="spellStart"/>
      <w:r w:rsidRPr="5C6B00EA">
        <w:rPr>
          <w:rFonts w:ascii="Arial" w:eastAsia="Arial" w:hAnsi="Arial" w:cs="Arial"/>
          <w:sz w:val="24"/>
          <w:szCs w:val="24"/>
        </w:rPr>
        <w:t>Rundmo</w:t>
      </w:r>
      <w:proofErr w:type="spellEnd"/>
      <w:r w:rsidRPr="5C6B00EA">
        <w:rPr>
          <w:rFonts w:ascii="Arial" w:eastAsia="Arial" w:hAnsi="Arial" w:cs="Arial"/>
          <w:sz w:val="24"/>
          <w:szCs w:val="24"/>
        </w:rPr>
        <w:t xml:space="preserve">, T. (2003). </w:t>
      </w:r>
      <w:r w:rsidRPr="5C6B00EA">
        <w:rPr>
          <w:rFonts w:ascii="Arial" w:eastAsia="Arial" w:hAnsi="Arial" w:cs="Arial"/>
          <w:i/>
          <w:iCs/>
          <w:sz w:val="24"/>
          <w:szCs w:val="24"/>
        </w:rPr>
        <w:t xml:space="preserve">‘Personality, attitudes and risk perception as predictors of risky driving behaviour among young drivers.’ </w:t>
      </w:r>
      <w:r w:rsidRPr="5C6B00EA">
        <w:rPr>
          <w:rFonts w:ascii="Arial" w:eastAsia="Arial" w:hAnsi="Arial" w:cs="Arial"/>
          <w:sz w:val="24"/>
          <w:szCs w:val="24"/>
        </w:rPr>
        <w:t>Safety Science, 41. Pages 427-443.</w:t>
      </w:r>
    </w:p>
    <w:p w14:paraId="6302B192" w14:textId="61CBC213" w:rsidR="1D552A45" w:rsidRDefault="1D552A45" w:rsidP="1D552A45">
      <w:pPr>
        <w:rPr>
          <w:rFonts w:ascii="Arial" w:eastAsia="Arial" w:hAnsi="Arial" w:cs="Arial"/>
          <w:sz w:val="24"/>
          <w:szCs w:val="24"/>
        </w:rPr>
      </w:pPr>
    </w:p>
    <w:p w14:paraId="72CD698E" w14:textId="3D21C829" w:rsidR="1D552A45" w:rsidRDefault="5C6B00EA" w:rsidP="5C6B00EA">
      <w:pPr>
        <w:ind w:left="720" w:hanging="720"/>
        <w:rPr>
          <w:rFonts w:ascii="Arial" w:eastAsia="Arial" w:hAnsi="Arial" w:cs="Arial"/>
          <w:sz w:val="24"/>
          <w:szCs w:val="24"/>
        </w:rPr>
      </w:pPr>
      <w:proofErr w:type="spellStart"/>
      <w:r w:rsidRPr="5C6B00EA">
        <w:rPr>
          <w:rFonts w:ascii="Arial" w:eastAsia="Arial" w:hAnsi="Arial" w:cs="Arial"/>
          <w:sz w:val="24"/>
          <w:szCs w:val="24"/>
        </w:rPr>
        <w:t>Vartanian</w:t>
      </w:r>
      <w:proofErr w:type="spellEnd"/>
      <w:r w:rsidRPr="5C6B00EA">
        <w:rPr>
          <w:rFonts w:ascii="Arial" w:eastAsia="Arial" w:hAnsi="Arial" w:cs="Arial"/>
          <w:sz w:val="24"/>
          <w:szCs w:val="24"/>
        </w:rPr>
        <w:t xml:space="preserve">, Lenny, R., Trewartha, T., and </w:t>
      </w:r>
      <w:proofErr w:type="spellStart"/>
      <w:r w:rsidRPr="5C6B00EA">
        <w:rPr>
          <w:rFonts w:ascii="Arial" w:eastAsia="Arial" w:hAnsi="Arial" w:cs="Arial"/>
          <w:sz w:val="24"/>
          <w:szCs w:val="24"/>
        </w:rPr>
        <w:t>Vanman</w:t>
      </w:r>
      <w:proofErr w:type="spellEnd"/>
      <w:r w:rsidRPr="5C6B00EA">
        <w:rPr>
          <w:rFonts w:ascii="Arial" w:eastAsia="Arial" w:hAnsi="Arial" w:cs="Arial"/>
          <w:sz w:val="24"/>
          <w:szCs w:val="24"/>
        </w:rPr>
        <w:t>, E.J. (2016)</w:t>
      </w:r>
      <w:r w:rsidRPr="5C6B00EA">
        <w:rPr>
          <w:rFonts w:ascii="Arial" w:eastAsia="Arial" w:hAnsi="Arial" w:cs="Arial"/>
          <w:i/>
          <w:iCs/>
          <w:sz w:val="24"/>
          <w:szCs w:val="24"/>
        </w:rPr>
        <w:t xml:space="preserve"> </w:t>
      </w:r>
      <w:r w:rsidRPr="5C6B00EA">
        <w:rPr>
          <w:rFonts w:ascii="Arial" w:eastAsia="Arial" w:hAnsi="Arial" w:cs="Arial"/>
          <w:sz w:val="24"/>
          <w:szCs w:val="24"/>
        </w:rPr>
        <w:t xml:space="preserve">“Disgust predicts prejudice and discrimination toward individuals with obesity.” </w:t>
      </w:r>
      <w:r w:rsidRPr="5C6B00EA">
        <w:rPr>
          <w:rFonts w:ascii="Arial" w:eastAsia="Arial" w:hAnsi="Arial" w:cs="Arial"/>
          <w:i/>
          <w:iCs/>
          <w:sz w:val="24"/>
          <w:szCs w:val="24"/>
        </w:rPr>
        <w:t>Journal of Applied Social Psychology 46</w:t>
      </w:r>
      <w:r w:rsidRPr="5C6B00EA">
        <w:rPr>
          <w:rFonts w:ascii="Arial" w:eastAsia="Arial" w:hAnsi="Arial" w:cs="Arial"/>
          <w:sz w:val="24"/>
          <w:szCs w:val="24"/>
        </w:rPr>
        <w:t>, (Issue no. 6). Pages 369-375.</w:t>
      </w:r>
    </w:p>
    <w:p w14:paraId="055386C5" w14:textId="186A5D3C" w:rsidR="1D552A45" w:rsidRDefault="1D552A45" w:rsidP="1D552A45">
      <w:pPr>
        <w:rPr>
          <w:rFonts w:ascii="Arial" w:eastAsia="Arial" w:hAnsi="Arial" w:cs="Arial"/>
          <w:sz w:val="24"/>
          <w:szCs w:val="24"/>
        </w:rPr>
      </w:pPr>
    </w:p>
    <w:p w14:paraId="7920DD22" w14:textId="5826432B" w:rsidR="1D552A45" w:rsidRDefault="7BD09492" w:rsidP="5C6B00EA">
      <w:pPr>
        <w:ind w:left="720" w:hanging="720"/>
        <w:rPr>
          <w:rFonts w:ascii="Arial" w:eastAsia="Arial" w:hAnsi="Arial" w:cs="Arial"/>
          <w:sz w:val="24"/>
          <w:szCs w:val="24"/>
        </w:rPr>
      </w:pPr>
      <w:r w:rsidRPr="7BD09492">
        <w:rPr>
          <w:rFonts w:ascii="Arial" w:eastAsia="Arial" w:hAnsi="Arial" w:cs="Arial"/>
          <w:sz w:val="24"/>
          <w:szCs w:val="24"/>
        </w:rPr>
        <w:t xml:space="preserve">Voigt, D.C., </w:t>
      </w:r>
      <w:proofErr w:type="spellStart"/>
      <w:r w:rsidRPr="7BD09492">
        <w:rPr>
          <w:rFonts w:ascii="Arial" w:eastAsia="Arial" w:hAnsi="Arial" w:cs="Arial"/>
          <w:sz w:val="24"/>
          <w:szCs w:val="24"/>
        </w:rPr>
        <w:t>Dillaro</w:t>
      </w:r>
      <w:proofErr w:type="spellEnd"/>
      <w:r w:rsidRPr="7BD09492">
        <w:rPr>
          <w:rFonts w:ascii="Arial" w:eastAsia="Arial" w:hAnsi="Arial" w:cs="Arial"/>
          <w:sz w:val="24"/>
          <w:szCs w:val="24"/>
        </w:rPr>
        <w:t xml:space="preserve">, J.P., Braddock, K.H., Anderson, </w:t>
      </w:r>
      <w:proofErr w:type="gramStart"/>
      <w:r w:rsidRPr="7BD09492">
        <w:rPr>
          <w:rFonts w:ascii="Arial" w:eastAsia="Arial" w:hAnsi="Arial" w:cs="Arial"/>
          <w:sz w:val="24"/>
          <w:szCs w:val="24"/>
        </w:rPr>
        <w:t>J.W.,</w:t>
      </w:r>
      <w:proofErr w:type="spellStart"/>
      <w:r w:rsidRPr="7BD09492">
        <w:rPr>
          <w:rFonts w:ascii="Arial" w:eastAsia="Arial" w:hAnsi="Arial" w:cs="Arial"/>
          <w:sz w:val="24"/>
          <w:szCs w:val="24"/>
        </w:rPr>
        <w:t>Sopory</w:t>
      </w:r>
      <w:proofErr w:type="spellEnd"/>
      <w:proofErr w:type="gramEnd"/>
      <w:r w:rsidRPr="7BD09492">
        <w:rPr>
          <w:rFonts w:ascii="Arial" w:eastAsia="Arial" w:hAnsi="Arial" w:cs="Arial"/>
          <w:sz w:val="24"/>
          <w:szCs w:val="24"/>
        </w:rPr>
        <w:t xml:space="preserve">, P., Stephenson, M.T. (2009) “Carver and White’s (1994) BIS/BAS scales and their relationship to risky health behaviours. </w:t>
      </w:r>
      <w:r w:rsidRPr="7BD09492">
        <w:rPr>
          <w:rFonts w:ascii="Arial" w:eastAsia="Arial" w:hAnsi="Arial" w:cs="Arial"/>
          <w:i/>
          <w:iCs/>
          <w:sz w:val="24"/>
          <w:szCs w:val="24"/>
        </w:rPr>
        <w:t xml:space="preserve">Personality and individual differences. </w:t>
      </w:r>
      <w:r w:rsidRPr="7BD09492">
        <w:rPr>
          <w:rFonts w:ascii="Arial" w:eastAsia="Arial" w:hAnsi="Arial" w:cs="Arial"/>
          <w:sz w:val="24"/>
          <w:szCs w:val="24"/>
        </w:rPr>
        <w:t>(Issue 47).</w:t>
      </w:r>
      <w:r w:rsidRPr="7BD09492">
        <w:rPr>
          <w:rFonts w:ascii="Arial" w:eastAsia="Arial" w:hAnsi="Arial" w:cs="Arial"/>
          <w:i/>
          <w:iCs/>
          <w:sz w:val="24"/>
          <w:szCs w:val="24"/>
        </w:rPr>
        <w:t xml:space="preserve"> </w:t>
      </w:r>
      <w:r w:rsidRPr="7BD09492">
        <w:rPr>
          <w:rFonts w:ascii="Arial" w:eastAsia="Arial" w:hAnsi="Arial" w:cs="Arial"/>
          <w:sz w:val="24"/>
          <w:szCs w:val="24"/>
        </w:rPr>
        <w:t>Pages 89-93.</w:t>
      </w:r>
    </w:p>
    <w:p w14:paraId="102D564F" w14:textId="1D28FF39" w:rsidR="116A8F53" w:rsidRDefault="116A8F53" w:rsidP="116A8F53">
      <w:pPr>
        <w:rPr>
          <w:rFonts w:ascii="Arial" w:eastAsia="Arial" w:hAnsi="Arial" w:cs="Arial"/>
          <w:sz w:val="24"/>
          <w:szCs w:val="24"/>
        </w:rPr>
      </w:pPr>
    </w:p>
    <w:p w14:paraId="6582E880" w14:textId="57FAE2ED" w:rsidR="116A8F53" w:rsidRDefault="5C6B00EA" w:rsidP="116A8F53">
      <w:pPr>
        <w:rPr>
          <w:rFonts w:ascii="Arial" w:eastAsia="Arial" w:hAnsi="Arial" w:cs="Arial"/>
          <w:sz w:val="24"/>
          <w:szCs w:val="24"/>
        </w:rPr>
      </w:pPr>
      <w:r w:rsidRPr="5C6B00EA">
        <w:rPr>
          <w:rFonts w:ascii="Arial" w:eastAsia="Arial" w:hAnsi="Arial" w:cs="Arial"/>
          <w:sz w:val="24"/>
          <w:szCs w:val="24"/>
        </w:rPr>
        <w:t>Well-being of future generations (Wales) act, 2015.</w:t>
      </w:r>
    </w:p>
    <w:p w14:paraId="75E24F9A" w14:textId="20FD59D0" w:rsidR="116A8F53" w:rsidRDefault="116A8F53" w:rsidP="116A8F53">
      <w:pPr>
        <w:rPr>
          <w:rFonts w:ascii="Arial" w:eastAsia="Arial" w:hAnsi="Arial" w:cs="Arial"/>
          <w:sz w:val="24"/>
          <w:szCs w:val="24"/>
        </w:rPr>
      </w:pPr>
    </w:p>
    <w:p w14:paraId="7EDAAC57" w14:textId="52F641E8" w:rsidR="116A8F53" w:rsidRDefault="7BD09492" w:rsidP="5C6B00EA">
      <w:pPr>
        <w:ind w:left="720" w:hanging="720"/>
        <w:rPr>
          <w:rFonts w:ascii="Arial" w:eastAsia="Arial" w:hAnsi="Arial" w:cs="Arial"/>
          <w:sz w:val="24"/>
          <w:szCs w:val="24"/>
        </w:rPr>
      </w:pPr>
      <w:r w:rsidRPr="7BD09492">
        <w:rPr>
          <w:rFonts w:ascii="Arial" w:eastAsia="Arial" w:hAnsi="Arial" w:cs="Arial"/>
          <w:sz w:val="24"/>
          <w:szCs w:val="24"/>
        </w:rPr>
        <w:t>Williamson, H. (2016). ‘Supporting adolescents struggling with appearance-altering conditions:</w:t>
      </w:r>
      <w:r w:rsidRPr="7BD09492">
        <w:rPr>
          <w:rFonts w:ascii="Arial" w:eastAsia="Arial" w:hAnsi="Arial" w:cs="Arial"/>
          <w:i/>
          <w:iCs/>
          <w:sz w:val="24"/>
          <w:szCs w:val="24"/>
        </w:rPr>
        <w:t xml:space="preserve"> the feasibility of using an online psychosocial intervention (YP Face IT) in primary care</w:t>
      </w:r>
      <w:r w:rsidRPr="7BD09492">
        <w:rPr>
          <w:rFonts w:ascii="Arial" w:eastAsia="Arial" w:hAnsi="Arial" w:cs="Arial"/>
          <w:sz w:val="24"/>
          <w:szCs w:val="24"/>
        </w:rPr>
        <w:t>.’ University of the West of England, 12-14 October 2016. Annual Primary Care Conference, Royal College of General Practitioners,</w:t>
      </w:r>
    </w:p>
    <w:p w14:paraId="00D86151" w14:textId="380F0C2D" w:rsidR="116A8F53" w:rsidRDefault="116A8F53" w:rsidP="116A8F53">
      <w:pPr>
        <w:rPr>
          <w:rFonts w:ascii="Arial" w:eastAsia="Arial" w:hAnsi="Arial" w:cs="Arial"/>
          <w:sz w:val="24"/>
          <w:szCs w:val="24"/>
        </w:rPr>
      </w:pPr>
    </w:p>
    <w:p w14:paraId="4DA79DF8" w14:textId="2F8048F8" w:rsidR="116A8F53" w:rsidRDefault="7BD09492" w:rsidP="5C6B00EA">
      <w:pPr>
        <w:ind w:left="720" w:hanging="720"/>
        <w:rPr>
          <w:rFonts w:ascii="Arial" w:eastAsia="Arial" w:hAnsi="Arial" w:cs="Arial"/>
          <w:sz w:val="24"/>
          <w:szCs w:val="24"/>
        </w:rPr>
      </w:pPr>
      <w:r w:rsidRPr="7BD09492">
        <w:rPr>
          <w:rFonts w:ascii="Arial" w:eastAsia="Arial" w:hAnsi="Arial" w:cs="Arial"/>
          <w:sz w:val="24"/>
          <w:szCs w:val="24"/>
        </w:rPr>
        <w:t xml:space="preserve">Young, E. (2017), </w:t>
      </w:r>
      <w:r w:rsidRPr="7BD09492">
        <w:rPr>
          <w:rFonts w:ascii="Arial" w:eastAsia="Arial" w:hAnsi="Arial" w:cs="Arial"/>
          <w:i/>
          <w:iCs/>
          <w:sz w:val="24"/>
          <w:szCs w:val="24"/>
        </w:rPr>
        <w:t xml:space="preserve">Women know better than men what other women are thinking and feeling. </w:t>
      </w:r>
      <w:r w:rsidRPr="7BD09492">
        <w:rPr>
          <w:rFonts w:ascii="Arial" w:eastAsia="Arial" w:hAnsi="Arial" w:cs="Arial"/>
          <w:sz w:val="24"/>
          <w:szCs w:val="24"/>
        </w:rPr>
        <w:t xml:space="preserve">Research Digest. The British Psychological Society. Retrieved from </w:t>
      </w:r>
      <w:hyperlink r:id="rId10">
        <w:r w:rsidRPr="7BD09492">
          <w:rPr>
            <w:rStyle w:val="Hyperlink"/>
            <w:rFonts w:ascii="Arial" w:eastAsia="Arial" w:hAnsi="Arial" w:cs="Arial"/>
            <w:sz w:val="24"/>
            <w:szCs w:val="24"/>
          </w:rPr>
          <w:t>https://digest.bps.org.uk/2017/09/18/women-know-better-than-men-what-other-women-are-thinking-and-feeling/</w:t>
        </w:r>
      </w:hyperlink>
      <w:r w:rsidRPr="7BD09492">
        <w:rPr>
          <w:rFonts w:ascii="Arial" w:eastAsia="Arial" w:hAnsi="Arial" w:cs="Arial"/>
          <w:sz w:val="24"/>
          <w:szCs w:val="24"/>
        </w:rPr>
        <w:t xml:space="preserve"> </w:t>
      </w:r>
    </w:p>
    <w:p w14:paraId="618C33ED" w14:textId="6660E346" w:rsidR="1D552A45" w:rsidRDefault="1D552A45" w:rsidP="1D552A45">
      <w:pPr>
        <w:rPr>
          <w:rFonts w:ascii="Arial" w:eastAsia="Arial" w:hAnsi="Arial" w:cs="Arial"/>
          <w:sz w:val="24"/>
          <w:szCs w:val="24"/>
        </w:rPr>
      </w:pPr>
    </w:p>
    <w:p w14:paraId="151A554A" w14:textId="25DF56B4" w:rsidR="1D552A45" w:rsidRDefault="1D552A45" w:rsidP="1D552A45">
      <w:pPr>
        <w:rPr>
          <w:rFonts w:ascii="Arial" w:eastAsia="Arial" w:hAnsi="Arial" w:cs="Arial"/>
          <w:sz w:val="24"/>
          <w:szCs w:val="24"/>
        </w:rPr>
      </w:pPr>
    </w:p>
    <w:p w14:paraId="12704BBC" w14:textId="08C105CD" w:rsidR="0F471CA3" w:rsidRDefault="0F471CA3" w:rsidP="0F471CA3">
      <w:pPr>
        <w:rPr>
          <w:rFonts w:ascii="Arial" w:eastAsia="Arial" w:hAnsi="Arial" w:cs="Arial"/>
          <w:sz w:val="24"/>
          <w:szCs w:val="24"/>
        </w:rPr>
      </w:pPr>
    </w:p>
    <w:p w14:paraId="06D2474B" w14:textId="16048718" w:rsidR="0F471CA3" w:rsidRDefault="0F471CA3" w:rsidP="0F471CA3">
      <w:pPr>
        <w:rPr>
          <w:rFonts w:ascii="Arial" w:eastAsia="Arial" w:hAnsi="Arial" w:cs="Arial"/>
          <w:sz w:val="24"/>
          <w:szCs w:val="24"/>
        </w:rPr>
      </w:pPr>
    </w:p>
    <w:p w14:paraId="33138048" w14:textId="41908E3A" w:rsidR="0F471CA3" w:rsidRDefault="0F471CA3" w:rsidP="0F471CA3">
      <w:pPr>
        <w:rPr>
          <w:rFonts w:ascii="Arial" w:eastAsia="Arial" w:hAnsi="Arial" w:cs="Arial"/>
          <w:sz w:val="24"/>
          <w:szCs w:val="24"/>
        </w:rPr>
      </w:pPr>
    </w:p>
    <w:p w14:paraId="12E2EF6B" w14:textId="746CA44D" w:rsidR="0F471CA3" w:rsidRDefault="0F471CA3" w:rsidP="0F471CA3">
      <w:pPr>
        <w:rPr>
          <w:rFonts w:ascii="Arial" w:eastAsia="Arial" w:hAnsi="Arial" w:cs="Arial"/>
          <w:sz w:val="24"/>
          <w:szCs w:val="24"/>
        </w:rPr>
      </w:pPr>
    </w:p>
    <w:p w14:paraId="0EC445CF" w14:textId="4F1AE020" w:rsidR="0F471CA3" w:rsidRDefault="0F471CA3" w:rsidP="0F471CA3">
      <w:pPr>
        <w:rPr>
          <w:rFonts w:ascii="Arial" w:eastAsia="Arial" w:hAnsi="Arial" w:cs="Arial"/>
          <w:sz w:val="24"/>
          <w:szCs w:val="24"/>
        </w:rPr>
      </w:pPr>
    </w:p>
    <w:p w14:paraId="3D610139" w14:textId="53C9C774" w:rsidR="0F471CA3" w:rsidRDefault="0F471CA3" w:rsidP="0F471CA3">
      <w:pPr>
        <w:rPr>
          <w:rFonts w:ascii="Arial" w:eastAsia="Arial" w:hAnsi="Arial" w:cs="Arial"/>
          <w:sz w:val="24"/>
          <w:szCs w:val="24"/>
        </w:rPr>
      </w:pPr>
    </w:p>
    <w:p w14:paraId="4D72CFA2" w14:textId="5FC661DA" w:rsidR="0F471CA3" w:rsidRDefault="0F471CA3" w:rsidP="0F471CA3">
      <w:pPr>
        <w:rPr>
          <w:rFonts w:ascii="Arial" w:eastAsia="Arial" w:hAnsi="Arial" w:cs="Arial"/>
          <w:sz w:val="24"/>
          <w:szCs w:val="24"/>
        </w:rPr>
      </w:pPr>
    </w:p>
    <w:p w14:paraId="40F2D5E1" w14:textId="199972F8" w:rsidR="0F471CA3" w:rsidRDefault="0F471CA3" w:rsidP="0F471CA3">
      <w:pPr>
        <w:rPr>
          <w:rFonts w:ascii="Arial" w:eastAsia="Arial" w:hAnsi="Arial" w:cs="Arial"/>
          <w:sz w:val="24"/>
          <w:szCs w:val="24"/>
        </w:rPr>
      </w:pPr>
    </w:p>
    <w:p w14:paraId="6D093FDA" w14:textId="3737B101" w:rsidR="0F471CA3" w:rsidRDefault="0F471CA3" w:rsidP="0F471CA3">
      <w:pPr>
        <w:rPr>
          <w:rFonts w:ascii="Arial" w:eastAsia="Arial" w:hAnsi="Arial" w:cs="Arial"/>
          <w:sz w:val="24"/>
          <w:szCs w:val="24"/>
        </w:rPr>
      </w:pPr>
    </w:p>
    <w:p w14:paraId="02956B23" w14:textId="273237E9" w:rsidR="0F471CA3" w:rsidRDefault="0F471CA3" w:rsidP="0F471CA3">
      <w:pPr>
        <w:rPr>
          <w:rFonts w:ascii="Arial" w:eastAsia="Arial" w:hAnsi="Arial" w:cs="Arial"/>
          <w:sz w:val="24"/>
          <w:szCs w:val="24"/>
        </w:rPr>
      </w:pPr>
    </w:p>
    <w:sectPr w:rsidR="0F471CA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9823873"/>
    <w:rsid w:val="00136F95"/>
    <w:rsid w:val="00277EB4"/>
    <w:rsid w:val="0032254C"/>
    <w:rsid w:val="003474FF"/>
    <w:rsid w:val="004336B3"/>
    <w:rsid w:val="00561E93"/>
    <w:rsid w:val="005A5050"/>
    <w:rsid w:val="005A5BF5"/>
    <w:rsid w:val="007A2F93"/>
    <w:rsid w:val="008A524D"/>
    <w:rsid w:val="0090462C"/>
    <w:rsid w:val="009656E4"/>
    <w:rsid w:val="00A16813"/>
    <w:rsid w:val="00A65E3D"/>
    <w:rsid w:val="00A877AA"/>
    <w:rsid w:val="00F41D7B"/>
    <w:rsid w:val="00FB0FBE"/>
    <w:rsid w:val="035E2C82"/>
    <w:rsid w:val="08913733"/>
    <w:rsid w:val="0F471CA3"/>
    <w:rsid w:val="116A8F53"/>
    <w:rsid w:val="116BDC09"/>
    <w:rsid w:val="1CFB260C"/>
    <w:rsid w:val="1D552A45"/>
    <w:rsid w:val="27523939"/>
    <w:rsid w:val="2D9F32C8"/>
    <w:rsid w:val="3A39A19A"/>
    <w:rsid w:val="3CD8FF25"/>
    <w:rsid w:val="4C43F53E"/>
    <w:rsid w:val="59823873"/>
    <w:rsid w:val="5C6B00EA"/>
    <w:rsid w:val="6353141D"/>
    <w:rsid w:val="6599A265"/>
    <w:rsid w:val="68531744"/>
    <w:rsid w:val="7BD09492"/>
    <w:rsid w:val="7E2DBF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E2C82"/>
  <w15:chartTrackingRefBased/>
  <w15:docId w15:val="{8D3539F7-6BC3-4BB5-A445-A8F2A4943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andfebooks.com/doi/view/10.4324/9780203878422" TargetMode="External"/><Relationship Id="rId3" Type="http://schemas.openxmlformats.org/officeDocument/2006/relationships/webSettings" Target="webSettings.xml"/><Relationship Id="rId7" Type="http://schemas.openxmlformats.org/officeDocument/2006/relationships/hyperlink" Target="http://www.mentalhealth.org.uk/podcasts-and-%20%20%20%20%20%20%20%20%20%20%20%20%20%20%20%20%20videos/computerised-cognitivebehavioural-therapy"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apa.org/pi/wpo/sexualisation.html" TargetMode="External"/><Relationship Id="rId11" Type="http://schemas.openxmlformats.org/officeDocument/2006/relationships/fontTable" Target="fontTable.xml"/><Relationship Id="rId5" Type="http://schemas.openxmlformats.org/officeDocument/2006/relationships/hyperlink" Target="Http://www.gamblingcommission.gov.uk/PDF/survey-data/Developing-a-Short-Form-of-the-PGSI.pdf" TargetMode="External"/><Relationship Id="rId10" Type="http://schemas.openxmlformats.org/officeDocument/2006/relationships/hyperlink" Target="https://digest.bps.org.uk/2017/09/18/women-know-better-than-men-what-other-women-are-thinking-and-feeling/" TargetMode="External"/><Relationship Id="rId4" Type="http://schemas.openxmlformats.org/officeDocument/2006/relationships/hyperlink" Target="Https://www.economist.com/blogs/graphicdetail/2017/02/daily-chart-4" TargetMode="External"/><Relationship Id="rId9" Type="http://schemas.openxmlformats.org/officeDocument/2006/relationships/hyperlink" Target="https://www.ons.gov.uk/peoplepopulationandcommunity/healthandsocialcare/drugusealcoholandsmoking/bulletins/opinionsandlifestylesurveyadultdrinkinghabitsingreatbritain/2005to20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2145</Words>
  <Characters>12228</Characters>
  <Application>Microsoft Office Word</Application>
  <DocSecurity>0</DocSecurity>
  <Lines>101</Lines>
  <Paragraphs>28</Paragraphs>
  <ScaleCrop>false</ScaleCrop>
  <Company/>
  <LinksUpToDate>false</LinksUpToDate>
  <CharactersWithSpaces>14345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W</dc:creator>
  <cp:keywords/>
  <dc:description/>
  <cp:lastModifiedBy>S W</cp:lastModifiedBy>
  <cp:revision>26</cp:revision>
  <dcterms:created xsi:type="dcterms:W3CDTF">2019-11-06T10:02:00Z</dcterms:created>
  <dcterms:modified xsi:type="dcterms:W3CDTF">2019-11-07T20:07:00Z</dcterms:modified>
</cp:coreProperties>
</file>