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4EBA0" w14:textId="087D1D30" w:rsidR="021F216E" w:rsidRDefault="005C3552" w:rsidP="021F216E">
      <w:pPr>
        <w:jc w:val="center"/>
        <w:rPr>
          <w:rFonts w:ascii="Arial Nova" w:eastAsia="Arial Nova" w:hAnsi="Arial Nova" w:cs="Arial Nova"/>
          <w:sz w:val="44"/>
          <w:szCs w:val="44"/>
        </w:rPr>
      </w:pPr>
      <w:r>
        <w:rPr>
          <w:rFonts w:ascii="Arial Nova" w:eastAsia="Arial Nova" w:hAnsi="Arial Nova" w:cs="Arial Nova"/>
          <w:sz w:val="44"/>
          <w:szCs w:val="44"/>
        </w:rPr>
        <w:t>RAHEEMA ASHRAF</w:t>
      </w:r>
    </w:p>
    <w:p w14:paraId="12EEC446" w14:textId="57ABA55D" w:rsidR="005C3552" w:rsidRDefault="005C3552" w:rsidP="021F216E">
      <w:pPr>
        <w:jc w:val="center"/>
        <w:rPr>
          <w:rFonts w:ascii="Arial Nova" w:eastAsia="Arial Nova" w:hAnsi="Arial Nova" w:cs="Arial Nova"/>
          <w:sz w:val="44"/>
          <w:szCs w:val="44"/>
        </w:rPr>
      </w:pPr>
      <w:r>
        <w:rPr>
          <w:rFonts w:ascii="Arial Nova" w:eastAsia="Arial Nova" w:hAnsi="Arial Nova" w:cs="Arial Nova"/>
          <w:sz w:val="44"/>
          <w:szCs w:val="44"/>
        </w:rPr>
        <w:t>2334327</w:t>
      </w:r>
    </w:p>
    <w:p w14:paraId="18D52C15" w14:textId="231B7DE1" w:rsidR="005C3552" w:rsidRDefault="005C3552" w:rsidP="021F216E">
      <w:pPr>
        <w:jc w:val="center"/>
        <w:rPr>
          <w:rFonts w:ascii="Arial Nova" w:eastAsia="Arial Nova" w:hAnsi="Arial Nova" w:cs="Arial Nova"/>
          <w:sz w:val="44"/>
          <w:szCs w:val="44"/>
        </w:rPr>
      </w:pPr>
      <w:r>
        <w:rPr>
          <w:rFonts w:ascii="Arial Nova" w:eastAsia="Arial Nova" w:hAnsi="Arial Nova" w:cs="Arial Nova"/>
          <w:sz w:val="44"/>
          <w:szCs w:val="44"/>
        </w:rPr>
        <w:t>BMHP5015</w:t>
      </w:r>
    </w:p>
    <w:p w14:paraId="02B13A1B" w14:textId="0102EC42" w:rsidR="005C3552" w:rsidRDefault="005C3552" w:rsidP="021F216E">
      <w:pPr>
        <w:jc w:val="center"/>
        <w:rPr>
          <w:rFonts w:ascii="Arial Nova" w:eastAsia="Arial Nova" w:hAnsi="Arial Nova" w:cs="Arial Nova"/>
          <w:sz w:val="44"/>
          <w:szCs w:val="44"/>
        </w:rPr>
      </w:pPr>
      <w:r>
        <w:rPr>
          <w:rFonts w:ascii="Arial Nova" w:eastAsia="Arial Nova" w:hAnsi="Arial Nova" w:cs="Arial Nova"/>
          <w:sz w:val="44"/>
          <w:szCs w:val="44"/>
        </w:rPr>
        <w:t>CHANGEMAKERS BUILDING YOUR PERSONAL BRAND FOR SUSTAINABLE EMPLOYMENT</w:t>
      </w:r>
    </w:p>
    <w:p w14:paraId="55DC8873" w14:textId="77777777" w:rsidR="005C3552" w:rsidRDefault="005C3552"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5CDEE898" w:rsidR="021F216E" w:rsidRPr="00157845" w:rsidRDefault="00C71BD2" w:rsidP="00157845">
      <w:pPr>
        <w:spacing w:line="360" w:lineRule="auto"/>
        <w:jc w:val="both"/>
        <w:rPr>
          <w:rFonts w:ascii="Tahoma" w:eastAsia="Arial Nova" w:hAnsi="Tahoma" w:cs="Tahoma"/>
          <w:color w:val="000000" w:themeColor="text1"/>
          <w:sz w:val="22"/>
          <w:szCs w:val="22"/>
        </w:rPr>
      </w:pPr>
      <w:r w:rsidRPr="00157845">
        <w:rPr>
          <w:rFonts w:ascii="Tahoma" w:eastAsia="Arial Nova" w:hAnsi="Tahoma" w:cs="Tahoma"/>
          <w:color w:val="000000" w:themeColor="text1"/>
          <w:sz w:val="22"/>
          <w:szCs w:val="22"/>
        </w:rPr>
        <w:t>Ans:</w:t>
      </w:r>
    </w:p>
    <w:p w14:paraId="673D6D4C" w14:textId="7FC0BDDA" w:rsidR="00C71BD2" w:rsidRPr="00157845" w:rsidRDefault="00C71BD2" w:rsidP="00157845">
      <w:pPr>
        <w:spacing w:line="360" w:lineRule="auto"/>
        <w:jc w:val="both"/>
        <w:rPr>
          <w:rFonts w:ascii="Tahoma" w:eastAsia="Arial Nova" w:hAnsi="Tahoma" w:cs="Tahoma"/>
          <w:color w:val="000000" w:themeColor="text1"/>
          <w:sz w:val="22"/>
          <w:szCs w:val="22"/>
        </w:rPr>
      </w:pPr>
      <w:r w:rsidRPr="00157845">
        <w:rPr>
          <w:rFonts w:ascii="Tahoma" w:eastAsia="Arial Nova" w:hAnsi="Tahoma" w:cs="Tahoma"/>
          <w:color w:val="000000" w:themeColor="text1"/>
          <w:sz w:val="22"/>
          <w:szCs w:val="22"/>
        </w:rPr>
        <w:t xml:space="preserve">What I want people to think of my name when they think of me is compassionate, reliable, culturally aware and willing to learn, that's my personal brand. When considering this brand in health and social care, the brand cannot be just </w:t>
      </w:r>
      <w:proofErr w:type="spellStart"/>
      <w:r w:rsidRPr="00157845">
        <w:rPr>
          <w:rFonts w:ascii="Tahoma" w:eastAsia="Arial Nova" w:hAnsi="Tahoma" w:cs="Tahoma"/>
          <w:color w:val="000000" w:themeColor="text1"/>
          <w:sz w:val="22"/>
          <w:szCs w:val="22"/>
        </w:rPr>
        <w:t>self promotion</w:t>
      </w:r>
      <w:proofErr w:type="spellEnd"/>
      <w:r w:rsidRPr="00157845">
        <w:rPr>
          <w:rFonts w:ascii="Tahoma" w:eastAsia="Arial Nova" w:hAnsi="Tahoma" w:cs="Tahoma"/>
          <w:color w:val="000000" w:themeColor="text1"/>
          <w:sz w:val="22"/>
          <w:szCs w:val="22"/>
        </w:rPr>
        <w:t xml:space="preserve">, it needs to be backed up by ethical </w:t>
      </w:r>
      <w:proofErr w:type="spellStart"/>
      <w:r w:rsidRPr="00157845">
        <w:rPr>
          <w:rFonts w:ascii="Tahoma" w:eastAsia="Arial Nova" w:hAnsi="Tahoma" w:cs="Tahoma"/>
          <w:color w:val="000000" w:themeColor="text1"/>
          <w:sz w:val="22"/>
          <w:szCs w:val="22"/>
        </w:rPr>
        <w:t>behaviour</w:t>
      </w:r>
      <w:proofErr w:type="spellEnd"/>
      <w:r w:rsidRPr="00157845">
        <w:rPr>
          <w:rFonts w:ascii="Tahoma" w:eastAsia="Arial Nova" w:hAnsi="Tahoma" w:cs="Tahoma"/>
          <w:color w:val="000000" w:themeColor="text1"/>
          <w:sz w:val="22"/>
          <w:szCs w:val="22"/>
        </w:rPr>
        <w:t xml:space="preserve">, person </w:t>
      </w:r>
      <w:proofErr w:type="spellStart"/>
      <w:r w:rsidRPr="00157845">
        <w:rPr>
          <w:rFonts w:ascii="Tahoma" w:eastAsia="Arial Nova" w:hAnsi="Tahoma" w:cs="Tahoma"/>
          <w:color w:val="000000" w:themeColor="text1"/>
          <w:sz w:val="22"/>
          <w:szCs w:val="22"/>
        </w:rPr>
        <w:t>centred</w:t>
      </w:r>
      <w:proofErr w:type="spellEnd"/>
      <w:r w:rsidRPr="00157845">
        <w:rPr>
          <w:rFonts w:ascii="Tahoma" w:eastAsia="Arial Nova" w:hAnsi="Tahoma" w:cs="Tahoma"/>
          <w:color w:val="000000" w:themeColor="text1"/>
          <w:sz w:val="22"/>
          <w:szCs w:val="22"/>
        </w:rPr>
        <w:t xml:space="preserve"> communication and evidence of competence. When a personal brand conveys a value to the employer, its perceived employability can be enhanced, as suggested by </w:t>
      </w:r>
      <w:r w:rsidR="00F21F16">
        <w:rPr>
          <w:rFonts w:ascii="Tahoma" w:eastAsia="Arial Nova" w:hAnsi="Tahoma" w:cs="Tahoma"/>
          <w:color w:val="000000" w:themeColor="text1"/>
          <w:sz w:val="22"/>
          <w:szCs w:val="22"/>
        </w:rPr>
        <w:fldChar w:fldCharType="begin" w:fldLock="1"/>
      </w:r>
      <w:r w:rsidR="00F21F16">
        <w:rPr>
          <w:rFonts w:ascii="Tahoma" w:eastAsia="Arial Nova" w:hAnsi="Tahoma" w:cs="Tahoma"/>
          <w:color w:val="000000" w:themeColor="text1"/>
          <w:sz w:val="22"/>
          <w:szCs w:val="22"/>
        </w:rPr>
        <w:instrText>ADDIN CSL_CITATION {"citationItems":[{"id":"ITEM-1","itemData":{"ISSN":"1664-1078","author":[{"dropping-particle":"","family":"Gorbatov","given":"Sergey","non-dropping-particle":"","parse-names":false,"suffix":""},{"dropping-particle":"","family":"Khapova","given":"Svetlana N.","non-dropping-particle":"","parse-names":false,"suffix":""},{"dropping-particle":"","family":"Lysova","given":"Evgenia I.","non-dropping-particle":"","parse-names":false,"suffix":""}],"container-title":"Frontiers in Psychology","id":"ITEM-1","issued":{"date-parts":[["2019","12","9"]]},"title":"Get Noticed to Get Ahead: The Impact of Personal Branding on Career Success","type":"article-journal","volume":"10"},"uris":["http://www.mendeley.com/documents/?uuid=5fdc0770-3560-4533-9f94-44e7f6659709"]}],"mendeley":{"formattedCitation":"(Gorbatov, Khapova and Lysova, 2019)","manualFormatting":"Gorbatov, Khapova and Lysova (2019)","plainTextFormattedCitation":"(Gorbatov, Khapova and Lysova, 2019)","previouslyFormattedCitation":"(Gorbatov, Khapova and Lysova, 2019)"},"properties":{"noteIndex":0},"schema":"https://github.com/citation-style-language/schema/raw/master/csl-citation.json"}</w:instrText>
      </w:r>
      <w:r w:rsidR="00F21F16">
        <w:rPr>
          <w:rFonts w:ascii="Tahoma" w:eastAsia="Arial Nova" w:hAnsi="Tahoma" w:cs="Tahoma"/>
          <w:color w:val="000000" w:themeColor="text1"/>
          <w:sz w:val="22"/>
          <w:szCs w:val="22"/>
        </w:rPr>
        <w:fldChar w:fldCharType="separate"/>
      </w:r>
      <w:r w:rsidR="00F21F16" w:rsidRPr="00F21F16">
        <w:rPr>
          <w:rFonts w:ascii="Tahoma" w:eastAsia="Arial Nova" w:hAnsi="Tahoma" w:cs="Tahoma"/>
          <w:noProof/>
          <w:color w:val="000000" w:themeColor="text1"/>
          <w:sz w:val="22"/>
          <w:szCs w:val="22"/>
        </w:rPr>
        <w:t>Gorbatov, Khapova and Lysova</w:t>
      </w:r>
      <w:r w:rsidR="00F21F16">
        <w:rPr>
          <w:rFonts w:ascii="Tahoma" w:eastAsia="Arial Nova" w:hAnsi="Tahoma" w:cs="Tahoma"/>
          <w:noProof/>
          <w:color w:val="000000" w:themeColor="text1"/>
          <w:sz w:val="22"/>
          <w:szCs w:val="22"/>
        </w:rPr>
        <w:t xml:space="preserve"> (</w:t>
      </w:r>
      <w:r w:rsidR="00F21F16" w:rsidRPr="00F21F16">
        <w:rPr>
          <w:rFonts w:ascii="Tahoma" w:eastAsia="Arial Nova" w:hAnsi="Tahoma" w:cs="Tahoma"/>
          <w:noProof/>
          <w:color w:val="000000" w:themeColor="text1"/>
          <w:sz w:val="22"/>
          <w:szCs w:val="22"/>
        </w:rPr>
        <w:t>2019)</w:t>
      </w:r>
      <w:r w:rsidR="00F21F16">
        <w:rPr>
          <w:rFonts w:ascii="Tahoma" w:eastAsia="Arial Nova" w:hAnsi="Tahoma" w:cs="Tahoma"/>
          <w:color w:val="000000" w:themeColor="text1"/>
          <w:sz w:val="22"/>
          <w:szCs w:val="22"/>
        </w:rPr>
        <w:fldChar w:fldCharType="end"/>
      </w:r>
      <w:r w:rsidRPr="00157845">
        <w:rPr>
          <w:rFonts w:ascii="Tahoma" w:eastAsia="Arial Nova" w:hAnsi="Tahoma" w:cs="Tahoma"/>
          <w:color w:val="000000" w:themeColor="text1"/>
          <w:sz w:val="22"/>
          <w:szCs w:val="22"/>
        </w:rPr>
        <w:t xml:space="preserve">. To me, that is the value of being a reflective future care </w:t>
      </w:r>
      <w:proofErr w:type="spellStart"/>
      <w:r w:rsidRPr="00157845">
        <w:rPr>
          <w:rFonts w:ascii="Tahoma" w:eastAsia="Arial Nova" w:hAnsi="Tahoma" w:cs="Tahoma"/>
          <w:color w:val="000000" w:themeColor="text1"/>
          <w:sz w:val="22"/>
          <w:szCs w:val="22"/>
        </w:rPr>
        <w:t>co-ordinator</w:t>
      </w:r>
      <w:proofErr w:type="spellEnd"/>
      <w:r w:rsidRPr="00157845">
        <w:rPr>
          <w:rFonts w:ascii="Tahoma" w:eastAsia="Arial Nova" w:hAnsi="Tahoma" w:cs="Tahoma"/>
          <w:color w:val="000000" w:themeColor="text1"/>
          <w:sz w:val="22"/>
          <w:szCs w:val="22"/>
        </w:rPr>
        <w:t xml:space="preserve"> who can bring empathy, awareness of safety and security, and confidence with digital devices.</w:t>
      </w:r>
    </w:p>
    <w:p w14:paraId="1603AB69" w14:textId="553C31B6" w:rsidR="021F216E" w:rsidRPr="00157845" w:rsidRDefault="00C71BD2" w:rsidP="00157845">
      <w:pPr>
        <w:spacing w:line="360" w:lineRule="auto"/>
        <w:jc w:val="both"/>
        <w:rPr>
          <w:rFonts w:ascii="Tahoma" w:eastAsia="Arial Nova" w:hAnsi="Tahoma" w:cs="Tahoma"/>
          <w:color w:val="000000" w:themeColor="text1"/>
          <w:sz w:val="22"/>
          <w:szCs w:val="22"/>
        </w:rPr>
      </w:pPr>
      <w:r w:rsidRPr="00157845">
        <w:rPr>
          <w:rFonts w:ascii="Tahoma" w:eastAsia="Arial Nova" w:hAnsi="Tahoma" w:cs="Tahoma"/>
          <w:color w:val="000000" w:themeColor="text1"/>
          <w:sz w:val="22"/>
          <w:szCs w:val="22"/>
        </w:rPr>
        <w:t xml:space="preserve">My objective for employment is to find a graduate job in adult health and social care, in the first instance as an assistant practitioner, senior support worker or care coordinator and then to progress to care home management. I </w:t>
      </w:r>
      <w:proofErr w:type="gramStart"/>
      <w:r w:rsidRPr="00157845">
        <w:rPr>
          <w:rFonts w:ascii="Tahoma" w:eastAsia="Arial Nova" w:hAnsi="Tahoma" w:cs="Tahoma"/>
          <w:color w:val="000000" w:themeColor="text1"/>
          <w:sz w:val="22"/>
          <w:szCs w:val="22"/>
        </w:rPr>
        <w:t>have to</w:t>
      </w:r>
      <w:proofErr w:type="gramEnd"/>
      <w:r w:rsidRPr="00157845">
        <w:rPr>
          <w:rFonts w:ascii="Tahoma" w:eastAsia="Arial Nova" w:hAnsi="Tahoma" w:cs="Tahoma"/>
          <w:color w:val="000000" w:themeColor="text1"/>
          <w:sz w:val="22"/>
          <w:szCs w:val="22"/>
        </w:rPr>
        <w:t xml:space="preserve"> bring my strengths to the forefront and address gaps in developing this brand. I will develop my leadership and confidence in digital care records, report writing and multidisciplinary communication by working on a personal development plan. Values, knowledge, skills and </w:t>
      </w:r>
      <w:proofErr w:type="spellStart"/>
      <w:r w:rsidRPr="00157845">
        <w:rPr>
          <w:rFonts w:ascii="Tahoma" w:eastAsia="Arial Nova" w:hAnsi="Tahoma" w:cs="Tahoma"/>
          <w:color w:val="000000" w:themeColor="text1"/>
          <w:sz w:val="22"/>
          <w:szCs w:val="22"/>
        </w:rPr>
        <w:t>socialisation</w:t>
      </w:r>
      <w:proofErr w:type="spellEnd"/>
      <w:r w:rsidRPr="00157845">
        <w:rPr>
          <w:rFonts w:ascii="Tahoma" w:eastAsia="Arial Nova" w:hAnsi="Tahoma" w:cs="Tahoma"/>
          <w:color w:val="000000" w:themeColor="text1"/>
          <w:sz w:val="22"/>
          <w:szCs w:val="22"/>
        </w:rPr>
        <w:t xml:space="preserve"> in teams develop an individual's professional identity in health professions </w:t>
      </w:r>
      <w:r w:rsidR="00F21F16">
        <w:rPr>
          <w:rFonts w:ascii="Tahoma" w:eastAsia="Arial Nova" w:hAnsi="Tahoma" w:cs="Tahoma"/>
          <w:color w:val="000000" w:themeColor="text1"/>
          <w:sz w:val="22"/>
          <w:szCs w:val="22"/>
        </w:rPr>
        <w:fldChar w:fldCharType="begin" w:fldLock="1"/>
      </w:r>
      <w:r w:rsidR="004327F8">
        <w:rPr>
          <w:rFonts w:ascii="Tahoma" w:eastAsia="Arial Nova" w:hAnsi="Tahoma" w:cs="Tahoma"/>
          <w:color w:val="000000" w:themeColor="text1"/>
          <w:sz w:val="22"/>
          <w:szCs w:val="22"/>
        </w:rPr>
        <w:instrText>ADDIN CSL_CITATION {"citationItems":[{"id":"ITEM-1","itemData":{"ISSN":"1382-4996","abstract":"Professional identity impacts the workforce at personal, interpersonal and profession levels however there is a lack of reviews of professional identity research across practising health professionals. To summarise professional identity research in the health professions literature and explore how professional identity is described a scoping review was conducted by searching Medline, Psycinfo, Embase, Scopus, CINAHL, and Business Source Complete using “professional identity” and related terms for 32 health professions. Empirical studies of professional identity in post-registration health professionals were examined with health profession, career stage, background to research, theoretical underpinnings and constructs of professional identity being extracted, charted and analysed using content analysis where relevant. From 9941 studies, 160 studies across 17 health professions were identified, with nursing and medicine most common. Twenty studies focussed on professional identity in the five years post-entry to the workforce and 56 studies did not state career stage. The most common background for the research was the impact of political, social and healthcare reforms and advances. Thirty five percent of studies (n = 57) stated the use of a theory or framework of identity, the most common being classified as social theories. Individual constructs of professional identity across the research were categorised into five themes— The Lived Experience of Professional Identity; The World Around Me; Belonging; Me; and Learning and Qualifications . Descriptions of professional identity are broad, varied, rich and multi-layered however the literature is under theorised with current theories potentially inadequate to capture its complexity and make meaningful contributions to the allied health professions.","author":[{"dropping-particle":"","family":"Cornett","given":"Marian","non-dropping-particle":"","parse-names":false,"suffix":""},{"dropping-particle":"","family":"Palermo","given":"Claire","non-dropping-particle":"","parse-names":false,"suffix":""},{"dropping-particle":"","family":"Ash","given":"Susan","non-dropping-particle":"","parse-names":false,"suffix":""}],"container-title":"Advances in Health Sciences Education","id":"ITEM-1","issue":"2","issued":{"date-parts":[["2022","5","9"]]},"page":"589-642","title":"Professional identity research in the health professions—a scoping review","type":"article-journal","volume":"28"},"uris":["http://www.mendeley.com/documents/?uuid=d57ecc06-dc0f-403f-bf58-25cc41e8dbee"]}],"mendeley":{"formattedCitation":"(Cornett, Palermo and Ash, 2022)","plainTextFormattedCitation":"(Cornett, Palermo and Ash, 2022)","previouslyFormattedCitation":"(Cornett, Palermo and Ash, 2022)"},"properties":{"noteIndex":0},"schema":"https://github.com/citation-style-language/schema/raw/master/csl-citation.json"}</w:instrText>
      </w:r>
      <w:r w:rsidR="00F21F16">
        <w:rPr>
          <w:rFonts w:ascii="Tahoma" w:eastAsia="Arial Nova" w:hAnsi="Tahoma" w:cs="Tahoma"/>
          <w:color w:val="000000" w:themeColor="text1"/>
          <w:sz w:val="22"/>
          <w:szCs w:val="22"/>
        </w:rPr>
        <w:fldChar w:fldCharType="separate"/>
      </w:r>
      <w:r w:rsidR="00F21F16" w:rsidRPr="00F21F16">
        <w:rPr>
          <w:rFonts w:ascii="Tahoma" w:eastAsia="Arial Nova" w:hAnsi="Tahoma" w:cs="Tahoma"/>
          <w:noProof/>
          <w:color w:val="000000" w:themeColor="text1"/>
          <w:sz w:val="22"/>
          <w:szCs w:val="22"/>
        </w:rPr>
        <w:t>(Cornett, Palermo and Ash, 2022)</w:t>
      </w:r>
      <w:r w:rsidR="00F21F16">
        <w:rPr>
          <w:rFonts w:ascii="Tahoma" w:eastAsia="Arial Nova" w:hAnsi="Tahoma" w:cs="Tahoma"/>
          <w:color w:val="000000" w:themeColor="text1"/>
          <w:sz w:val="22"/>
          <w:szCs w:val="22"/>
        </w:rPr>
        <w:fldChar w:fldCharType="end"/>
      </w:r>
      <w:r w:rsidRPr="00157845">
        <w:rPr>
          <w:rFonts w:ascii="Tahoma" w:eastAsia="Arial Nova" w:hAnsi="Tahoma" w:cs="Tahoma"/>
          <w:color w:val="000000" w:themeColor="text1"/>
          <w:sz w:val="22"/>
          <w:szCs w:val="22"/>
        </w:rPr>
        <w:t xml:space="preserve">. </w:t>
      </w:r>
      <w:proofErr w:type="gramStart"/>
      <w:r w:rsidRPr="00157845">
        <w:rPr>
          <w:rFonts w:ascii="Tahoma" w:eastAsia="Arial Nova" w:hAnsi="Tahoma" w:cs="Tahoma"/>
          <w:color w:val="000000" w:themeColor="text1"/>
          <w:sz w:val="22"/>
          <w:szCs w:val="22"/>
        </w:rPr>
        <w:t>So</w:t>
      </w:r>
      <w:proofErr w:type="gramEnd"/>
      <w:r w:rsidRPr="00157845">
        <w:rPr>
          <w:rFonts w:ascii="Tahoma" w:eastAsia="Arial Nova" w:hAnsi="Tahoma" w:cs="Tahoma"/>
          <w:color w:val="000000" w:themeColor="text1"/>
          <w:sz w:val="22"/>
          <w:szCs w:val="22"/>
        </w:rPr>
        <w:t xml:space="preserve"> I will be looking for volunteering, placements feedback, networking on LinkedIn, short courses in safeguarding, equality and digital health. My brand will be true to the cause and demonstrate not only my aspiration for success, but how I can be a safe, respectful and consistent contributor to improved care outcomes.</w:t>
      </w: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08EF840A"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60E6B2BC" w:rsidR="021F216E" w:rsidRPr="00157845" w:rsidRDefault="00C71BD2"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w:t>
      </w:r>
    </w:p>
    <w:p w14:paraId="77AD6F2D" w14:textId="68A1F531"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Network Map</w:t>
      </w:r>
    </w:p>
    <w:p w14:paraId="308A7806" w14:textId="76697CA0"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Me – Future Health and Social Care Professional</w:t>
      </w:r>
    </w:p>
    <w:p w14:paraId="4B2B5DCA" w14:textId="77777777"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Career Network: lecturers, placement supervisors, LinkedIn contacts, NHS employers, care home managers, career advisers</w:t>
      </w:r>
    </w:p>
    <w:p w14:paraId="59B9DF87" w14:textId="0A12BF0B"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Support Network: family, close friends, </w:t>
      </w:r>
      <w:r w:rsidR="006A6B2E" w:rsidRPr="00157845">
        <w:rPr>
          <w:rFonts w:ascii="Arial" w:eastAsia="Arial Nova" w:hAnsi="Arial" w:cs="Arial"/>
          <w:color w:val="000000" w:themeColor="text1"/>
          <w:sz w:val="22"/>
          <w:szCs w:val="22"/>
        </w:rPr>
        <w:t>tutors</w:t>
      </w:r>
      <w:r w:rsidRPr="00157845">
        <w:rPr>
          <w:rFonts w:ascii="Arial" w:eastAsia="Arial Nova" w:hAnsi="Arial" w:cs="Arial"/>
          <w:color w:val="000000" w:themeColor="text1"/>
          <w:sz w:val="22"/>
          <w:szCs w:val="22"/>
        </w:rPr>
        <w:t>, classmates, mentors</w:t>
      </w:r>
    </w:p>
    <w:p w14:paraId="4AC13361" w14:textId="77777777"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Social Network: classmates, peers, community friends, online professional groups</w:t>
      </w:r>
    </w:p>
    <w:p w14:paraId="0D63C3EC" w14:textId="222500D8"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Community Network: </w:t>
      </w:r>
      <w:proofErr w:type="gramStart"/>
      <w:r w:rsidRPr="00157845">
        <w:rPr>
          <w:rFonts w:ascii="Arial" w:eastAsia="Arial Nova" w:hAnsi="Arial" w:cs="Arial"/>
          <w:color w:val="000000" w:themeColor="text1"/>
          <w:sz w:val="22"/>
          <w:szCs w:val="22"/>
        </w:rPr>
        <w:t>volunteering</w:t>
      </w:r>
      <w:proofErr w:type="gramEnd"/>
      <w:r w:rsidRPr="00157845">
        <w:rPr>
          <w:rFonts w:ascii="Arial" w:eastAsia="Arial Nova" w:hAnsi="Arial" w:cs="Arial"/>
          <w:color w:val="000000" w:themeColor="text1"/>
          <w:sz w:val="22"/>
          <w:szCs w:val="22"/>
        </w:rPr>
        <w:t xml:space="preserve"> organisations, local care services, cultural groups, community health projects</w:t>
      </w:r>
    </w:p>
    <w:p w14:paraId="009E27E7" w14:textId="77777777" w:rsidR="002A352B" w:rsidRDefault="002A352B" w:rsidP="00007AA5">
      <w:pPr>
        <w:rPr>
          <w:rFonts w:ascii="Arial Nova" w:eastAsia="Arial Nova" w:hAnsi="Arial Nova" w:cs="Arial Nova"/>
          <w:i/>
          <w:iCs/>
          <w:color w:val="000000" w:themeColor="text1"/>
        </w:rPr>
      </w:pPr>
    </w:p>
    <w:p w14:paraId="22A4AA46" w14:textId="24C917B4" w:rsidR="002A352B" w:rsidRDefault="006A6B2E" w:rsidP="008B4F37">
      <w:pPr>
        <w:jc w:val="center"/>
        <w:rPr>
          <w:rFonts w:ascii="Arial Nova" w:eastAsia="Arial Nova" w:hAnsi="Arial Nova" w:cs="Arial Nova"/>
          <w:i/>
          <w:iCs/>
          <w:color w:val="000000" w:themeColor="text1"/>
        </w:rPr>
      </w:pPr>
      <w:r>
        <w:rPr>
          <w:rFonts w:ascii="Arial Nova" w:eastAsia="Arial Nova" w:hAnsi="Arial Nova" w:cs="Arial Nova"/>
          <w:i/>
          <w:iCs/>
          <w:noProof/>
          <w:color w:val="000000" w:themeColor="text1"/>
        </w:rPr>
        <w:lastRenderedPageBreak/>
        <w:drawing>
          <wp:inline distT="0" distB="0" distL="0" distR="0" wp14:anchorId="1E996919" wp14:editId="4B5A51AA">
            <wp:extent cx="4556097" cy="376629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l="16456" t="14103" r="12491" b="13053"/>
                    <a:stretch/>
                  </pic:blipFill>
                  <pic:spPr bwMode="auto">
                    <a:xfrm>
                      <a:off x="0" y="0"/>
                      <a:ext cx="4562828" cy="3771862"/>
                    </a:xfrm>
                    <a:prstGeom prst="rect">
                      <a:avLst/>
                    </a:prstGeom>
                    <a:ln>
                      <a:noFill/>
                    </a:ln>
                    <a:extLst>
                      <a:ext uri="{53640926-AAD7-44D8-BBD7-CCE9431645EC}">
                        <a14:shadowObscured xmlns:a14="http://schemas.microsoft.com/office/drawing/2010/main"/>
                      </a:ext>
                    </a:extLst>
                  </pic:spPr>
                </pic:pic>
              </a:graphicData>
            </a:graphic>
          </wp:inline>
        </w:drawing>
      </w:r>
    </w:p>
    <w:p w14:paraId="65CE7DF6" w14:textId="28483D6E" w:rsidR="00007AA5" w:rsidRPr="00157845" w:rsidRDefault="00007AA5"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Rationale:</w:t>
      </w:r>
    </w:p>
    <w:p w14:paraId="7B05F8D0" w14:textId="0DDDC824" w:rsidR="00C71BD2" w:rsidRDefault="00007AA5" w:rsidP="00157845">
      <w:pPr>
        <w:spacing w:line="360" w:lineRule="auto"/>
        <w:jc w:val="both"/>
        <w:rPr>
          <w:rFonts w:ascii="Arial Nova" w:eastAsia="Arial Nova" w:hAnsi="Arial Nova" w:cs="Arial Nova"/>
          <w:i/>
          <w:iCs/>
          <w:color w:val="000000" w:themeColor="text1"/>
        </w:rPr>
      </w:pPr>
      <w:r w:rsidRPr="00157845">
        <w:rPr>
          <w:rFonts w:ascii="Arial" w:eastAsia="Arial Nova" w:hAnsi="Arial" w:cs="Arial"/>
          <w:color w:val="000000" w:themeColor="text1"/>
          <w:sz w:val="22"/>
          <w:szCs w:val="22"/>
        </w:rPr>
        <w:t xml:space="preserve">My network map looks like there are four connected but unequal areas that support my employability. My support network is strong because they are family, close friends and tutors providing encouragement, feedback and emotional stability. This is bonding social capital, fostering trust and resilience, but may be restrictive if I rely exclusively on familiar people. I'm building a career network through lecturers, placement supervisors, LinkedIn contacts, organisations in the NHS and care sector, but it needs to be improved as opportunities for graduates can be related to wider professional visibility. Social capital is closely related to employability, as networks facilitate access to information, confidence and </w:t>
      </w:r>
      <w:r w:rsidR="00F226BD">
        <w:rPr>
          <w:rFonts w:ascii="Arial" w:eastAsia="Arial Nova" w:hAnsi="Arial" w:cs="Arial"/>
          <w:color w:val="000000" w:themeColor="text1"/>
          <w:sz w:val="22"/>
          <w:szCs w:val="22"/>
        </w:rPr>
        <w:t>career supports</w:t>
      </w:r>
      <w:r w:rsidRPr="00157845">
        <w:rPr>
          <w:rFonts w:ascii="Arial" w:eastAsia="Arial Nova" w:hAnsi="Arial" w:cs="Arial"/>
          <w:color w:val="000000" w:themeColor="text1"/>
          <w:sz w:val="22"/>
          <w:szCs w:val="22"/>
        </w:rPr>
        <w:t xml:space="preserve">, argue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{"citationItems":[{"id":"ITEM-1","itemData":{"ISSN":"2071-1050","abstract":"This article provides a systematic review of the role of social capital in employability models. Although social capital is recognized as a key resource in employment and society, its role in academic research on employability is frequently neglected. Following the Preferred Reporting Items for Systematic Reviews and Meta-Analyses (PRISMA) guidelines, this systematic review reveals an underrepresentation of social capital within employability models, as empirical studies do not attribute the same significance to it as observed in everyday life. The analysis found social capital was identified as a determinant in only 16 out of 47 empirical employability models. In less than half of these models, social capital is included as an independent variable, while, in the remaining models, it is incorporated within another explanatory factor. Notably, only in four models are all three dimensions of social capital (structural, cognitive, relational) included. This raises questions about the validity of existing employability models, emphasizes the necessity of social capital inclusion, and calls for future empirical research. Fostering social capital in employability is pivotal for the economic and social sustainability of aging societies, as it mitigates labor shortages, ensures fiscal stability, supports innovation, and enhances social sustainability through inclusivity and intergenerational equity.","author":[{"dropping-particle":"","family":"Letnar","given":"Matejka","non-dropping-particle":"","parse-names":false,"suffix":""},{"dropping-particle":"","family":"Širok","given":"Klemen","non-dropping-particle":"","parse-names":false,"suffix":""}],"container-title":"Sustainability","id":"ITEM-1","issue":"5","issued":{"date-parts":[["2025","2","20"]]},"page":"1782","title":"The Role of Social Capital in Employability Models: A Systematic Review and Suggestions for Future Research","type":"article-journal","volume":"17"},"uris":["http://www.mendeley.com/documents/?uuid=823f4470-9a66-4d0a-a211-4e3700b51dce"]}],"mendeley":{"formattedCitation":"(Letnar and Širok, 2025)","plainTextFormattedCitation":"(Letnar and Širok, 2025)"},"properties":{"noteIndex":0},"schema":"https://github.com/citation-style-language/schema/raw/master/csl-citation.json"}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BC0968">
        <w:rPr>
          <w:rFonts w:ascii="Arial" w:eastAsia="Arial Nova" w:hAnsi="Arial" w:cs="Arial"/>
          <w:noProof/>
          <w:color w:val="000000" w:themeColor="text1"/>
          <w:sz w:val="22"/>
          <w:szCs w:val="22"/>
        </w:rPr>
        <w:t>(Letnar and Širok, 2025)</w:t>
      </w:r>
      <w:r w:rsidR="00BC096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My social network is helpful for wellbeing, communication practice and confidence but not all social contacts contribute directly to employment. Through my community network, and volunteering, services and cultural groups I have opportunities to learn about different service users and to practice inclusive communication. This is necessary as health and social care require trust, working together and cultural awareness. The findings from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{"citationItems":[{"id":"ITEM-1","itemData":{"ISSN":"0028-0836","abstract":"Social capital—the strength of an individual’s social network and community—has been identified as a potential determinant of outcomes ranging from education to health 1–8 . However, efforts to understand what types of social capital matter for these outcomes have been hindered by a lack of social network data. Here, in the first of a pair of papers 9 , we use data on 21 billion friendships from Facebook to study social capital. We measure and analyse three types of social capital by ZIP (postal) code in the United States: (1) connectedness between different types of people, such as those with low versus high socioeconomic status (SES); (2) social cohesion, such as the extent of cliques in friendship networks; and (3) civic engagement, such as rates of volunteering. These measures vary substantially across areas, but are not highly correlated with each other. We demonstrate the importance of distinguishing these forms of social capital by analysing their associations with economic mobility across areas. The share of high-SES friends among individuals with low SES—which we term economic connectedness—is among the strongest predictors of upward income mobility identified to date 10,11 . Other social capital measures are not strongly associated with economic mobility. If children with low-SES parents were to grow up in counties with economic connectedness comparable to that of the average child with high-SES parents, their incomes in adulthood would increase by 20% on average. Differences in economic connectedness can explain well-known relationships between upward income mobility and racial segregation, poverty rates, and inequality 12–14 . To support further research and policy interventions, we publicly release privacy-protected statistics on social capital by ZIP code at https://www.socialcapital.org .","author":[{"dropping-particle":"","family":"Chetty","given":"Raj","non-dropping-particle":"","parse-names":false,"suffix":""},{"dropping-particle":"","family":"Jackson","given":"Matthew O.","non-dropping-particle":"","parse-names":false,"suffix":""},{"dropping-particle":"","family":"Kuchler","given":"Theresa","non-dropping-particle":"","parse-names":false,"suffix":""},{"dropping-particle":"","family":"Stroebel","given":"Johannes","non-dropping-particle":"","parse-names":false,"suffix":""},{"dropping-particle":"","family":"Hendren","given":"Nathaniel","non-dropping-particle":"","parse-names":false,"suffix":""},{"dropping-particle":"","family":"Fluegge","given":"Robert B.","non-dropping-particle":"","parse-names":false,"suffix":""},{"dropping-particle":"","family":"Gong","given":"Sara","non-dropping-particle":"","parse-names":false,"suffix":""},{"dropping-particle":"","family":"Gonzalez","given":"Federico","non-dropping-particle":"","parse-names":false,"suffix":""},{"dropping-particle":"","family":"Grondin","given":"Armelle","non-dropping-particle":"","parse-names":false,"suffix":""},{"dropping-particle":"","family":"Jacob","given":"Matthew","non-dropping-particle":"","parse-names":false,"suffix":""},{"dropping-particle":"","family":"Johnston","given":"Drew","non-dropping-particle":"","parse-names":false,"suffix":""},{"dropping-particle":"","family":"Koenen","given":"Martin","non-dropping-particle":"","parse-names":false,"suffix":""},{"dropping-particle":"","family":"Laguna-Muggenburg","given":"Eduardo","non-dropping-particle":"","parse-names":false,"suffix":""},{"dropping-particle":"","family":"Mudekereza","given":"Florian","non-dropping-particle":"","parse-names":false,"suffix":""},{"dropping-particle":"","family":"Rutter","given":"Tom","non-dropping-particle":"","parse-names":false,"suffix":""},{"dropping-particle":"","family":"Thor","given":"Nicolaj","non-dropping-particle":"","parse-names":false,"suffix":""},{"dropping-particle":"","family":"Townsend","given":"Wilbur","non-dropping-particle":"","parse-names":false,"suffix":""},{"dropping-particle":"","family":"Zhang","given":"Ruby","non-dropping-particle":"","parse-names":false,"suffix":""},{"dropping-particle":"","family":"Bailey","given":"Mike","non-dropping-particle":"","parse-names":false,"suffix":""},{"dropping-particle":"","family":"Barberá","given":"Pablo","non-dropping-particle":"","parse-names":false,"suffix":""},{"dropping-particle":"","family":"Bhole","given":"Monica","non-dropping-particle":"","parse-names":false,"suffix":""},{"dropping-particle":"","family":"Wernerfelt","given":"Nils","non-dropping-particle":"","parse-names":false,"suffix":""}],"container-title":"Nature","id":"ITEM-1","issue":"7921","issued":{"date-parts":[["2022","8","4"]]},"page":"108-121","title":"Social capital I: measurement and associations with economic mobility","type":"article-journal","volume":"608"},"uris":["http://www.mendeley.com/documents/?uuid=bc4c9e87-1efa-4f71-a00f-a3e82b63bcee"]}],"mendeley":{"formattedCitation":"(Chetty &lt;i&gt;et al.&lt;/i&gt;, 2022)","manualFormatting":"Chetty et al  (2022)","plainTextFormattedCitation":"(Chetty et al., 2022)","previouslyFormattedCitation":"(Chetty &lt;i&gt;et al.&lt;/i&gt;, 2022)"},"properties":{"noteIndex":0},"schema":"https://github.com/citation-style-language/schema/raw/master/csl-citation.json"}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4327F8">
        <w:rPr>
          <w:rFonts w:ascii="Arial" w:eastAsia="Arial Nova" w:hAnsi="Arial" w:cs="Arial"/>
          <w:noProof/>
          <w:color w:val="000000" w:themeColor="text1"/>
          <w:sz w:val="22"/>
          <w:szCs w:val="22"/>
        </w:rPr>
        <w:t xml:space="preserve">Chetty </w:t>
      </w:r>
      <w:r w:rsidR="00BC0968" w:rsidRPr="004327F8">
        <w:rPr>
          <w:rFonts w:ascii="Arial" w:eastAsia="Arial Nova" w:hAnsi="Arial" w:cs="Arial"/>
          <w:i/>
          <w:noProof/>
          <w:color w:val="000000" w:themeColor="text1"/>
          <w:sz w:val="22"/>
          <w:szCs w:val="22"/>
        </w:rPr>
        <w:t>et al</w:t>
      </w:r>
      <w:r w:rsidR="00BC0968">
        <w:rPr>
          <w:rFonts w:ascii="Arial" w:eastAsia="Arial Nova" w:hAnsi="Arial" w:cs="Arial"/>
          <w:i/>
          <w:noProof/>
          <w:color w:val="000000" w:themeColor="text1"/>
          <w:sz w:val="22"/>
          <w:szCs w:val="22"/>
        </w:rPr>
        <w:t xml:space="preserve"> </w:t>
      </w:r>
      <w:r w:rsidR="00BC0968" w:rsidRPr="004327F8">
        <w:rPr>
          <w:rFonts w:ascii="Arial" w:eastAsia="Arial Nova" w:hAnsi="Arial" w:cs="Arial"/>
          <w:noProof/>
          <w:color w:val="000000" w:themeColor="text1"/>
          <w:sz w:val="22"/>
          <w:szCs w:val="22"/>
        </w:rPr>
        <w:t xml:space="preserve"> </w:t>
      </w:r>
      <w:r w:rsidR="00BC0968">
        <w:rPr>
          <w:rFonts w:ascii="Arial" w:eastAsia="Arial Nova" w:hAnsi="Arial" w:cs="Arial"/>
          <w:noProof/>
          <w:color w:val="000000" w:themeColor="text1"/>
          <w:sz w:val="22"/>
          <w:szCs w:val="22"/>
        </w:rPr>
        <w:t>(</w:t>
      </w:r>
      <w:r w:rsidR="00BC0968" w:rsidRPr="004327F8">
        <w:rPr>
          <w:rFonts w:ascii="Arial" w:eastAsia="Arial Nova" w:hAnsi="Arial" w:cs="Arial"/>
          <w:noProof/>
          <w:color w:val="000000" w:themeColor="text1"/>
          <w:sz w:val="22"/>
          <w:szCs w:val="22"/>
        </w:rPr>
        <w:t>2022)</w:t>
      </w:r>
      <w:r w:rsidR="00BC096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support my goal of increasing bridging and linking ties, as they are related to improved opportunity. So, next steps for me are to engage with care coordinators, attend employability </w:t>
      </w:r>
      <w:r w:rsidRPr="00157845">
        <w:rPr>
          <w:rFonts w:ascii="Arial" w:eastAsia="Arial Nova" w:hAnsi="Arial" w:cs="Arial"/>
          <w:color w:val="000000" w:themeColor="text1"/>
          <w:sz w:val="22"/>
          <w:szCs w:val="22"/>
        </w:rPr>
        <w:lastRenderedPageBreak/>
        <w:t xml:space="preserve">events, do some volunteering and </w:t>
      </w:r>
      <w:proofErr w:type="gramStart"/>
      <w:r w:rsidRPr="00157845">
        <w:rPr>
          <w:rFonts w:ascii="Arial" w:eastAsia="Arial Nova" w:hAnsi="Arial" w:cs="Arial"/>
          <w:color w:val="000000" w:themeColor="text1"/>
          <w:sz w:val="22"/>
          <w:szCs w:val="22"/>
        </w:rPr>
        <w:t>to use</w:t>
      </w:r>
      <w:proofErr w:type="gramEnd"/>
      <w:r w:rsidRPr="00157845">
        <w:rPr>
          <w:rFonts w:ascii="Arial" w:eastAsia="Arial Nova" w:hAnsi="Arial" w:cs="Arial"/>
          <w:color w:val="000000" w:themeColor="text1"/>
          <w:sz w:val="22"/>
          <w:szCs w:val="22"/>
        </w:rPr>
        <w:t xml:space="preserve"> LinkedIn professionally. This will help me to have a more balanced, meaningful and sustainable network</w:t>
      </w:r>
      <w:r w:rsidRPr="00007AA5">
        <w:rPr>
          <w:rFonts w:ascii="Arial Nova" w:eastAsia="Arial Nova" w:hAnsi="Arial Nova" w:cs="Arial Nova"/>
          <w:i/>
          <w:iCs/>
          <w:color w:val="000000" w:themeColor="text1"/>
        </w:rPr>
        <w:t>.</w:t>
      </w: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1DB8AEA2" w14:textId="6A91FF92" w:rsidR="00B7418E" w:rsidRDefault="00B7418E" w:rsidP="021F216E">
      <w:pPr>
        <w:rPr>
          <w:rFonts w:ascii="Arial Nova" w:eastAsia="Arial Nova" w:hAnsi="Arial Nova" w:cs="Arial Nova"/>
          <w:color w:val="000000" w:themeColor="text1"/>
          <w:sz w:val="44"/>
          <w:szCs w:val="44"/>
        </w:rPr>
      </w:pPr>
    </w:p>
    <w:p w14:paraId="7E067B49" w14:textId="59B48F9C" w:rsidR="00F226BD" w:rsidRDefault="00F226BD" w:rsidP="021F216E">
      <w:pPr>
        <w:rPr>
          <w:rFonts w:ascii="Arial Nova" w:eastAsia="Arial Nova" w:hAnsi="Arial Nova" w:cs="Arial Nova"/>
          <w:color w:val="000000" w:themeColor="text1"/>
          <w:sz w:val="44"/>
          <w:szCs w:val="44"/>
        </w:rPr>
      </w:pPr>
    </w:p>
    <w:p w14:paraId="7EF649AE" w14:textId="49759BA3" w:rsidR="00F226BD" w:rsidRDefault="00F226BD" w:rsidP="021F216E">
      <w:pPr>
        <w:rPr>
          <w:rFonts w:ascii="Arial Nova" w:eastAsia="Arial Nova" w:hAnsi="Arial Nova" w:cs="Arial Nova"/>
          <w:color w:val="000000" w:themeColor="text1"/>
          <w:sz w:val="44"/>
          <w:szCs w:val="44"/>
        </w:rPr>
      </w:pPr>
    </w:p>
    <w:p w14:paraId="3FE086C5" w14:textId="239F0324" w:rsidR="00F226BD" w:rsidRDefault="00F226BD" w:rsidP="021F216E">
      <w:pPr>
        <w:rPr>
          <w:rFonts w:ascii="Arial Nova" w:eastAsia="Arial Nova" w:hAnsi="Arial Nova" w:cs="Arial Nova"/>
          <w:color w:val="000000" w:themeColor="text1"/>
          <w:sz w:val="44"/>
          <w:szCs w:val="44"/>
        </w:rPr>
      </w:pPr>
    </w:p>
    <w:p w14:paraId="2648522C" w14:textId="3F853082" w:rsidR="00F226BD" w:rsidRDefault="00F226BD" w:rsidP="021F216E">
      <w:pPr>
        <w:rPr>
          <w:rFonts w:ascii="Arial Nova" w:eastAsia="Arial Nova" w:hAnsi="Arial Nova" w:cs="Arial Nova"/>
          <w:color w:val="000000" w:themeColor="text1"/>
          <w:sz w:val="44"/>
          <w:szCs w:val="44"/>
        </w:rPr>
      </w:pPr>
    </w:p>
    <w:p w14:paraId="73A2D2D9" w14:textId="77777777" w:rsidR="00F226BD" w:rsidRDefault="00F226BD"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4477ECE3" w:rsidR="021F216E" w:rsidRDefault="003D2038" w:rsidP="021F216E">
      <w:pPr>
        <w:rPr>
          <w:rFonts w:ascii="Arial" w:hAnsi="Arial" w:cs="Arial"/>
          <w:color w:val="FF0000"/>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47C7A877" w14:textId="163254FE" w:rsidR="00682BD2" w:rsidRPr="00157845" w:rsidRDefault="00682BD2" w:rsidP="00157845">
      <w:pPr>
        <w:spacing w:line="360" w:lineRule="auto"/>
        <w:jc w:val="both"/>
        <w:rPr>
          <w:rFonts w:ascii="Arial" w:eastAsia="Arial Nova" w:hAnsi="Arial" w:cs="Arial"/>
          <w:i/>
          <w:iCs/>
          <w:sz w:val="22"/>
          <w:szCs w:val="22"/>
          <w:lang w:val="en-GB"/>
        </w:rPr>
      </w:pPr>
      <w:r w:rsidRPr="00157845">
        <w:rPr>
          <w:rFonts w:ascii="Arial" w:hAnsi="Arial" w:cs="Arial"/>
          <w:sz w:val="22"/>
          <w:szCs w:val="22"/>
        </w:rPr>
        <w:lastRenderedPageBreak/>
        <w:t>Ans:</w:t>
      </w:r>
    </w:p>
    <w:p w14:paraId="460A2EDE" w14:textId="073B8020"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Topic: Digital Inclusion in Health and Social Care: Why It Matters for Care Workers</w:t>
      </w:r>
    </w:p>
    <w:p w14:paraId="1422809C" w14:textId="10AF09BE" w:rsidR="021F216E"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Target audience: student health and social care workers</w:t>
      </w:r>
    </w:p>
    <w:p w14:paraId="22197476" w14:textId="5B0300CA"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Digital health is now a way of </w:t>
      </w:r>
      <w:proofErr w:type="gramStart"/>
      <w:r w:rsidRPr="00157845">
        <w:rPr>
          <w:rFonts w:ascii="Arial" w:eastAsia="Arial Nova" w:hAnsi="Arial" w:cs="Arial"/>
          <w:color w:val="000000" w:themeColor="text1"/>
          <w:sz w:val="22"/>
          <w:szCs w:val="22"/>
        </w:rPr>
        <w:t>life in care</w:t>
      </w:r>
      <w:proofErr w:type="gramEnd"/>
      <w:r w:rsidRPr="00157845">
        <w:rPr>
          <w:rFonts w:ascii="Arial" w:eastAsia="Arial Nova" w:hAnsi="Arial" w:cs="Arial"/>
          <w:color w:val="000000" w:themeColor="text1"/>
          <w:sz w:val="22"/>
          <w:szCs w:val="22"/>
        </w:rPr>
        <w:t xml:space="preserve">. Patients make appointments online, use the NHS App, get electronic prescriptions, attend a remote consultation and may have their care recorded electronically. Digital inclusion is therefore not just a technology concern for health and social care </w:t>
      </w:r>
      <w:proofErr w:type="gramStart"/>
      <w:r w:rsidRPr="00157845">
        <w:rPr>
          <w:rFonts w:ascii="Arial" w:eastAsia="Arial Nova" w:hAnsi="Arial" w:cs="Arial"/>
          <w:color w:val="000000" w:themeColor="text1"/>
          <w:sz w:val="22"/>
          <w:szCs w:val="22"/>
        </w:rPr>
        <w:t>workers,</w:t>
      </w:r>
      <w:proofErr w:type="gramEnd"/>
      <w:r w:rsidRPr="00157845">
        <w:rPr>
          <w:rFonts w:ascii="Arial" w:eastAsia="Arial Nova" w:hAnsi="Arial" w:cs="Arial"/>
          <w:color w:val="000000" w:themeColor="text1"/>
          <w:sz w:val="22"/>
          <w:szCs w:val="22"/>
        </w:rPr>
        <w:t xml:space="preserve"> it's a fairness and safeguarding concern.</w:t>
      </w:r>
    </w:p>
    <w:p w14:paraId="18F5BA1A" w14:textId="29717AA5"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Digital exclusion occurs when individuals are unable to access or use digital services due to poverty, disability, old age, limited language proficiency, or low confidence in or lack of access to the internet. If designed without taking into account excluded groups, digital healthcare can exacerbate health inequalities, </w:t>
      </w:r>
      <w:r w:rsidR="004327F8">
        <w:rPr>
          <w:rFonts w:ascii="Arial" w:eastAsia="Arial Nova" w:hAnsi="Arial" w:cs="Arial"/>
          <w:color w:val="000000" w:themeColor="text1"/>
          <w:sz w:val="22"/>
          <w:szCs w:val="22"/>
        </w:rPr>
        <w:fldChar w:fldCharType="begin" w:fldLock="1"/>
      </w:r>
      <w:r w:rsidR="004327F8">
        <w:rPr>
          <w:rFonts w:ascii="Arial" w:eastAsia="Arial Nova" w:hAnsi="Arial" w:cs="Arial"/>
          <w:color w:val="000000" w:themeColor="text1"/>
          <w:sz w:val="22"/>
          <w:szCs w:val="22"/>
        </w:rPr>
        <w:instrText>ADDIN CSL_CITATION {"citationItems":[{"id":"ITEM-1","itemData":{"author":[{"dropping-particle":"","family":"NHS England","given":"","non-dropping-particle":"","parse-names":false,"suffix":""}],"id":"ITEM-1","issued":{"date-parts":[["2023"]]},"title":"Inclusive digital healthcare: a framework for NHS action on digital inclusion","type":"article-journal"},"uris":["http://www.mendeley.com/documents/?uuid=7e4e5555-ddd2-4c8f-b656-5a6043caed63"]}],"mendeley":{"formattedCitation":"(NHS England, 2023)","manualFormatting":"NHS England (2023)","plainTextFormattedCitation":"(NHS England, 2023)","previouslyFormattedCitation":"(NHS England, 2023)"},"properties":{"noteIndex":0},"schema":"https://github.com/citation-style-language/schema/raw/master/csl-citation.json"}</w:instrText>
      </w:r>
      <w:r w:rsidR="004327F8">
        <w:rPr>
          <w:rFonts w:ascii="Arial" w:eastAsia="Arial Nova" w:hAnsi="Arial" w:cs="Arial"/>
          <w:color w:val="000000" w:themeColor="text1"/>
          <w:sz w:val="22"/>
          <w:szCs w:val="22"/>
        </w:rPr>
        <w:fldChar w:fldCharType="separate"/>
      </w:r>
      <w:r w:rsidR="004327F8" w:rsidRPr="004327F8">
        <w:rPr>
          <w:rFonts w:ascii="Arial" w:eastAsia="Arial Nova" w:hAnsi="Arial" w:cs="Arial"/>
          <w:noProof/>
          <w:color w:val="000000" w:themeColor="text1"/>
          <w:sz w:val="22"/>
          <w:szCs w:val="22"/>
        </w:rPr>
        <w:t xml:space="preserve">NHS England </w:t>
      </w:r>
      <w:r w:rsidR="004327F8">
        <w:rPr>
          <w:rFonts w:ascii="Arial" w:eastAsia="Arial Nova" w:hAnsi="Arial" w:cs="Arial"/>
          <w:noProof/>
          <w:color w:val="000000" w:themeColor="text1"/>
          <w:sz w:val="22"/>
          <w:szCs w:val="22"/>
        </w:rPr>
        <w:t>(</w:t>
      </w:r>
      <w:r w:rsidR="004327F8" w:rsidRPr="004327F8">
        <w:rPr>
          <w:rFonts w:ascii="Arial" w:eastAsia="Arial Nova" w:hAnsi="Arial" w:cs="Arial"/>
          <w:noProof/>
          <w:color w:val="000000" w:themeColor="text1"/>
          <w:sz w:val="22"/>
          <w:szCs w:val="22"/>
        </w:rPr>
        <w:t>202</w:t>
      </w:r>
      <w:r w:rsidR="004327F8">
        <w:rPr>
          <w:rFonts w:ascii="Arial" w:eastAsia="Arial Nova" w:hAnsi="Arial" w:cs="Arial"/>
          <w:noProof/>
          <w:color w:val="000000" w:themeColor="text1"/>
          <w:sz w:val="22"/>
          <w:szCs w:val="22"/>
        </w:rPr>
        <w:t>3</w:t>
      </w:r>
      <w:r w:rsidR="004327F8" w:rsidRPr="004327F8">
        <w:rPr>
          <w:rFonts w:ascii="Arial" w:eastAsia="Arial Nova" w:hAnsi="Arial" w:cs="Arial"/>
          <w:noProof/>
          <w:color w:val="000000" w:themeColor="text1"/>
          <w:sz w:val="22"/>
          <w:szCs w:val="22"/>
        </w:rPr>
        <w:t>)</w:t>
      </w:r>
      <w:r w:rsidR="004327F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cautions</w:t>
      </w:r>
      <w:r w:rsidR="004327F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 This is relevant in adult social care as many service users are older, have long-term conditions or rely on carers to get information.</w:t>
      </w:r>
    </w:p>
    <w:p w14:paraId="32FF4F44" w14:textId="7821ECBA"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With good use, digital tools can enhance care. Electronic care records can facilitate staff sharing of accurate information, </w:t>
      </w:r>
      <w:proofErr w:type="spellStart"/>
      <w:r w:rsidRPr="00157845">
        <w:rPr>
          <w:rFonts w:ascii="Arial" w:eastAsia="Arial Nova" w:hAnsi="Arial" w:cs="Arial"/>
          <w:color w:val="000000" w:themeColor="text1"/>
          <w:sz w:val="22"/>
          <w:szCs w:val="22"/>
        </w:rPr>
        <w:t>minimise</w:t>
      </w:r>
      <w:proofErr w:type="spellEnd"/>
      <w:r w:rsidRPr="00157845">
        <w:rPr>
          <w:rFonts w:ascii="Arial" w:eastAsia="Arial Nova" w:hAnsi="Arial" w:cs="Arial"/>
          <w:color w:val="000000" w:themeColor="text1"/>
          <w:sz w:val="22"/>
          <w:szCs w:val="22"/>
        </w:rPr>
        <w:t xml:space="preserve"> duplication and aid </w:t>
      </w:r>
      <w:proofErr w:type="gramStart"/>
      <w:r w:rsidRPr="00157845">
        <w:rPr>
          <w:rFonts w:ascii="Arial" w:eastAsia="Arial Nova" w:hAnsi="Arial" w:cs="Arial"/>
          <w:color w:val="000000" w:themeColor="text1"/>
          <w:sz w:val="22"/>
          <w:szCs w:val="22"/>
        </w:rPr>
        <w:t>to</w:t>
      </w:r>
      <w:proofErr w:type="gramEnd"/>
      <w:r w:rsidRPr="00157845">
        <w:rPr>
          <w:rFonts w:ascii="Arial" w:eastAsia="Arial Nova" w:hAnsi="Arial" w:cs="Arial"/>
          <w:color w:val="000000" w:themeColor="text1"/>
          <w:sz w:val="22"/>
          <w:szCs w:val="22"/>
        </w:rPr>
        <w:t xml:space="preserve"> safer decision making. For individuals who find it difficult to get to their appointments, remote consultations can save time. The benefit is not guaranteed, however. A recent report by Good Things Foundation indicates that digital exclusion is still linked to poverty, age and social isolation. The care worker may assume that everyone can access an app or a portal, which means that the service user might not attend appointments, get information about medication or support.</w:t>
      </w:r>
    </w:p>
    <w:p w14:paraId="54A227BD" w14:textId="64647EE6"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The practical solution is inclusive digital practice. Care workers should explore service users' confidence in using digital devices, rather than just ask if they have a device. They should communicate about digital options in an accessible way, honor consent and privacy and provide alternative methods if necessary. The staff person can support the access, but not take away the person's choice or independence.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{"citationItems":[{"id":"ITEM-1","itemData":{"abstract":"There has been a significant increase in the self-reported volume of internet use since 2011. Overall estimated weekly volume of use of the internet among users has increased to an average of just under 17 hours per week (16.8 vs. 15.1 hours in 2011). Over half (53%) of UK adults now use a mobile phone to go online, rising to 86% among smartphone users, and more than one in ten use a tablet computer (16%), games console/ player (16%), or a portable media player (12%), all significant increases since 2011. On average, UK adult internet users claim to visit 19 websites in a typical week. There are considerable differences between demographic groups; for example, those over 75 estimate that they visit on average seven websites and ‘narrow users’ 1 six. This compares to people in AB households, and men, who estimate that they visit on average 27 and 24 respectively. Some 22% UK adult internet users say they visit fewer than five websites in a typical week.","author":[{"dropping-particle":"","family":"Ofcom","given":"","non-dropping-particle":"","parse-names":false,"suffix":""}],"container-title":"Ofcom website","id":"ITEM-1","issue":"April","issued":{"date-parts":[["2025"]]},"page":"182","title":"Adults’ Media Use and Attitudes Report","type":"article-journal"},"uris":["http://www.mendeley.com/documents/?uuid=d6cee3a7-ae6c-40a3-bde3-192373a77898"]}],"mendeley":{"formattedCitation":"(Ofcom, 2025)","manualFormatting":"Ofcom (2025)","plainTextFormattedCitation":"(Ofcom, 2025)","previouslyFormattedCitation":"(Ofcom, 2025)"},"properties":{"noteIndex":0},"schema":"https://github.com/citation-style-language/schema/raw/master/csl-citation.json"}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4327F8">
        <w:rPr>
          <w:rFonts w:ascii="Arial" w:eastAsia="Arial Nova" w:hAnsi="Arial" w:cs="Arial"/>
          <w:noProof/>
          <w:color w:val="000000" w:themeColor="text1"/>
          <w:sz w:val="22"/>
          <w:szCs w:val="22"/>
        </w:rPr>
        <w:t>Ofcom</w:t>
      </w:r>
      <w:r w:rsidR="00BC0968">
        <w:rPr>
          <w:rFonts w:ascii="Arial" w:eastAsia="Arial Nova" w:hAnsi="Arial" w:cs="Arial"/>
          <w:noProof/>
          <w:color w:val="000000" w:themeColor="text1"/>
          <w:sz w:val="22"/>
          <w:szCs w:val="22"/>
        </w:rPr>
        <w:t xml:space="preserve"> (</w:t>
      </w:r>
      <w:r w:rsidR="00BC0968" w:rsidRPr="004327F8">
        <w:rPr>
          <w:rFonts w:ascii="Arial" w:eastAsia="Arial Nova" w:hAnsi="Arial" w:cs="Arial"/>
          <w:noProof/>
          <w:color w:val="000000" w:themeColor="text1"/>
          <w:sz w:val="22"/>
          <w:szCs w:val="22"/>
        </w:rPr>
        <w:t>2025)</w:t>
      </w:r>
      <w:r w:rsidR="00BC0968">
        <w:rPr>
          <w:rFonts w:ascii="Arial" w:eastAsia="Arial Nova" w:hAnsi="Arial" w:cs="Arial"/>
          <w:color w:val="000000" w:themeColor="text1"/>
          <w:sz w:val="22"/>
          <w:szCs w:val="22"/>
        </w:rPr>
        <w:fldChar w:fldCharType="end"/>
      </w:r>
      <w:r w:rsidR="00BC096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notes that media literacy has different levels across the population and workers need to be aware of this when guiding people to online health information.</w:t>
      </w:r>
    </w:p>
    <w:p w14:paraId="261587C1" w14:textId="4353B141"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Including people in the digital world is a component of person </w:t>
      </w:r>
      <w:proofErr w:type="spellStart"/>
      <w:r w:rsidRPr="00157845">
        <w:rPr>
          <w:rFonts w:ascii="Arial" w:eastAsia="Arial Nova" w:hAnsi="Arial" w:cs="Arial"/>
          <w:color w:val="000000" w:themeColor="text1"/>
          <w:sz w:val="22"/>
          <w:szCs w:val="22"/>
        </w:rPr>
        <w:t>centred</w:t>
      </w:r>
      <w:proofErr w:type="spellEnd"/>
      <w:r w:rsidRPr="00157845">
        <w:rPr>
          <w:rFonts w:ascii="Arial" w:eastAsia="Arial Nova" w:hAnsi="Arial" w:cs="Arial"/>
          <w:color w:val="000000" w:themeColor="text1"/>
          <w:sz w:val="22"/>
          <w:szCs w:val="22"/>
        </w:rPr>
        <w:t xml:space="preserve"> care. A robust health and social care workforce ought to be able to make good use of technology, but they should also be aware of who is being left behind. The goal is not to replace human care with digital systems, but to use digital systems to ensure dignity, choice, access and equality are maintained.</w:t>
      </w:r>
    </w:p>
    <w:p w14:paraId="7CC3E7D2" w14:textId="77777777" w:rsidR="00871DD9" w:rsidRDefault="00871DD9" w:rsidP="00871DD9">
      <w:pPr>
        <w:rPr>
          <w:rFonts w:ascii="Arial Nova" w:eastAsia="Arial Nova" w:hAnsi="Arial Nova" w:cs="Arial Nova"/>
          <w:color w:val="000000" w:themeColor="text1"/>
        </w:rPr>
      </w:pPr>
    </w:p>
    <w:p w14:paraId="639A68E1" w14:textId="77777777" w:rsidR="00871DD9" w:rsidRDefault="00871DD9" w:rsidP="00871DD9">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1908E5B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The main objectives are to enhance equality, diversity and inclusion, foster a sense of belonging amongst NHS staff and </w:t>
      </w:r>
      <w:proofErr w:type="spellStart"/>
      <w:r w:rsidRPr="00157845">
        <w:rPr>
          <w:rFonts w:ascii="Arial" w:eastAsia="Times New Roman" w:hAnsi="Arial" w:cs="Arial"/>
          <w:sz w:val="22"/>
          <w:szCs w:val="22"/>
        </w:rPr>
        <w:t>minimise</w:t>
      </w:r>
      <w:proofErr w:type="spellEnd"/>
      <w:r w:rsidRPr="00157845">
        <w:rPr>
          <w:rFonts w:ascii="Arial" w:eastAsia="Times New Roman" w:hAnsi="Arial" w:cs="Arial"/>
          <w:sz w:val="22"/>
          <w:szCs w:val="22"/>
        </w:rPr>
        <w:t xml:space="preserve"> discrimination in the NHS workforce </w:t>
      </w:r>
      <w:r w:rsidR="004327F8">
        <w:rPr>
          <w:rFonts w:ascii="Arial" w:eastAsia="Times New Roman" w:hAnsi="Arial" w:cs="Arial"/>
          <w:sz w:val="22"/>
          <w:szCs w:val="22"/>
        </w:rPr>
        <w:fldChar w:fldCharType="begin" w:fldLock="1"/>
      </w:r>
      <w:r w:rsidR="004327F8">
        <w:rPr>
          <w:rFonts w:ascii="Arial" w:eastAsia="Times New Roman" w:hAnsi="Arial" w:cs="Arial"/>
          <w:sz w:val="22"/>
          <w:szCs w:val="22"/>
        </w:rPr>
        <w:instrText>ADDIN CSL_CITATION {"citationItems":[{"id":"ITEM-1","itemData":{"author":[{"dropping-particle":"","family":"Pritchard","given":"Amanda","non-dropping-particle":"","parse-names":false,"suffix":""},{"dropping-particle":"","family":"Evans","given":"Navina","non-dropping-particle":"","parse-names":false,"suffix":""}],"id":"ITEM-1","issued":{"date-parts":[["2023"]]},"title":"NHS equality, diversity, and inclusion improvement plan","type":"article-journal"},"uris":["http://www.mendeley.com/documents/?uuid=48664813-b46b-410c-9f6c-ddefd0b5359a"]}],"mendeley":{"formattedCitation":"(Pritchard and Evans, 2023)","plainTextFormattedCitation":"(Pritchard and Evans, 2023)","previouslyFormattedCitation":"(Pritchard and Evans, 2023)"},"properties":{"noteIndex":0},"schema":"https://github.com/citation-style-language/schema/raw/master/csl-citation.json"}</w:instrText>
      </w:r>
      <w:r w:rsidR="004327F8">
        <w:rPr>
          <w:rFonts w:ascii="Arial" w:eastAsia="Times New Roman" w:hAnsi="Arial" w:cs="Arial"/>
          <w:sz w:val="22"/>
          <w:szCs w:val="22"/>
        </w:rPr>
        <w:fldChar w:fldCharType="separate"/>
      </w:r>
      <w:r w:rsidR="004327F8" w:rsidRPr="004327F8">
        <w:rPr>
          <w:rFonts w:ascii="Arial" w:eastAsia="Times New Roman" w:hAnsi="Arial" w:cs="Arial"/>
          <w:noProof/>
          <w:sz w:val="22"/>
          <w:szCs w:val="22"/>
        </w:rPr>
        <w:t>(Pritchard and Evans, 2023)</w:t>
      </w:r>
      <w:r w:rsidR="004327F8">
        <w:rPr>
          <w:rFonts w:ascii="Arial" w:eastAsia="Times New Roman" w:hAnsi="Arial" w:cs="Arial"/>
          <w:sz w:val="22"/>
          <w:szCs w:val="22"/>
        </w:rPr>
        <w:fldChar w:fldCharType="end"/>
      </w:r>
      <w:r w:rsidRPr="00157845">
        <w:rPr>
          <w:rFonts w:ascii="Arial" w:eastAsia="Times New Roman" w:hAnsi="Arial" w:cs="Arial"/>
          <w:sz w:val="22"/>
          <w:szCs w:val="22"/>
        </w:rPr>
        <w:t>.</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1AA0260B" w:rsidR="0074551A" w:rsidRPr="00157845" w:rsidRDefault="00682BD2" w:rsidP="00157845">
      <w:pPr>
        <w:spacing w:before="100" w:beforeAutospacing="1" w:after="100" w:afterAutospacing="1" w:line="360" w:lineRule="auto"/>
        <w:ind w:left="720"/>
        <w:jc w:val="both"/>
        <w:rPr>
          <w:rFonts w:ascii="Arial" w:eastAsia="Times New Roman" w:hAnsi="Arial" w:cs="Arial"/>
          <w:sz w:val="22"/>
          <w:szCs w:val="22"/>
        </w:rPr>
      </w:pPr>
      <w:r w:rsidRPr="00157845">
        <w:rPr>
          <w:rFonts w:ascii="Arial" w:eastAsia="Times New Roman" w:hAnsi="Arial" w:cs="Arial"/>
          <w:sz w:val="22"/>
          <w:szCs w:val="22"/>
        </w:rPr>
        <w:lastRenderedPageBreak/>
        <w:t>Ans: To enhance pay transparency, to review pay-gap data and to ensure opportunities for equitable recruitment, promotion and career progression.</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4EBBC3DC" w:rsidR="0074551A" w:rsidRPr="00157845" w:rsidRDefault="00682BD2" w:rsidP="00157845">
      <w:pPr>
        <w:spacing w:before="100" w:beforeAutospacing="1" w:after="100" w:afterAutospacing="1" w:line="360" w:lineRule="auto"/>
        <w:ind w:left="720"/>
        <w:jc w:val="both"/>
        <w:rPr>
          <w:rFonts w:ascii="Arial" w:eastAsia="Times New Roman" w:hAnsi="Arial" w:cs="Arial"/>
          <w:sz w:val="22"/>
          <w:szCs w:val="22"/>
        </w:rPr>
      </w:pPr>
      <w:r w:rsidRPr="00157845">
        <w:rPr>
          <w:rFonts w:ascii="Arial" w:eastAsia="Times New Roman" w:hAnsi="Arial" w:cs="Arial"/>
          <w:sz w:val="22"/>
          <w:szCs w:val="22"/>
        </w:rPr>
        <w:t>Ans: Intersectionality refers to the potential interaction of multiple inequalities, such as gender and race, race and disability, disability and age or religion and disability.</w:t>
      </w: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3AAAE861"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w:t>
      </w:r>
      <w:proofErr w:type="gramStart"/>
      <w:r w:rsidRPr="00157845">
        <w:rPr>
          <w:rFonts w:ascii="Arial" w:eastAsia="Times New Roman" w:hAnsi="Arial" w:cs="Arial"/>
          <w:sz w:val="22"/>
          <w:szCs w:val="22"/>
        </w:rPr>
        <w:t>:  Wellbeing</w:t>
      </w:r>
      <w:proofErr w:type="gramEnd"/>
      <w:r w:rsidRPr="00157845">
        <w:rPr>
          <w:rFonts w:ascii="Arial" w:eastAsia="Times New Roman" w:hAnsi="Arial" w:cs="Arial"/>
          <w:sz w:val="22"/>
          <w:szCs w:val="22"/>
        </w:rPr>
        <w:t>, retention and patient safety are enhanced as staff can speak up, report concerns and contribute without fear, and experience psychological safety.</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5D0382D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It encourages improved induction, pastoral care, fair treatment, career development and safeguard against discrimination/exploitation.</w:t>
      </w:r>
    </w:p>
    <w:p w14:paraId="6AC036D8"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14489EDE"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Leaders are expected to demonstrate inclusive </w:t>
      </w:r>
      <w:proofErr w:type="spellStart"/>
      <w:r w:rsidRPr="00157845">
        <w:rPr>
          <w:rFonts w:ascii="Arial" w:eastAsia="Times New Roman" w:hAnsi="Arial" w:cs="Arial"/>
          <w:sz w:val="22"/>
          <w:szCs w:val="22"/>
        </w:rPr>
        <w:t>behaviour</w:t>
      </w:r>
      <w:proofErr w:type="spellEnd"/>
      <w:r w:rsidRPr="00157845">
        <w:rPr>
          <w:rFonts w:ascii="Arial" w:eastAsia="Times New Roman" w:hAnsi="Arial" w:cs="Arial"/>
          <w:sz w:val="22"/>
          <w:szCs w:val="22"/>
        </w:rPr>
        <w:t xml:space="preserve">, to be evidence led, to challenge discrimination and to make EDI part of their </w:t>
      </w:r>
      <w:proofErr w:type="spellStart"/>
      <w:r w:rsidRPr="00157845">
        <w:rPr>
          <w:rFonts w:ascii="Arial" w:eastAsia="Times New Roman" w:hAnsi="Arial" w:cs="Arial"/>
          <w:sz w:val="22"/>
          <w:szCs w:val="22"/>
        </w:rPr>
        <w:t>organisation's</w:t>
      </w:r>
      <w:proofErr w:type="spellEnd"/>
      <w:r w:rsidRPr="00157845">
        <w:rPr>
          <w:rFonts w:ascii="Arial" w:eastAsia="Times New Roman" w:hAnsi="Arial" w:cs="Arial"/>
          <w:sz w:val="22"/>
          <w:szCs w:val="22"/>
        </w:rPr>
        <w:t xml:space="preserve"> accountability.</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34F1971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It is designed to decrease the disparity in workforce outcomes by providing more development, promotion and support </w:t>
      </w:r>
      <w:proofErr w:type="gramStart"/>
      <w:r w:rsidRPr="00157845">
        <w:rPr>
          <w:rFonts w:ascii="Arial" w:eastAsia="Times New Roman" w:hAnsi="Arial" w:cs="Arial"/>
          <w:sz w:val="22"/>
          <w:szCs w:val="22"/>
        </w:rPr>
        <w:t>of</w:t>
      </w:r>
      <w:proofErr w:type="gramEnd"/>
      <w:r w:rsidRPr="00157845">
        <w:rPr>
          <w:rFonts w:ascii="Arial" w:eastAsia="Times New Roman" w:hAnsi="Arial" w:cs="Arial"/>
          <w:sz w:val="22"/>
          <w:szCs w:val="22"/>
        </w:rPr>
        <w:t xml:space="preserve"> minority employees.</w:t>
      </w:r>
    </w:p>
    <w:p w14:paraId="333EF300"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31A19084"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Data is used to identify patterns of inequality, to track progress and to inform decisions based on the Equality Act 2010</w:t>
      </w:r>
      <w:r w:rsidR="004327F8">
        <w:rPr>
          <w:rFonts w:ascii="Arial" w:eastAsia="Times New Roman" w:hAnsi="Arial" w:cs="Arial"/>
          <w:sz w:val="22"/>
          <w:szCs w:val="22"/>
        </w:rPr>
        <w:t xml:space="preserve"> </w:t>
      </w:r>
      <w:r w:rsidR="004327F8">
        <w:rPr>
          <w:rFonts w:ascii="Arial" w:eastAsia="Times New Roman" w:hAnsi="Arial" w:cs="Arial"/>
          <w:sz w:val="22"/>
          <w:szCs w:val="22"/>
        </w:rPr>
        <w:fldChar w:fldCharType="begin" w:fldLock="1"/>
      </w:r>
      <w:r w:rsidR="004327F8">
        <w:rPr>
          <w:rFonts w:ascii="Arial" w:eastAsia="Times New Roman" w:hAnsi="Arial" w:cs="Arial"/>
          <w:sz w:val="22"/>
          <w:szCs w:val="22"/>
        </w:rPr>
        <w:instrText>ADDIN CSL_CITATION {"citationItems":[{"id":"ITEM-1","itemData":{"author":[{"dropping-particle":"","family":"Governmnet of Uk","given":"","non-dropping-particle":"","parse-names":false,"suffix":""}],"id":"ITEM-1","issued":{"date-parts":[["2010"]]},"title":"Equality Act 2010","type":"article-journal"},"uris":["http://www.mendeley.com/documents/?uuid=0a403d45-ee8c-416a-8530-37fb27f5cb7e"]}],"mendeley":{"formattedCitation":"(Governmnet of Uk, 2010)","plainTextFormattedCitation":"(Governmnet of Uk, 2010)","previouslyFormattedCitation":"(Governmnet of Uk, 2010)"},"properties":{"noteIndex":0},"schema":"https://github.com/citation-style-language/schema/raw/master/csl-citation.json"}</w:instrText>
      </w:r>
      <w:r w:rsidR="004327F8">
        <w:rPr>
          <w:rFonts w:ascii="Arial" w:eastAsia="Times New Roman" w:hAnsi="Arial" w:cs="Arial"/>
          <w:sz w:val="22"/>
          <w:szCs w:val="22"/>
        </w:rPr>
        <w:fldChar w:fldCharType="separate"/>
      </w:r>
      <w:r w:rsidR="004327F8" w:rsidRPr="004327F8">
        <w:rPr>
          <w:rFonts w:ascii="Arial" w:eastAsia="Times New Roman" w:hAnsi="Arial" w:cs="Arial"/>
          <w:noProof/>
          <w:sz w:val="22"/>
          <w:szCs w:val="22"/>
        </w:rPr>
        <w:t>(Governmnet of Uk, 2010)</w:t>
      </w:r>
      <w:r w:rsidR="004327F8">
        <w:rPr>
          <w:rFonts w:ascii="Arial" w:eastAsia="Times New Roman" w:hAnsi="Arial" w:cs="Arial"/>
          <w:sz w:val="22"/>
          <w:szCs w:val="22"/>
        </w:rPr>
        <w:fldChar w:fldCharType="end"/>
      </w:r>
      <w:r w:rsidRPr="00157845">
        <w:rPr>
          <w:rFonts w:ascii="Arial" w:eastAsia="Times New Roman" w:hAnsi="Arial" w:cs="Arial"/>
          <w:sz w:val="22"/>
          <w:szCs w:val="22"/>
        </w:rPr>
        <w:t>.</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626D28"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67A005F" w14:textId="590453BC"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Flexible </w:t>
      </w:r>
      <w:proofErr w:type="gramStart"/>
      <w:r w:rsidRPr="00157845">
        <w:rPr>
          <w:rFonts w:ascii="Arial" w:eastAsia="Times New Roman" w:hAnsi="Arial" w:cs="Arial"/>
          <w:sz w:val="22"/>
          <w:szCs w:val="22"/>
        </w:rPr>
        <w:t>working</w:t>
      </w:r>
      <w:proofErr w:type="gramEnd"/>
      <w:r w:rsidRPr="00157845">
        <w:rPr>
          <w:rFonts w:ascii="Arial" w:eastAsia="Times New Roman" w:hAnsi="Arial" w:cs="Arial"/>
          <w:sz w:val="22"/>
          <w:szCs w:val="22"/>
        </w:rPr>
        <w:t xml:space="preserve"> helps staff who have caring responsibilities, disabilities, health issues or religious beliefs, to be </w:t>
      </w:r>
      <w:proofErr w:type="gramStart"/>
      <w:r w:rsidRPr="00157845">
        <w:rPr>
          <w:rFonts w:ascii="Arial" w:eastAsia="Times New Roman" w:hAnsi="Arial" w:cs="Arial"/>
          <w:sz w:val="22"/>
          <w:szCs w:val="22"/>
        </w:rPr>
        <w:t>more fair</w:t>
      </w:r>
      <w:proofErr w:type="gramEnd"/>
      <w:r w:rsidRPr="00157845">
        <w:rPr>
          <w:rFonts w:ascii="Arial" w:eastAsia="Times New Roman" w:hAnsi="Arial" w:cs="Arial"/>
          <w:sz w:val="22"/>
          <w:szCs w:val="22"/>
        </w:rPr>
        <w:t xml:space="preserve"> and to stay in the workforce.</w:t>
      </w:r>
    </w:p>
    <w:p w14:paraId="160D371B"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1A860A79" w:rsidR="021F216E" w:rsidRPr="00157845" w:rsidRDefault="00682BD2" w:rsidP="00157845">
      <w:pPr>
        <w:spacing w:line="360" w:lineRule="auto"/>
        <w:ind w:left="360"/>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w:t>
      </w:r>
      <w:proofErr w:type="gramStart"/>
      <w:r w:rsidRPr="00157845">
        <w:rPr>
          <w:rFonts w:ascii="Arial" w:eastAsia="Arial Nova" w:hAnsi="Arial" w:cs="Arial"/>
          <w:color w:val="000000" w:themeColor="text1"/>
          <w:sz w:val="22"/>
          <w:szCs w:val="22"/>
        </w:rPr>
        <w:t>:  A</w:t>
      </w:r>
      <w:proofErr w:type="gramEnd"/>
      <w:r w:rsidRPr="00157845">
        <w:rPr>
          <w:rFonts w:ascii="Arial" w:eastAsia="Arial Nova" w:hAnsi="Arial" w:cs="Arial"/>
          <w:color w:val="000000" w:themeColor="text1"/>
          <w:sz w:val="22"/>
          <w:szCs w:val="22"/>
        </w:rPr>
        <w:t xml:space="preserve"> key approach is establishing a culture where staff can report bullying and harassment without fear of repercussions, and where action and accountability are clear.</w:t>
      </w: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4CEDC2CB" w:rsidR="0074551A" w:rsidRDefault="0074551A" w:rsidP="021F216E">
      <w:pPr>
        <w:spacing w:after="0"/>
        <w:rPr>
          <w:rFonts w:ascii="Arial Nova" w:eastAsia="Arial Nova" w:hAnsi="Arial Nova" w:cs="Arial Nova"/>
          <w:i/>
          <w:iCs/>
          <w:color w:val="000000" w:themeColor="text1"/>
        </w:rPr>
      </w:pPr>
    </w:p>
    <w:p w14:paraId="5856BD7C" w14:textId="3D22297E"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w:t>
      </w:r>
    </w:p>
    <w:p w14:paraId="21B1D18E"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Dear younger me,</w:t>
      </w:r>
    </w:p>
    <w:p w14:paraId="3DC0ECA2"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2D42D799"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 know you once felt unsure, overrun and afraid of </w:t>
      </w:r>
      <w:proofErr w:type="gramStart"/>
      <w:r w:rsidRPr="00157845">
        <w:rPr>
          <w:rFonts w:ascii="Arial" w:eastAsia="Arial Nova" w:hAnsi="Arial" w:cs="Arial"/>
          <w:color w:val="000000" w:themeColor="text1"/>
          <w:sz w:val="22"/>
          <w:szCs w:val="22"/>
        </w:rPr>
        <w:t>being not</w:t>
      </w:r>
      <w:proofErr w:type="gramEnd"/>
      <w:r w:rsidRPr="00157845">
        <w:rPr>
          <w:rFonts w:ascii="Arial" w:eastAsia="Arial Nova" w:hAnsi="Arial" w:cs="Arial"/>
          <w:color w:val="000000" w:themeColor="text1"/>
          <w:sz w:val="22"/>
          <w:szCs w:val="22"/>
        </w:rPr>
        <w:t xml:space="preserve"> good enough. You were attempting to carry on with your studies, your obligations and your expectations, and you were trying to compare yourself with other people who seemed more confident. Then you believed the definition </w:t>
      </w:r>
      <w:r w:rsidRPr="00157845">
        <w:rPr>
          <w:rFonts w:ascii="Arial" w:eastAsia="Arial Nova" w:hAnsi="Arial" w:cs="Arial"/>
          <w:color w:val="000000" w:themeColor="text1"/>
          <w:sz w:val="22"/>
          <w:szCs w:val="22"/>
        </w:rPr>
        <w:lastRenderedPageBreak/>
        <w:t>of resilience was to be silent and to deal with things alone. I now realize that the key to being resilient is not to avoid difficulty; it's about adapting, finding help and keeping learning from it.</w:t>
      </w:r>
    </w:p>
    <w:p w14:paraId="7855CCC3"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0E9D6049" w14:textId="4A1719A4"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If you knew about emotional intelligence before, you would not have regarded your emotions as a weakness but as information. Emotional intelligence consists of self-awareness, self-regulation, motivation, empathy and relationship management </w:t>
      </w:r>
      <w:r w:rsidR="004327F8">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{"citationItems":[{"id":"ITEM-1","itemData":{"ISBN":"9781108755818","abstract":"The dominant conceptions of emotional intelligence can be categorized into “ability” models and “mixed” models. Ability models view emotional intelligence as a construct related to other intelligences and consisting of a set of mental abilities whereas mixed models view emotional intelligence as a blend of standard personality traits and various abilities. In this chapter, we review these models of emotional intelligence, including the measures associated with each, and provide a brief summary of the debate between ability models and mixed models. Narrowing in on the ability conception of emotional intelligence, we then discuss its behavioral and neural correlates, development, and malleability, as well as a school-based intervention designed to promote these skills. We conclude with an exploration of possibilities for the emotional intelligence research landscape in the next thirty years.","author":[{"dropping-particle":"","family":"Goleman","given":"Daniel","non-dropping-particle":"","parse-names":false,"suffix":""}],"container-title":"The Cambridge Handbook of Intelligence","id":"ITEM-1","issued":{"date-parts":[["2017"]]},"page":"709-735","title":"Emotional intelligence","type":"article-journal"},"uris":["http://www.mendeley.com/documents/?uuid=9562bfe0-8738-4e87-a9ab-146ba270e099"]}],"mendeley":{"formattedCitation":"(Goleman, 2017)","plainTextFormattedCitation":"(Goleman, 2017)","previouslyFormattedCitation":"(Goleman, 2017)"},"properties":{"noteIndex":0},"schema":"https://github.com/citation-style-language/schema/raw/master/csl-citation.json"}</w:instrText>
      </w:r>
      <w:r w:rsidR="004327F8">
        <w:rPr>
          <w:rFonts w:ascii="Arial" w:eastAsia="Arial Nova" w:hAnsi="Arial" w:cs="Arial"/>
          <w:color w:val="000000" w:themeColor="text1"/>
          <w:sz w:val="22"/>
          <w:szCs w:val="22"/>
        </w:rPr>
        <w:fldChar w:fldCharType="separate"/>
      </w:r>
      <w:r w:rsidR="004327F8" w:rsidRPr="004327F8">
        <w:rPr>
          <w:rFonts w:ascii="Arial" w:eastAsia="Arial Nova" w:hAnsi="Arial" w:cs="Arial"/>
          <w:noProof/>
          <w:color w:val="000000" w:themeColor="text1"/>
          <w:sz w:val="22"/>
          <w:szCs w:val="22"/>
        </w:rPr>
        <w:t>(Goleman, 2017)</w:t>
      </w:r>
      <w:r w:rsidR="004327F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These skills would have allowed you to identify stress before it got to you and communicate your needs effectively, reflecting on criticisms instead of doubting yourself. Emotional intelligence is crucial in health and social care as workers need to control their emotions and be able to show empathy towards service users, families and colleagues.</w:t>
      </w:r>
    </w:p>
    <w:p w14:paraId="46838558"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3E9F5CFB" w14:textId="1320226A"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I'd also share with you that resilience is created by connection, reflection and purposeful action. According to </w:t>
      </w:r>
      <w:r w:rsidR="00BC0968">
        <w:rPr>
          <w:rFonts w:ascii="Arial" w:eastAsia="Arial Nova" w:hAnsi="Arial" w:cs="Arial"/>
          <w:color w:val="000000" w:themeColor="text1"/>
          <w:sz w:val="22"/>
          <w:szCs w:val="22"/>
        </w:rPr>
        <w:t xml:space="preserv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{"citationItems":[{"id":"ITEM-1","itemData":{"ISSN":"1472-6920","author":[{"dropping-particle":"","family":"Chye","given":"Soi Moi","non-dropping-particle":"","parse-names":false,"suffix":""},{"dropping-particle":"","family":"Kok","given":"Yih Yih","non-dropping-particle":"","parse-names":false,"suffix":""},{"dropping-particle":"","family":"Chen","given":"Yu Sui","non-dropping-particle":"","parse-names":false,"suffix":""},{"dropping-particle":"","family":"Er","given":"Hui Meng","non-dropping-particle":"","parse-names":false,"suffix":""}],"container-title":"BMC Medical Education","id":"ITEM-1","issue":"1","issued":{"date-parts":[["2024","10","18"]]},"page":"1168","title":"Building resilience among undergraduate health professions students: identifying influencing factors","type":"article-journal","volume":"24"},"uris":["http://www.mendeley.com/documents/?uuid=a9c8d5fa-20f3-4bd8-80e0-ae560f2dc5e8"]}],"mendeley":{"formattedCitation":"(Chye &lt;i&gt;et al.&lt;/i&gt;, 2024)","manualFormatting":"Chye et al. (2024)","plainTextFormattedCitation":"(Chye et al., 2024)","previouslyFormattedCitation":"(Chye &lt;i&gt;et al.&lt;/i&gt;, 2024)"},"properties":{"noteIndex":0},"schema":"https://github.com/citation-style-language/schema/raw/master/csl-citation.json"}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98231E">
        <w:rPr>
          <w:rFonts w:ascii="Arial" w:eastAsia="Arial Nova" w:hAnsi="Arial" w:cs="Arial"/>
          <w:noProof/>
          <w:color w:val="000000" w:themeColor="text1"/>
          <w:sz w:val="22"/>
          <w:szCs w:val="22"/>
        </w:rPr>
        <w:t xml:space="preserve">Chye </w:t>
      </w:r>
      <w:r w:rsidR="00BC0968" w:rsidRPr="0098231E">
        <w:rPr>
          <w:rFonts w:ascii="Arial" w:eastAsia="Arial Nova" w:hAnsi="Arial" w:cs="Arial"/>
          <w:i/>
          <w:noProof/>
          <w:color w:val="000000" w:themeColor="text1"/>
          <w:sz w:val="22"/>
          <w:szCs w:val="22"/>
        </w:rPr>
        <w:t>et al.</w:t>
      </w:r>
      <w:r w:rsidR="00BC0968" w:rsidRPr="0098231E">
        <w:rPr>
          <w:rFonts w:ascii="Arial" w:eastAsia="Arial Nova" w:hAnsi="Arial" w:cs="Arial"/>
          <w:noProof/>
          <w:color w:val="000000" w:themeColor="text1"/>
          <w:sz w:val="22"/>
          <w:szCs w:val="22"/>
        </w:rPr>
        <w:t xml:space="preserve"> </w:t>
      </w:r>
      <w:r w:rsidR="00BC0968">
        <w:rPr>
          <w:rFonts w:ascii="Arial" w:eastAsia="Arial Nova" w:hAnsi="Arial" w:cs="Arial"/>
          <w:noProof/>
          <w:color w:val="000000" w:themeColor="text1"/>
          <w:sz w:val="22"/>
          <w:szCs w:val="22"/>
        </w:rPr>
        <w:t>(</w:t>
      </w:r>
      <w:r w:rsidR="00BC0968" w:rsidRPr="0098231E">
        <w:rPr>
          <w:rFonts w:ascii="Arial" w:eastAsia="Arial Nova" w:hAnsi="Arial" w:cs="Arial"/>
          <w:noProof/>
          <w:color w:val="000000" w:themeColor="text1"/>
          <w:sz w:val="22"/>
          <w:szCs w:val="22"/>
        </w:rPr>
        <w:t>2024)</w:t>
      </w:r>
      <w:r w:rsidR="00BC0968">
        <w:rPr>
          <w:rFonts w:ascii="Arial" w:eastAsia="Arial Nova" w:hAnsi="Arial" w:cs="Arial"/>
          <w:color w:val="000000" w:themeColor="text1"/>
          <w:sz w:val="22"/>
          <w:szCs w:val="22"/>
        </w:rPr>
        <w:fldChar w:fldCharType="end"/>
      </w:r>
      <w:r w:rsidR="00BC096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personal, social and educational factors are factors that affect the resilience of health professions students</w:t>
      </w:r>
      <w:r w:rsidR="0098231E">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 xml:space="preserve">. This is because you didn't have to deal with your issues by yourself. Talking to tutors, classmates or trusted individuals would have been responsible, not failing. </w:t>
      </w:r>
      <w:r w:rsidR="00DA25CC">
        <w:rPr>
          <w:rFonts w:ascii="Arial" w:eastAsia="Arial Nova" w:hAnsi="Arial" w:cs="Arial"/>
          <w:color w:val="000000" w:themeColor="text1"/>
          <w:sz w:val="22"/>
          <w:szCs w:val="22"/>
        </w:rPr>
        <w:t>E</w:t>
      </w:r>
      <w:r w:rsidRPr="00157845">
        <w:rPr>
          <w:rFonts w:ascii="Arial" w:eastAsia="Arial Nova" w:hAnsi="Arial" w:cs="Arial"/>
          <w:color w:val="000000" w:themeColor="text1"/>
          <w:sz w:val="22"/>
          <w:szCs w:val="22"/>
        </w:rPr>
        <w:t xml:space="preserve">motional intelligence and stress-management training can have a positive impact on </w:t>
      </w:r>
      <w:proofErr w:type="gramStart"/>
      <w:r w:rsidRPr="00157845">
        <w:rPr>
          <w:rFonts w:ascii="Arial" w:eastAsia="Arial Nova" w:hAnsi="Arial" w:cs="Arial"/>
          <w:color w:val="000000" w:themeColor="text1"/>
          <w:sz w:val="22"/>
          <w:szCs w:val="22"/>
        </w:rPr>
        <w:t>wellbeing</w:t>
      </w:r>
      <w:proofErr w:type="gramEnd"/>
      <w:r w:rsidRPr="00157845">
        <w:rPr>
          <w:rFonts w:ascii="Arial" w:eastAsia="Arial Nova" w:hAnsi="Arial" w:cs="Arial"/>
          <w:color w:val="000000" w:themeColor="text1"/>
          <w:sz w:val="22"/>
          <w:szCs w:val="22"/>
        </w:rPr>
        <w:t xml:space="preserve"> and stress-management.</w:t>
      </w:r>
    </w:p>
    <w:p w14:paraId="02BEE520"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7068AB3A"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You have a challenging experience that could have been a more powerful learning moment if you </w:t>
      </w:r>
      <w:proofErr w:type="gramStart"/>
      <w:r w:rsidRPr="00157845">
        <w:rPr>
          <w:rFonts w:ascii="Arial" w:eastAsia="Arial Nova" w:hAnsi="Arial" w:cs="Arial"/>
          <w:color w:val="000000" w:themeColor="text1"/>
          <w:sz w:val="22"/>
          <w:szCs w:val="22"/>
        </w:rPr>
        <w:t>would have</w:t>
      </w:r>
      <w:proofErr w:type="gramEnd"/>
      <w:r w:rsidRPr="00157845">
        <w:rPr>
          <w:rFonts w:ascii="Arial" w:eastAsia="Arial Nova" w:hAnsi="Arial" w:cs="Arial"/>
          <w:color w:val="000000" w:themeColor="text1"/>
          <w:sz w:val="22"/>
          <w:szCs w:val="22"/>
        </w:rPr>
        <w:t xml:space="preserve"> taken a moment to reflect, pause and </w:t>
      </w:r>
      <w:proofErr w:type="gramStart"/>
      <w:r w:rsidRPr="00157845">
        <w:rPr>
          <w:rFonts w:ascii="Arial" w:eastAsia="Arial Nova" w:hAnsi="Arial" w:cs="Arial"/>
          <w:color w:val="000000" w:themeColor="text1"/>
          <w:sz w:val="22"/>
          <w:szCs w:val="22"/>
        </w:rPr>
        <w:t>make a plan</w:t>
      </w:r>
      <w:proofErr w:type="gramEnd"/>
      <w:r w:rsidRPr="00157845">
        <w:rPr>
          <w:rFonts w:ascii="Arial" w:eastAsia="Arial Nova" w:hAnsi="Arial" w:cs="Arial"/>
          <w:color w:val="000000" w:themeColor="text1"/>
          <w:sz w:val="22"/>
          <w:szCs w:val="22"/>
        </w:rPr>
        <w:t xml:space="preserve">. Now you </w:t>
      </w:r>
      <w:proofErr w:type="gramStart"/>
      <w:r w:rsidRPr="00157845">
        <w:rPr>
          <w:rFonts w:ascii="Arial" w:eastAsia="Arial Nova" w:hAnsi="Arial" w:cs="Arial"/>
          <w:color w:val="000000" w:themeColor="text1"/>
          <w:sz w:val="22"/>
          <w:szCs w:val="22"/>
        </w:rPr>
        <w:t>have to</w:t>
      </w:r>
      <w:proofErr w:type="gramEnd"/>
      <w:r w:rsidRPr="00157845">
        <w:rPr>
          <w:rFonts w:ascii="Arial" w:eastAsia="Arial Nova" w:hAnsi="Arial" w:cs="Arial"/>
          <w:color w:val="000000" w:themeColor="text1"/>
          <w:sz w:val="22"/>
          <w:szCs w:val="22"/>
        </w:rPr>
        <w:t xml:space="preserve"> keep in mind that a lack of confidence is gained through practice, not perfection. If you face each challenge with openness, honesty, and self-care, you can build your professional identity through it. These attributes will enable you to be a caring, trustworthy and resilient health and social care worker.</w:t>
      </w:r>
    </w:p>
    <w:p w14:paraId="7A7DCF86"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478F3766"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With kindness,</w:t>
      </w:r>
    </w:p>
    <w:p w14:paraId="629E9991" w14:textId="5C4D174C"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Your future self</w:t>
      </w:r>
    </w:p>
    <w:p w14:paraId="7C58E8EF" w14:textId="77777777" w:rsidR="0074551A" w:rsidRPr="00157845" w:rsidRDefault="0074551A" w:rsidP="00157845">
      <w:pPr>
        <w:spacing w:after="0" w:line="360" w:lineRule="auto"/>
        <w:jc w:val="both"/>
        <w:rPr>
          <w:rFonts w:ascii="Arial" w:eastAsia="Arial Nova" w:hAnsi="Arial" w:cs="Arial"/>
          <w:color w:val="000000" w:themeColor="text1"/>
          <w:sz w:val="22"/>
          <w:szCs w:val="22"/>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43EBEB7" w14:textId="77777777" w:rsidR="008B4F37" w:rsidRDefault="008B4F37"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Default="00D17D41" w:rsidP="00D17D41">
      <w:pPr>
        <w:rPr>
          <w:rFonts w:ascii="Arial Nova" w:eastAsia="Arial Nova" w:hAnsi="Arial Nova" w:cs="Arial Nova"/>
          <w:i/>
          <w:iCs/>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1EEFC5E0" w14:textId="77777777" w:rsidR="005C3552" w:rsidRDefault="005C3552" w:rsidP="00D17D41">
      <w:pPr>
        <w:rPr>
          <w:rFonts w:ascii="Arial Nova" w:eastAsia="Arial Nova" w:hAnsi="Arial Nova" w:cs="Arial Nova"/>
          <w:i/>
          <w:iCs/>
        </w:rPr>
      </w:pP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5C3552" w14:paraId="153E4618" w14:textId="77777777" w:rsidTr="005C3552">
        <w:trPr>
          <w:trHeight w:val="523"/>
        </w:trPr>
        <w:tc>
          <w:tcPr>
            <w:tcW w:w="1335" w:type="dxa"/>
          </w:tcPr>
          <w:p w14:paraId="0EDBA447" w14:textId="55395BDB" w:rsidR="005C3552" w:rsidRDefault="005C3552" w:rsidP="00D17D41">
            <w:pPr>
              <w:rPr>
                <w:rFonts w:ascii="Arial Nova" w:eastAsia="Arial Nova" w:hAnsi="Arial Nova" w:cs="Arial Nova"/>
                <w:i/>
                <w:iCs/>
              </w:rPr>
            </w:pPr>
            <w:r>
              <w:rPr>
                <w:rFonts w:ascii="Arial Nova" w:eastAsia="Arial Nova" w:hAnsi="Arial Nova" w:cs="Arial Nova"/>
                <w:i/>
                <w:iCs/>
              </w:rPr>
              <w:t>1</w:t>
            </w:r>
          </w:p>
        </w:tc>
        <w:tc>
          <w:tcPr>
            <w:tcW w:w="1335" w:type="dxa"/>
          </w:tcPr>
          <w:p w14:paraId="1B39E580" w14:textId="3EC53C0E" w:rsidR="005C3552" w:rsidRDefault="005C3552" w:rsidP="00D17D41">
            <w:pPr>
              <w:rPr>
                <w:rFonts w:ascii="Arial Nova" w:eastAsia="Arial Nova" w:hAnsi="Arial Nova" w:cs="Arial Nova"/>
                <w:i/>
                <w:iCs/>
              </w:rPr>
            </w:pPr>
            <w:r>
              <w:rPr>
                <w:rFonts w:ascii="Arial Nova" w:eastAsia="Arial Nova" w:hAnsi="Arial Nova" w:cs="Arial Nova"/>
                <w:i/>
                <w:iCs/>
              </w:rPr>
              <w:t>JAN</w:t>
            </w:r>
          </w:p>
        </w:tc>
        <w:tc>
          <w:tcPr>
            <w:tcW w:w="1336" w:type="dxa"/>
          </w:tcPr>
          <w:p w14:paraId="172631B3" w14:textId="5C29EBA4" w:rsidR="005C3552" w:rsidRDefault="005C3552" w:rsidP="00D17D41">
            <w:pPr>
              <w:rPr>
                <w:rFonts w:ascii="Arial Nova" w:eastAsia="Arial Nova" w:hAnsi="Arial Nova" w:cs="Arial Nova"/>
                <w:i/>
                <w:iCs/>
              </w:rPr>
            </w:pPr>
            <w:r>
              <w:rPr>
                <w:rFonts w:ascii="Arial Nova" w:eastAsia="Arial Nova" w:hAnsi="Arial Nova" w:cs="Arial Nova"/>
                <w:i/>
                <w:iCs/>
              </w:rPr>
              <w:t>FEB</w:t>
            </w:r>
          </w:p>
        </w:tc>
        <w:tc>
          <w:tcPr>
            <w:tcW w:w="1336" w:type="dxa"/>
          </w:tcPr>
          <w:p w14:paraId="2F4D5D78" w14:textId="1C1CD9D9" w:rsidR="005C3552" w:rsidRDefault="005C3552" w:rsidP="00D17D41">
            <w:pPr>
              <w:rPr>
                <w:rFonts w:ascii="Arial Nova" w:eastAsia="Arial Nova" w:hAnsi="Arial Nova" w:cs="Arial Nova"/>
                <w:i/>
                <w:iCs/>
              </w:rPr>
            </w:pPr>
            <w:r>
              <w:rPr>
                <w:rFonts w:ascii="Arial Nova" w:eastAsia="Arial Nova" w:hAnsi="Arial Nova" w:cs="Arial Nova"/>
                <w:i/>
                <w:iCs/>
              </w:rPr>
              <w:t>APRIL</w:t>
            </w:r>
          </w:p>
        </w:tc>
        <w:tc>
          <w:tcPr>
            <w:tcW w:w="1336" w:type="dxa"/>
          </w:tcPr>
          <w:p w14:paraId="46079C56" w14:textId="71DB7CB9" w:rsidR="005C3552" w:rsidRDefault="005C3552" w:rsidP="00D17D41">
            <w:pPr>
              <w:rPr>
                <w:rFonts w:ascii="Arial Nova" w:eastAsia="Arial Nova" w:hAnsi="Arial Nova" w:cs="Arial Nova"/>
                <w:i/>
                <w:iCs/>
              </w:rPr>
            </w:pPr>
            <w:r>
              <w:rPr>
                <w:rFonts w:ascii="Arial Nova" w:eastAsia="Arial Nova" w:hAnsi="Arial Nova" w:cs="Arial Nova"/>
                <w:i/>
                <w:iCs/>
              </w:rPr>
              <w:t>MAY</w:t>
            </w:r>
          </w:p>
        </w:tc>
        <w:tc>
          <w:tcPr>
            <w:tcW w:w="1336" w:type="dxa"/>
          </w:tcPr>
          <w:p w14:paraId="2D055D9E" w14:textId="1F4F69B0" w:rsidR="005C3552" w:rsidRDefault="005C3552" w:rsidP="00D17D41">
            <w:pPr>
              <w:rPr>
                <w:rFonts w:ascii="Arial Nova" w:eastAsia="Arial Nova" w:hAnsi="Arial Nova" w:cs="Arial Nova"/>
                <w:i/>
                <w:iCs/>
              </w:rPr>
            </w:pPr>
            <w:r>
              <w:rPr>
                <w:rFonts w:ascii="Arial Nova" w:eastAsia="Arial Nova" w:hAnsi="Arial Nova" w:cs="Arial Nova"/>
                <w:i/>
                <w:iCs/>
              </w:rPr>
              <w:t>JUNE</w:t>
            </w:r>
          </w:p>
        </w:tc>
        <w:tc>
          <w:tcPr>
            <w:tcW w:w="1336" w:type="dxa"/>
          </w:tcPr>
          <w:p w14:paraId="41E55016" w14:textId="2C0D7037" w:rsidR="005C3552" w:rsidRDefault="005C3552" w:rsidP="00D17D41">
            <w:pPr>
              <w:rPr>
                <w:rFonts w:ascii="Arial Nova" w:eastAsia="Arial Nova" w:hAnsi="Arial Nova" w:cs="Arial Nova"/>
                <w:i/>
                <w:iCs/>
              </w:rPr>
            </w:pPr>
            <w:r>
              <w:rPr>
                <w:rFonts w:ascii="Arial Nova" w:eastAsia="Arial Nova" w:hAnsi="Arial Nova" w:cs="Arial Nova"/>
                <w:i/>
                <w:iCs/>
              </w:rPr>
              <w:t>JULY</w:t>
            </w:r>
          </w:p>
        </w:tc>
      </w:tr>
      <w:tr w:rsidR="005C3552" w14:paraId="58776AC8" w14:textId="77777777" w:rsidTr="005C3552">
        <w:tc>
          <w:tcPr>
            <w:tcW w:w="1335" w:type="dxa"/>
          </w:tcPr>
          <w:p w14:paraId="1113C1FD" w14:textId="397F329E" w:rsidR="005C3552" w:rsidRDefault="005C3552" w:rsidP="00D17D41">
            <w:pPr>
              <w:rPr>
                <w:rFonts w:ascii="Arial Nova" w:eastAsia="Arial Nova" w:hAnsi="Arial Nova" w:cs="Arial Nova"/>
                <w:i/>
                <w:iCs/>
              </w:rPr>
            </w:pPr>
            <w:r>
              <w:rPr>
                <w:rFonts w:ascii="Arial Nova" w:eastAsia="Arial Nova" w:hAnsi="Arial Nova" w:cs="Arial Nova"/>
                <w:i/>
                <w:iCs/>
              </w:rPr>
              <w:t>2</w:t>
            </w:r>
          </w:p>
        </w:tc>
        <w:tc>
          <w:tcPr>
            <w:tcW w:w="1335" w:type="dxa"/>
          </w:tcPr>
          <w:p w14:paraId="3E05D463" w14:textId="4044FDD6" w:rsidR="005C3552" w:rsidRPr="005C3552" w:rsidRDefault="005C3552" w:rsidP="00D17D41">
            <w:pPr>
              <w:rPr>
                <w:rFonts w:ascii="Arial Nova" w:eastAsia="Arial Nova" w:hAnsi="Arial Nova" w:cs="Arial Nova"/>
                <w:i/>
                <w:iCs/>
                <w:color w:val="EE0000"/>
                <w:highlight w:val="yellow"/>
              </w:rPr>
            </w:pPr>
            <w:r>
              <w:rPr>
                <w:rFonts w:ascii="Arial Nova" w:eastAsia="Arial Nova" w:hAnsi="Arial Nova" w:cs="Arial Nova"/>
                <w:i/>
                <w:iCs/>
                <w:color w:val="EE0000"/>
                <w:highlight w:val="yellow"/>
              </w:rPr>
              <w:t>YES</w:t>
            </w:r>
          </w:p>
        </w:tc>
        <w:tc>
          <w:tcPr>
            <w:tcW w:w="1336" w:type="dxa"/>
          </w:tcPr>
          <w:p w14:paraId="00B1ACC4" w14:textId="77777777" w:rsidR="005C3552" w:rsidRPr="005C3552" w:rsidRDefault="005C3552" w:rsidP="00D17D41">
            <w:pPr>
              <w:rPr>
                <w:rFonts w:ascii="Arial Nova" w:eastAsia="Arial Nova" w:hAnsi="Arial Nova" w:cs="Arial Nova"/>
                <w:i/>
                <w:iCs/>
                <w:highlight w:val="yellow"/>
              </w:rPr>
            </w:pPr>
          </w:p>
        </w:tc>
        <w:tc>
          <w:tcPr>
            <w:tcW w:w="1336" w:type="dxa"/>
          </w:tcPr>
          <w:p w14:paraId="3B3D83AA" w14:textId="77777777" w:rsidR="005C3552" w:rsidRDefault="005C3552" w:rsidP="00D17D41">
            <w:pPr>
              <w:rPr>
                <w:rFonts w:ascii="Arial Nova" w:eastAsia="Arial Nova" w:hAnsi="Arial Nova" w:cs="Arial Nova"/>
                <w:i/>
                <w:iCs/>
              </w:rPr>
            </w:pPr>
          </w:p>
        </w:tc>
        <w:tc>
          <w:tcPr>
            <w:tcW w:w="1336" w:type="dxa"/>
          </w:tcPr>
          <w:p w14:paraId="41F0EDE5" w14:textId="77777777" w:rsidR="005C3552" w:rsidRDefault="005C3552" w:rsidP="00D17D41">
            <w:pPr>
              <w:rPr>
                <w:rFonts w:ascii="Arial Nova" w:eastAsia="Arial Nova" w:hAnsi="Arial Nova" w:cs="Arial Nova"/>
                <w:i/>
                <w:iCs/>
              </w:rPr>
            </w:pPr>
          </w:p>
        </w:tc>
        <w:tc>
          <w:tcPr>
            <w:tcW w:w="1336" w:type="dxa"/>
          </w:tcPr>
          <w:p w14:paraId="52E34707" w14:textId="77777777" w:rsidR="005C3552" w:rsidRDefault="005C3552" w:rsidP="00D17D41">
            <w:pPr>
              <w:rPr>
                <w:rFonts w:ascii="Arial Nova" w:eastAsia="Arial Nova" w:hAnsi="Arial Nova" w:cs="Arial Nova"/>
                <w:i/>
                <w:iCs/>
              </w:rPr>
            </w:pPr>
          </w:p>
        </w:tc>
        <w:tc>
          <w:tcPr>
            <w:tcW w:w="1336" w:type="dxa"/>
          </w:tcPr>
          <w:p w14:paraId="7428B367" w14:textId="77777777" w:rsidR="005C3552" w:rsidRDefault="005C3552" w:rsidP="00D17D41">
            <w:pPr>
              <w:rPr>
                <w:rFonts w:ascii="Arial Nova" w:eastAsia="Arial Nova" w:hAnsi="Arial Nova" w:cs="Arial Nova"/>
                <w:i/>
                <w:iCs/>
              </w:rPr>
            </w:pPr>
          </w:p>
        </w:tc>
      </w:tr>
      <w:tr w:rsidR="005C3552" w14:paraId="1D435F4A" w14:textId="77777777" w:rsidTr="005C3552">
        <w:tc>
          <w:tcPr>
            <w:tcW w:w="1335" w:type="dxa"/>
          </w:tcPr>
          <w:p w14:paraId="784857F0" w14:textId="5FC5BB5A" w:rsidR="005C3552" w:rsidRDefault="005C3552" w:rsidP="00D17D41">
            <w:pPr>
              <w:rPr>
                <w:rFonts w:ascii="Arial Nova" w:eastAsia="Arial Nova" w:hAnsi="Arial Nova" w:cs="Arial Nova"/>
                <w:i/>
                <w:iCs/>
              </w:rPr>
            </w:pPr>
            <w:r>
              <w:rPr>
                <w:rFonts w:ascii="Arial Nova" w:eastAsia="Arial Nova" w:hAnsi="Arial Nova" w:cs="Arial Nova"/>
                <w:i/>
                <w:iCs/>
              </w:rPr>
              <w:t>3</w:t>
            </w:r>
          </w:p>
        </w:tc>
        <w:tc>
          <w:tcPr>
            <w:tcW w:w="1335" w:type="dxa"/>
          </w:tcPr>
          <w:p w14:paraId="0A6297DD" w14:textId="77777777" w:rsidR="005C3552" w:rsidRDefault="005C3552" w:rsidP="00D17D41">
            <w:pPr>
              <w:rPr>
                <w:rFonts w:ascii="Arial Nova" w:eastAsia="Arial Nova" w:hAnsi="Arial Nova" w:cs="Arial Nova"/>
                <w:i/>
                <w:iCs/>
              </w:rPr>
            </w:pPr>
          </w:p>
        </w:tc>
        <w:tc>
          <w:tcPr>
            <w:tcW w:w="1336" w:type="dxa"/>
          </w:tcPr>
          <w:p w14:paraId="0368AE90" w14:textId="2DA2E8F3" w:rsidR="005C3552" w:rsidRDefault="005C3552" w:rsidP="00D17D41">
            <w:pPr>
              <w:rPr>
                <w:rFonts w:ascii="Arial Nova" w:eastAsia="Arial Nova" w:hAnsi="Arial Nova" w:cs="Arial Nova"/>
                <w:i/>
                <w:iCs/>
              </w:rPr>
            </w:pPr>
            <w:r w:rsidRPr="005C3552">
              <w:rPr>
                <w:rFonts w:ascii="Arial Nova" w:eastAsia="Arial Nova" w:hAnsi="Arial Nova" w:cs="Arial Nova"/>
                <w:i/>
                <w:iCs/>
                <w:highlight w:val="yellow"/>
              </w:rPr>
              <w:t>YES</w:t>
            </w:r>
          </w:p>
        </w:tc>
        <w:tc>
          <w:tcPr>
            <w:tcW w:w="1336" w:type="dxa"/>
          </w:tcPr>
          <w:p w14:paraId="61FD8368" w14:textId="77777777" w:rsidR="005C3552" w:rsidRDefault="005C3552" w:rsidP="00D17D41">
            <w:pPr>
              <w:rPr>
                <w:rFonts w:ascii="Arial Nova" w:eastAsia="Arial Nova" w:hAnsi="Arial Nova" w:cs="Arial Nova"/>
                <w:i/>
                <w:iCs/>
              </w:rPr>
            </w:pPr>
          </w:p>
        </w:tc>
        <w:tc>
          <w:tcPr>
            <w:tcW w:w="1336" w:type="dxa"/>
          </w:tcPr>
          <w:p w14:paraId="55A7165B" w14:textId="77777777" w:rsidR="005C3552" w:rsidRDefault="005C3552" w:rsidP="00D17D41">
            <w:pPr>
              <w:rPr>
                <w:rFonts w:ascii="Arial Nova" w:eastAsia="Arial Nova" w:hAnsi="Arial Nova" w:cs="Arial Nova"/>
                <w:i/>
                <w:iCs/>
              </w:rPr>
            </w:pPr>
          </w:p>
        </w:tc>
        <w:tc>
          <w:tcPr>
            <w:tcW w:w="1336" w:type="dxa"/>
          </w:tcPr>
          <w:p w14:paraId="06117847" w14:textId="77777777" w:rsidR="005C3552" w:rsidRDefault="005C3552" w:rsidP="00D17D41">
            <w:pPr>
              <w:rPr>
                <w:rFonts w:ascii="Arial Nova" w:eastAsia="Arial Nova" w:hAnsi="Arial Nova" w:cs="Arial Nova"/>
                <w:i/>
                <w:iCs/>
              </w:rPr>
            </w:pPr>
          </w:p>
        </w:tc>
        <w:tc>
          <w:tcPr>
            <w:tcW w:w="1336" w:type="dxa"/>
          </w:tcPr>
          <w:p w14:paraId="673FFFC0" w14:textId="77777777" w:rsidR="005C3552" w:rsidRDefault="005C3552" w:rsidP="00D17D41">
            <w:pPr>
              <w:rPr>
                <w:rFonts w:ascii="Arial Nova" w:eastAsia="Arial Nova" w:hAnsi="Arial Nova" w:cs="Arial Nova"/>
                <w:i/>
                <w:iCs/>
              </w:rPr>
            </w:pPr>
          </w:p>
        </w:tc>
      </w:tr>
      <w:tr w:rsidR="005C3552" w14:paraId="7801D9F4" w14:textId="77777777" w:rsidTr="005C3552">
        <w:tc>
          <w:tcPr>
            <w:tcW w:w="1335" w:type="dxa"/>
          </w:tcPr>
          <w:p w14:paraId="3CAB5AFF" w14:textId="3FB15160" w:rsidR="005C3552" w:rsidRDefault="005C3552" w:rsidP="00D17D41">
            <w:pPr>
              <w:rPr>
                <w:rFonts w:ascii="Arial Nova" w:eastAsia="Arial Nova" w:hAnsi="Arial Nova" w:cs="Arial Nova"/>
                <w:i/>
                <w:iCs/>
              </w:rPr>
            </w:pPr>
            <w:r>
              <w:rPr>
                <w:rFonts w:ascii="Arial Nova" w:eastAsia="Arial Nova" w:hAnsi="Arial Nova" w:cs="Arial Nova"/>
                <w:i/>
                <w:iCs/>
              </w:rPr>
              <w:t>4</w:t>
            </w:r>
          </w:p>
        </w:tc>
        <w:tc>
          <w:tcPr>
            <w:tcW w:w="1335" w:type="dxa"/>
          </w:tcPr>
          <w:p w14:paraId="14CEBC8F" w14:textId="77777777" w:rsidR="005C3552" w:rsidRDefault="005C3552" w:rsidP="00D17D41">
            <w:pPr>
              <w:rPr>
                <w:rFonts w:ascii="Arial Nova" w:eastAsia="Arial Nova" w:hAnsi="Arial Nova" w:cs="Arial Nova"/>
                <w:i/>
                <w:iCs/>
              </w:rPr>
            </w:pPr>
          </w:p>
        </w:tc>
        <w:tc>
          <w:tcPr>
            <w:tcW w:w="1336" w:type="dxa"/>
          </w:tcPr>
          <w:p w14:paraId="5A247E35" w14:textId="77777777" w:rsidR="005C3552" w:rsidRDefault="005C3552" w:rsidP="00D17D41">
            <w:pPr>
              <w:rPr>
                <w:rFonts w:ascii="Arial Nova" w:eastAsia="Arial Nova" w:hAnsi="Arial Nova" w:cs="Arial Nova"/>
                <w:i/>
                <w:iCs/>
              </w:rPr>
            </w:pPr>
          </w:p>
        </w:tc>
        <w:tc>
          <w:tcPr>
            <w:tcW w:w="1336" w:type="dxa"/>
          </w:tcPr>
          <w:p w14:paraId="450AA34D" w14:textId="744F2629" w:rsidR="005C3552" w:rsidRDefault="005C3552" w:rsidP="00D17D41">
            <w:pPr>
              <w:rPr>
                <w:rFonts w:ascii="Arial Nova" w:eastAsia="Arial Nova" w:hAnsi="Arial Nova" w:cs="Arial Nova"/>
                <w:i/>
                <w:iCs/>
              </w:rPr>
            </w:pPr>
            <w:r w:rsidRPr="005C3552">
              <w:rPr>
                <w:rFonts w:ascii="Arial Nova" w:eastAsia="Arial Nova" w:hAnsi="Arial Nova" w:cs="Arial Nova"/>
                <w:i/>
                <w:iCs/>
                <w:highlight w:val="yellow"/>
              </w:rPr>
              <w:t>YES</w:t>
            </w:r>
          </w:p>
        </w:tc>
        <w:tc>
          <w:tcPr>
            <w:tcW w:w="1336" w:type="dxa"/>
          </w:tcPr>
          <w:p w14:paraId="442797F7" w14:textId="77777777" w:rsidR="005C3552" w:rsidRDefault="005C3552" w:rsidP="00D17D41">
            <w:pPr>
              <w:rPr>
                <w:rFonts w:ascii="Arial Nova" w:eastAsia="Arial Nova" w:hAnsi="Arial Nova" w:cs="Arial Nova"/>
                <w:i/>
                <w:iCs/>
              </w:rPr>
            </w:pPr>
          </w:p>
        </w:tc>
        <w:tc>
          <w:tcPr>
            <w:tcW w:w="1336" w:type="dxa"/>
          </w:tcPr>
          <w:p w14:paraId="3DFDB426" w14:textId="77777777" w:rsidR="005C3552" w:rsidRDefault="005C3552" w:rsidP="00D17D41">
            <w:pPr>
              <w:rPr>
                <w:rFonts w:ascii="Arial Nova" w:eastAsia="Arial Nova" w:hAnsi="Arial Nova" w:cs="Arial Nova"/>
                <w:i/>
                <w:iCs/>
              </w:rPr>
            </w:pPr>
          </w:p>
        </w:tc>
        <w:tc>
          <w:tcPr>
            <w:tcW w:w="1336" w:type="dxa"/>
          </w:tcPr>
          <w:p w14:paraId="48F4F257" w14:textId="77777777" w:rsidR="005C3552" w:rsidRDefault="005C3552" w:rsidP="00D17D41">
            <w:pPr>
              <w:rPr>
                <w:rFonts w:ascii="Arial Nova" w:eastAsia="Arial Nova" w:hAnsi="Arial Nova" w:cs="Arial Nova"/>
                <w:i/>
                <w:iCs/>
              </w:rPr>
            </w:pPr>
          </w:p>
        </w:tc>
      </w:tr>
      <w:tr w:rsidR="005C3552" w14:paraId="4F3C146B" w14:textId="77777777" w:rsidTr="005C3552">
        <w:tc>
          <w:tcPr>
            <w:tcW w:w="1335" w:type="dxa"/>
          </w:tcPr>
          <w:p w14:paraId="7A136A7C" w14:textId="108B9603" w:rsidR="005C3552" w:rsidRDefault="005C3552" w:rsidP="00D17D41">
            <w:pPr>
              <w:rPr>
                <w:rFonts w:ascii="Arial Nova" w:eastAsia="Arial Nova" w:hAnsi="Arial Nova" w:cs="Arial Nova"/>
                <w:i/>
                <w:iCs/>
              </w:rPr>
            </w:pPr>
            <w:r>
              <w:rPr>
                <w:rFonts w:ascii="Arial Nova" w:eastAsia="Arial Nova" w:hAnsi="Arial Nova" w:cs="Arial Nova"/>
                <w:i/>
                <w:iCs/>
              </w:rPr>
              <w:t>5</w:t>
            </w:r>
          </w:p>
        </w:tc>
        <w:tc>
          <w:tcPr>
            <w:tcW w:w="1335" w:type="dxa"/>
          </w:tcPr>
          <w:p w14:paraId="55E91932" w14:textId="77777777" w:rsidR="005C3552" w:rsidRDefault="005C3552" w:rsidP="00D17D41">
            <w:pPr>
              <w:rPr>
                <w:rFonts w:ascii="Arial Nova" w:eastAsia="Arial Nova" w:hAnsi="Arial Nova" w:cs="Arial Nova"/>
                <w:i/>
                <w:iCs/>
              </w:rPr>
            </w:pPr>
          </w:p>
        </w:tc>
        <w:tc>
          <w:tcPr>
            <w:tcW w:w="1336" w:type="dxa"/>
          </w:tcPr>
          <w:p w14:paraId="6A7880A2" w14:textId="77777777" w:rsidR="005C3552" w:rsidRDefault="005C3552" w:rsidP="00D17D41">
            <w:pPr>
              <w:rPr>
                <w:rFonts w:ascii="Arial Nova" w:eastAsia="Arial Nova" w:hAnsi="Arial Nova" w:cs="Arial Nova"/>
                <w:i/>
                <w:iCs/>
              </w:rPr>
            </w:pPr>
          </w:p>
        </w:tc>
        <w:tc>
          <w:tcPr>
            <w:tcW w:w="1336" w:type="dxa"/>
          </w:tcPr>
          <w:p w14:paraId="2BEBAF27" w14:textId="77777777" w:rsidR="005C3552" w:rsidRDefault="005C3552" w:rsidP="00D17D41">
            <w:pPr>
              <w:rPr>
                <w:rFonts w:ascii="Arial Nova" w:eastAsia="Arial Nova" w:hAnsi="Arial Nova" w:cs="Arial Nova"/>
                <w:i/>
                <w:iCs/>
              </w:rPr>
            </w:pPr>
          </w:p>
        </w:tc>
        <w:tc>
          <w:tcPr>
            <w:tcW w:w="1336" w:type="dxa"/>
          </w:tcPr>
          <w:p w14:paraId="0BAB3F04" w14:textId="1D948F95" w:rsidR="005C3552" w:rsidRDefault="005C3552" w:rsidP="00D17D41">
            <w:pPr>
              <w:rPr>
                <w:rFonts w:ascii="Arial Nova" w:eastAsia="Arial Nova" w:hAnsi="Arial Nova" w:cs="Arial Nova"/>
                <w:i/>
                <w:iCs/>
              </w:rPr>
            </w:pPr>
            <w:r w:rsidRPr="005C3552">
              <w:rPr>
                <w:rFonts w:ascii="Arial Nova" w:eastAsia="Arial Nova" w:hAnsi="Arial Nova" w:cs="Arial Nova"/>
                <w:i/>
                <w:iCs/>
                <w:highlight w:val="yellow"/>
              </w:rPr>
              <w:t>YES</w:t>
            </w:r>
          </w:p>
        </w:tc>
        <w:tc>
          <w:tcPr>
            <w:tcW w:w="1336" w:type="dxa"/>
          </w:tcPr>
          <w:p w14:paraId="439D39BF" w14:textId="77777777" w:rsidR="005C3552" w:rsidRDefault="005C3552" w:rsidP="00D17D41">
            <w:pPr>
              <w:rPr>
                <w:rFonts w:ascii="Arial Nova" w:eastAsia="Arial Nova" w:hAnsi="Arial Nova" w:cs="Arial Nova"/>
                <w:i/>
                <w:iCs/>
              </w:rPr>
            </w:pPr>
          </w:p>
        </w:tc>
        <w:tc>
          <w:tcPr>
            <w:tcW w:w="1336" w:type="dxa"/>
          </w:tcPr>
          <w:p w14:paraId="01BD1E32" w14:textId="77777777" w:rsidR="005C3552" w:rsidRDefault="005C3552" w:rsidP="00D17D41">
            <w:pPr>
              <w:rPr>
                <w:rFonts w:ascii="Arial Nova" w:eastAsia="Arial Nova" w:hAnsi="Arial Nova" w:cs="Arial Nova"/>
                <w:i/>
                <w:iCs/>
              </w:rPr>
            </w:pPr>
          </w:p>
        </w:tc>
      </w:tr>
      <w:tr w:rsidR="005C3552" w14:paraId="106028F5" w14:textId="77777777" w:rsidTr="005C3552">
        <w:tc>
          <w:tcPr>
            <w:tcW w:w="1335" w:type="dxa"/>
          </w:tcPr>
          <w:p w14:paraId="4EE825D0" w14:textId="5606A52A" w:rsidR="005C3552" w:rsidRDefault="005C3552" w:rsidP="00D17D41">
            <w:pPr>
              <w:rPr>
                <w:rFonts w:ascii="Arial Nova" w:eastAsia="Arial Nova" w:hAnsi="Arial Nova" w:cs="Arial Nova"/>
                <w:i/>
                <w:iCs/>
              </w:rPr>
            </w:pPr>
            <w:r>
              <w:rPr>
                <w:rFonts w:ascii="Arial Nova" w:eastAsia="Arial Nova" w:hAnsi="Arial Nova" w:cs="Arial Nova"/>
                <w:i/>
                <w:iCs/>
              </w:rPr>
              <w:t>6</w:t>
            </w:r>
          </w:p>
        </w:tc>
        <w:tc>
          <w:tcPr>
            <w:tcW w:w="1335" w:type="dxa"/>
          </w:tcPr>
          <w:p w14:paraId="3AFF7E58" w14:textId="77777777" w:rsidR="005C3552" w:rsidRDefault="005C3552" w:rsidP="00D17D41">
            <w:pPr>
              <w:rPr>
                <w:rFonts w:ascii="Arial Nova" w:eastAsia="Arial Nova" w:hAnsi="Arial Nova" w:cs="Arial Nova"/>
                <w:i/>
                <w:iCs/>
              </w:rPr>
            </w:pPr>
          </w:p>
        </w:tc>
        <w:tc>
          <w:tcPr>
            <w:tcW w:w="1336" w:type="dxa"/>
          </w:tcPr>
          <w:p w14:paraId="769ED161" w14:textId="77777777" w:rsidR="005C3552" w:rsidRDefault="005C3552" w:rsidP="00D17D41">
            <w:pPr>
              <w:rPr>
                <w:rFonts w:ascii="Arial Nova" w:eastAsia="Arial Nova" w:hAnsi="Arial Nova" w:cs="Arial Nova"/>
                <w:i/>
                <w:iCs/>
              </w:rPr>
            </w:pPr>
          </w:p>
        </w:tc>
        <w:tc>
          <w:tcPr>
            <w:tcW w:w="1336" w:type="dxa"/>
          </w:tcPr>
          <w:p w14:paraId="45D36728" w14:textId="77777777" w:rsidR="005C3552" w:rsidRDefault="005C3552" w:rsidP="00D17D41">
            <w:pPr>
              <w:rPr>
                <w:rFonts w:ascii="Arial Nova" w:eastAsia="Arial Nova" w:hAnsi="Arial Nova" w:cs="Arial Nova"/>
                <w:i/>
                <w:iCs/>
              </w:rPr>
            </w:pPr>
          </w:p>
        </w:tc>
        <w:tc>
          <w:tcPr>
            <w:tcW w:w="1336" w:type="dxa"/>
          </w:tcPr>
          <w:p w14:paraId="5A29392E" w14:textId="77777777" w:rsidR="005C3552" w:rsidRDefault="005C3552" w:rsidP="00D17D41">
            <w:pPr>
              <w:rPr>
                <w:rFonts w:ascii="Arial Nova" w:eastAsia="Arial Nova" w:hAnsi="Arial Nova" w:cs="Arial Nova"/>
                <w:i/>
                <w:iCs/>
              </w:rPr>
            </w:pPr>
          </w:p>
        </w:tc>
        <w:tc>
          <w:tcPr>
            <w:tcW w:w="1336" w:type="dxa"/>
          </w:tcPr>
          <w:p w14:paraId="7A8376C5" w14:textId="3C4FFDAF" w:rsidR="005C3552" w:rsidRDefault="005C3552" w:rsidP="00D17D41">
            <w:pPr>
              <w:rPr>
                <w:rFonts w:ascii="Arial Nova" w:eastAsia="Arial Nova" w:hAnsi="Arial Nova" w:cs="Arial Nova"/>
                <w:i/>
                <w:iCs/>
              </w:rPr>
            </w:pPr>
            <w:r w:rsidRPr="005C3552">
              <w:rPr>
                <w:rFonts w:ascii="Arial Nova" w:eastAsia="Arial Nova" w:hAnsi="Arial Nova" w:cs="Arial Nova"/>
                <w:i/>
                <w:iCs/>
                <w:highlight w:val="yellow"/>
              </w:rPr>
              <w:t>YES</w:t>
            </w:r>
          </w:p>
        </w:tc>
        <w:tc>
          <w:tcPr>
            <w:tcW w:w="1336" w:type="dxa"/>
          </w:tcPr>
          <w:p w14:paraId="20705456" w14:textId="6BED0EA4" w:rsidR="005C3552" w:rsidRDefault="005C3552" w:rsidP="00D17D41">
            <w:pPr>
              <w:rPr>
                <w:rFonts w:ascii="Arial Nova" w:eastAsia="Arial Nova" w:hAnsi="Arial Nova" w:cs="Arial Nova"/>
                <w:i/>
                <w:iCs/>
              </w:rPr>
            </w:pPr>
            <w:r w:rsidRPr="005C3552">
              <w:rPr>
                <w:rFonts w:ascii="Arial Nova" w:eastAsia="Arial Nova" w:hAnsi="Arial Nova" w:cs="Arial Nova"/>
                <w:i/>
                <w:iCs/>
                <w:highlight w:val="yellow"/>
              </w:rPr>
              <w:t>YES</w:t>
            </w:r>
          </w:p>
        </w:tc>
      </w:tr>
    </w:tbl>
    <w:p w14:paraId="23B57323" w14:textId="77777777" w:rsidR="005C3552" w:rsidRDefault="005C3552" w:rsidP="00D17D41">
      <w:pPr>
        <w:rPr>
          <w:rFonts w:ascii="Arial Nova" w:eastAsia="Arial Nova" w:hAnsi="Arial Nova" w:cs="Arial Nova"/>
          <w:i/>
          <w:iCs/>
        </w:rPr>
      </w:pPr>
    </w:p>
    <w:p w14:paraId="6750998E" w14:textId="77777777" w:rsidR="005C3552" w:rsidRDefault="005C3552" w:rsidP="00D17D41">
      <w:pPr>
        <w:rPr>
          <w:rFonts w:ascii="Arial Nova" w:eastAsia="Arial Nova" w:hAnsi="Arial Nova" w:cs="Arial Nova"/>
          <w:i/>
          <w:iCs/>
        </w:rPr>
      </w:pPr>
    </w:p>
    <w:p w14:paraId="52DC2044" w14:textId="77777777" w:rsidR="005C3552" w:rsidRDefault="005C3552" w:rsidP="00D17D41">
      <w:pPr>
        <w:rPr>
          <w:rFonts w:ascii="Arial Nova" w:eastAsia="Arial Nova" w:hAnsi="Arial Nova" w:cs="Arial Nova"/>
          <w:i/>
          <w:iCs/>
        </w:rPr>
      </w:pPr>
    </w:p>
    <w:p w14:paraId="4FEA4E3F" w14:textId="77777777" w:rsidR="005C3552" w:rsidRDefault="005C3552" w:rsidP="00D17D41">
      <w:pPr>
        <w:rPr>
          <w:rFonts w:ascii="Arial Nova" w:eastAsia="Arial Nova" w:hAnsi="Arial Nova" w:cs="Arial Nova"/>
          <w:i/>
          <w:iCs/>
        </w:rPr>
      </w:pPr>
    </w:p>
    <w:p w14:paraId="2E016EC9" w14:textId="77777777" w:rsidR="005C3552" w:rsidRDefault="005C3552" w:rsidP="00D17D41">
      <w:pPr>
        <w:rPr>
          <w:rFonts w:ascii="Arial Nova" w:eastAsia="Arial Nova" w:hAnsi="Arial Nova" w:cs="Arial Nova"/>
          <w:i/>
          <w:iCs/>
        </w:rPr>
      </w:pPr>
    </w:p>
    <w:p w14:paraId="19A482F5" w14:textId="77777777" w:rsidR="005C3552" w:rsidRDefault="005C3552" w:rsidP="00D17D41">
      <w:pPr>
        <w:rPr>
          <w:rFonts w:ascii="Arial Nova" w:eastAsia="Arial Nova" w:hAnsi="Arial Nova" w:cs="Arial Nova"/>
          <w:i/>
          <w:iCs/>
        </w:rPr>
      </w:pPr>
    </w:p>
    <w:p w14:paraId="6A70A09F" w14:textId="77777777" w:rsidR="005C3552" w:rsidRDefault="005C3552" w:rsidP="00D17D41">
      <w:pPr>
        <w:rPr>
          <w:rFonts w:ascii="Arial Nova" w:eastAsia="Arial Nova" w:hAnsi="Arial Nova" w:cs="Arial Nova"/>
          <w:i/>
          <w:iCs/>
        </w:rPr>
      </w:pPr>
    </w:p>
    <w:p w14:paraId="078EDB1D" w14:textId="77777777" w:rsidR="005C3552" w:rsidRDefault="005C3552" w:rsidP="00D17D41">
      <w:pPr>
        <w:rPr>
          <w:rFonts w:ascii="Arial Nova" w:eastAsia="Arial Nova" w:hAnsi="Arial Nova" w:cs="Arial Nova"/>
          <w:i/>
          <w:iCs/>
        </w:rPr>
      </w:pPr>
    </w:p>
    <w:p w14:paraId="43611974" w14:textId="77777777" w:rsidR="005C3552" w:rsidRDefault="005C3552" w:rsidP="00D17D41">
      <w:pPr>
        <w:rPr>
          <w:rFonts w:ascii="Arial Nova" w:eastAsia="Arial Nova" w:hAnsi="Arial Nova" w:cs="Arial Nova"/>
          <w:i/>
          <w:iCs/>
        </w:rPr>
      </w:pPr>
    </w:p>
    <w:p w14:paraId="2DFDD1BD" w14:textId="77777777" w:rsidR="005C3552" w:rsidRDefault="005C3552" w:rsidP="00D17D41">
      <w:pPr>
        <w:rPr>
          <w:rFonts w:ascii="Arial Nova" w:eastAsia="Arial Nova" w:hAnsi="Arial Nova" w:cs="Arial Nova"/>
          <w:i/>
          <w:iCs/>
        </w:rPr>
      </w:pPr>
    </w:p>
    <w:p w14:paraId="02502AE7" w14:textId="77777777" w:rsidR="005C3552" w:rsidRDefault="005C3552" w:rsidP="00D17D41">
      <w:pPr>
        <w:rPr>
          <w:rFonts w:ascii="Arial Nova" w:eastAsia="Arial Nova" w:hAnsi="Arial Nova" w:cs="Arial Nova"/>
          <w:i/>
          <w:iCs/>
        </w:rPr>
      </w:pPr>
    </w:p>
    <w:p w14:paraId="577ED8C7" w14:textId="77777777" w:rsidR="005C3552" w:rsidRPr="00D17D41" w:rsidRDefault="005C3552" w:rsidP="00D17D41">
      <w:pPr>
        <w:rPr>
          <w:rFonts w:ascii="Arial Nova" w:eastAsia="Arial Nova" w:hAnsi="Arial Nova" w:cs="Arial Nova"/>
          <w:i/>
          <w:iCs/>
          <w:color w:val="FF0000"/>
        </w:rPr>
      </w:pPr>
    </w:p>
    <w:p w14:paraId="0689F83A" w14:textId="77777777" w:rsidR="008A0047" w:rsidRDefault="008A0047" w:rsidP="008A0047">
      <w:pPr>
        <w:rPr>
          <w:rFonts w:ascii="Arial Nova" w:eastAsia="Arial Nova" w:hAnsi="Arial Nova" w:cs="Arial Nova"/>
          <w:i/>
          <w:iCs/>
        </w:rPr>
      </w:pPr>
      <w:r>
        <w:rPr>
          <w:rFonts w:ascii="Arial Nova" w:eastAsia="Arial Nova" w:hAnsi="Arial Nova" w:cs="Arial Nova"/>
          <w:i/>
          <w:iCs/>
        </w:rPr>
        <w:t>Ans:</w:t>
      </w:r>
    </w:p>
    <w:p w14:paraId="604F9257" w14:textId="440ECAE1" w:rsidR="008A0047" w:rsidRPr="00157845" w:rsidRDefault="008A0047" w:rsidP="00157845">
      <w:pPr>
        <w:spacing w:line="360" w:lineRule="auto"/>
        <w:jc w:val="both"/>
        <w:rPr>
          <w:rFonts w:ascii="Arial" w:eastAsia="Arial Nova" w:hAnsi="Arial" w:cs="Arial"/>
          <w:sz w:val="22"/>
          <w:szCs w:val="22"/>
        </w:rPr>
      </w:pPr>
      <w:r>
        <w:rPr>
          <w:rFonts w:ascii="Arial Nova" w:eastAsia="Arial Nova" w:hAnsi="Arial Nova" w:cs="Arial Nova"/>
          <w:i/>
          <w:iCs/>
        </w:rPr>
        <w:lastRenderedPageBreak/>
        <w:br/>
      </w:r>
      <w:r w:rsidRPr="00157845">
        <w:rPr>
          <w:rFonts w:ascii="Arial" w:eastAsia="Arial Nova" w:hAnsi="Arial" w:cs="Arial"/>
          <w:sz w:val="22"/>
          <w:szCs w:val="22"/>
        </w:rPr>
        <w:t>Supporting Explanation</w:t>
      </w:r>
    </w:p>
    <w:p w14:paraId="1672607A" w14:textId="52D98FEA" w:rsidR="008A0047" w:rsidRPr="00157845" w:rsidRDefault="008A0047" w:rsidP="00157845">
      <w:pPr>
        <w:spacing w:line="360" w:lineRule="auto"/>
        <w:jc w:val="both"/>
        <w:rPr>
          <w:rFonts w:ascii="Arial" w:eastAsia="Arial Nova" w:hAnsi="Arial" w:cs="Arial"/>
          <w:sz w:val="22"/>
          <w:szCs w:val="22"/>
        </w:rPr>
      </w:pPr>
      <w:r w:rsidRPr="00157845">
        <w:rPr>
          <w:rFonts w:ascii="Arial" w:eastAsia="Arial Nova" w:hAnsi="Arial" w:cs="Arial"/>
          <w:sz w:val="22"/>
          <w:szCs w:val="22"/>
        </w:rPr>
        <w:t xml:space="preserve">My career </w:t>
      </w:r>
      <w:proofErr w:type="gramStart"/>
      <w:r w:rsidRPr="00157845">
        <w:rPr>
          <w:rFonts w:ascii="Arial" w:eastAsia="Arial Nova" w:hAnsi="Arial" w:cs="Arial"/>
          <w:sz w:val="22"/>
          <w:szCs w:val="22"/>
        </w:rPr>
        <w:t>aspirations</w:t>
      </w:r>
      <w:proofErr w:type="gramEnd"/>
      <w:r w:rsidRPr="00157845">
        <w:rPr>
          <w:rFonts w:ascii="Arial" w:eastAsia="Arial Nova" w:hAnsi="Arial" w:cs="Arial"/>
          <w:sz w:val="22"/>
          <w:szCs w:val="22"/>
        </w:rPr>
        <w:t xml:space="preserve"> </w:t>
      </w:r>
      <w:proofErr w:type="gramStart"/>
      <w:r w:rsidRPr="00157845">
        <w:rPr>
          <w:rFonts w:ascii="Arial" w:eastAsia="Arial Nova" w:hAnsi="Arial" w:cs="Arial"/>
          <w:sz w:val="22"/>
          <w:szCs w:val="22"/>
        </w:rPr>
        <w:t>is</w:t>
      </w:r>
      <w:proofErr w:type="gramEnd"/>
      <w:r w:rsidRPr="00157845">
        <w:rPr>
          <w:rFonts w:ascii="Arial" w:eastAsia="Arial Nova" w:hAnsi="Arial" w:cs="Arial"/>
          <w:sz w:val="22"/>
          <w:szCs w:val="22"/>
        </w:rPr>
        <w:t xml:space="preserve"> to eventually get a job at a graduate level working in adult health and social care, e.g. Assistant Practitioner, Care Coordinator or Senior Support Worker, with the </w:t>
      </w:r>
      <w:proofErr w:type="gramStart"/>
      <w:r w:rsidRPr="00157845">
        <w:rPr>
          <w:rFonts w:ascii="Arial" w:eastAsia="Arial Nova" w:hAnsi="Arial" w:cs="Arial"/>
          <w:sz w:val="22"/>
          <w:szCs w:val="22"/>
        </w:rPr>
        <w:t>ultimate aim</w:t>
      </w:r>
      <w:proofErr w:type="gramEnd"/>
      <w:r w:rsidRPr="00157845">
        <w:rPr>
          <w:rFonts w:ascii="Arial" w:eastAsia="Arial Nova" w:hAnsi="Arial" w:cs="Arial"/>
          <w:sz w:val="22"/>
          <w:szCs w:val="22"/>
        </w:rPr>
        <w:t xml:space="preserve"> of becoming a Care Home Manager. This Gantt chart is a structured plan of 12 months that will enable me to do this through continuous professional development.</w:t>
      </w:r>
    </w:p>
    <w:p w14:paraId="74A7464C" w14:textId="323FA38F" w:rsidR="021F216E" w:rsidRPr="00157845" w:rsidRDefault="008A0047" w:rsidP="00157845">
      <w:pPr>
        <w:spacing w:line="360" w:lineRule="auto"/>
        <w:jc w:val="both"/>
        <w:rPr>
          <w:rFonts w:ascii="Arial" w:eastAsia="Arial Nova" w:hAnsi="Arial" w:cs="Arial"/>
          <w:sz w:val="22"/>
          <w:szCs w:val="22"/>
        </w:rPr>
      </w:pPr>
      <w:r w:rsidRPr="00157845">
        <w:rPr>
          <w:rFonts w:ascii="Arial" w:eastAsia="Arial Nova" w:hAnsi="Arial" w:cs="Arial"/>
          <w:sz w:val="22"/>
          <w:szCs w:val="22"/>
        </w:rPr>
        <w:t xml:space="preserve">The first stage is to build my knowledge, which involves undertaking safeguarding, equality, diversity and digital care training and reviewing my personal development plan. The next step is to enhance my professional profile by updating my CV, LinkedIn account and portfolio, as well as having the opportunity to develop my skills through volunteering and meeting lecturers, employers and health and social care professionals. Communication, Leadership and Digital Care Record skills will be developed throughout the year as they are increasingly valued in the sector. In the second half of the year, I will start to apply for graduate jobs, practice with STAR for interviews and </w:t>
      </w:r>
      <w:proofErr w:type="gramStart"/>
      <w:r w:rsidRPr="00157845">
        <w:rPr>
          <w:rFonts w:ascii="Arial" w:eastAsia="Arial Nova" w:hAnsi="Arial" w:cs="Arial"/>
          <w:sz w:val="22"/>
          <w:szCs w:val="22"/>
        </w:rPr>
        <w:t>take into account</w:t>
      </w:r>
      <w:proofErr w:type="gramEnd"/>
      <w:r w:rsidRPr="00157845">
        <w:rPr>
          <w:rFonts w:ascii="Arial" w:eastAsia="Arial Nova" w:hAnsi="Arial" w:cs="Arial"/>
          <w:sz w:val="22"/>
          <w:szCs w:val="22"/>
        </w:rPr>
        <w:t xml:space="preserve"> employer feedback to be better at my job in the future. The final stage </w:t>
      </w:r>
      <w:proofErr w:type="spellStart"/>
      <w:r w:rsidRPr="00157845">
        <w:rPr>
          <w:rFonts w:ascii="Arial" w:eastAsia="Arial Nova" w:hAnsi="Arial" w:cs="Arial"/>
          <w:sz w:val="22"/>
          <w:szCs w:val="22"/>
        </w:rPr>
        <w:t>centres</w:t>
      </w:r>
      <w:proofErr w:type="spellEnd"/>
      <w:r w:rsidRPr="00157845">
        <w:rPr>
          <w:rFonts w:ascii="Arial" w:eastAsia="Arial Nova" w:hAnsi="Arial" w:cs="Arial"/>
          <w:sz w:val="22"/>
          <w:szCs w:val="22"/>
        </w:rPr>
        <w:t xml:space="preserve"> on securing employment and on-going learning in the workplace through reflective practice and learning. It is realistic, measurable and in line with sustainable career development in health and social care, and will ensure ongoing improvement, not just securing employment.</w:t>
      </w: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6C8C088" w14:textId="3630BE79" w:rsidR="021F216E" w:rsidRDefault="008A0047"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Ans:</w:t>
      </w:r>
    </w:p>
    <w:p w14:paraId="0DD86C43" w14:textId="0C66D3C7"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Change proposal: Introducing digital care records in a care home</w:t>
      </w:r>
    </w:p>
    <w:p w14:paraId="42BDFC5D" w14:textId="336ECB6F"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Introduction</w:t>
      </w:r>
    </w:p>
    <w:p w14:paraId="1BB60F42" w14:textId="34D017F5"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I would implement digital care records, replacing paper-based records, as care home manager. This change is to enhance accuracy, sharing of information, continuity of care and accountability of staff. When implemented, with the right training, consent and governance, digital records can contribute to safer, more responsive and person-</w:t>
      </w:r>
      <w:proofErr w:type="spellStart"/>
      <w:r w:rsidRPr="00157845">
        <w:rPr>
          <w:rFonts w:ascii="Arial" w:eastAsia="Arial Nova" w:hAnsi="Arial" w:cs="Arial"/>
          <w:color w:val="000000" w:themeColor="text1"/>
          <w:sz w:val="22"/>
          <w:szCs w:val="22"/>
        </w:rPr>
        <w:t>centred</w:t>
      </w:r>
      <w:proofErr w:type="spellEnd"/>
      <w:r w:rsidRPr="00157845">
        <w:rPr>
          <w:rFonts w:ascii="Arial" w:eastAsia="Arial Nova" w:hAnsi="Arial" w:cs="Arial"/>
          <w:color w:val="000000" w:themeColor="text1"/>
          <w:sz w:val="22"/>
          <w:szCs w:val="22"/>
        </w:rPr>
        <w:t xml:space="preserve"> care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{"citationItems":[{"id":"ITEM-1","itemData":{"author":[{"dropping-particle":"","family":"Care Quality Commission","given":"","non-dropping-particle":"","parse-names":false,"suffix":""}],"id":"ITEM-1","issued":{"date-parts":[["2024"]]},"title":"Digital record systems: achieving good outcomes for people using adult social care services","type":"article-journal"},"uris":["http://www.mendeley.com/documents/?uuid=39cfcd5c-8622-4ff0-8dbc-e0f1aa804dfc"]}],"mendeley":{"formattedCitation":"(Care Quality Commission, 2024)","plainTextFormattedCitation":"(Care Quality Commission, 2024)","previouslyFormattedCitation":"(Care Quality Commission, 2024)"},"properties":{"noteIndex":0},"schema":"https://github.com/citation-style-language/schema/raw/master/csl-citation.json"}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(Care Quality Commission, 2024)</w:t>
      </w:r>
      <w:r w:rsidR="0098231E">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w:t>
      </w:r>
    </w:p>
    <w:p w14:paraId="2BC18198" w14:textId="77777777" w:rsidR="001D6FA3" w:rsidRPr="00157845" w:rsidRDefault="001D6FA3"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lastRenderedPageBreak/>
        <w:t>How the change will be achieved</w:t>
      </w:r>
    </w:p>
    <w:p w14:paraId="25549A50" w14:textId="263FF583"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 would use Lewin’s three-stage model: unfreeze, change and refreeze. The unfreeze stage would include an explanation of the dangers of paper records—such as loss of information, duplication of information, and delayed communication. Staff, residents and families would be consulted to identify concerns early. The system would be phased in over </w:t>
      </w:r>
      <w:proofErr w:type="gramStart"/>
      <w:r w:rsidRPr="00157845">
        <w:rPr>
          <w:rFonts w:ascii="Arial" w:eastAsia="Arial Nova" w:hAnsi="Arial" w:cs="Arial"/>
          <w:color w:val="000000" w:themeColor="text1"/>
          <w:sz w:val="22"/>
          <w:szCs w:val="22"/>
        </w:rPr>
        <w:t>a period of time</w:t>
      </w:r>
      <w:proofErr w:type="gramEnd"/>
      <w:r w:rsidRPr="00157845">
        <w:rPr>
          <w:rFonts w:ascii="Arial" w:eastAsia="Arial Nova" w:hAnsi="Arial" w:cs="Arial"/>
          <w:color w:val="000000" w:themeColor="text1"/>
          <w:sz w:val="22"/>
          <w:szCs w:val="22"/>
        </w:rPr>
        <w:t xml:space="preserve"> in the change stage, including staff training, guidance on passwords, data protection measures and a brief pilot on one unit. Normal practice in the refreeze stage would be digital recording, as this is done during supervision, audits, refresher training and feedback meetings. Lewin’s model is useful because it provides a simple structure for preparing, implementing and sustaining change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{"citationItems":[{"id":"ITEM-1","itemData":{"ISSN":"2444569X","author":[{"dropping-particle":"","family":"Hussain","given":"Syed Talib","non-dropping-particle":"","parse-names":false,"suffix":""},{"dropping-particle":"","family":"Lei","given":"Shen","non-dropping-particle":"","parse-names":false,"suffix":""},{"dropping-particle":"","family":"Akram","given":"Tayyaba","non-dropping-particle":"","parse-names":false,"suffix":""},{"dropping-particle":"","family":"Haider","given":"Muhammad Jamal","non-dropping-particle":"","parse-names":false,"suffix":""},{"dropping-particle":"","family":"Hussain","given":"Syed Hadi","non-dropping-particle":"","parse-names":false,"suffix":""},{"dropping-particle":"","family":"Ali","given":"Muhammad","non-dropping-particle":"","parse-names":false,"suffix":""}],"container-title":"Journal of Innovation &amp; Knowledge","id":"ITEM-1","issue":"3","issued":{"date-parts":[["2016","9"]]},"page":"123-127","title":"Kurt Lewin's process model for organizational change: The role of leadership and employee involvement: A critical review","type":"article-journal","volume":"3"},"uris":["http://www.mendeley.com/documents/?uuid=991327b0-98e5-4deb-b88d-3adc1e0b9b3e"]}],"mendeley":{"formattedCitation":"(Hussain &lt;i&gt;et al.&lt;/i&gt;, 2016)","plainTextFormattedCitation":"(Hussain et al., 2016)","previouslyFormattedCitation":"(Hussain &lt;i&gt;et al.&lt;/i&gt;, 2016)"},"properties":{"noteIndex":0},"schema":"https://github.com/citation-style-language/schema/raw/master/csl-citation.json"}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 xml:space="preserve">(Hussain </w:t>
      </w:r>
      <w:r w:rsidR="0098231E" w:rsidRPr="0098231E">
        <w:rPr>
          <w:rFonts w:ascii="Arial" w:eastAsia="Arial Nova" w:hAnsi="Arial" w:cs="Arial"/>
          <w:i/>
          <w:noProof/>
          <w:color w:val="000000" w:themeColor="text1"/>
          <w:sz w:val="22"/>
          <w:szCs w:val="22"/>
        </w:rPr>
        <w:t>et al.</w:t>
      </w:r>
      <w:r w:rsidR="0098231E" w:rsidRPr="0098231E">
        <w:rPr>
          <w:rFonts w:ascii="Arial" w:eastAsia="Arial Nova" w:hAnsi="Arial" w:cs="Arial"/>
          <w:noProof/>
          <w:color w:val="000000" w:themeColor="text1"/>
          <w:sz w:val="22"/>
          <w:szCs w:val="22"/>
        </w:rPr>
        <w:t>, 2016)</w:t>
      </w:r>
      <w:r w:rsidR="0098231E">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w:t>
      </w:r>
    </w:p>
    <w:p w14:paraId="39B0C2E8" w14:textId="7342AA27"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Skills needed</w:t>
      </w:r>
    </w:p>
    <w:p w14:paraId="4DEBA8CD" w14:textId="77777777" w:rsidR="00742C75" w:rsidRDefault="00742C75" w:rsidP="0015784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Key skills needed are leadership, communication, digital literacy, problem-solving and emotional intelligence. There is a fear of technology if staff are not confident and the manager needs to be clear, listen to staff's concerns and not blame staff for errors. The transition must also be safeguarded by keeping awareness, confidentiality and teamwork alive in the care record, as it contains personal and sensitive information.</w:t>
      </w:r>
    </w:p>
    <w:p w14:paraId="76218FE3" w14:textId="12A48E16"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Possible barriers</w:t>
      </w:r>
    </w:p>
    <w:p w14:paraId="2D9CAE6C" w14:textId="140260D1" w:rsidR="008A0047" w:rsidRPr="00157845" w:rsidRDefault="00742C75" w:rsidP="0015784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 xml:space="preserve">Some barriers are staff resistance, lack of digital skills, cost, time pressure and the fear that technology will be replacing personal care. Others may also be concerned about privacy issues, whether they are residents or relatives. A gradual process of adoption, practical training, peer support and </w:t>
      </w:r>
      <w:proofErr w:type="gramStart"/>
      <w:r w:rsidRPr="00742C75">
        <w:rPr>
          <w:rFonts w:ascii="Arial" w:eastAsia="Arial Nova" w:hAnsi="Arial" w:cs="Arial"/>
          <w:color w:val="000000" w:themeColor="text1"/>
          <w:sz w:val="22"/>
          <w:szCs w:val="22"/>
        </w:rPr>
        <w:t>a solid</w:t>
      </w:r>
      <w:proofErr w:type="gramEnd"/>
      <w:r w:rsidRPr="00742C75">
        <w:rPr>
          <w:rFonts w:ascii="Arial" w:eastAsia="Arial Nova" w:hAnsi="Arial" w:cs="Arial"/>
          <w:color w:val="000000" w:themeColor="text1"/>
          <w:sz w:val="22"/>
          <w:szCs w:val="22"/>
        </w:rPr>
        <w:t xml:space="preserve"> education about the usefulness of digital records for safety (not for the replacement of human care) can overcome these barriers. A key aspect of digital social care records is planning, which needs staff engagement and leadership support, says the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{"citationItems":[{"id":"ITEM-1","itemData":{"author":[{"dropping-particle":"","family":"Local Government Association","given":"","non-dropping-particle":"","parse-names":false,"suffix":""}],"id":"ITEM-1","issued":{"date-parts":[["2024"]]},"title":"Implementing digital social care records","type":"article-journal"},"uris":["http://www.mendeley.com/documents/?uuid=5cf8c59b-813e-49a9-8682-5dc58d91cd39"]}],"mendeley":{"formattedCitation":"(Local Government Association, 2024)","manualFormatting":"Local Government Association (2024)","plainTextFormattedCitation":"(Local Government Association, 2024)","previouslyFormattedCitation":"(Local Government Association, 2024)"},"properties":{"noteIndex":0},"schema":"https://github.com/citation-style-language/schema/raw/master/csl-citation.json"}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Local Government Association</w:t>
      </w:r>
      <w:r w:rsidR="0098231E">
        <w:rPr>
          <w:rFonts w:ascii="Arial" w:eastAsia="Arial Nova" w:hAnsi="Arial" w:cs="Arial"/>
          <w:noProof/>
          <w:color w:val="000000" w:themeColor="text1"/>
          <w:sz w:val="22"/>
          <w:szCs w:val="22"/>
        </w:rPr>
        <w:t xml:space="preserve"> (</w:t>
      </w:r>
      <w:r w:rsidR="0098231E" w:rsidRPr="0098231E">
        <w:rPr>
          <w:rFonts w:ascii="Arial" w:eastAsia="Arial Nova" w:hAnsi="Arial" w:cs="Arial"/>
          <w:noProof/>
          <w:color w:val="000000" w:themeColor="text1"/>
          <w:sz w:val="22"/>
          <w:szCs w:val="22"/>
        </w:rPr>
        <w:t>2024)</w:t>
      </w:r>
      <w:r w:rsidR="0098231E">
        <w:rPr>
          <w:rFonts w:ascii="Arial" w:eastAsia="Arial Nova" w:hAnsi="Arial" w:cs="Arial"/>
          <w:color w:val="000000" w:themeColor="text1"/>
          <w:sz w:val="22"/>
          <w:szCs w:val="22"/>
        </w:rPr>
        <w:fldChar w:fldCharType="end"/>
      </w:r>
      <w:r w:rsidR="008A0047" w:rsidRPr="00157845">
        <w:rPr>
          <w:rFonts w:ascii="Arial" w:eastAsia="Arial Nova" w:hAnsi="Arial" w:cs="Arial"/>
          <w:color w:val="000000" w:themeColor="text1"/>
          <w:sz w:val="22"/>
          <w:szCs w:val="22"/>
        </w:rPr>
        <w:t>.</w:t>
      </w:r>
    </w:p>
    <w:p w14:paraId="6EDC2A51" w14:textId="6117DE9C"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Conclusion</w:t>
      </w:r>
    </w:p>
    <w:p w14:paraId="4F82DCC0" w14:textId="77777777" w:rsidR="00742C75" w:rsidRPr="00742C75" w:rsidRDefault="00742C75" w:rsidP="00742C75">
      <w:pPr>
        <w:spacing w:line="360" w:lineRule="auto"/>
        <w:jc w:val="both"/>
        <w:rPr>
          <w:rFonts w:ascii="Arial" w:eastAsia="Arial Nova" w:hAnsi="Arial" w:cs="Arial"/>
          <w:color w:val="000000" w:themeColor="text1"/>
          <w:sz w:val="22"/>
          <w:szCs w:val="22"/>
        </w:rPr>
      </w:pPr>
    </w:p>
    <w:p w14:paraId="1049786B" w14:textId="57515725" w:rsidR="008A0047" w:rsidRPr="00157845" w:rsidRDefault="00742C75" w:rsidP="00742C7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The transition to digital care records is possible and is a worthwhile change.</w:t>
      </w:r>
      <w:r>
        <w:rPr>
          <w:rFonts w:ascii="Arial" w:eastAsia="Arial Nova" w:hAnsi="Arial" w:cs="Arial"/>
          <w:color w:val="000000" w:themeColor="text1"/>
          <w:sz w:val="22"/>
          <w:szCs w:val="22"/>
        </w:rPr>
        <w:t xml:space="preserve"> </w:t>
      </w:r>
      <w:r w:rsidR="008A0047" w:rsidRPr="00157845">
        <w:rPr>
          <w:rFonts w:ascii="Arial" w:eastAsia="Arial Nova" w:hAnsi="Arial" w:cs="Arial"/>
          <w:color w:val="000000" w:themeColor="text1"/>
          <w:sz w:val="22"/>
          <w:szCs w:val="22"/>
        </w:rPr>
        <w:t xml:space="preserve">This helps to create safer care, better communication and a health and social care ready care home. Inclusive leadership and ongoing staff training and assessment </w:t>
      </w:r>
      <w:proofErr w:type="gramStart"/>
      <w:r w:rsidR="008A0047" w:rsidRPr="00157845">
        <w:rPr>
          <w:rFonts w:ascii="Arial" w:eastAsia="Arial Nova" w:hAnsi="Arial" w:cs="Arial"/>
          <w:color w:val="000000" w:themeColor="text1"/>
          <w:sz w:val="22"/>
          <w:szCs w:val="22"/>
        </w:rPr>
        <w:t>is</w:t>
      </w:r>
      <w:proofErr w:type="gramEnd"/>
      <w:r w:rsidR="008A0047" w:rsidRPr="00157845">
        <w:rPr>
          <w:rFonts w:ascii="Arial" w:eastAsia="Arial Nova" w:hAnsi="Arial" w:cs="Arial"/>
          <w:color w:val="000000" w:themeColor="text1"/>
          <w:sz w:val="22"/>
          <w:szCs w:val="22"/>
        </w:rPr>
        <w:t xml:space="preserve"> key to success.</w:t>
      </w:r>
    </w:p>
    <w:p w14:paraId="4A0E89B2" w14:textId="2AC558EB" w:rsidR="021F216E" w:rsidRDefault="0098231E"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86732FB" w14:textId="3F69616E" w:rsidR="00BC0968" w:rsidRPr="00BC0968" w:rsidRDefault="0098231E" w:rsidP="00BC0968">
      <w:pPr>
        <w:widowControl w:val="0"/>
        <w:autoSpaceDE w:val="0"/>
        <w:autoSpaceDN w:val="0"/>
        <w:adjustRightInd w:val="0"/>
        <w:spacing w:line="240" w:lineRule="auto"/>
        <w:rPr>
          <w:rFonts w:ascii="Aptos" w:hAnsi="Aptos" w:cs="Times New Roman"/>
          <w:noProof/>
        </w:rPr>
      </w:pPr>
      <w:r w:rsidRPr="0098231E">
        <w:rPr>
          <w:rFonts w:ascii="Aptos" w:eastAsia="Aptos" w:hAnsi="Aptos" w:cs="Aptos"/>
          <w:color w:val="000000" w:themeColor="text1"/>
        </w:rPr>
        <w:fldChar w:fldCharType="begin" w:fldLock="1"/>
      </w:r>
      <w:r w:rsidRPr="0098231E">
        <w:rPr>
          <w:rFonts w:ascii="Aptos" w:eastAsia="Aptos" w:hAnsi="Aptos" w:cs="Aptos"/>
          <w:color w:val="000000" w:themeColor="text1"/>
        </w:rPr>
        <w:instrText xml:space="preserve">ADDIN Mendeley Bibliography CSL_BIBLIOGRAPHY </w:instrText>
      </w:r>
      <w:r w:rsidRPr="0098231E">
        <w:rPr>
          <w:rFonts w:ascii="Aptos" w:eastAsia="Aptos" w:hAnsi="Aptos" w:cs="Aptos"/>
          <w:color w:val="000000" w:themeColor="text1"/>
        </w:rPr>
        <w:fldChar w:fldCharType="separate"/>
      </w:r>
      <w:r w:rsidR="00BC0968" w:rsidRPr="00BC0968">
        <w:rPr>
          <w:rFonts w:ascii="Aptos" w:hAnsi="Aptos" w:cs="Times New Roman"/>
          <w:noProof/>
        </w:rPr>
        <w:t>Care Quality Commission (2024) “Digital record systems: achieving good outcomes for people using adult social care services.” Available at: https://www.cqc.org.uk/guidance-providers/adult-social-care/digital-record-systems-adult-social-care-services.</w:t>
      </w:r>
    </w:p>
    <w:p w14:paraId="2A1BC2F7"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Chetty, R. </w:t>
      </w:r>
      <w:r w:rsidRPr="00BC0968">
        <w:rPr>
          <w:rFonts w:ascii="Aptos" w:hAnsi="Aptos" w:cs="Times New Roman"/>
          <w:i/>
          <w:iCs/>
          <w:noProof/>
        </w:rPr>
        <w:t>et al.</w:t>
      </w:r>
      <w:r w:rsidRPr="00BC0968">
        <w:rPr>
          <w:rFonts w:ascii="Aptos" w:hAnsi="Aptos" w:cs="Times New Roman"/>
          <w:noProof/>
        </w:rPr>
        <w:t xml:space="preserve"> (2022) “Social capital I: measurement and associations with economic mobility,” </w:t>
      </w:r>
      <w:r w:rsidRPr="00BC0968">
        <w:rPr>
          <w:rFonts w:ascii="Aptos" w:hAnsi="Aptos" w:cs="Times New Roman"/>
          <w:i/>
          <w:iCs/>
          <w:noProof/>
        </w:rPr>
        <w:t>Nature</w:t>
      </w:r>
      <w:r w:rsidRPr="00BC0968">
        <w:rPr>
          <w:rFonts w:ascii="Aptos" w:hAnsi="Aptos" w:cs="Times New Roman"/>
          <w:noProof/>
        </w:rPr>
        <w:t>, 608(7921), pp. 108–121. Available at: https://www.nature.com/articles/s41586-022-04996-4.</w:t>
      </w:r>
    </w:p>
    <w:p w14:paraId="06135A45"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Chye, S.M. </w:t>
      </w:r>
      <w:r w:rsidRPr="00BC0968">
        <w:rPr>
          <w:rFonts w:ascii="Aptos" w:hAnsi="Aptos" w:cs="Times New Roman"/>
          <w:i/>
          <w:iCs/>
          <w:noProof/>
        </w:rPr>
        <w:t>et al.</w:t>
      </w:r>
      <w:r w:rsidRPr="00BC0968">
        <w:rPr>
          <w:rFonts w:ascii="Aptos" w:hAnsi="Aptos" w:cs="Times New Roman"/>
          <w:noProof/>
        </w:rPr>
        <w:t xml:space="preserve"> (2024) “Building resilience among undergraduate health professions students: identifying influencing factors,” </w:t>
      </w:r>
      <w:r w:rsidRPr="00BC0968">
        <w:rPr>
          <w:rFonts w:ascii="Aptos" w:hAnsi="Aptos" w:cs="Times New Roman"/>
          <w:i/>
          <w:iCs/>
          <w:noProof/>
        </w:rPr>
        <w:t>BMC Medical Education</w:t>
      </w:r>
      <w:r w:rsidRPr="00BC0968">
        <w:rPr>
          <w:rFonts w:ascii="Aptos" w:hAnsi="Aptos" w:cs="Times New Roman"/>
          <w:noProof/>
        </w:rPr>
        <w:t>, 24(1), p. 1168. Available at: https://www.researchgate.net/publication/385049135_Building_resilience_among_undergraduate_health_professions_students_identifying_influencing_factors.</w:t>
      </w:r>
    </w:p>
    <w:p w14:paraId="2F7AC90E"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Cornett, M., Palermo, C. and Ash, S. (2022) “Professional identity research in the health professions—a scoping review,” </w:t>
      </w:r>
      <w:r w:rsidRPr="00BC0968">
        <w:rPr>
          <w:rFonts w:ascii="Aptos" w:hAnsi="Aptos" w:cs="Times New Roman"/>
          <w:i/>
          <w:iCs/>
          <w:noProof/>
        </w:rPr>
        <w:t>Advances in Health Sciences Education</w:t>
      </w:r>
      <w:r w:rsidRPr="00BC0968">
        <w:rPr>
          <w:rFonts w:ascii="Aptos" w:hAnsi="Aptos" w:cs="Times New Roman"/>
          <w:noProof/>
        </w:rPr>
        <w:t>, 28(2), pp. 589–642. Available at: https://pmc.ncbi.nlm.nih.gov/articles/PMC10169899/pdf/10459_2022_Article_10171.pdf.</w:t>
      </w:r>
    </w:p>
    <w:p w14:paraId="147FFC93"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Goleman, D. (2017) “Emotional intelligence,” </w:t>
      </w:r>
      <w:r w:rsidRPr="00BC0968">
        <w:rPr>
          <w:rFonts w:ascii="Aptos" w:hAnsi="Aptos" w:cs="Times New Roman"/>
          <w:i/>
          <w:iCs/>
          <w:noProof/>
        </w:rPr>
        <w:t>The Cambridge Handbook of Intelligence</w:t>
      </w:r>
      <w:r w:rsidRPr="00BC0968">
        <w:rPr>
          <w:rFonts w:ascii="Aptos" w:hAnsi="Aptos" w:cs="Times New Roman"/>
          <w:noProof/>
        </w:rPr>
        <w:t>, pp. 709–735. Available at: https://donainfo.wordpress.com/wp-content/uploads/2017/09/emotional-intelligence-daniel-goleman.pdf.</w:t>
      </w:r>
    </w:p>
    <w:p w14:paraId="0D0948C1"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Gorbatov, S., Khapova, S.N. and Lysova, E.I. (2019) “Get Noticed to Get Ahead: The Impact of Personal Branding on Career Success,” </w:t>
      </w:r>
      <w:r w:rsidRPr="00BC0968">
        <w:rPr>
          <w:rFonts w:ascii="Aptos" w:hAnsi="Aptos" w:cs="Times New Roman"/>
          <w:i/>
          <w:iCs/>
          <w:noProof/>
        </w:rPr>
        <w:t>Frontiers in Psychology</w:t>
      </w:r>
      <w:r w:rsidRPr="00BC0968">
        <w:rPr>
          <w:rFonts w:ascii="Aptos" w:hAnsi="Aptos" w:cs="Times New Roman"/>
          <w:noProof/>
        </w:rPr>
        <w:t>, 10. Available at: https://www.researchgate.net/publication/337840513_Get_Noticed_to_Get_Ahead_The_Impact_of_Personal_Branding_on_Career_Success.</w:t>
      </w:r>
    </w:p>
    <w:p w14:paraId="3838D42E"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Governmnet of Uk (2010) “Equality Act 2010.” Available at: https://www.legislation.gov.uk/ukpga/2010/15/section/4.</w:t>
      </w:r>
    </w:p>
    <w:p w14:paraId="7730A7CC"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Hussain, S.T. </w:t>
      </w:r>
      <w:r w:rsidRPr="00BC0968">
        <w:rPr>
          <w:rFonts w:ascii="Aptos" w:hAnsi="Aptos" w:cs="Times New Roman"/>
          <w:i/>
          <w:iCs/>
          <w:noProof/>
        </w:rPr>
        <w:t>et al.</w:t>
      </w:r>
      <w:r w:rsidRPr="00BC0968">
        <w:rPr>
          <w:rFonts w:ascii="Aptos" w:hAnsi="Aptos" w:cs="Times New Roman"/>
          <w:noProof/>
        </w:rPr>
        <w:t xml:space="preserve"> (2016) “Kurt Lewin’s process model for organizational change: The role of leadership and employee involvement: A critical review,” </w:t>
      </w:r>
      <w:r w:rsidRPr="00BC0968">
        <w:rPr>
          <w:rFonts w:ascii="Aptos" w:hAnsi="Aptos" w:cs="Times New Roman"/>
          <w:i/>
          <w:iCs/>
          <w:noProof/>
        </w:rPr>
        <w:t>Journal of Innovation &amp; Knowledge</w:t>
      </w:r>
      <w:r w:rsidRPr="00BC0968">
        <w:rPr>
          <w:rFonts w:ascii="Aptos" w:hAnsi="Aptos" w:cs="Times New Roman"/>
          <w:noProof/>
        </w:rPr>
        <w:t>, 3(3), pp. 123–127. Available at: https://www.researchgate.net/publication/309182963_Kurt_Lewin’s_process_model_for_organizational_change_The_role_of_leadership_and_employee_involvement_A_critical_review.</w:t>
      </w:r>
    </w:p>
    <w:p w14:paraId="20A23B11"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Letnar, M. and Širok, K. (2025) “The Role of Social Capital in Employability Models: A Systematic Review and Suggestions for Future Research,” </w:t>
      </w:r>
      <w:r w:rsidRPr="00BC0968">
        <w:rPr>
          <w:rFonts w:ascii="Aptos" w:hAnsi="Aptos" w:cs="Times New Roman"/>
          <w:i/>
          <w:iCs/>
          <w:noProof/>
        </w:rPr>
        <w:t>Sustainability</w:t>
      </w:r>
      <w:r w:rsidRPr="00BC0968">
        <w:rPr>
          <w:rFonts w:ascii="Aptos" w:hAnsi="Aptos" w:cs="Times New Roman"/>
          <w:noProof/>
        </w:rPr>
        <w:t>, 17(5), p. 1782. Available at: https://www.researchgate.net/publication/389166663_The_Role_of_Social_Capital_in_Employability_Models_A_Systematic_Review_and_Suggestions_for_Future_Research.</w:t>
      </w:r>
    </w:p>
    <w:p w14:paraId="0AC0BBB1"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Local Government Association (2024) “Implementing digital social care records.” Available </w:t>
      </w:r>
      <w:r w:rsidRPr="00BC0968">
        <w:rPr>
          <w:rFonts w:ascii="Aptos" w:hAnsi="Aptos" w:cs="Times New Roman"/>
          <w:noProof/>
        </w:rPr>
        <w:lastRenderedPageBreak/>
        <w:t>at: https://www.local.gov.uk/accessibility-statement.</w:t>
      </w:r>
    </w:p>
    <w:p w14:paraId="1EED37D7"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NHS England (2023) “Inclusive digital healthcare: a framework for NHS action on digital inclusion.” Available at: https://www.england.nhs.uk/long-read/inclusive-digital-healthcare-a-framework-for-nhs-action-on-digital-inclusion/.</w:t>
      </w:r>
    </w:p>
    <w:p w14:paraId="0D83F1F9" w14:textId="7777777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Ofcom (2025) “Adults’ Media Use and Attitudes Report,” </w:t>
      </w:r>
      <w:r w:rsidRPr="00BC0968">
        <w:rPr>
          <w:rFonts w:ascii="Aptos" w:hAnsi="Aptos" w:cs="Times New Roman"/>
          <w:i/>
          <w:iCs/>
          <w:noProof/>
        </w:rPr>
        <w:t>Ofcom website</w:t>
      </w:r>
      <w:r w:rsidRPr="00BC0968">
        <w:rPr>
          <w:rFonts w:ascii="Aptos" w:hAnsi="Aptos" w:cs="Times New Roman"/>
          <w:noProof/>
        </w:rPr>
        <w:t>, (April), p. 182. Available at: https://www.ofcom.org.uk/siteassets/resources/documents/research-and-data/media-literacy-research/adults/adults-media-use-and-attitudes-2025/adults-media-use-and-attitudes-report-2025.pdf?v=396240.</w:t>
      </w:r>
    </w:p>
    <w:p w14:paraId="19E6A025" w14:textId="77777777" w:rsidR="00BC0968" w:rsidRPr="00BC0968" w:rsidRDefault="00BC0968" w:rsidP="00BC0968">
      <w:pPr>
        <w:widowControl w:val="0"/>
        <w:autoSpaceDE w:val="0"/>
        <w:autoSpaceDN w:val="0"/>
        <w:adjustRightInd w:val="0"/>
        <w:spacing w:line="240" w:lineRule="auto"/>
        <w:rPr>
          <w:rFonts w:ascii="Aptos" w:hAnsi="Aptos"/>
          <w:noProof/>
        </w:rPr>
      </w:pPr>
      <w:r w:rsidRPr="00BC0968">
        <w:rPr>
          <w:rFonts w:ascii="Aptos" w:hAnsi="Aptos" w:cs="Times New Roman"/>
          <w:noProof/>
        </w:rPr>
        <w:t>Pritchard, A. and Evans, N. (2023) “NHS equality, diversity, and inclusion improvement plan.” Available at: https://www.england.nhs.uk/wp-content/uploads/2023/06/edi-improvement-plan-plain-english.pdf.</w:t>
      </w:r>
    </w:p>
    <w:p w14:paraId="45701BE0" w14:textId="20BDCC09" w:rsidR="021F216E" w:rsidRPr="0098231E" w:rsidRDefault="0098231E" w:rsidP="021F216E">
      <w:pPr>
        <w:rPr>
          <w:rFonts w:ascii="Aptos" w:eastAsia="Aptos" w:hAnsi="Aptos" w:cs="Aptos"/>
          <w:color w:val="000000" w:themeColor="text1"/>
        </w:rPr>
      </w:pPr>
      <w:r w:rsidRPr="0098231E">
        <w:rPr>
          <w:rFonts w:ascii="Aptos" w:eastAsia="Aptos" w:hAnsi="Aptos" w:cs="Aptos"/>
          <w:color w:val="000000" w:themeColor="text1"/>
        </w:rPr>
        <w:fldChar w:fldCharType="end"/>
      </w:r>
    </w:p>
    <w:p w14:paraId="6D72AE3F" w14:textId="0C24E00A" w:rsidR="021F216E" w:rsidRPr="0098231E" w:rsidRDefault="021F216E" w:rsidP="021F216E">
      <w:pPr>
        <w:rPr>
          <w:rFonts w:ascii="Aptos" w:eastAsia="Aptos" w:hAnsi="Aptos" w:cs="Aptos"/>
          <w:color w:val="000000" w:themeColor="text1"/>
        </w:rPr>
      </w:pPr>
    </w:p>
    <w:p w14:paraId="6BB25047" w14:textId="766DBABD" w:rsidR="021F216E" w:rsidRPr="0098231E" w:rsidRDefault="021F216E" w:rsidP="021F216E">
      <w:pPr>
        <w:rPr>
          <w:rFonts w:ascii="Aptos" w:eastAsia="Aptos" w:hAnsi="Aptos" w:cs="Aptos"/>
          <w:color w:val="000000" w:themeColor="text1"/>
        </w:rPr>
      </w:pPr>
    </w:p>
    <w:p w14:paraId="3974B5FE" w14:textId="736421FC" w:rsidR="021F216E" w:rsidRPr="0098231E" w:rsidRDefault="021F216E" w:rsidP="021F216E">
      <w:pPr>
        <w:rPr>
          <w:rFonts w:ascii="Aptos" w:eastAsia="Aptos" w:hAnsi="Aptos" w:cs="Aptos"/>
          <w:color w:val="000000" w:themeColor="text1"/>
        </w:rPr>
      </w:pPr>
    </w:p>
    <w:p w14:paraId="39D61FC0" w14:textId="2F10F095" w:rsidR="021F216E" w:rsidRPr="0098231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D988D" w14:textId="77777777" w:rsidR="00E231E9" w:rsidRDefault="00E231E9">
      <w:pPr>
        <w:spacing w:after="0" w:line="240" w:lineRule="auto"/>
      </w:pPr>
    </w:p>
  </w:endnote>
  <w:endnote w:type="continuationSeparator" w:id="0">
    <w:p w14:paraId="4546F56E" w14:textId="77777777" w:rsidR="00E231E9" w:rsidRDefault="00E231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CD455" w14:textId="77777777" w:rsidR="00E231E9" w:rsidRDefault="00E231E9">
      <w:pPr>
        <w:spacing w:after="0" w:line="240" w:lineRule="auto"/>
      </w:pPr>
    </w:p>
  </w:footnote>
  <w:footnote w:type="continuationSeparator" w:id="0">
    <w:p w14:paraId="29BB55B0" w14:textId="77777777" w:rsidR="00E231E9" w:rsidRDefault="00E231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1843981">
    <w:abstractNumId w:val="0"/>
  </w:num>
  <w:num w:numId="2" w16cid:durableId="693851542">
    <w:abstractNumId w:val="2"/>
  </w:num>
  <w:num w:numId="3" w16cid:durableId="418910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ewtDAyN7KwNLa0NDRW0lEKTi0uzszPAykwqgUA5qOOgiwAAAA="/>
  </w:docVars>
  <w:rsids>
    <w:rsidRoot w:val="00002F30"/>
    <w:rsid w:val="00002F30"/>
    <w:rsid w:val="00007AA5"/>
    <w:rsid w:val="00157845"/>
    <w:rsid w:val="001A6A2E"/>
    <w:rsid w:val="001D6FA3"/>
    <w:rsid w:val="001E6F1E"/>
    <w:rsid w:val="00243223"/>
    <w:rsid w:val="002A352B"/>
    <w:rsid w:val="00304206"/>
    <w:rsid w:val="003D2038"/>
    <w:rsid w:val="004327F8"/>
    <w:rsid w:val="00553897"/>
    <w:rsid w:val="00577423"/>
    <w:rsid w:val="00592014"/>
    <w:rsid w:val="005C3552"/>
    <w:rsid w:val="00632F8B"/>
    <w:rsid w:val="00682BD2"/>
    <w:rsid w:val="006A6B2E"/>
    <w:rsid w:val="006E6679"/>
    <w:rsid w:val="00720C42"/>
    <w:rsid w:val="00742C75"/>
    <w:rsid w:val="0074551A"/>
    <w:rsid w:val="007D3AD0"/>
    <w:rsid w:val="00822218"/>
    <w:rsid w:val="00835193"/>
    <w:rsid w:val="00871DD9"/>
    <w:rsid w:val="008A0047"/>
    <w:rsid w:val="008B4F37"/>
    <w:rsid w:val="00903517"/>
    <w:rsid w:val="0098231E"/>
    <w:rsid w:val="00AA593D"/>
    <w:rsid w:val="00B7418E"/>
    <w:rsid w:val="00BC0968"/>
    <w:rsid w:val="00BC7979"/>
    <w:rsid w:val="00C71BD2"/>
    <w:rsid w:val="00C838DF"/>
    <w:rsid w:val="00C96CFC"/>
    <w:rsid w:val="00CB5E20"/>
    <w:rsid w:val="00D001CB"/>
    <w:rsid w:val="00D17D41"/>
    <w:rsid w:val="00D618AB"/>
    <w:rsid w:val="00D65A07"/>
    <w:rsid w:val="00DA25CC"/>
    <w:rsid w:val="00E231E9"/>
    <w:rsid w:val="00E509B3"/>
    <w:rsid w:val="00EB5477"/>
    <w:rsid w:val="00F21F16"/>
    <w:rsid w:val="00F226BD"/>
    <w:rsid w:val="00F826D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PlainTable1">
    <w:name w:val="Plain Table 1"/>
    <w:basedOn w:val="TableNormal"/>
    <w:uiPriority w:val="41"/>
    <w:rsid w:val="008A00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F226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26BD"/>
    <w:rPr>
      <w:sz w:val="20"/>
      <w:szCs w:val="20"/>
    </w:rPr>
  </w:style>
  <w:style w:type="character" w:styleId="FootnoteReference">
    <w:name w:val="footnote reference"/>
    <w:basedOn w:val="DefaultParagraphFont"/>
    <w:uiPriority w:val="99"/>
    <w:semiHidden/>
    <w:unhideWhenUsed/>
    <w:rsid w:val="00F226BD"/>
    <w:rPr>
      <w:vertAlign w:val="superscript"/>
    </w:rPr>
  </w:style>
  <w:style w:type="character" w:styleId="UnresolvedMention">
    <w:name w:val="Unresolved Mention"/>
    <w:basedOn w:val="DefaultParagraphFont"/>
    <w:uiPriority w:val="99"/>
    <w:semiHidden/>
    <w:unhideWhenUsed/>
    <w:rsid w:val="00F226BD"/>
    <w:rPr>
      <w:color w:val="605E5C"/>
      <w:shd w:val="clear" w:color="auto" w:fill="E1DFDD"/>
    </w:rPr>
  </w:style>
  <w:style w:type="character" w:styleId="FollowedHyperlink">
    <w:name w:val="FollowedHyperlink"/>
    <w:basedOn w:val="DefaultParagraphFont"/>
    <w:uiPriority w:val="99"/>
    <w:semiHidden/>
    <w:unhideWhenUsed/>
    <w:rsid w:val="00F21F16"/>
    <w:rPr>
      <w:color w:val="96607D" w:themeColor="followedHyperlink"/>
      <w:u w:val="single"/>
    </w:rPr>
  </w:style>
  <w:style w:type="table" w:styleId="TableGrid">
    <w:name w:val="Table Grid"/>
    <w:basedOn w:val="TableNormal"/>
    <w:uiPriority w:val="39"/>
    <w:rsid w:val="005C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8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9839C-464D-4273-B7C9-F2C72CE5E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6373</Words>
  <Characters>36328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dc:creator>
  <cp:keywords/>
  <dc:description/>
  <cp:lastModifiedBy>raheema ashraf</cp:lastModifiedBy>
  <cp:revision>2</cp:revision>
  <dcterms:created xsi:type="dcterms:W3CDTF">2026-07-04T23:41:00Z</dcterms:created>
  <dcterms:modified xsi:type="dcterms:W3CDTF">2026-07-04T23:41:00Z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33743d6f-eeb1-3fff-a47d-162b2456ba94</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18th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 (in-text citations)</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