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51ADF" w14:textId="77777777" w:rsidR="00252A96" w:rsidRDefault="00252A96">
      <w:pPr>
        <w:rPr>
          <w:lang w:val="en-GB"/>
        </w:rPr>
      </w:pPr>
    </w:p>
    <w:p w14:paraId="5FD4A132" w14:textId="77777777" w:rsidR="00252A96" w:rsidRDefault="00252A96">
      <w:pPr>
        <w:rPr>
          <w:lang w:val="en-GB"/>
        </w:rPr>
      </w:pPr>
    </w:p>
    <w:p w14:paraId="7B38E03D" w14:textId="77777777" w:rsidR="00252A96" w:rsidRDefault="00252A96">
      <w:pPr>
        <w:rPr>
          <w:lang w:val="en-GB"/>
        </w:rPr>
      </w:pPr>
    </w:p>
    <w:p w14:paraId="4FFF85A3" w14:textId="77777777" w:rsidR="00252A96" w:rsidRDefault="00252A96">
      <w:pPr>
        <w:pStyle w:val="Title"/>
        <w:jc w:val="left"/>
        <w:rPr>
          <w:lang w:val="en-GB"/>
        </w:rPr>
      </w:pPr>
      <w:bookmarkStart w:id="0" w:name="_41duyvijpc3l" w:colFirst="0" w:colLast="0"/>
      <w:bookmarkEnd w:id="0"/>
    </w:p>
    <w:p w14:paraId="18B69343" w14:textId="77777777" w:rsidR="00252A96" w:rsidRDefault="00252A96">
      <w:pPr>
        <w:pStyle w:val="Title"/>
        <w:rPr>
          <w:lang w:val="en-GB"/>
        </w:rPr>
      </w:pPr>
      <w:bookmarkStart w:id="1" w:name="_p2h9ob75muu9" w:colFirst="0" w:colLast="0"/>
      <w:bookmarkEnd w:id="1"/>
    </w:p>
    <w:p w14:paraId="2F3C2B09" w14:textId="77777777" w:rsidR="00252A96" w:rsidRDefault="00252A96">
      <w:pPr>
        <w:pStyle w:val="Title"/>
        <w:rPr>
          <w:lang w:val="en-GB"/>
        </w:rPr>
      </w:pPr>
      <w:bookmarkStart w:id="2" w:name="_gc0udiz7qjlh" w:colFirst="0" w:colLast="0"/>
      <w:bookmarkEnd w:id="2"/>
    </w:p>
    <w:p w14:paraId="324BCCDD" w14:textId="77777777" w:rsidR="00252A96" w:rsidRDefault="00000000">
      <w:pPr>
        <w:pStyle w:val="Title"/>
        <w:rPr>
          <w:lang w:val="en-GB"/>
        </w:rPr>
      </w:pPr>
      <w:r>
        <w:rPr>
          <w:lang w:val="en-GB"/>
        </w:rPr>
        <w:t>Master of Business Administration</w:t>
      </w:r>
    </w:p>
    <w:p w14:paraId="20FF16E6" w14:textId="77777777" w:rsidR="00252A96" w:rsidRDefault="00000000">
      <w:pPr>
        <w:pStyle w:val="Title"/>
        <w:rPr>
          <w:lang w:val="en-GB"/>
        </w:rPr>
      </w:pPr>
      <w:bookmarkStart w:id="3" w:name="_1cn4g0t4ksb0" w:colFirst="0" w:colLast="0"/>
      <w:bookmarkEnd w:id="3"/>
      <w:r>
        <w:rPr>
          <w:lang w:val="en-GB"/>
        </w:rPr>
        <w:t>International Business Concepts</w:t>
      </w:r>
    </w:p>
    <w:p w14:paraId="751E3C82" w14:textId="77777777" w:rsidR="00252A96" w:rsidRDefault="00252A96">
      <w:pPr>
        <w:pStyle w:val="Title"/>
        <w:rPr>
          <w:lang w:val="en-GB"/>
        </w:rPr>
      </w:pPr>
      <w:bookmarkStart w:id="4" w:name="_1uxtzcr7aq9m" w:colFirst="0" w:colLast="0"/>
      <w:bookmarkEnd w:id="4"/>
    </w:p>
    <w:p w14:paraId="240447F5" w14:textId="77777777" w:rsidR="00252A96" w:rsidRDefault="00000000">
      <w:pPr>
        <w:pStyle w:val="Title"/>
        <w:rPr>
          <w:sz w:val="28"/>
          <w:szCs w:val="28"/>
          <w:lang w:val="en-GB"/>
        </w:rPr>
      </w:pPr>
      <w:bookmarkStart w:id="5" w:name="_s3osowby5l4o" w:colFirst="0" w:colLast="0"/>
      <w:bookmarkEnd w:id="5"/>
      <w:r>
        <w:rPr>
          <w:sz w:val="28"/>
          <w:szCs w:val="28"/>
          <w:lang w:val="en-GB"/>
        </w:rPr>
        <w:t>Module code: LCMB7034</w:t>
      </w:r>
    </w:p>
    <w:p w14:paraId="534937E0" w14:textId="77777777" w:rsidR="00252A96" w:rsidRDefault="00000000">
      <w:pPr>
        <w:pStyle w:val="Title"/>
        <w:rPr>
          <w:sz w:val="28"/>
          <w:szCs w:val="28"/>
          <w:lang w:val="en-GB"/>
        </w:rPr>
      </w:pPr>
      <w:bookmarkStart w:id="6" w:name="_ada5xckvfem7" w:colFirst="0" w:colLast="0"/>
      <w:bookmarkStart w:id="7" w:name="_ll6hagdmnnkc" w:colFirst="0" w:colLast="0"/>
      <w:bookmarkEnd w:id="6"/>
      <w:bookmarkEnd w:id="7"/>
      <w:r>
        <w:rPr>
          <w:sz w:val="28"/>
          <w:szCs w:val="28"/>
          <w:lang w:val="en-GB"/>
        </w:rPr>
        <w:t>Assignment Title: Report</w:t>
      </w:r>
    </w:p>
    <w:p w14:paraId="3AF17D38" w14:textId="77777777" w:rsidR="00252A96" w:rsidRDefault="00252A96">
      <w:pPr>
        <w:rPr>
          <w:lang w:val="en-GB"/>
        </w:rPr>
      </w:pPr>
    </w:p>
    <w:p w14:paraId="5D5D95F3" w14:textId="77777777" w:rsidR="00252A96" w:rsidRDefault="00252A96">
      <w:pPr>
        <w:jc w:val="center"/>
        <w:rPr>
          <w:b/>
          <w:bCs/>
          <w:i/>
          <w:iCs/>
          <w:lang w:val="en-GB"/>
        </w:rPr>
      </w:pPr>
    </w:p>
    <w:p w14:paraId="6A4E657D" w14:textId="77777777" w:rsidR="00252A96" w:rsidRDefault="00000000">
      <w:pPr>
        <w:jc w:val="center"/>
        <w:rPr>
          <w:b/>
          <w:bCs/>
          <w:lang w:val="en-IN"/>
        </w:rPr>
      </w:pPr>
      <w:r>
        <w:rPr>
          <w:b/>
          <w:bCs/>
          <w:lang w:val="en-GB"/>
        </w:rPr>
        <w:t xml:space="preserve">Student Name: </w:t>
      </w:r>
      <w:r>
        <w:rPr>
          <w:b/>
          <w:bCs/>
          <w:lang w:val="en-IN"/>
        </w:rPr>
        <w:t>Monika singh</w:t>
      </w:r>
    </w:p>
    <w:p w14:paraId="5C9860EC" w14:textId="77777777" w:rsidR="00252A96" w:rsidRDefault="00000000">
      <w:pPr>
        <w:jc w:val="center"/>
        <w:rPr>
          <w:b/>
          <w:bCs/>
          <w:lang w:val="en-IN"/>
        </w:rPr>
      </w:pPr>
      <w:r>
        <w:rPr>
          <w:b/>
          <w:bCs/>
          <w:lang w:val="en-GB"/>
        </w:rPr>
        <w:t>Student ID:</w:t>
      </w:r>
      <w:r>
        <w:rPr>
          <w:b/>
          <w:bCs/>
          <w:lang w:val="en-IN"/>
        </w:rPr>
        <w:t>2504364</w:t>
      </w:r>
    </w:p>
    <w:p w14:paraId="5CCB28E1" w14:textId="77777777" w:rsidR="00252A96" w:rsidRDefault="00000000">
      <w:pPr>
        <w:jc w:val="center"/>
        <w:rPr>
          <w:b/>
          <w:bCs/>
          <w:lang w:val="en-IN"/>
        </w:rPr>
      </w:pPr>
      <w:r>
        <w:rPr>
          <w:b/>
          <w:bCs/>
          <w:lang w:val="en-IN"/>
        </w:rPr>
        <w:t>Tutor-Gladius Kulothungan(London)</w:t>
      </w:r>
    </w:p>
    <w:p w14:paraId="78EC3632" w14:textId="77777777" w:rsidR="00252A96" w:rsidRDefault="00252A96">
      <w:pPr>
        <w:rPr>
          <w:lang w:val="en-GB"/>
        </w:rPr>
      </w:pPr>
    </w:p>
    <w:p w14:paraId="18E8230A" w14:textId="77777777" w:rsidR="00252A96" w:rsidRDefault="00000000">
      <w:pPr>
        <w:rPr>
          <w:lang w:val="en-GB"/>
        </w:rPr>
      </w:pPr>
      <w:r>
        <w:rPr>
          <w:lang w:val="en-GB"/>
        </w:rPr>
        <w:t xml:space="preserve"> </w:t>
      </w:r>
    </w:p>
    <w:p w14:paraId="1C94E850" w14:textId="77777777" w:rsidR="00252A96" w:rsidRPr="00C51BBF" w:rsidRDefault="00000000">
      <w:pPr>
        <w:jc w:val="center"/>
        <w:rPr>
          <w:b/>
          <w:bCs/>
          <w:lang w:val="en-GB"/>
        </w:rPr>
      </w:pPr>
      <w:r w:rsidRPr="00C51BBF">
        <w:rPr>
          <w:b/>
          <w:bCs/>
          <w:lang w:val="en-GB"/>
        </w:rPr>
        <w:t>Selected Country: India</w:t>
      </w:r>
    </w:p>
    <w:p w14:paraId="17A108F3" w14:textId="77777777" w:rsidR="00252A96" w:rsidRPr="00C51BBF" w:rsidRDefault="00000000">
      <w:pPr>
        <w:jc w:val="center"/>
        <w:rPr>
          <w:b/>
          <w:bCs/>
          <w:lang w:val="en-GB"/>
        </w:rPr>
      </w:pPr>
      <w:r w:rsidRPr="00C51BBF">
        <w:rPr>
          <w:b/>
          <w:bCs/>
          <w:lang w:val="en-GB"/>
        </w:rPr>
        <w:t>Selected Industry: Automobile</w:t>
      </w:r>
    </w:p>
    <w:p w14:paraId="17E11B7C" w14:textId="77777777" w:rsidR="00252A96" w:rsidRPr="00C51BBF" w:rsidRDefault="00252A96">
      <w:pPr>
        <w:rPr>
          <w:lang w:val="en-GB"/>
        </w:rPr>
      </w:pPr>
    </w:p>
    <w:p w14:paraId="31E82948" w14:textId="77777777" w:rsidR="00252A96" w:rsidRDefault="00252A96">
      <w:pPr>
        <w:rPr>
          <w:lang w:val="en-GB"/>
        </w:rPr>
      </w:pPr>
    </w:p>
    <w:p w14:paraId="328482B4" w14:textId="77777777" w:rsidR="00252A96" w:rsidRDefault="00252A96">
      <w:pPr>
        <w:rPr>
          <w:lang w:val="en-GB"/>
        </w:rPr>
      </w:pPr>
    </w:p>
    <w:p w14:paraId="2096FB2D" w14:textId="77777777" w:rsidR="00252A96" w:rsidRDefault="00000000">
      <w:pPr>
        <w:rPr>
          <w:lang w:val="en-GB"/>
        </w:rPr>
      </w:pPr>
      <w:r>
        <w:rPr>
          <w:lang w:val="en-GB"/>
        </w:rPr>
        <w:br w:type="page"/>
      </w:r>
    </w:p>
    <w:bookmarkStart w:id="8" w:name="_t89gts66yzsi" w:colFirst="0" w:colLast="0" w:displacedByCustomXml="next"/>
    <w:bookmarkEnd w:id="8" w:displacedByCustomXml="next"/>
    <w:sdt>
      <w:sdtPr>
        <w:rPr>
          <w:rFonts w:ascii="Arial" w:eastAsia="Arial" w:hAnsi="Arial" w:cs="Arial"/>
          <w:color w:val="auto"/>
          <w:sz w:val="24"/>
          <w:szCs w:val="24"/>
          <w:lang w:val="en" w:eastAsia="en-IN"/>
        </w:rPr>
        <w:id w:val="-2145489958"/>
        <w:docPartObj>
          <w:docPartGallery w:val="Table of Contents"/>
          <w:docPartUnique/>
        </w:docPartObj>
      </w:sdtPr>
      <w:sdtEndPr>
        <w:rPr>
          <w:b/>
          <w:bCs/>
        </w:rPr>
      </w:sdtEndPr>
      <w:sdtContent>
        <w:p w14:paraId="5B2EA146" w14:textId="77777777" w:rsidR="00252A96" w:rsidRDefault="00000000">
          <w:pPr>
            <w:pStyle w:val="TOCHeading1"/>
            <w:spacing w:line="360" w:lineRule="auto"/>
            <w:jc w:val="center"/>
            <w:rPr>
              <w:rFonts w:ascii="Arial" w:hAnsi="Arial" w:cs="Arial"/>
              <w:b/>
              <w:bCs/>
              <w:color w:val="auto"/>
              <w:sz w:val="28"/>
              <w:szCs w:val="28"/>
            </w:rPr>
          </w:pPr>
          <w:r>
            <w:rPr>
              <w:rFonts w:ascii="Arial" w:hAnsi="Arial" w:cs="Arial"/>
              <w:b/>
              <w:bCs/>
              <w:color w:val="auto"/>
              <w:sz w:val="28"/>
              <w:szCs w:val="28"/>
            </w:rPr>
            <w:t>Table of Contents</w:t>
          </w:r>
        </w:p>
        <w:p w14:paraId="26EDCF8D" w14:textId="77777777" w:rsidR="00252A96" w:rsidRDefault="00000000">
          <w:pPr>
            <w:pStyle w:val="TOC1"/>
            <w:tabs>
              <w:tab w:val="right" w:leader="dot" w:pos="9350"/>
            </w:tabs>
            <w:rPr>
              <w:rFonts w:asciiTheme="minorHAnsi" w:eastAsiaTheme="minorEastAsia" w:hAnsiTheme="minorHAnsi" w:cstheme="minorBidi"/>
              <w:kern w:val="2"/>
              <w:lang w:val="en-IN"/>
              <w14:ligatures w14:val="standardContextual"/>
            </w:rPr>
          </w:pPr>
          <w:r>
            <w:fldChar w:fldCharType="begin"/>
          </w:r>
          <w:r>
            <w:instrText xml:space="preserve"> TOC \o "1-3" \h \z \u </w:instrText>
          </w:r>
          <w:r>
            <w:fldChar w:fldCharType="separate"/>
          </w:r>
          <w:hyperlink w:anchor="_Toc226383046" w:history="1">
            <w:r>
              <w:rPr>
                <w:rStyle w:val="Hyperlink"/>
                <w:lang w:val="en-GB"/>
              </w:rPr>
              <w:t>Section 1</w:t>
            </w:r>
            <w:r>
              <w:tab/>
            </w:r>
            <w:r>
              <w:fldChar w:fldCharType="begin"/>
            </w:r>
            <w:r>
              <w:instrText xml:space="preserve"> PAGEREF _Toc226383046 \h </w:instrText>
            </w:r>
            <w:r>
              <w:fldChar w:fldCharType="separate"/>
            </w:r>
            <w:r>
              <w:t>4</w:t>
            </w:r>
            <w:r>
              <w:fldChar w:fldCharType="end"/>
            </w:r>
          </w:hyperlink>
        </w:p>
        <w:p w14:paraId="0C4014E4" w14:textId="77777777" w:rsidR="00252A96" w:rsidRDefault="00000000">
          <w:pPr>
            <w:pStyle w:val="TOC2"/>
            <w:tabs>
              <w:tab w:val="right" w:leader="dot" w:pos="9350"/>
            </w:tabs>
            <w:rPr>
              <w:rFonts w:asciiTheme="minorHAnsi" w:eastAsiaTheme="minorEastAsia" w:hAnsiTheme="minorHAnsi" w:cstheme="minorBidi"/>
              <w:kern w:val="2"/>
              <w:lang w:val="en-IN"/>
              <w14:ligatures w14:val="standardContextual"/>
            </w:rPr>
          </w:pPr>
          <w:hyperlink w:anchor="_Toc226383047" w:history="1">
            <w:r>
              <w:rPr>
                <w:rStyle w:val="Hyperlink"/>
                <w:lang w:val="en-GB"/>
              </w:rPr>
              <w:t>1. Introduction to the report</w:t>
            </w:r>
            <w:r>
              <w:tab/>
            </w:r>
            <w:r>
              <w:fldChar w:fldCharType="begin"/>
            </w:r>
            <w:r>
              <w:instrText xml:space="preserve"> PAGEREF _Toc226383047 \h </w:instrText>
            </w:r>
            <w:r>
              <w:fldChar w:fldCharType="separate"/>
            </w:r>
            <w:r>
              <w:t>4</w:t>
            </w:r>
            <w:r>
              <w:fldChar w:fldCharType="end"/>
            </w:r>
          </w:hyperlink>
        </w:p>
        <w:p w14:paraId="116E18F1" w14:textId="77777777" w:rsidR="00252A96" w:rsidRDefault="00000000">
          <w:pPr>
            <w:pStyle w:val="TOC2"/>
            <w:tabs>
              <w:tab w:val="right" w:leader="dot" w:pos="9350"/>
            </w:tabs>
            <w:rPr>
              <w:rFonts w:asciiTheme="minorHAnsi" w:eastAsiaTheme="minorEastAsia" w:hAnsiTheme="minorHAnsi" w:cstheme="minorBidi"/>
              <w:kern w:val="2"/>
              <w:lang w:val="en-IN"/>
              <w14:ligatures w14:val="standardContextual"/>
            </w:rPr>
          </w:pPr>
          <w:hyperlink w:anchor="_Toc226383048" w:history="1">
            <w:r>
              <w:rPr>
                <w:rStyle w:val="Hyperlink"/>
                <w:lang w:val="en-GB"/>
              </w:rPr>
              <w:t>2. Industry and Country Overview</w:t>
            </w:r>
            <w:r>
              <w:tab/>
            </w:r>
            <w:r>
              <w:fldChar w:fldCharType="begin"/>
            </w:r>
            <w:r>
              <w:instrText xml:space="preserve"> PAGEREF _Toc226383048 \h </w:instrText>
            </w:r>
            <w:r>
              <w:fldChar w:fldCharType="separate"/>
            </w:r>
            <w:r>
              <w:t>4</w:t>
            </w:r>
            <w:r>
              <w:fldChar w:fldCharType="end"/>
            </w:r>
          </w:hyperlink>
        </w:p>
        <w:p w14:paraId="47BF8C2C" w14:textId="77777777" w:rsidR="00252A96" w:rsidRDefault="00000000">
          <w:pPr>
            <w:pStyle w:val="TOC3"/>
            <w:tabs>
              <w:tab w:val="right" w:leader="dot" w:pos="9350"/>
            </w:tabs>
            <w:rPr>
              <w:rFonts w:asciiTheme="minorHAnsi" w:eastAsiaTheme="minorEastAsia" w:hAnsiTheme="minorHAnsi" w:cstheme="minorBidi"/>
              <w:kern w:val="2"/>
              <w:lang w:val="en-IN"/>
              <w14:ligatures w14:val="standardContextual"/>
            </w:rPr>
          </w:pPr>
          <w:hyperlink w:anchor="_Toc226383049" w:history="1">
            <w:r>
              <w:rPr>
                <w:rStyle w:val="Hyperlink"/>
                <w:lang w:val="en-GB"/>
              </w:rPr>
              <w:t>2.1 Introduction to the Industry in the Selected Country</w:t>
            </w:r>
            <w:r>
              <w:tab/>
            </w:r>
            <w:r>
              <w:fldChar w:fldCharType="begin"/>
            </w:r>
            <w:r>
              <w:instrText xml:space="preserve"> PAGEREF _Toc226383049 \h </w:instrText>
            </w:r>
            <w:r>
              <w:fldChar w:fldCharType="separate"/>
            </w:r>
            <w:r>
              <w:t>4</w:t>
            </w:r>
            <w:r>
              <w:fldChar w:fldCharType="end"/>
            </w:r>
          </w:hyperlink>
        </w:p>
        <w:p w14:paraId="1A715DC9" w14:textId="77777777" w:rsidR="00252A96" w:rsidRDefault="00000000">
          <w:pPr>
            <w:pStyle w:val="TOC3"/>
            <w:tabs>
              <w:tab w:val="right" w:leader="dot" w:pos="9350"/>
            </w:tabs>
            <w:rPr>
              <w:rFonts w:asciiTheme="minorHAnsi" w:eastAsiaTheme="minorEastAsia" w:hAnsiTheme="minorHAnsi" w:cstheme="minorBidi"/>
              <w:kern w:val="2"/>
              <w:lang w:val="en-IN"/>
              <w14:ligatures w14:val="standardContextual"/>
            </w:rPr>
          </w:pPr>
          <w:hyperlink w:anchor="_Toc226383050" w:history="1">
            <w:r>
              <w:rPr>
                <w:rStyle w:val="Hyperlink"/>
                <w:lang w:val="en-GB"/>
              </w:rPr>
              <w:t>2.2 Size, Scope and Economic Importance</w:t>
            </w:r>
            <w:r>
              <w:tab/>
            </w:r>
            <w:r>
              <w:fldChar w:fldCharType="begin"/>
            </w:r>
            <w:r>
              <w:instrText xml:space="preserve"> PAGEREF _Toc226383050 \h </w:instrText>
            </w:r>
            <w:r>
              <w:fldChar w:fldCharType="separate"/>
            </w:r>
            <w:r>
              <w:t>5</w:t>
            </w:r>
            <w:r>
              <w:fldChar w:fldCharType="end"/>
            </w:r>
          </w:hyperlink>
        </w:p>
        <w:p w14:paraId="0A27ADC8" w14:textId="77777777" w:rsidR="00252A96" w:rsidRDefault="00000000">
          <w:pPr>
            <w:pStyle w:val="TOC3"/>
            <w:tabs>
              <w:tab w:val="right" w:leader="dot" w:pos="9350"/>
            </w:tabs>
            <w:rPr>
              <w:rFonts w:asciiTheme="minorHAnsi" w:eastAsiaTheme="minorEastAsia" w:hAnsiTheme="minorHAnsi" w:cstheme="minorBidi"/>
              <w:kern w:val="2"/>
              <w:lang w:val="en-IN"/>
              <w14:ligatures w14:val="standardContextual"/>
            </w:rPr>
          </w:pPr>
          <w:hyperlink w:anchor="_Toc226383051" w:history="1">
            <w:r>
              <w:rPr>
                <w:rStyle w:val="Hyperlink"/>
                <w:lang w:val="en-GB"/>
              </w:rPr>
              <w:t>2.3 Key Industry Players and Competitive Positioning</w:t>
            </w:r>
            <w:r>
              <w:tab/>
            </w:r>
            <w:r>
              <w:fldChar w:fldCharType="begin"/>
            </w:r>
            <w:r>
              <w:instrText xml:space="preserve"> PAGEREF _Toc226383051 \h </w:instrText>
            </w:r>
            <w:r>
              <w:fldChar w:fldCharType="separate"/>
            </w:r>
            <w:r>
              <w:t>7</w:t>
            </w:r>
            <w:r>
              <w:fldChar w:fldCharType="end"/>
            </w:r>
          </w:hyperlink>
        </w:p>
        <w:p w14:paraId="2F428941" w14:textId="77777777" w:rsidR="00252A96" w:rsidRDefault="00000000">
          <w:pPr>
            <w:pStyle w:val="TOC2"/>
            <w:tabs>
              <w:tab w:val="right" w:leader="dot" w:pos="9350"/>
            </w:tabs>
            <w:rPr>
              <w:rFonts w:asciiTheme="minorHAnsi" w:eastAsiaTheme="minorEastAsia" w:hAnsiTheme="minorHAnsi" w:cstheme="minorBidi"/>
              <w:kern w:val="2"/>
              <w:lang w:val="en-IN"/>
              <w14:ligatures w14:val="standardContextual"/>
            </w:rPr>
          </w:pPr>
          <w:hyperlink w:anchor="_Toc226383052" w:history="1">
            <w:r>
              <w:rPr>
                <w:rStyle w:val="Hyperlink"/>
                <w:lang w:val="en-GB"/>
              </w:rPr>
              <w:t>3. Analysis Using Porter’s Diamond Model of National Advantage</w:t>
            </w:r>
            <w:r>
              <w:tab/>
            </w:r>
            <w:r>
              <w:fldChar w:fldCharType="begin"/>
            </w:r>
            <w:r>
              <w:instrText xml:space="preserve"> PAGEREF _Toc226383052 \h </w:instrText>
            </w:r>
            <w:r>
              <w:fldChar w:fldCharType="separate"/>
            </w:r>
            <w:r>
              <w:t>8</w:t>
            </w:r>
            <w:r>
              <w:fldChar w:fldCharType="end"/>
            </w:r>
          </w:hyperlink>
        </w:p>
        <w:p w14:paraId="269853EA" w14:textId="77777777" w:rsidR="00252A96" w:rsidRDefault="00000000">
          <w:pPr>
            <w:pStyle w:val="TOC3"/>
            <w:tabs>
              <w:tab w:val="right" w:leader="dot" w:pos="9350"/>
            </w:tabs>
            <w:rPr>
              <w:rFonts w:asciiTheme="minorHAnsi" w:eastAsiaTheme="minorEastAsia" w:hAnsiTheme="minorHAnsi" w:cstheme="minorBidi"/>
              <w:kern w:val="2"/>
              <w:lang w:val="en-IN"/>
              <w14:ligatures w14:val="standardContextual"/>
            </w:rPr>
          </w:pPr>
          <w:hyperlink w:anchor="_Toc226383053" w:history="1">
            <w:r>
              <w:rPr>
                <w:rStyle w:val="Hyperlink"/>
                <w:lang w:val="en-GB"/>
              </w:rPr>
              <w:t>3.1 Overview of Porter’s Diamond Model</w:t>
            </w:r>
            <w:r>
              <w:tab/>
            </w:r>
            <w:r>
              <w:fldChar w:fldCharType="begin"/>
            </w:r>
            <w:r>
              <w:instrText xml:space="preserve"> PAGEREF _Toc226383053 \h </w:instrText>
            </w:r>
            <w:r>
              <w:fldChar w:fldCharType="separate"/>
            </w:r>
            <w:r>
              <w:t>8</w:t>
            </w:r>
            <w:r>
              <w:fldChar w:fldCharType="end"/>
            </w:r>
          </w:hyperlink>
        </w:p>
        <w:p w14:paraId="3CD7EE8E" w14:textId="77777777" w:rsidR="00252A96" w:rsidRDefault="00000000">
          <w:pPr>
            <w:pStyle w:val="TOC3"/>
            <w:tabs>
              <w:tab w:val="right" w:leader="dot" w:pos="9350"/>
            </w:tabs>
            <w:rPr>
              <w:rFonts w:asciiTheme="minorHAnsi" w:eastAsiaTheme="minorEastAsia" w:hAnsiTheme="minorHAnsi" w:cstheme="minorBidi"/>
              <w:kern w:val="2"/>
              <w:lang w:val="en-IN"/>
              <w14:ligatures w14:val="standardContextual"/>
            </w:rPr>
          </w:pPr>
          <w:hyperlink w:anchor="_Toc226383054" w:history="1">
            <w:r>
              <w:rPr>
                <w:rStyle w:val="Hyperlink"/>
                <w:lang w:val="en-GB"/>
              </w:rPr>
              <w:t>3.2 Overall Evaluation of Global Competitiveness</w:t>
            </w:r>
            <w:r>
              <w:tab/>
            </w:r>
            <w:r>
              <w:fldChar w:fldCharType="begin"/>
            </w:r>
            <w:r>
              <w:instrText xml:space="preserve"> PAGEREF _Toc226383054 \h </w:instrText>
            </w:r>
            <w:r>
              <w:fldChar w:fldCharType="separate"/>
            </w:r>
            <w:r>
              <w:t>10</w:t>
            </w:r>
            <w:r>
              <w:fldChar w:fldCharType="end"/>
            </w:r>
          </w:hyperlink>
        </w:p>
        <w:p w14:paraId="42E7A06B" w14:textId="77777777" w:rsidR="00252A96" w:rsidRDefault="00000000">
          <w:pPr>
            <w:pStyle w:val="TOC2"/>
            <w:tabs>
              <w:tab w:val="right" w:leader="dot" w:pos="9350"/>
            </w:tabs>
            <w:rPr>
              <w:rFonts w:asciiTheme="minorHAnsi" w:eastAsiaTheme="minorEastAsia" w:hAnsiTheme="minorHAnsi" w:cstheme="minorBidi"/>
              <w:kern w:val="2"/>
              <w:lang w:val="en-IN"/>
              <w14:ligatures w14:val="standardContextual"/>
            </w:rPr>
          </w:pPr>
          <w:hyperlink w:anchor="_Toc226383055" w:history="1">
            <w:r>
              <w:rPr>
                <w:rStyle w:val="Hyperlink"/>
                <w:lang w:val="en-GB"/>
              </w:rPr>
              <w:t>4. Evaluation of a Foreign MNC Operating in the Industry</w:t>
            </w:r>
            <w:r>
              <w:tab/>
            </w:r>
            <w:r>
              <w:fldChar w:fldCharType="begin"/>
            </w:r>
            <w:r>
              <w:instrText xml:space="preserve"> PAGEREF _Toc226383055 \h </w:instrText>
            </w:r>
            <w:r>
              <w:fldChar w:fldCharType="separate"/>
            </w:r>
            <w:r>
              <w:t>11</w:t>
            </w:r>
            <w:r>
              <w:fldChar w:fldCharType="end"/>
            </w:r>
          </w:hyperlink>
        </w:p>
        <w:p w14:paraId="4B01F2C0" w14:textId="77777777" w:rsidR="00252A96" w:rsidRDefault="00000000">
          <w:pPr>
            <w:pStyle w:val="TOC3"/>
            <w:tabs>
              <w:tab w:val="right" w:leader="dot" w:pos="9350"/>
            </w:tabs>
            <w:rPr>
              <w:rFonts w:asciiTheme="minorHAnsi" w:eastAsiaTheme="minorEastAsia" w:hAnsiTheme="minorHAnsi" w:cstheme="minorBidi"/>
              <w:kern w:val="2"/>
              <w:lang w:val="en-IN"/>
              <w14:ligatures w14:val="standardContextual"/>
            </w:rPr>
          </w:pPr>
          <w:hyperlink w:anchor="_Toc226383056" w:history="1">
            <w:r>
              <w:rPr>
                <w:rStyle w:val="Hyperlink"/>
                <w:lang w:val="en-GB"/>
              </w:rPr>
              <w:t>4.1 Introduction to the Selected MNC</w:t>
            </w:r>
            <w:r>
              <w:tab/>
            </w:r>
            <w:r>
              <w:fldChar w:fldCharType="begin"/>
            </w:r>
            <w:r>
              <w:instrText xml:space="preserve"> PAGEREF _Toc226383056 \h </w:instrText>
            </w:r>
            <w:r>
              <w:fldChar w:fldCharType="separate"/>
            </w:r>
            <w:r>
              <w:t>11</w:t>
            </w:r>
            <w:r>
              <w:fldChar w:fldCharType="end"/>
            </w:r>
          </w:hyperlink>
        </w:p>
        <w:p w14:paraId="24CA8D56" w14:textId="77777777" w:rsidR="00252A96" w:rsidRDefault="00000000">
          <w:pPr>
            <w:pStyle w:val="TOC3"/>
            <w:tabs>
              <w:tab w:val="right" w:leader="dot" w:pos="9350"/>
            </w:tabs>
            <w:rPr>
              <w:rFonts w:asciiTheme="minorHAnsi" w:eastAsiaTheme="minorEastAsia" w:hAnsiTheme="minorHAnsi" w:cstheme="minorBidi"/>
              <w:kern w:val="2"/>
              <w:lang w:val="en-IN"/>
              <w14:ligatures w14:val="standardContextual"/>
            </w:rPr>
          </w:pPr>
          <w:hyperlink w:anchor="_Toc226383057" w:history="1">
            <w:r>
              <w:rPr>
                <w:rStyle w:val="Hyperlink"/>
                <w:lang w:val="en-GB"/>
              </w:rPr>
              <w:t>4.2 Market Attractiveness Analysis</w:t>
            </w:r>
            <w:r>
              <w:tab/>
            </w:r>
            <w:r>
              <w:fldChar w:fldCharType="begin"/>
            </w:r>
            <w:r>
              <w:instrText xml:space="preserve"> PAGEREF _Toc226383057 \h </w:instrText>
            </w:r>
            <w:r>
              <w:fldChar w:fldCharType="separate"/>
            </w:r>
            <w:r>
              <w:t>11</w:t>
            </w:r>
            <w:r>
              <w:fldChar w:fldCharType="end"/>
            </w:r>
          </w:hyperlink>
        </w:p>
        <w:p w14:paraId="099CF111" w14:textId="77777777" w:rsidR="00252A96" w:rsidRDefault="00000000">
          <w:pPr>
            <w:pStyle w:val="TOC3"/>
            <w:tabs>
              <w:tab w:val="right" w:leader="dot" w:pos="9350"/>
            </w:tabs>
            <w:rPr>
              <w:rFonts w:asciiTheme="minorHAnsi" w:eastAsiaTheme="minorEastAsia" w:hAnsiTheme="minorHAnsi" w:cstheme="minorBidi"/>
              <w:kern w:val="2"/>
              <w:lang w:val="en-IN"/>
              <w14:ligatures w14:val="standardContextual"/>
            </w:rPr>
          </w:pPr>
          <w:hyperlink w:anchor="_Toc226383058" w:history="1">
            <w:r>
              <w:rPr>
                <w:rStyle w:val="Hyperlink"/>
                <w:lang w:val="en-GB"/>
              </w:rPr>
              <w:t>4.3 Macro Environment Analysis: PESTLE Analysis</w:t>
            </w:r>
            <w:r>
              <w:tab/>
            </w:r>
            <w:r>
              <w:fldChar w:fldCharType="begin"/>
            </w:r>
            <w:r>
              <w:instrText xml:space="preserve"> PAGEREF _Toc226383058 \h </w:instrText>
            </w:r>
            <w:r>
              <w:fldChar w:fldCharType="separate"/>
            </w:r>
            <w:r>
              <w:t>12</w:t>
            </w:r>
            <w:r>
              <w:fldChar w:fldCharType="end"/>
            </w:r>
          </w:hyperlink>
        </w:p>
        <w:p w14:paraId="64D8BDF7" w14:textId="77777777" w:rsidR="00252A96" w:rsidRDefault="00000000">
          <w:pPr>
            <w:pStyle w:val="TOC3"/>
            <w:tabs>
              <w:tab w:val="right" w:leader="dot" w:pos="9350"/>
            </w:tabs>
            <w:rPr>
              <w:rFonts w:asciiTheme="minorHAnsi" w:eastAsiaTheme="minorEastAsia" w:hAnsiTheme="minorHAnsi" w:cstheme="minorBidi"/>
              <w:kern w:val="2"/>
              <w:lang w:val="en-IN"/>
              <w14:ligatures w14:val="standardContextual"/>
            </w:rPr>
          </w:pPr>
          <w:hyperlink w:anchor="_Toc226383059" w:history="1">
            <w:r>
              <w:rPr>
                <w:rStyle w:val="Hyperlink"/>
                <w:lang w:val="en-GB"/>
              </w:rPr>
              <w:t>4.4 Cultural and Social Environment Analysis: Hofstede Cultural Dimension</w:t>
            </w:r>
            <w:r>
              <w:tab/>
            </w:r>
            <w:r>
              <w:fldChar w:fldCharType="begin"/>
            </w:r>
            <w:r>
              <w:instrText xml:space="preserve"> PAGEREF _Toc226383059 \h </w:instrText>
            </w:r>
            <w:r>
              <w:fldChar w:fldCharType="separate"/>
            </w:r>
            <w:r>
              <w:t>14</w:t>
            </w:r>
            <w:r>
              <w:fldChar w:fldCharType="end"/>
            </w:r>
          </w:hyperlink>
        </w:p>
        <w:p w14:paraId="69FC8DAF" w14:textId="77777777" w:rsidR="00252A96" w:rsidRDefault="00000000">
          <w:pPr>
            <w:pStyle w:val="TOC3"/>
            <w:tabs>
              <w:tab w:val="right" w:leader="dot" w:pos="9350"/>
            </w:tabs>
            <w:rPr>
              <w:rFonts w:asciiTheme="minorHAnsi" w:eastAsiaTheme="minorEastAsia" w:hAnsiTheme="minorHAnsi" w:cstheme="minorBidi"/>
              <w:kern w:val="2"/>
              <w:lang w:val="en-IN"/>
              <w14:ligatures w14:val="standardContextual"/>
            </w:rPr>
          </w:pPr>
          <w:hyperlink w:anchor="_Toc226383060" w:history="1">
            <w:r>
              <w:rPr>
                <w:rStyle w:val="Hyperlink"/>
                <w:lang w:val="en-GB"/>
              </w:rPr>
              <w:t>4.5 Factors Influencing the Success of the MNC</w:t>
            </w:r>
            <w:r>
              <w:tab/>
            </w:r>
            <w:r>
              <w:fldChar w:fldCharType="begin"/>
            </w:r>
            <w:r>
              <w:instrText xml:space="preserve"> PAGEREF _Toc226383060 \h </w:instrText>
            </w:r>
            <w:r>
              <w:fldChar w:fldCharType="separate"/>
            </w:r>
            <w:r>
              <w:t>16</w:t>
            </w:r>
            <w:r>
              <w:fldChar w:fldCharType="end"/>
            </w:r>
          </w:hyperlink>
        </w:p>
        <w:p w14:paraId="18D4746D" w14:textId="77777777" w:rsidR="00252A96" w:rsidRDefault="00000000">
          <w:pPr>
            <w:pStyle w:val="TOC3"/>
            <w:tabs>
              <w:tab w:val="right" w:leader="dot" w:pos="9350"/>
            </w:tabs>
            <w:rPr>
              <w:rFonts w:asciiTheme="minorHAnsi" w:eastAsiaTheme="minorEastAsia" w:hAnsiTheme="minorHAnsi" w:cstheme="minorBidi"/>
              <w:kern w:val="2"/>
              <w:lang w:val="en-IN"/>
              <w14:ligatures w14:val="standardContextual"/>
            </w:rPr>
          </w:pPr>
          <w:hyperlink w:anchor="_Toc226383061" w:history="1">
            <w:r>
              <w:rPr>
                <w:rStyle w:val="Hyperlink"/>
                <w:lang w:val="en-GB"/>
              </w:rPr>
              <w:t>4.6 Overall Critical Evaluation of Market Attractiveness</w:t>
            </w:r>
            <w:r>
              <w:tab/>
            </w:r>
            <w:r>
              <w:fldChar w:fldCharType="begin"/>
            </w:r>
            <w:r>
              <w:instrText xml:space="preserve"> PAGEREF _Toc226383061 \h </w:instrText>
            </w:r>
            <w:r>
              <w:fldChar w:fldCharType="separate"/>
            </w:r>
            <w:r>
              <w:t>17</w:t>
            </w:r>
            <w:r>
              <w:fldChar w:fldCharType="end"/>
            </w:r>
          </w:hyperlink>
        </w:p>
        <w:p w14:paraId="29834B1F" w14:textId="77777777" w:rsidR="00252A96" w:rsidRDefault="00000000">
          <w:pPr>
            <w:pStyle w:val="TOC2"/>
            <w:tabs>
              <w:tab w:val="right" w:leader="dot" w:pos="9350"/>
            </w:tabs>
            <w:rPr>
              <w:rFonts w:asciiTheme="minorHAnsi" w:eastAsiaTheme="minorEastAsia" w:hAnsiTheme="minorHAnsi" w:cstheme="minorBidi"/>
              <w:kern w:val="2"/>
              <w:lang w:val="en-IN"/>
              <w14:ligatures w14:val="standardContextual"/>
            </w:rPr>
          </w:pPr>
          <w:hyperlink w:anchor="_Toc226383062" w:history="1">
            <w:r>
              <w:rPr>
                <w:rStyle w:val="Hyperlink"/>
                <w:lang w:val="en-GB"/>
              </w:rPr>
              <w:t>5. Conclusion to the report</w:t>
            </w:r>
            <w:r>
              <w:tab/>
            </w:r>
            <w:r>
              <w:fldChar w:fldCharType="begin"/>
            </w:r>
            <w:r>
              <w:instrText xml:space="preserve"> PAGEREF _Toc226383062 \h </w:instrText>
            </w:r>
            <w:r>
              <w:fldChar w:fldCharType="separate"/>
            </w:r>
            <w:r>
              <w:t>17</w:t>
            </w:r>
            <w:r>
              <w:fldChar w:fldCharType="end"/>
            </w:r>
          </w:hyperlink>
        </w:p>
        <w:p w14:paraId="2CE5AFB7" w14:textId="77777777" w:rsidR="00252A96" w:rsidRDefault="00000000">
          <w:pPr>
            <w:pStyle w:val="TOC1"/>
            <w:tabs>
              <w:tab w:val="right" w:leader="dot" w:pos="9350"/>
            </w:tabs>
            <w:rPr>
              <w:rFonts w:asciiTheme="minorHAnsi" w:eastAsiaTheme="minorEastAsia" w:hAnsiTheme="minorHAnsi" w:cstheme="minorBidi"/>
              <w:kern w:val="2"/>
              <w:lang w:val="en-IN"/>
              <w14:ligatures w14:val="standardContextual"/>
            </w:rPr>
          </w:pPr>
          <w:hyperlink w:anchor="_Toc226383063" w:history="1">
            <w:r>
              <w:rPr>
                <w:rStyle w:val="Hyperlink"/>
                <w:lang w:val="en-GB"/>
              </w:rPr>
              <w:t>Section 2: Reflective account</w:t>
            </w:r>
            <w:r>
              <w:tab/>
            </w:r>
            <w:r>
              <w:fldChar w:fldCharType="begin"/>
            </w:r>
            <w:r>
              <w:instrText xml:space="preserve"> PAGEREF _Toc226383063 \h </w:instrText>
            </w:r>
            <w:r>
              <w:fldChar w:fldCharType="separate"/>
            </w:r>
            <w:r>
              <w:t>19</w:t>
            </w:r>
            <w:r>
              <w:fldChar w:fldCharType="end"/>
            </w:r>
          </w:hyperlink>
        </w:p>
        <w:p w14:paraId="0292D5F4" w14:textId="77777777" w:rsidR="00252A96" w:rsidRDefault="00000000">
          <w:pPr>
            <w:pStyle w:val="TOC2"/>
            <w:tabs>
              <w:tab w:val="right" w:leader="dot" w:pos="9350"/>
            </w:tabs>
            <w:rPr>
              <w:rFonts w:asciiTheme="minorHAnsi" w:eastAsiaTheme="minorEastAsia" w:hAnsiTheme="minorHAnsi" w:cstheme="minorBidi"/>
              <w:kern w:val="2"/>
              <w:lang w:val="en-IN"/>
              <w14:ligatures w14:val="standardContextual"/>
            </w:rPr>
          </w:pPr>
          <w:hyperlink w:anchor="_Toc226383064" w:history="1">
            <w:r>
              <w:rPr>
                <w:rStyle w:val="Hyperlink"/>
              </w:rPr>
              <w:t>Introduction</w:t>
            </w:r>
            <w:r>
              <w:tab/>
            </w:r>
            <w:r>
              <w:fldChar w:fldCharType="begin"/>
            </w:r>
            <w:r>
              <w:instrText xml:space="preserve"> PAGEREF _Toc226383064 \h </w:instrText>
            </w:r>
            <w:r>
              <w:fldChar w:fldCharType="separate"/>
            </w:r>
            <w:r>
              <w:t>19</w:t>
            </w:r>
            <w:r>
              <w:fldChar w:fldCharType="end"/>
            </w:r>
          </w:hyperlink>
        </w:p>
        <w:p w14:paraId="56269648" w14:textId="77777777" w:rsidR="00252A96" w:rsidRDefault="00000000">
          <w:pPr>
            <w:pStyle w:val="TOC2"/>
            <w:tabs>
              <w:tab w:val="right" w:leader="dot" w:pos="9350"/>
            </w:tabs>
            <w:rPr>
              <w:rFonts w:asciiTheme="minorHAnsi" w:eastAsiaTheme="minorEastAsia" w:hAnsiTheme="minorHAnsi" w:cstheme="minorBidi"/>
              <w:kern w:val="2"/>
              <w:lang w:val="en-IN"/>
              <w14:ligatures w14:val="standardContextual"/>
            </w:rPr>
          </w:pPr>
          <w:hyperlink w:anchor="_Toc226383065" w:history="1">
            <w:r>
              <w:rPr>
                <w:rStyle w:val="Hyperlink"/>
              </w:rPr>
              <w:t>Gibbs Reflective Cycle</w:t>
            </w:r>
            <w:r>
              <w:tab/>
            </w:r>
            <w:r>
              <w:fldChar w:fldCharType="begin"/>
            </w:r>
            <w:r>
              <w:instrText xml:space="preserve"> PAGEREF _Toc226383065 \h </w:instrText>
            </w:r>
            <w:r>
              <w:fldChar w:fldCharType="separate"/>
            </w:r>
            <w:r>
              <w:t>19</w:t>
            </w:r>
            <w:r>
              <w:fldChar w:fldCharType="end"/>
            </w:r>
          </w:hyperlink>
        </w:p>
        <w:p w14:paraId="21601B2E" w14:textId="77777777" w:rsidR="00252A96" w:rsidRDefault="00000000">
          <w:pPr>
            <w:pStyle w:val="TOC2"/>
            <w:tabs>
              <w:tab w:val="right" w:leader="dot" w:pos="9350"/>
            </w:tabs>
            <w:rPr>
              <w:rFonts w:asciiTheme="minorHAnsi" w:eastAsiaTheme="minorEastAsia" w:hAnsiTheme="minorHAnsi" w:cstheme="minorBidi"/>
              <w:kern w:val="2"/>
              <w:lang w:val="en-IN"/>
              <w14:ligatures w14:val="standardContextual"/>
            </w:rPr>
          </w:pPr>
          <w:hyperlink w:anchor="_Toc226383066" w:history="1">
            <w:r>
              <w:rPr>
                <w:rStyle w:val="Hyperlink"/>
              </w:rPr>
              <w:t>Conclusion</w:t>
            </w:r>
            <w:r>
              <w:tab/>
            </w:r>
            <w:r>
              <w:fldChar w:fldCharType="begin"/>
            </w:r>
            <w:r>
              <w:instrText xml:space="preserve"> PAGEREF _Toc226383066 \h </w:instrText>
            </w:r>
            <w:r>
              <w:fldChar w:fldCharType="separate"/>
            </w:r>
            <w:r>
              <w:t>23</w:t>
            </w:r>
            <w:r>
              <w:fldChar w:fldCharType="end"/>
            </w:r>
          </w:hyperlink>
        </w:p>
        <w:p w14:paraId="7EFF8814" w14:textId="77777777" w:rsidR="00252A96" w:rsidRDefault="00000000">
          <w:pPr>
            <w:pStyle w:val="TOC1"/>
            <w:tabs>
              <w:tab w:val="right" w:leader="dot" w:pos="9350"/>
            </w:tabs>
            <w:rPr>
              <w:rFonts w:asciiTheme="minorHAnsi" w:eastAsiaTheme="minorEastAsia" w:hAnsiTheme="minorHAnsi" w:cstheme="minorBidi"/>
              <w:kern w:val="2"/>
              <w:lang w:val="en-IN"/>
              <w14:ligatures w14:val="standardContextual"/>
            </w:rPr>
          </w:pPr>
          <w:hyperlink w:anchor="_Toc226383067" w:history="1">
            <w:r>
              <w:rPr>
                <w:rStyle w:val="Hyperlink"/>
                <w:lang w:val="en-GB"/>
              </w:rPr>
              <w:t>Reference List</w:t>
            </w:r>
            <w:r>
              <w:tab/>
            </w:r>
            <w:r>
              <w:fldChar w:fldCharType="begin"/>
            </w:r>
            <w:r>
              <w:instrText xml:space="preserve"> PAGEREF _Toc226383067 \h </w:instrText>
            </w:r>
            <w:r>
              <w:fldChar w:fldCharType="separate"/>
            </w:r>
            <w:r>
              <w:t>24</w:t>
            </w:r>
            <w:r>
              <w:fldChar w:fldCharType="end"/>
            </w:r>
          </w:hyperlink>
        </w:p>
        <w:p w14:paraId="2C145556" w14:textId="77777777" w:rsidR="00252A96" w:rsidRDefault="00000000">
          <w:pPr>
            <w:pStyle w:val="TOC2"/>
            <w:tabs>
              <w:tab w:val="right" w:leader="dot" w:pos="9350"/>
            </w:tabs>
            <w:rPr>
              <w:rFonts w:asciiTheme="minorHAnsi" w:eastAsiaTheme="minorEastAsia" w:hAnsiTheme="minorHAnsi" w:cstheme="minorBidi"/>
              <w:kern w:val="2"/>
              <w:lang w:val="en-IN"/>
              <w14:ligatures w14:val="standardContextual"/>
            </w:rPr>
          </w:pPr>
          <w:hyperlink w:anchor="_Toc226383068" w:history="1">
            <w:r>
              <w:rPr>
                <w:rStyle w:val="Hyperlink"/>
                <w:lang w:val="en-GB"/>
              </w:rPr>
              <w:t>Articles</w:t>
            </w:r>
            <w:r>
              <w:tab/>
            </w:r>
            <w:r>
              <w:fldChar w:fldCharType="begin"/>
            </w:r>
            <w:r>
              <w:instrText xml:space="preserve"> PAGEREF _Toc226383068 \h </w:instrText>
            </w:r>
            <w:r>
              <w:fldChar w:fldCharType="separate"/>
            </w:r>
            <w:r>
              <w:t>24</w:t>
            </w:r>
            <w:r>
              <w:fldChar w:fldCharType="end"/>
            </w:r>
          </w:hyperlink>
        </w:p>
        <w:p w14:paraId="231A97A4" w14:textId="77777777" w:rsidR="00252A96" w:rsidRDefault="00000000">
          <w:pPr>
            <w:pStyle w:val="TOC2"/>
            <w:tabs>
              <w:tab w:val="right" w:leader="dot" w:pos="9350"/>
            </w:tabs>
            <w:rPr>
              <w:rFonts w:asciiTheme="minorHAnsi" w:eastAsiaTheme="minorEastAsia" w:hAnsiTheme="minorHAnsi" w:cstheme="minorBidi"/>
              <w:kern w:val="2"/>
              <w:lang w:val="en-IN"/>
              <w14:ligatures w14:val="standardContextual"/>
            </w:rPr>
          </w:pPr>
          <w:hyperlink w:anchor="_Toc226383069" w:history="1">
            <w:r>
              <w:rPr>
                <w:rStyle w:val="Hyperlink"/>
                <w:lang w:val="en-GB"/>
              </w:rPr>
              <w:t>Website</w:t>
            </w:r>
            <w:r>
              <w:tab/>
            </w:r>
            <w:r>
              <w:fldChar w:fldCharType="begin"/>
            </w:r>
            <w:r>
              <w:instrText xml:space="preserve"> PAGEREF _Toc226383069 \h </w:instrText>
            </w:r>
            <w:r>
              <w:fldChar w:fldCharType="separate"/>
            </w:r>
            <w:r>
              <w:t>29</w:t>
            </w:r>
            <w:r>
              <w:fldChar w:fldCharType="end"/>
            </w:r>
          </w:hyperlink>
        </w:p>
        <w:p w14:paraId="4E38286C" w14:textId="77777777" w:rsidR="00252A96" w:rsidRDefault="00000000">
          <w:r>
            <w:rPr>
              <w:b/>
              <w:bCs/>
            </w:rPr>
            <w:lastRenderedPageBreak/>
            <w:fldChar w:fldCharType="end"/>
          </w:r>
        </w:p>
      </w:sdtContent>
    </w:sdt>
    <w:p w14:paraId="5B7399C4" w14:textId="77777777" w:rsidR="00252A96" w:rsidRDefault="00000000">
      <w:pPr>
        <w:rPr>
          <w:b/>
          <w:bCs/>
          <w:sz w:val="28"/>
          <w:szCs w:val="28"/>
          <w:lang w:val="en-GB"/>
        </w:rPr>
      </w:pPr>
      <w:r>
        <w:rPr>
          <w:lang w:val="en-GB"/>
        </w:rPr>
        <w:br w:type="page"/>
      </w:r>
    </w:p>
    <w:p w14:paraId="7CDEC892" w14:textId="77777777" w:rsidR="00252A96" w:rsidRDefault="00000000">
      <w:pPr>
        <w:pStyle w:val="Heading1"/>
        <w:rPr>
          <w:color w:val="FF0000"/>
          <w:lang w:val="en-GB"/>
        </w:rPr>
      </w:pPr>
      <w:bookmarkStart w:id="9" w:name="_Toc226383046"/>
      <w:r>
        <w:rPr>
          <w:lang w:val="en-GB"/>
        </w:rPr>
        <w:lastRenderedPageBreak/>
        <w:t>Section 1</w:t>
      </w:r>
      <w:bookmarkEnd w:id="9"/>
    </w:p>
    <w:p w14:paraId="09C1771D" w14:textId="77777777" w:rsidR="00252A96" w:rsidRDefault="00000000">
      <w:pPr>
        <w:pStyle w:val="Heading2"/>
        <w:rPr>
          <w:lang w:val="en-GB"/>
        </w:rPr>
      </w:pPr>
      <w:bookmarkStart w:id="10" w:name="_dza8npk042k4" w:colFirst="0" w:colLast="0"/>
      <w:bookmarkStart w:id="11" w:name="_Toc226383047"/>
      <w:bookmarkEnd w:id="10"/>
      <w:r>
        <w:rPr>
          <w:lang w:val="en-GB"/>
        </w:rPr>
        <w:t>1. Introduction to the report</w:t>
      </w:r>
      <w:bookmarkEnd w:id="11"/>
      <w:r>
        <w:rPr>
          <w:lang w:val="en-GB"/>
        </w:rPr>
        <w:t xml:space="preserve"> </w:t>
      </w:r>
    </w:p>
    <w:p w14:paraId="5E034091" w14:textId="77777777" w:rsidR="00252A96" w:rsidRDefault="00000000">
      <w:pPr>
        <w:rPr>
          <w:lang w:val="en-GB"/>
        </w:rPr>
      </w:pPr>
      <w:r>
        <w:rPr>
          <w:lang w:val="en-GB"/>
        </w:rPr>
        <w:t>Globalisation, technological advancement and the evolving nature of competition in national markets are all factors in international business expansion. This report is a critical analysis of the automobile sector in India, which is among the fastest-growing major automotive markets, with the support of the consumer demand, government industrial policies and foreign direct investment. This task analyses industry structure, key domestic and international firms and the contribution of the industry to the economic progress of India.</w:t>
      </w:r>
    </w:p>
    <w:p w14:paraId="3DD0DAE2" w14:textId="77777777" w:rsidR="00252A96" w:rsidRDefault="00000000">
      <w:pPr>
        <w:rPr>
          <w:lang w:val="en-GB"/>
        </w:rPr>
      </w:pPr>
      <w:r>
        <w:rPr>
          <w:lang w:val="en-GB"/>
        </w:rPr>
        <w:t>Moreover, the report uses Porter's Diamond Model to evaluate the competitiveness of the Indian automobile industry globally through an analysis of factor conditions, demand conditions and supporting industries. The analysis also focuses on Hyundai Motor Company as a major foreign multinational operating in India, evaluating the market attractiveness and macro-environmental factors affecting its performance. Overall, the report provides a critical assessment of India’s automobile sector as an attractive but highly competitive international business environment.</w:t>
      </w:r>
    </w:p>
    <w:p w14:paraId="1069F2A3" w14:textId="77777777" w:rsidR="00252A96" w:rsidRDefault="00000000">
      <w:pPr>
        <w:pStyle w:val="Heading2"/>
        <w:rPr>
          <w:lang w:val="en-GB"/>
        </w:rPr>
      </w:pPr>
      <w:bookmarkStart w:id="12" w:name="_5cbqvn36zlob" w:colFirst="0" w:colLast="0"/>
      <w:bookmarkStart w:id="13" w:name="_Toc226383048"/>
      <w:bookmarkEnd w:id="12"/>
      <w:r>
        <w:rPr>
          <w:lang w:val="en-GB"/>
        </w:rPr>
        <w:t>2. Industry and Country Overview</w:t>
      </w:r>
      <w:bookmarkEnd w:id="13"/>
      <w:r>
        <w:rPr>
          <w:lang w:val="en-GB"/>
        </w:rPr>
        <w:t xml:space="preserve"> </w:t>
      </w:r>
    </w:p>
    <w:p w14:paraId="4B8E0538" w14:textId="77777777" w:rsidR="00252A96" w:rsidRDefault="00000000">
      <w:pPr>
        <w:pStyle w:val="Heading3"/>
        <w:rPr>
          <w:lang w:val="en-GB"/>
        </w:rPr>
      </w:pPr>
      <w:bookmarkStart w:id="14" w:name="_s74v9lz6v3p1" w:colFirst="0" w:colLast="0"/>
      <w:bookmarkStart w:id="15" w:name="_Toc226383049"/>
      <w:bookmarkEnd w:id="14"/>
      <w:r>
        <w:rPr>
          <w:lang w:val="en-GB"/>
        </w:rPr>
        <w:t>2.1 Introduction to the Industry in the Selected Country</w:t>
      </w:r>
      <w:bookmarkEnd w:id="15"/>
    </w:p>
    <w:p w14:paraId="226B236A" w14:textId="77777777" w:rsidR="00252A96" w:rsidRDefault="00000000">
      <w:pPr>
        <w:rPr>
          <w:lang w:val="en-GB"/>
        </w:rPr>
      </w:pPr>
      <w:r>
        <w:rPr>
          <w:lang w:val="en-GB"/>
        </w:rPr>
        <w:t xml:space="preserve">The automobile industry in India is one of the most vibrant sectors of the manufacturing sector of the Indian economy and a major centre of industrial development, technological advancement, and integration into global trade (Tripathy and Dastrala, 2023). India is now the fourth-largest automobile maker in the world with the help of high domestic demand, growing standards of income, and infrastructure development. The industry encompasses a broad industrial ecosystem of passenger, commercial, two-wheelers, three-wheelers and auto components with domestic and export markets (Ghosh </w:t>
      </w:r>
      <w:r>
        <w:rPr>
          <w:i/>
          <w:iCs/>
          <w:lang w:val="en-GB"/>
        </w:rPr>
        <w:t xml:space="preserve">et al., </w:t>
      </w:r>
      <w:r>
        <w:rPr>
          <w:lang w:val="en-GB"/>
        </w:rPr>
        <w:t>2022). The Indian market is unique due to the prevalence of two-wheelers, given the country's affordability and the high number of middle-income earners.</w:t>
      </w:r>
    </w:p>
    <w:p w14:paraId="033A6CD5" w14:textId="77777777" w:rsidR="00252A96" w:rsidRDefault="00000000">
      <w:pPr>
        <w:jc w:val="center"/>
        <w:rPr>
          <w:lang w:val="en-GB"/>
        </w:rPr>
      </w:pPr>
      <w:r>
        <w:rPr>
          <w:noProof/>
          <w:lang w:val="en-GB"/>
        </w:rPr>
        <w:lastRenderedPageBreak/>
        <w:drawing>
          <wp:inline distT="114300" distB="114300" distL="114300" distR="114300" wp14:anchorId="23334660" wp14:editId="011F98F6">
            <wp:extent cx="4848225" cy="2657475"/>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7"/>
                    <a:srcRect/>
                    <a:stretch>
                      <a:fillRect/>
                    </a:stretch>
                  </pic:blipFill>
                  <pic:spPr>
                    <a:xfrm>
                      <a:off x="0" y="0"/>
                      <a:ext cx="4848225" cy="2657475"/>
                    </a:xfrm>
                    <a:prstGeom prst="rect">
                      <a:avLst/>
                    </a:prstGeom>
                    <a:ln w="25400">
                      <a:solidFill>
                        <a:srgbClr val="000000"/>
                      </a:solidFill>
                      <a:prstDash val="solid"/>
                    </a:ln>
                  </pic:spPr>
                </pic:pic>
              </a:graphicData>
            </a:graphic>
          </wp:inline>
        </w:drawing>
      </w:r>
    </w:p>
    <w:p w14:paraId="736DDA41" w14:textId="77777777" w:rsidR="00252A96" w:rsidRDefault="00000000">
      <w:pPr>
        <w:jc w:val="center"/>
        <w:rPr>
          <w:b/>
          <w:bCs/>
          <w:lang w:val="en-GB"/>
        </w:rPr>
      </w:pPr>
      <w:r>
        <w:rPr>
          <w:b/>
          <w:bCs/>
          <w:lang w:val="en-GB"/>
        </w:rPr>
        <w:t>Figure 1: India Automotive Market Size &amp; Trends</w:t>
      </w:r>
    </w:p>
    <w:p w14:paraId="585AD644" w14:textId="77777777" w:rsidR="00252A96" w:rsidRDefault="00000000">
      <w:pPr>
        <w:jc w:val="center"/>
        <w:rPr>
          <w:lang w:val="en-GB"/>
        </w:rPr>
      </w:pPr>
      <w:r>
        <w:rPr>
          <w:lang w:val="en-GB"/>
        </w:rPr>
        <w:t>(Source: Grand View Research, 2026)</w:t>
      </w:r>
    </w:p>
    <w:p w14:paraId="2FDAD9C7" w14:textId="77777777" w:rsidR="00252A96" w:rsidRDefault="00000000">
      <w:pPr>
        <w:rPr>
          <w:lang w:val="en-GB"/>
        </w:rPr>
      </w:pPr>
      <w:r>
        <w:rPr>
          <w:lang w:val="en-GB"/>
        </w:rPr>
        <w:t xml:space="preserve">The abundance of population in India, increased urbanisation, and policies by the government to promote manufacturing in India through the initiative named Make in India, and electric mobility have further intensified the strategic significance of the industry. Electric vehicles (EVs), new regulations on emissions and new digital technology in manufacturing are also changing the sector structure (Deshwal </w:t>
      </w:r>
      <w:r>
        <w:rPr>
          <w:i/>
          <w:iCs/>
          <w:lang w:val="en-GB"/>
        </w:rPr>
        <w:t>et al.</w:t>
      </w:r>
      <w:r>
        <w:rPr>
          <w:lang w:val="en-GB"/>
        </w:rPr>
        <w:t xml:space="preserve">, 2022). Moreover, core industries like steel, rubber, electronics, information technology and logistics are closely related to the automobile sector in India, which makes it one of the primary contributors to the industry value chain. </w:t>
      </w:r>
    </w:p>
    <w:p w14:paraId="79E1706B" w14:textId="77777777" w:rsidR="00252A96" w:rsidRDefault="00000000">
      <w:pPr>
        <w:rPr>
          <w:lang w:val="en-GB"/>
        </w:rPr>
      </w:pPr>
      <w:r>
        <w:rPr>
          <w:lang w:val="en-GB"/>
        </w:rPr>
        <w:t>The Indian car industry could be defined as a fast-growing, technologically-driven sector, which can be seen as a mirror of the peculiarities of consumption in the country, as well as the integration of India into the automobile manufacturing chains all over the world (Tripathi and Talukder, 2023).</w:t>
      </w:r>
    </w:p>
    <w:p w14:paraId="58A2C3DD" w14:textId="77777777" w:rsidR="00252A96" w:rsidRDefault="00000000">
      <w:pPr>
        <w:pStyle w:val="Heading3"/>
        <w:rPr>
          <w:lang w:val="en-GB"/>
        </w:rPr>
      </w:pPr>
      <w:bookmarkStart w:id="16" w:name="_zgkido20rdwn" w:colFirst="0" w:colLast="0"/>
      <w:bookmarkStart w:id="17" w:name="_Toc226383050"/>
      <w:bookmarkEnd w:id="16"/>
      <w:r>
        <w:rPr>
          <w:lang w:val="en-GB"/>
        </w:rPr>
        <w:t>2.2 Size, Scope and Economic Importance</w:t>
      </w:r>
      <w:bookmarkEnd w:id="17"/>
    </w:p>
    <w:p w14:paraId="7740CD06" w14:textId="77777777" w:rsidR="00252A96" w:rsidRDefault="00000000">
      <w:pPr>
        <w:rPr>
          <w:lang w:val="en-GB"/>
        </w:rPr>
      </w:pPr>
      <w:r>
        <w:rPr>
          <w:lang w:val="en-GB"/>
        </w:rPr>
        <w:t xml:space="preserve">The output, employment, exports and growth of manufacturing volume of the automobile industry make a significant contribution to the national economy in India. The industry is of critical economic importance to India, given that its share in the GDP is estimated at 7.1%, and its share in manufacturing GDP is estimated at 49% of the GDP (Business </w:t>
      </w:r>
      <w:r>
        <w:rPr>
          <w:lang w:val="en-GB"/>
        </w:rPr>
        <w:lastRenderedPageBreak/>
        <w:t>Standard, 2026a). Indicatively, India produced over 31 million vehicles in all types in the financial year 2024-25, which shows how huge the industrial potential of the sector is (The Economic Times, 2026). Domestic sales are also robust as it has more than 4.3 million units of sales on passenger vehicles, which shows that there are constant buyers (IBEF, 2026b).</w:t>
      </w:r>
    </w:p>
    <w:p w14:paraId="0C0653EC" w14:textId="77777777" w:rsidR="00252A96" w:rsidRDefault="00000000">
      <w:pPr>
        <w:jc w:val="center"/>
        <w:rPr>
          <w:lang w:val="en-GB"/>
        </w:rPr>
      </w:pPr>
      <w:r>
        <w:rPr>
          <w:noProof/>
          <w:lang w:val="en-GB"/>
        </w:rPr>
        <w:drawing>
          <wp:inline distT="114300" distB="114300" distL="114300" distR="114300" wp14:anchorId="343BBECE" wp14:editId="7313A978">
            <wp:extent cx="5331460" cy="366522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5332073" cy="3665240"/>
                    </a:xfrm>
                    <a:prstGeom prst="rect">
                      <a:avLst/>
                    </a:prstGeom>
                    <a:ln w="25400">
                      <a:solidFill>
                        <a:srgbClr val="000000"/>
                      </a:solidFill>
                      <a:prstDash val="solid"/>
                    </a:ln>
                  </pic:spPr>
                </pic:pic>
              </a:graphicData>
            </a:graphic>
          </wp:inline>
        </w:drawing>
      </w:r>
    </w:p>
    <w:p w14:paraId="69CE3835" w14:textId="77777777" w:rsidR="00252A96" w:rsidRDefault="00000000">
      <w:pPr>
        <w:jc w:val="center"/>
        <w:rPr>
          <w:b/>
          <w:bCs/>
          <w:lang w:val="en-GB"/>
        </w:rPr>
      </w:pPr>
      <w:r>
        <w:rPr>
          <w:b/>
          <w:bCs/>
          <w:lang w:val="en-GB"/>
        </w:rPr>
        <w:t>Figure 2: Automotive Market in India as per Vehicle Companies and Type of Vehicles</w:t>
      </w:r>
    </w:p>
    <w:p w14:paraId="274F414A" w14:textId="77777777" w:rsidR="00252A96" w:rsidRDefault="00000000">
      <w:pPr>
        <w:jc w:val="center"/>
        <w:rPr>
          <w:lang w:val="en-GB"/>
        </w:rPr>
      </w:pPr>
      <w:r>
        <w:rPr>
          <w:lang w:val="en-GB"/>
        </w:rPr>
        <w:t>(Source: Maximise Market Research, 2026)</w:t>
      </w:r>
    </w:p>
    <w:p w14:paraId="26888D46" w14:textId="77777777" w:rsidR="00252A96" w:rsidRDefault="00000000">
      <w:pPr>
        <w:rPr>
          <w:lang w:val="en-GB"/>
        </w:rPr>
      </w:pPr>
      <w:r>
        <w:rPr>
          <w:lang w:val="en-GB"/>
        </w:rPr>
        <w:t xml:space="preserve">Employment is also greatly affected in the industry, where the industry is able to create about 30 million direct and indirect jobs within manufacturing, sales, servicing, logistics and component supply chains (KPMG, 2026). This has put the automobile industry as one of the biggest sources of employment in the industrial economy of India. In a global sense, the industry has huge export levels with about 8% of the overall exports made by India and ships millions of autos each year to markets in Africa, Latin America and Asia (The Economic Times, 2026a). The industry is also growing in the emerging areas like </w:t>
      </w:r>
      <w:r>
        <w:rPr>
          <w:lang w:val="en-GB"/>
        </w:rPr>
        <w:lastRenderedPageBreak/>
        <w:t xml:space="preserve">electric cars, whereby the potential in the industry is projected to reach over US$200 billion by 2030 (EY, 2026a). </w:t>
      </w:r>
    </w:p>
    <w:p w14:paraId="5FA084A7" w14:textId="77777777" w:rsidR="00252A96" w:rsidRDefault="00000000">
      <w:pPr>
        <w:rPr>
          <w:lang w:val="en-GB"/>
        </w:rPr>
      </w:pPr>
      <w:r>
        <w:rPr>
          <w:lang w:val="en-GB"/>
        </w:rPr>
        <w:t>This implies a high potential for growth in the future associated with sustainability transitions and clean mobility plans. Consequently, the automobile industry represents a manufacturing sector but also one of the strategic supporting pillars capable of fostering economic growth of India, the creation of employment and competitiveness in exports (Rahman and Acharya, 2022).</w:t>
      </w:r>
    </w:p>
    <w:p w14:paraId="2C0DECC9" w14:textId="77777777" w:rsidR="00252A96" w:rsidRDefault="00000000">
      <w:pPr>
        <w:pStyle w:val="Heading3"/>
        <w:rPr>
          <w:lang w:val="en-GB"/>
        </w:rPr>
      </w:pPr>
      <w:bookmarkStart w:id="18" w:name="_s906sml5hn5g" w:colFirst="0" w:colLast="0"/>
      <w:bookmarkStart w:id="19" w:name="_Toc226383051"/>
      <w:bookmarkEnd w:id="18"/>
      <w:r>
        <w:rPr>
          <w:lang w:val="en-GB"/>
        </w:rPr>
        <w:t>2.3 Key Industry Players and Competitive Positioning</w:t>
      </w:r>
      <w:bookmarkEnd w:id="19"/>
    </w:p>
    <w:p w14:paraId="2D41A700" w14:textId="77777777" w:rsidR="00252A96" w:rsidRDefault="00000000">
      <w:pPr>
        <w:rPr>
          <w:lang w:val="en-GB"/>
        </w:rPr>
      </w:pPr>
      <w:r>
        <w:rPr>
          <w:lang w:val="en-GB"/>
        </w:rPr>
        <w:t xml:space="preserve">Competition in the Indian automobile industry is very stiff, and both the local companies and the multinational companies compete in various market segments based on pricing policy, innovation and distribution power (Pangarkar and Prabhudesai, 2024). Domestically based companies like </w:t>
      </w:r>
      <w:r>
        <w:rPr>
          <w:b/>
          <w:bCs/>
          <w:i/>
          <w:iCs/>
          <w:lang w:val="en-GB"/>
        </w:rPr>
        <w:t>Maruti Suzuki, Tata Motors and Mahindra and Mahindra</w:t>
      </w:r>
      <w:r>
        <w:rPr>
          <w:lang w:val="en-GB"/>
        </w:rPr>
        <w:t xml:space="preserve"> control the passenger vehicle market, with multinationals such as </w:t>
      </w:r>
      <w:r>
        <w:rPr>
          <w:b/>
          <w:bCs/>
          <w:i/>
          <w:iCs/>
          <w:lang w:val="en-GB"/>
        </w:rPr>
        <w:t>Hyundai, Toyota, Honda and Kia holding</w:t>
      </w:r>
      <w:r>
        <w:rPr>
          <w:lang w:val="en-GB"/>
        </w:rPr>
        <w:t xml:space="preserve"> very strong competition positions. Marut Suzuki continues to dominate the market with about 40% market share in the passenger car segment due to excellent distribution network, low-priced product range and good brand loyalty (Statista, 2026). Tata Motors and Mahindra Motors have solidified their stances with SUV lines and investment in electric vehicle tech.</w:t>
      </w:r>
    </w:p>
    <w:p w14:paraId="4AB06585" w14:textId="77777777" w:rsidR="00252A96" w:rsidRDefault="00000000">
      <w:pPr>
        <w:rPr>
          <w:lang w:val="en-GB"/>
        </w:rPr>
      </w:pPr>
      <w:r>
        <w:rPr>
          <w:lang w:val="en-GB"/>
        </w:rPr>
        <w:t xml:space="preserve">Hyundai is one of the most successful foreign multi-national actors that have remained strong with their product differentiation, design innovation and premium positioning strategies. On the one hand, Toyota and Kia are oriented to the positioning of quality and technology-based differentiation within certain segments of the market. Changes to electric mobility and sustainability also influence competition in the sector, with companies like Tata Motors already enjoying early mover benefits in EV uptakes, and multinational companies exploiting technological strengths to entrench their long-term competitive positions (Li </w:t>
      </w:r>
      <w:r>
        <w:rPr>
          <w:i/>
          <w:iCs/>
          <w:lang w:val="en-GB"/>
        </w:rPr>
        <w:t>et al.,</w:t>
      </w:r>
      <w:r>
        <w:rPr>
          <w:lang w:val="en-GB"/>
        </w:rPr>
        <w:t xml:space="preserve"> 2024). The competitive positioning in the Indian automobile industry depends on the mass segments with cost leadership, product innovation of SUVs and EVs.</w:t>
      </w:r>
    </w:p>
    <w:p w14:paraId="6C3373D5" w14:textId="77777777" w:rsidR="00252A96" w:rsidRDefault="00000000">
      <w:pPr>
        <w:pStyle w:val="Heading2"/>
        <w:rPr>
          <w:lang w:val="en-GB"/>
        </w:rPr>
      </w:pPr>
      <w:bookmarkStart w:id="20" w:name="_prxo0w3s2815" w:colFirst="0" w:colLast="0"/>
      <w:bookmarkStart w:id="21" w:name="_Toc226383052"/>
      <w:bookmarkEnd w:id="20"/>
      <w:r>
        <w:rPr>
          <w:lang w:val="en-GB"/>
        </w:rPr>
        <w:lastRenderedPageBreak/>
        <w:t>3. Analysis Using Porter’s Diamond Model of National Advantage</w:t>
      </w:r>
      <w:bookmarkEnd w:id="21"/>
      <w:r>
        <w:rPr>
          <w:lang w:val="en-GB"/>
        </w:rPr>
        <w:t xml:space="preserve"> </w:t>
      </w:r>
    </w:p>
    <w:p w14:paraId="0CEFAE64" w14:textId="77777777" w:rsidR="00252A96" w:rsidRDefault="00000000">
      <w:pPr>
        <w:pStyle w:val="Heading3"/>
        <w:rPr>
          <w:lang w:val="en-GB"/>
        </w:rPr>
      </w:pPr>
      <w:bookmarkStart w:id="22" w:name="_6lxx3rbz2oq0" w:colFirst="0" w:colLast="0"/>
      <w:bookmarkStart w:id="23" w:name="_Toc226383053"/>
      <w:bookmarkEnd w:id="22"/>
      <w:r>
        <w:rPr>
          <w:lang w:val="en-GB"/>
        </w:rPr>
        <w:t>3.1 Overview of Porter’s Diamond Model</w:t>
      </w:r>
      <w:bookmarkEnd w:id="23"/>
    </w:p>
    <w:p w14:paraId="6201D71E" w14:textId="77777777" w:rsidR="00252A96" w:rsidRDefault="00000000">
      <w:pPr>
        <w:rPr>
          <w:lang w:val="en-GB"/>
        </w:rPr>
      </w:pPr>
      <w:r>
        <w:rPr>
          <w:lang w:val="en-GB"/>
        </w:rPr>
        <w:t xml:space="preserve">The Porter's Diamond Model was formulated by Michael Porter and describes the influence of national competitive advantage using four determinants that are interconnected: factor conditions, demand conditions, related and supporting industries and firm strategy, structure and rivalry (Butt </w:t>
      </w:r>
      <w:r>
        <w:rPr>
          <w:i/>
          <w:iCs/>
          <w:lang w:val="en-GB"/>
        </w:rPr>
        <w:t xml:space="preserve">et al., </w:t>
      </w:r>
      <w:r>
        <w:rPr>
          <w:lang w:val="en-GB"/>
        </w:rPr>
        <w:t xml:space="preserve">2023). The model has been applied extensively to assess the ways in which countries build globally competitive industries using their local capacities instead of merely using available natural resources. Applied to the Indian automobile industry, the model assists in clarifying how manufacturing capacities, local market demand, and supplier chains are. </w:t>
      </w:r>
    </w:p>
    <w:p w14:paraId="7BA67ADA" w14:textId="77777777" w:rsidR="00252A96" w:rsidRDefault="00000000">
      <w:pPr>
        <w:rPr>
          <w:b/>
          <w:bCs/>
          <w:i/>
          <w:iCs/>
          <w:lang w:val="en-GB"/>
        </w:rPr>
      </w:pPr>
      <w:r>
        <w:rPr>
          <w:b/>
          <w:bCs/>
          <w:i/>
          <w:iCs/>
          <w:lang w:val="en-GB"/>
        </w:rPr>
        <w:t>Factor Conditions</w:t>
      </w:r>
    </w:p>
    <w:p w14:paraId="3CC3FF0C" w14:textId="77777777" w:rsidR="00252A96" w:rsidRDefault="00000000">
      <w:pPr>
        <w:rPr>
          <w:lang w:val="en-GB"/>
        </w:rPr>
      </w:pPr>
      <w:r>
        <w:rPr>
          <w:lang w:val="en-GB"/>
        </w:rPr>
        <w:t xml:space="preserve">Factor conditions include access to skilled labour, infrastructure, technology and capital that facilitate industrial competitiveness. India has the advantage of a high technical labour force, comparatively lower manufacturing rates and growing industrial infrastructure like car hubs in Chennai, Pune, and Gujarat. Technological capabilities are also reinforced by government schemes like the Production Linked Incentive (PLI) plan and EV (Ahmad and Bilal, 2023). In FY2025, India manufactured above 31 million vehicles, which speaks of high manufacturing. </w:t>
      </w:r>
    </w:p>
    <w:p w14:paraId="461C40F5" w14:textId="77777777" w:rsidR="00252A96" w:rsidRDefault="00000000">
      <w:pPr>
        <w:rPr>
          <w:b/>
          <w:bCs/>
          <w:i/>
          <w:iCs/>
          <w:lang w:val="en-GB"/>
        </w:rPr>
      </w:pPr>
      <w:r>
        <w:rPr>
          <w:b/>
          <w:bCs/>
          <w:i/>
          <w:iCs/>
          <w:lang w:val="en-GB"/>
        </w:rPr>
        <w:t>Demand Conditions</w:t>
      </w:r>
    </w:p>
    <w:p w14:paraId="44F4C96D" w14:textId="77777777" w:rsidR="00252A96" w:rsidRDefault="00000000">
      <w:pPr>
        <w:rPr>
          <w:lang w:val="en-GB"/>
        </w:rPr>
      </w:pPr>
      <w:r>
        <w:rPr>
          <w:lang w:val="en-GB"/>
        </w:rPr>
        <w:t xml:space="preserve">The nature and the scale of the domestic market are concerned with demand conditions. The sheer population and the emerging middle-class in India offer a big domestic demand of low-price passenger and two-wheelers. The domestic two-wheeler sales alone were approximately 19.6 million units in 2025, only reflecting the magnitude of the internal demand (The Economic Times, 2026b). There are also shifting tastes in the domestic market towards SUVs and electric vehicles that promote innovation and product diversification. Market dynamism is further evident in the strong domestic sales of above 23 lakh vehicles in February 2026, which is almost 30% growth per annum (The Economic Times, 2026c). </w:t>
      </w:r>
    </w:p>
    <w:p w14:paraId="7DE02CF1" w14:textId="77777777" w:rsidR="00252A96" w:rsidRDefault="00000000">
      <w:pPr>
        <w:jc w:val="center"/>
        <w:rPr>
          <w:lang w:val="en-GB"/>
        </w:rPr>
      </w:pPr>
      <w:r>
        <w:rPr>
          <w:noProof/>
          <w:lang w:val="en-GB"/>
        </w:rPr>
        <w:lastRenderedPageBreak/>
        <w:drawing>
          <wp:inline distT="114300" distB="114300" distL="114300" distR="114300" wp14:anchorId="5459549F" wp14:editId="021028EA">
            <wp:extent cx="5177155" cy="404876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referRelativeResize="0"/>
                  </pic:nvPicPr>
                  <pic:blipFill>
                    <a:blip r:embed="rId9"/>
                    <a:srcRect/>
                    <a:stretch>
                      <a:fillRect/>
                    </a:stretch>
                  </pic:blipFill>
                  <pic:spPr>
                    <a:xfrm>
                      <a:off x="0" y="0"/>
                      <a:ext cx="5177243" cy="4048869"/>
                    </a:xfrm>
                    <a:prstGeom prst="rect">
                      <a:avLst/>
                    </a:prstGeom>
                    <a:ln w="25400">
                      <a:solidFill>
                        <a:srgbClr val="000000"/>
                      </a:solidFill>
                      <a:prstDash val="solid"/>
                    </a:ln>
                  </pic:spPr>
                </pic:pic>
              </a:graphicData>
            </a:graphic>
          </wp:inline>
        </w:drawing>
      </w:r>
    </w:p>
    <w:p w14:paraId="1C290B4B" w14:textId="77777777" w:rsidR="00252A96" w:rsidRDefault="00000000">
      <w:pPr>
        <w:jc w:val="center"/>
        <w:rPr>
          <w:b/>
          <w:bCs/>
          <w:lang w:val="en-GB"/>
        </w:rPr>
      </w:pPr>
      <w:r>
        <w:rPr>
          <w:b/>
          <w:bCs/>
          <w:lang w:val="en-GB"/>
        </w:rPr>
        <w:t>Figure 3: Porter Diamond Model</w:t>
      </w:r>
    </w:p>
    <w:p w14:paraId="6DA30BE4" w14:textId="77777777" w:rsidR="00252A96" w:rsidRDefault="00000000">
      <w:pPr>
        <w:jc w:val="center"/>
        <w:rPr>
          <w:lang w:val="en-GB"/>
        </w:rPr>
      </w:pPr>
      <w:r>
        <w:rPr>
          <w:lang w:val="en-GB"/>
        </w:rPr>
        <w:t>(Source: Expert Program Management, 2026)</w:t>
      </w:r>
    </w:p>
    <w:p w14:paraId="230C2D41" w14:textId="77777777" w:rsidR="00252A96" w:rsidRDefault="00000000">
      <w:pPr>
        <w:rPr>
          <w:b/>
          <w:bCs/>
          <w:i/>
          <w:iCs/>
          <w:lang w:val="en-GB"/>
        </w:rPr>
      </w:pPr>
      <w:r>
        <w:rPr>
          <w:b/>
          <w:bCs/>
          <w:i/>
          <w:iCs/>
          <w:lang w:val="en-GB"/>
        </w:rPr>
        <w:t>Related and Supporting Industries</w:t>
      </w:r>
    </w:p>
    <w:p w14:paraId="2530E12B" w14:textId="77777777" w:rsidR="00252A96" w:rsidRDefault="00000000">
      <w:pPr>
        <w:rPr>
          <w:lang w:val="en-GB"/>
        </w:rPr>
      </w:pPr>
      <w:r>
        <w:rPr>
          <w:lang w:val="en-GB"/>
        </w:rPr>
        <w:t xml:space="preserve">A good network of component manufacturers, steel manufacturers, battery manufacturers and logistics providers enhances automobile competitiveness in India. By 2030, the opportunity presented by the EV ecosystem alone will be a US $206 billion, which means that it has strong industrial connections (EY, 2026). Enhanced cost efficiency and supply chain integration are backed by the existence of a big auto component and an increasing EV battery ecosystem. Moreover, major manufacturers have enhanced efficiency and limited import-dependence by localisation strategies and supplier development programmes. </w:t>
      </w:r>
    </w:p>
    <w:p w14:paraId="5F3AFE32" w14:textId="77777777" w:rsidR="00252A96" w:rsidRDefault="00000000">
      <w:pPr>
        <w:rPr>
          <w:b/>
          <w:bCs/>
          <w:i/>
          <w:iCs/>
          <w:lang w:val="en-GB"/>
        </w:rPr>
      </w:pPr>
      <w:r>
        <w:rPr>
          <w:b/>
          <w:bCs/>
          <w:i/>
          <w:iCs/>
          <w:lang w:val="en-GB"/>
        </w:rPr>
        <w:t>Firm Strategy, Structure and Rivalry</w:t>
      </w:r>
    </w:p>
    <w:p w14:paraId="75369A41" w14:textId="77777777" w:rsidR="00252A96" w:rsidRDefault="00000000">
      <w:pPr>
        <w:rPr>
          <w:lang w:val="en-GB"/>
        </w:rPr>
      </w:pPr>
      <w:r>
        <w:rPr>
          <w:lang w:val="en-GB"/>
        </w:rPr>
        <w:t xml:space="preserve">Intense internal rivalry among companies like Maruti Suzuki, Tata Motors, Mahindra, Hyundai and Kia have promoted efficiency, innovation and market segment strategies (Ramachandran and Chandramohan, 2024). Competitive rivalry puts pressure on firms </w:t>
      </w:r>
      <w:r>
        <w:rPr>
          <w:lang w:val="en-GB"/>
        </w:rPr>
        <w:lastRenderedPageBreak/>
        <w:t xml:space="preserve">to concentrate on cost leadership, product differentiation and export expansion. The export of automobiles in India rose by 24% in 2025, meaning that the industry was paying more attention to the world (IBEF, 2026). Multinational firms also have the effect of enhancing technology transfer and management capabilities. </w:t>
      </w:r>
    </w:p>
    <w:p w14:paraId="4AC8A480" w14:textId="77777777" w:rsidR="00252A96" w:rsidRDefault="00000000">
      <w:pPr>
        <w:pStyle w:val="Heading3"/>
        <w:rPr>
          <w:lang w:val="en-GB"/>
        </w:rPr>
      </w:pPr>
      <w:bookmarkStart w:id="24" w:name="_k86jmzm8huun" w:colFirst="0" w:colLast="0"/>
      <w:bookmarkStart w:id="25" w:name="_Toc226383054"/>
      <w:bookmarkEnd w:id="24"/>
      <w:r>
        <w:rPr>
          <w:lang w:val="en-GB"/>
        </w:rPr>
        <w:t>3.2 Overall Evaluation of Global Competitiveness</w:t>
      </w:r>
      <w:bookmarkEnd w:id="25"/>
      <w:r>
        <w:rPr>
          <w:lang w:val="en-GB"/>
        </w:rPr>
        <w:t xml:space="preserve"> </w:t>
      </w:r>
    </w:p>
    <w:p w14:paraId="0E5BAA21" w14:textId="77777777" w:rsidR="00252A96" w:rsidRDefault="00000000">
      <w:pPr>
        <w:rPr>
          <w:lang w:val="en-GB"/>
        </w:rPr>
      </w:pPr>
      <w:r>
        <w:rPr>
          <w:lang w:val="en-GB"/>
        </w:rPr>
        <w:t xml:space="preserve">Using the Diamond Model of Porter, it can be seen that the automobile industry in India holds good grounds for global competitiveness (Sheikhar and Bhat, 2026).  They have backed up through the scale of production, through domestic demand, through the supplier ecosystem and firm behaviour. The sector is also key to manufacturing production and exports, whereby there is a growth of its exports by 24% in 2025 due to the production of quality products and growth in the international market (IBEF, 2026a). India ranks as one of the biggest producers of automobiles in the world, top in categories like two-wheelers, tractors and small passenger vehicles, which indicates good industrial capacities. </w:t>
      </w:r>
    </w:p>
    <w:p w14:paraId="6D9A6F7B" w14:textId="77777777" w:rsidR="00252A96" w:rsidRDefault="00000000">
      <w:pPr>
        <w:rPr>
          <w:lang w:val="en-GB"/>
        </w:rPr>
      </w:pPr>
      <w:r>
        <w:rPr>
          <w:lang w:val="en-GB"/>
        </w:rPr>
        <w:t xml:space="preserve">On the demand side, urbanisation, increased disposable income and improved infrastructure in India remain a support to long-term automotive demand. Meanwhile, a shift in the i-ii direction toward green mobility and environmentally friendly transport opens up new competitive possibilities. The industrial policy, emission regulations, and EV incentives by the government also reinforce the global position, as it fosters the sustainability transitions and innovation (Prabhakar, 2024). Although these are the strengths, the competitiveness suffers from some structural weaknesses. The lack of infrastructure, reliance on imported high-tech parts, unstable fuel costs and regulatory uncertainty may pose operational risks to manufacturers. </w:t>
      </w:r>
    </w:p>
    <w:p w14:paraId="58B3A410" w14:textId="77777777" w:rsidR="00252A96" w:rsidRDefault="00000000">
      <w:pPr>
        <w:rPr>
          <w:lang w:val="en-GB"/>
        </w:rPr>
      </w:pPr>
      <w:r>
        <w:rPr>
          <w:lang w:val="en-GB"/>
        </w:rPr>
        <w:t xml:space="preserve">Besides, international competition by other nations like the Chinese, Japanese and Germans means that there should be unending innovations and production advancements. Generally, the Porter Diamond analysis reveals that India has good comparative advantages over cost-effective production, domestic market size and supplier network, which collectively facilitate its competitiveness globally in the automobile market (Monye </w:t>
      </w:r>
      <w:r>
        <w:rPr>
          <w:i/>
          <w:iCs/>
          <w:lang w:val="en-GB"/>
        </w:rPr>
        <w:t>et al.,</w:t>
      </w:r>
      <w:r>
        <w:rPr>
          <w:lang w:val="en-GB"/>
        </w:rPr>
        <w:t xml:space="preserve"> 2023).  But to maintain this position, future investment </w:t>
      </w:r>
      <w:r>
        <w:rPr>
          <w:lang w:val="en-GB"/>
        </w:rPr>
        <w:lastRenderedPageBreak/>
        <w:t xml:space="preserve">in innovation, EV technologies, infrastructure and integrations of the global supply chains will be required. </w:t>
      </w:r>
    </w:p>
    <w:p w14:paraId="7EA9E6AE" w14:textId="77777777" w:rsidR="00252A96" w:rsidRDefault="00000000">
      <w:pPr>
        <w:pStyle w:val="Heading2"/>
        <w:rPr>
          <w:lang w:val="en-GB"/>
        </w:rPr>
      </w:pPr>
      <w:bookmarkStart w:id="26" w:name="_shfx2oat9l9a" w:colFirst="0" w:colLast="0"/>
      <w:bookmarkStart w:id="27" w:name="_Toc226383055"/>
      <w:bookmarkEnd w:id="26"/>
      <w:r>
        <w:rPr>
          <w:lang w:val="en-GB"/>
        </w:rPr>
        <w:t>4. Evaluation of a Foreign MNC Operating in the Industry</w:t>
      </w:r>
      <w:bookmarkEnd w:id="27"/>
    </w:p>
    <w:p w14:paraId="57039E7D" w14:textId="77777777" w:rsidR="00252A96" w:rsidRDefault="00000000">
      <w:pPr>
        <w:pStyle w:val="Heading3"/>
        <w:rPr>
          <w:lang w:val="en-GB"/>
        </w:rPr>
      </w:pPr>
      <w:bookmarkStart w:id="28" w:name="_mmti594a5rdd" w:colFirst="0" w:colLast="0"/>
      <w:bookmarkStart w:id="29" w:name="_Toc226383056"/>
      <w:bookmarkEnd w:id="28"/>
      <w:r>
        <w:rPr>
          <w:lang w:val="en-GB"/>
        </w:rPr>
        <w:t>4.1 Introduction to the Selected MNC</w:t>
      </w:r>
      <w:bookmarkEnd w:id="29"/>
    </w:p>
    <w:p w14:paraId="40E41639" w14:textId="77777777" w:rsidR="00252A96" w:rsidRDefault="00000000">
      <w:pPr>
        <w:rPr>
          <w:lang w:val="en-GB"/>
        </w:rPr>
      </w:pPr>
      <w:r>
        <w:rPr>
          <w:lang w:val="en-GB"/>
        </w:rPr>
        <w:t xml:space="preserve">The </w:t>
      </w:r>
      <w:r>
        <w:rPr>
          <w:b/>
          <w:bCs/>
          <w:i/>
          <w:iCs/>
          <w:lang w:val="en-GB"/>
        </w:rPr>
        <w:t xml:space="preserve">Hyundai Motor Company </w:t>
      </w:r>
      <w:r>
        <w:rPr>
          <w:lang w:val="en-GB"/>
        </w:rPr>
        <w:t xml:space="preserve">is a major foreign multinational company with a subsidiary called Hyundai Motor India Limited established in India motor industry. The company was born in India in 1996 and has established good manufacturing capacities, a few big plants in Chennai and a dealer network of over 1,300 sales outlets (Hyundai, 2026). Historically, Hyundai has been one of the leading names in the passenger car manufacturers in India after Maruti Suzuki India Limited, with the largest market share. India is one of the key countries where Hyundai can achieve expansion due to its current contribution of approximately 14% of the global sales in 2025, exhibiting why India is a significant element of the global expansion strategies (The Times of India, 2026). </w:t>
      </w:r>
    </w:p>
    <w:p w14:paraId="0935695E" w14:textId="77777777" w:rsidR="00252A96" w:rsidRDefault="00000000">
      <w:pPr>
        <w:rPr>
          <w:lang w:val="en-GB"/>
        </w:rPr>
      </w:pPr>
      <w:r>
        <w:rPr>
          <w:lang w:val="en-GB"/>
        </w:rPr>
        <w:t>In the current domestic market, the company has sold more than 20,8000 vehicles in a single quarter of FY 2026, considering the increasing competition (The Times of India, 2026a). In India, Hyundai has a product portfolio including Hatchbacks, sedans and SUVs like Creta and Venue, which focuses on middle-income and urban buyers. But with domestic competition stepping up, as in the case of Tata Motors and Mahindra and Mahindra, there is a constant need for strategic adaptation.</w:t>
      </w:r>
    </w:p>
    <w:p w14:paraId="6117FAC3" w14:textId="77777777" w:rsidR="00252A96" w:rsidRDefault="00000000">
      <w:pPr>
        <w:pStyle w:val="Heading3"/>
        <w:rPr>
          <w:lang w:val="en-GB"/>
        </w:rPr>
      </w:pPr>
      <w:bookmarkStart w:id="30" w:name="_f8626vdj3ein" w:colFirst="0" w:colLast="0"/>
      <w:bookmarkStart w:id="31" w:name="_Toc226383057"/>
      <w:bookmarkEnd w:id="30"/>
      <w:r>
        <w:rPr>
          <w:lang w:val="en-GB"/>
        </w:rPr>
        <w:t>4.2 Market Attractiveness Analysis</w:t>
      </w:r>
      <w:bookmarkEnd w:id="31"/>
      <w:r>
        <w:rPr>
          <w:lang w:val="en-GB"/>
        </w:rPr>
        <w:t xml:space="preserve"> </w:t>
      </w:r>
    </w:p>
    <w:p w14:paraId="6FFBECD8" w14:textId="77777777" w:rsidR="00252A96" w:rsidRDefault="00000000">
      <w:pPr>
        <w:rPr>
          <w:lang w:val="en-GB"/>
        </w:rPr>
      </w:pPr>
      <w:r>
        <w:rPr>
          <w:lang w:val="en-GB"/>
        </w:rPr>
        <w:t xml:space="preserve">The automobile industry in India is highly marketable because of its situation as the third-largest automobile market and fourth-largest manufacturer in the world, assisted by its sense of increasing middle classes and urbanisation levels. The passenger car market segment has registered more than 4.34 million units in FY2025, and it is showing an increase, even though growth rates are moderate (Business Standard, 2026). In the case of Hyundai, India has a high potential for demand since car ownership is low compared to the population, and SUVs and electric cars have a rising demand. The EVs, hybrids </w:t>
      </w:r>
      <w:r>
        <w:rPr>
          <w:lang w:val="en-GB"/>
        </w:rPr>
        <w:lastRenderedPageBreak/>
        <w:t>and CNG vehicles contributed to nearly 30% of new motorcycle sales in FY2026, which showed the shift to sustainable mobility (The Economic Times, 2026d).</w:t>
      </w:r>
    </w:p>
    <w:p w14:paraId="2EBA0ACA" w14:textId="77777777" w:rsidR="00252A96" w:rsidRDefault="00000000">
      <w:pPr>
        <w:rPr>
          <w:lang w:val="en-GB"/>
        </w:rPr>
      </w:pPr>
      <w:r>
        <w:rPr>
          <w:lang w:val="en-GB"/>
        </w:rPr>
        <w:t>The market attractiveness is, however, kept within check due to the presence of intense competition, price sensitivity, compliance audit costs and localisation. The main weakness of India is a competitive market is portrayed by the fact that even though India is an attractive market, its market share is at 12 to 13%, showing that aggressive domestic players have driven the share down (India Budget, 2026). In general, the market has long-term growth perspectives but demands the use of cost leadership and innovation strategies.</w:t>
      </w:r>
    </w:p>
    <w:p w14:paraId="323CA5A6" w14:textId="77777777" w:rsidR="00252A96" w:rsidRDefault="00000000">
      <w:pPr>
        <w:pStyle w:val="Heading3"/>
        <w:rPr>
          <w:lang w:val="en-GB"/>
        </w:rPr>
      </w:pPr>
      <w:bookmarkStart w:id="32" w:name="_yaimrmu7xu5c" w:colFirst="0" w:colLast="0"/>
      <w:bookmarkStart w:id="33" w:name="_Toc226383058"/>
      <w:bookmarkEnd w:id="32"/>
      <w:r>
        <w:rPr>
          <w:lang w:val="en-GB"/>
        </w:rPr>
        <w:t>4.3 Macro Environment Analysis: PESTLE Analysis</w:t>
      </w:r>
      <w:bookmarkEnd w:id="33"/>
    </w:p>
    <w:p w14:paraId="5BABA8F8" w14:textId="77777777" w:rsidR="00252A96" w:rsidRDefault="00000000">
      <w:pPr>
        <w:rPr>
          <w:b/>
          <w:bCs/>
          <w:i/>
          <w:iCs/>
          <w:lang w:val="en-GB"/>
        </w:rPr>
      </w:pPr>
      <w:r>
        <w:rPr>
          <w:b/>
          <w:bCs/>
          <w:i/>
          <w:iCs/>
          <w:lang w:val="en-GB"/>
        </w:rPr>
        <w:t>Political Factors</w:t>
      </w:r>
    </w:p>
    <w:p w14:paraId="637E1FDD" w14:textId="77777777" w:rsidR="00252A96" w:rsidRDefault="00000000">
      <w:pPr>
        <w:rPr>
          <w:lang w:val="en-GB"/>
        </w:rPr>
      </w:pPr>
      <w:r>
        <w:rPr>
          <w:lang w:val="en-GB"/>
        </w:rPr>
        <w:t>The political stability and government orientation by the Indian government in producing its manufactures, like the initiatives of the Make in India segment, make the conditions quite favourable to foreign automobile investors. Hyundai has been contributing to its expansion because of policies that promote foreign direct investment and localisation of production. Simultaneously, increasing technical costs are necessary regarding a policy shift towards emission standards (BS-VI standards) and EVs transition (Pulicherla</w:t>
      </w:r>
      <w:r>
        <w:rPr>
          <w:i/>
          <w:iCs/>
          <w:lang w:val="en-GB"/>
        </w:rPr>
        <w:t xml:space="preserve"> et al., </w:t>
      </w:r>
      <w:r>
        <w:rPr>
          <w:lang w:val="en-GB"/>
        </w:rPr>
        <w:t>2022). The incentives of electric mobility provided by governments not only make chances, but they also necessitate a strategy revision in product development. The focus on sustainability and production on a domestic scale forms opportunities as well as threats to the foreign manufacturers in a bid to gain competitiveness in the long term.</w:t>
      </w:r>
    </w:p>
    <w:p w14:paraId="78993F18" w14:textId="77777777" w:rsidR="00252A96" w:rsidRDefault="00000000">
      <w:pPr>
        <w:rPr>
          <w:b/>
          <w:bCs/>
          <w:i/>
          <w:iCs/>
          <w:lang w:val="en-GB"/>
        </w:rPr>
      </w:pPr>
      <w:r>
        <w:rPr>
          <w:b/>
          <w:bCs/>
          <w:i/>
          <w:iCs/>
          <w:lang w:val="en-GB"/>
        </w:rPr>
        <w:t>Economic Factors</w:t>
      </w:r>
    </w:p>
    <w:p w14:paraId="2A166572" w14:textId="77777777" w:rsidR="00252A96" w:rsidRDefault="00000000">
      <w:pPr>
        <w:rPr>
          <w:lang w:val="en-GB"/>
        </w:rPr>
      </w:pPr>
      <w:r>
        <w:rPr>
          <w:lang w:val="en-GB"/>
        </w:rPr>
        <w:t xml:space="preserve">The GDP growth rate, the growing population in the middle-income bracket and the growing disposable income of Indians are contributing to the increasing demand for automobiles. The high number of consumers and the increasing infrastructure in the country are boosting long-term growth of sales in the country (Nayyar and Nayyar, 2024). Nevertheless, consumer buying power is influenced by inflation, volatile fuel costs and interest rates. The average growth of the industry at 2-6% over the last few years depicts that some of the segments are already mature (McKinsey &amp; Company, 2026). Cost efficiency is also a key success factor as Hyundai needs to deal with cost pressures from </w:t>
      </w:r>
      <w:r>
        <w:rPr>
          <w:lang w:val="en-GB"/>
        </w:rPr>
        <w:lastRenderedPageBreak/>
        <w:t>the sources of raw materials and supply chains and operate within a very price-aware market environment.</w:t>
      </w:r>
    </w:p>
    <w:p w14:paraId="383E8548" w14:textId="77777777" w:rsidR="00252A96" w:rsidRDefault="00000000">
      <w:pPr>
        <w:rPr>
          <w:b/>
          <w:bCs/>
          <w:i/>
          <w:iCs/>
          <w:lang w:val="en-GB"/>
        </w:rPr>
      </w:pPr>
      <w:r>
        <w:rPr>
          <w:b/>
          <w:bCs/>
          <w:i/>
          <w:iCs/>
          <w:lang w:val="en-GB"/>
        </w:rPr>
        <w:t>Social Factors</w:t>
      </w:r>
    </w:p>
    <w:p w14:paraId="518BDDD7" w14:textId="77777777" w:rsidR="00252A96" w:rsidRDefault="00000000">
      <w:pPr>
        <w:rPr>
          <w:lang w:val="en-GB"/>
        </w:rPr>
      </w:pPr>
      <w:r>
        <w:rPr>
          <w:lang w:val="en-GB"/>
        </w:rPr>
        <w:t>The young population, brisk urbanisation and shifting consumer interests in SUVs and technologically advanced vehicles favour demand conditions in India. Consumers are becoming more favourable to safety features, connectivity and fuel efficiency (Goswami and Daultani, 2022). The brand positioning of Hyundai as a feature-packed vehicle has helped it to market its products among the urban middle-income consumers. Nonetheless, Indian consumers are very price sensitive, such that affordability becomes a vital consideration. The evolution of consumer interest in eco-friendly cars also means that Hyundai has to invest in EVs and hybrid technologies to be socially viable and competitive.</w:t>
      </w:r>
    </w:p>
    <w:p w14:paraId="7DCA7444" w14:textId="77777777" w:rsidR="00252A96" w:rsidRDefault="00000000">
      <w:pPr>
        <w:rPr>
          <w:b/>
          <w:bCs/>
          <w:i/>
          <w:iCs/>
          <w:lang w:val="en-GB"/>
        </w:rPr>
      </w:pPr>
      <w:r>
        <w:rPr>
          <w:b/>
          <w:bCs/>
          <w:i/>
          <w:iCs/>
          <w:lang w:val="en-GB"/>
        </w:rPr>
        <w:t>Technological Factors</w:t>
      </w:r>
    </w:p>
    <w:p w14:paraId="5ADB5BDF" w14:textId="77777777" w:rsidR="00252A96" w:rsidRDefault="00000000">
      <w:pPr>
        <w:rPr>
          <w:lang w:val="en-GB"/>
        </w:rPr>
      </w:pPr>
      <w:r>
        <w:rPr>
          <w:lang w:val="en-GB"/>
        </w:rPr>
        <w:t xml:space="preserve">Digitalisation, EV innovation and smart mobility solutions have promoted technological development in the automobile industry of India. Hyundai has ventured into connected cars and EV models to stay relevant (Rizvi </w:t>
      </w:r>
      <w:r>
        <w:rPr>
          <w:i/>
          <w:iCs/>
          <w:lang w:val="en-GB"/>
        </w:rPr>
        <w:t>et al.</w:t>
      </w:r>
      <w:r>
        <w:rPr>
          <w:lang w:val="en-GB"/>
        </w:rPr>
        <w:t>, 2023). It is timely to note that EV penetration in passenger cars may be 12-18% in 2026, according to industry forecasts, which underscores the significance of technological preparedness (The Economic Times, 2026e). Nevertheless, technological change contributes to a higher cost of R&amp;D and having to work with local suppliers. A company that successfully adopts digital platforms, fully automated and clean technology has greater chances to work in the changing Indian automotive ecosystem.</w:t>
      </w:r>
    </w:p>
    <w:p w14:paraId="2C606DED" w14:textId="77777777" w:rsidR="00252A96" w:rsidRDefault="00000000">
      <w:pPr>
        <w:rPr>
          <w:b/>
          <w:bCs/>
          <w:i/>
          <w:iCs/>
          <w:lang w:val="en-GB"/>
        </w:rPr>
      </w:pPr>
      <w:r>
        <w:rPr>
          <w:b/>
          <w:bCs/>
          <w:i/>
          <w:iCs/>
          <w:lang w:val="en-GB"/>
        </w:rPr>
        <w:t>Legal Factors</w:t>
      </w:r>
    </w:p>
    <w:p w14:paraId="0A65F6DE" w14:textId="77777777" w:rsidR="00252A96" w:rsidRDefault="00000000">
      <w:pPr>
        <w:rPr>
          <w:lang w:val="en-GB"/>
        </w:rPr>
      </w:pPr>
      <w:r>
        <w:rPr>
          <w:lang w:val="en-GB"/>
        </w:rPr>
        <w:t xml:space="preserve">The Indian legal setup consists of stringent safety checks, environment-related standards and consumer protection measures that apply to motor vehicle producers (Kumar, 2024). Adherence to Bharat NCAP conformity, safety and technical regulations and environmental regulations raises the cost of operation but enhances the quality of standards. Regulatory compliance is a competitive advantage of Hyundai, because of its vehicles with high safety ratings. Operation decisions are also guided by labour laws, the taxation system, including GST and import duties. Although the regulatory system in India </w:t>
      </w:r>
      <w:r>
        <w:rPr>
          <w:lang w:val="en-GB"/>
        </w:rPr>
        <w:lastRenderedPageBreak/>
        <w:t xml:space="preserve">is transparent, foreign MNCs in this country might not be able to operate without bureaucratic issues and the complexity of compliance (Singh </w:t>
      </w:r>
      <w:r>
        <w:rPr>
          <w:i/>
          <w:iCs/>
          <w:lang w:val="en-GB"/>
        </w:rPr>
        <w:t>et al.,</w:t>
      </w:r>
      <w:r>
        <w:rPr>
          <w:lang w:val="en-GB"/>
        </w:rPr>
        <w:t xml:space="preserve"> 2024).</w:t>
      </w:r>
    </w:p>
    <w:p w14:paraId="04BC46FE" w14:textId="77777777" w:rsidR="00252A96" w:rsidRDefault="00000000">
      <w:pPr>
        <w:rPr>
          <w:b/>
          <w:bCs/>
          <w:i/>
          <w:iCs/>
          <w:lang w:val="en-GB"/>
        </w:rPr>
      </w:pPr>
      <w:r>
        <w:rPr>
          <w:b/>
          <w:bCs/>
          <w:i/>
          <w:iCs/>
          <w:lang w:val="en-GB"/>
        </w:rPr>
        <w:t>Environmental Factors</w:t>
      </w:r>
    </w:p>
    <w:p w14:paraId="45FC356C" w14:textId="77777777" w:rsidR="00252A96" w:rsidRDefault="00000000">
      <w:pPr>
        <w:rPr>
          <w:lang w:val="en-GB"/>
        </w:rPr>
      </w:pPr>
      <w:r>
        <w:rPr>
          <w:lang w:val="en-GB"/>
        </w:rPr>
        <w:t>Climate change and environmental pollution issues are making environmental sustainability a focus in the automobile policies of India. The government policy that encourages EVs and emission reduction also puts pressure on fuel vehicle manufacturers. Hyundai has countered this by increasing its EV and hybrid product offerings. Environmental transition is witnessed by the growth of green cars to approximately 30% of new car sales (IEA, 2026). These environmental expectations expose the firm to risk and opportunity in that those that do not innovate may be forced to lose their competitive edge, and those that innovate first gain reputational and regulatory benefits.</w:t>
      </w:r>
    </w:p>
    <w:p w14:paraId="779A3E15" w14:textId="77777777" w:rsidR="00252A96" w:rsidRDefault="00000000">
      <w:pPr>
        <w:pStyle w:val="Heading3"/>
        <w:rPr>
          <w:lang w:val="en-GB"/>
        </w:rPr>
      </w:pPr>
      <w:bookmarkStart w:id="34" w:name="_7yrc2cskf4n" w:colFirst="0" w:colLast="0"/>
      <w:bookmarkStart w:id="35" w:name="_Toc226383059"/>
      <w:bookmarkEnd w:id="34"/>
      <w:r>
        <w:rPr>
          <w:lang w:val="en-GB"/>
        </w:rPr>
        <w:t>4.4 Cultural and Social Environment Analysis: Hofstede Cultural Dimension</w:t>
      </w:r>
      <w:bookmarkEnd w:id="35"/>
    </w:p>
    <w:p w14:paraId="734CA143" w14:textId="77777777" w:rsidR="00252A96" w:rsidRDefault="00000000">
      <w:pPr>
        <w:rPr>
          <w:b/>
          <w:bCs/>
          <w:i/>
          <w:iCs/>
          <w:lang w:val="en-GB"/>
        </w:rPr>
      </w:pPr>
      <w:r>
        <w:rPr>
          <w:b/>
          <w:bCs/>
          <w:i/>
          <w:iCs/>
          <w:lang w:val="en-GB"/>
        </w:rPr>
        <w:t>Power Distance</w:t>
      </w:r>
    </w:p>
    <w:p w14:paraId="5DD38E6F" w14:textId="77777777" w:rsidR="00252A96" w:rsidRDefault="00000000">
      <w:pPr>
        <w:rPr>
          <w:lang w:val="en-GB"/>
        </w:rPr>
      </w:pPr>
      <w:r>
        <w:rPr>
          <w:lang w:val="en-GB"/>
        </w:rPr>
        <w:t>India has a higher score in power distance, which implies that hierarchical forms are tolerated in organisations. In this case, it also implies that management practices should be focused on the global corporate governance and local demands of authority and orderly decision-making. Indian workers might require direction and have formal reporting lines. Such a cultural dimension can be advantageous for Hyundai in its well-developed corporate culture, though it will have to be sensitive to the local management expectations (Rehman, 2022). Organisation effectiveness and employee engagement can be reinforced by effective leadership practices, localisation and incorporation of Indian managers in strategic positions.</w:t>
      </w:r>
    </w:p>
    <w:p w14:paraId="180C2559" w14:textId="77777777" w:rsidR="00252A96" w:rsidRDefault="00000000">
      <w:pPr>
        <w:rPr>
          <w:b/>
          <w:bCs/>
          <w:i/>
          <w:iCs/>
          <w:lang w:val="en-GB"/>
        </w:rPr>
      </w:pPr>
      <w:r>
        <w:rPr>
          <w:b/>
          <w:bCs/>
          <w:i/>
          <w:iCs/>
          <w:lang w:val="en-GB"/>
        </w:rPr>
        <w:t>Individualism vs Collectivism</w:t>
      </w:r>
    </w:p>
    <w:p w14:paraId="250185D3" w14:textId="77777777" w:rsidR="00252A96" w:rsidRDefault="00000000">
      <w:pPr>
        <w:rPr>
          <w:lang w:val="en-GB"/>
        </w:rPr>
      </w:pPr>
      <w:r>
        <w:rPr>
          <w:lang w:val="en-GB"/>
        </w:rPr>
        <w:t xml:space="preserve">India is partially a collectivistic culture with family pressure and a social network that affects buying behaviour. Automobile selling can be discussed as a family purchase, not as an individual purchase. The marketing tactics applied by Hyundai, such as reliability, safety, and suitability of the vehicle to the family, fit well with this feature of the culture (Megha, 2024). The urban consumers, however, are more individualistic, taking into consideration the younger buyers who are eager for a lifestyle vehicle. This culture shift </w:t>
      </w:r>
      <w:r>
        <w:rPr>
          <w:lang w:val="en-GB"/>
        </w:rPr>
        <w:lastRenderedPageBreak/>
        <w:t>demands that Hyundai divide its approach to marketing between the conservative family customers and innovative youthful professionals who appreciate design and style.</w:t>
      </w:r>
    </w:p>
    <w:p w14:paraId="4677B5DC" w14:textId="77777777" w:rsidR="00252A96" w:rsidRDefault="00000000">
      <w:pPr>
        <w:jc w:val="center"/>
        <w:rPr>
          <w:lang w:val="en-GB"/>
        </w:rPr>
      </w:pPr>
      <w:r>
        <w:rPr>
          <w:noProof/>
          <w:lang w:val="en-GB"/>
        </w:rPr>
        <w:drawing>
          <wp:inline distT="114300" distB="114300" distL="114300" distR="114300" wp14:anchorId="40FE419F" wp14:editId="75283578">
            <wp:extent cx="5943600" cy="21844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10"/>
                    <a:srcRect/>
                    <a:stretch>
                      <a:fillRect/>
                    </a:stretch>
                  </pic:blipFill>
                  <pic:spPr>
                    <a:xfrm>
                      <a:off x="0" y="0"/>
                      <a:ext cx="5943600" cy="2184400"/>
                    </a:xfrm>
                    <a:prstGeom prst="rect">
                      <a:avLst/>
                    </a:prstGeom>
                    <a:ln w="25400">
                      <a:solidFill>
                        <a:srgbClr val="000000"/>
                      </a:solidFill>
                      <a:prstDash val="solid"/>
                    </a:ln>
                  </pic:spPr>
                </pic:pic>
              </a:graphicData>
            </a:graphic>
          </wp:inline>
        </w:drawing>
      </w:r>
    </w:p>
    <w:p w14:paraId="79889A53" w14:textId="77777777" w:rsidR="00252A96" w:rsidRDefault="00000000">
      <w:pPr>
        <w:jc w:val="center"/>
        <w:rPr>
          <w:b/>
          <w:bCs/>
          <w:lang w:val="en-GB"/>
        </w:rPr>
      </w:pPr>
      <w:r>
        <w:rPr>
          <w:b/>
          <w:bCs/>
          <w:lang w:val="en-GB"/>
        </w:rPr>
        <w:t>Figure 4: Hofstede Cultural Dimension of India</w:t>
      </w:r>
    </w:p>
    <w:p w14:paraId="08956774" w14:textId="77777777" w:rsidR="00252A96" w:rsidRDefault="00000000">
      <w:pPr>
        <w:jc w:val="center"/>
        <w:rPr>
          <w:lang w:val="en-GB"/>
        </w:rPr>
      </w:pPr>
      <w:r>
        <w:rPr>
          <w:lang w:val="en-GB"/>
        </w:rPr>
        <w:t>(Source: The Culture Factor, 2026)</w:t>
      </w:r>
    </w:p>
    <w:p w14:paraId="66AE8602" w14:textId="77777777" w:rsidR="00252A96" w:rsidRDefault="00000000">
      <w:pPr>
        <w:rPr>
          <w:b/>
          <w:bCs/>
          <w:i/>
          <w:iCs/>
          <w:lang w:val="en-GB"/>
        </w:rPr>
      </w:pPr>
      <w:r>
        <w:rPr>
          <w:b/>
          <w:bCs/>
          <w:i/>
          <w:iCs/>
          <w:lang w:val="en-GB"/>
        </w:rPr>
        <w:t>Masculinity vs Femininity</w:t>
      </w:r>
    </w:p>
    <w:p w14:paraId="5057F5C2" w14:textId="77777777" w:rsidR="00252A96" w:rsidRDefault="00000000">
      <w:pPr>
        <w:rPr>
          <w:lang w:val="en-GB"/>
        </w:rPr>
      </w:pPr>
      <w:r>
        <w:rPr>
          <w:lang w:val="en-GB"/>
        </w:rPr>
        <w:t xml:space="preserve">India has moderate masculinity, with a culture that lays stress on achievement, success and status. This affects the behaviour of buying cars, as cars are viewed as a status symbol in most cases (Matharu </w:t>
      </w:r>
      <w:r>
        <w:rPr>
          <w:i/>
          <w:iCs/>
          <w:lang w:val="en-GB"/>
        </w:rPr>
        <w:t xml:space="preserve">et al., </w:t>
      </w:r>
      <w:r>
        <w:rPr>
          <w:lang w:val="en-GB"/>
        </w:rPr>
        <w:t>2024). Premium design features and technology offered by Hyundai serve this demand, which is based on aspiration. But on the other hand, the company would have to strike a balance between this and value-for-money products in order to attract price-sensitive customers. This cultural aspect also enables Hyundai to market some of its models as aspirational and to have lower-cost models to reach more markets.</w:t>
      </w:r>
    </w:p>
    <w:p w14:paraId="597BF70E" w14:textId="77777777" w:rsidR="00252A96" w:rsidRDefault="00000000">
      <w:pPr>
        <w:rPr>
          <w:b/>
          <w:bCs/>
          <w:i/>
          <w:iCs/>
          <w:lang w:val="en-GB"/>
        </w:rPr>
      </w:pPr>
      <w:r>
        <w:rPr>
          <w:b/>
          <w:bCs/>
          <w:i/>
          <w:iCs/>
          <w:lang w:val="en-GB"/>
        </w:rPr>
        <w:t>Uncertainty Avoidance</w:t>
      </w:r>
    </w:p>
    <w:p w14:paraId="03C1BD4A" w14:textId="77777777" w:rsidR="00252A96" w:rsidRDefault="00000000">
      <w:pPr>
        <w:rPr>
          <w:lang w:val="en-GB"/>
        </w:rPr>
      </w:pPr>
      <w:r>
        <w:rPr>
          <w:lang w:val="en-GB"/>
        </w:rPr>
        <w:t xml:space="preserve">India has a moderate level of uncertainty avoidance, which implies that consumers can be innovative yet do not disregard reliability and a sense of brand trust (Novotny </w:t>
      </w:r>
      <w:r>
        <w:rPr>
          <w:i/>
          <w:iCs/>
          <w:lang w:val="en-GB"/>
        </w:rPr>
        <w:t>et al.</w:t>
      </w:r>
      <w:r>
        <w:rPr>
          <w:lang w:val="en-GB"/>
        </w:rPr>
        <w:t>, 2022). This helps Hyundai because it has a strong brand image and a good network of after-sales services, and this reduces the perceived risk of buyers. Meanwhile, unconventional technologies like EVs should be accompanied by educating consumers and building trust. Warranties, service guarantees, and open communication services are some of the measures that Hyundai can use to overcome uncertainties, therefore creating brand loyalty in the long term in the Indian market.</w:t>
      </w:r>
    </w:p>
    <w:p w14:paraId="3A877442" w14:textId="77777777" w:rsidR="00252A96" w:rsidRDefault="00000000">
      <w:pPr>
        <w:rPr>
          <w:b/>
          <w:bCs/>
          <w:i/>
          <w:iCs/>
          <w:lang w:val="en-GB"/>
        </w:rPr>
      </w:pPr>
      <w:r>
        <w:rPr>
          <w:b/>
          <w:bCs/>
          <w:i/>
          <w:iCs/>
          <w:lang w:val="en-GB"/>
        </w:rPr>
        <w:lastRenderedPageBreak/>
        <w:t>Long-Term Orientation</w:t>
      </w:r>
    </w:p>
    <w:p w14:paraId="7983E08A" w14:textId="77777777" w:rsidR="00252A96" w:rsidRDefault="00000000">
      <w:pPr>
        <w:rPr>
          <w:lang w:val="en-GB"/>
        </w:rPr>
      </w:pPr>
      <w:r>
        <w:rPr>
          <w:lang w:val="en-GB"/>
        </w:rPr>
        <w:t>The long-term orientation in India is also relatively long, indicating that the Indians are pragmatic in making savings and investments, as this impacts consumers to make purchases that will last longer and have a better resale value to consumers (Tripathy and Dastrala, 2023). The cultural expectation is informed by the fact that Hyundai places a premium on quality products and resale performance. The factor of long-term orientation also favours the investment strategy of the company in India as the hub of future growth. Nevertheless, to be competitive, there are ongoing innovations that will enable it to keep customer loyalty in the long term.</w:t>
      </w:r>
    </w:p>
    <w:p w14:paraId="534A02CC" w14:textId="77777777" w:rsidR="00252A96" w:rsidRDefault="00000000">
      <w:pPr>
        <w:rPr>
          <w:b/>
          <w:bCs/>
          <w:i/>
          <w:iCs/>
          <w:lang w:val="en-GB"/>
        </w:rPr>
      </w:pPr>
      <w:r>
        <w:rPr>
          <w:b/>
          <w:bCs/>
          <w:i/>
          <w:iCs/>
          <w:lang w:val="en-GB"/>
        </w:rPr>
        <w:t>Indulgence vs Restraint</w:t>
      </w:r>
    </w:p>
    <w:p w14:paraId="595A1EE7" w14:textId="77777777" w:rsidR="00252A96" w:rsidRDefault="00000000">
      <w:pPr>
        <w:rPr>
          <w:lang w:val="en-GB"/>
        </w:rPr>
      </w:pPr>
      <w:r>
        <w:rPr>
          <w:lang w:val="en-GB"/>
        </w:rPr>
        <w:t>India can mostly be regarded as a reserved society where consumption is, in most cases, guided by financial prudence. This implies that customers pay significant attention to price, fuel consumption and maintenance expenses before purchase (Jankowska and Kubala, 2024). Hyundai needs to thus strike a balance between aspirational branding and affordability and low costs. It is a good idea to provide variants and different prices to facilitate penetration. Learning about restrained consumption behaviour is relevant with regard to the Hyundai pricing plans and financing alliances, which can overcome the limitations of affordability.</w:t>
      </w:r>
    </w:p>
    <w:p w14:paraId="7160791A" w14:textId="77777777" w:rsidR="00252A96" w:rsidRDefault="00000000">
      <w:pPr>
        <w:pStyle w:val="Heading3"/>
        <w:rPr>
          <w:lang w:val="en-GB"/>
        </w:rPr>
      </w:pPr>
      <w:bookmarkStart w:id="36" w:name="_r0u32zmwlt0" w:colFirst="0" w:colLast="0"/>
      <w:bookmarkStart w:id="37" w:name="_Toc226383060"/>
      <w:bookmarkEnd w:id="36"/>
      <w:r>
        <w:rPr>
          <w:lang w:val="en-GB"/>
        </w:rPr>
        <w:t>4.5 Factors Influencing the Success of the MNC</w:t>
      </w:r>
      <w:bookmarkEnd w:id="37"/>
    </w:p>
    <w:p w14:paraId="1D12DDF2" w14:textId="77777777" w:rsidR="00252A96" w:rsidRDefault="00000000">
      <w:pPr>
        <w:rPr>
          <w:lang w:val="en-GB"/>
        </w:rPr>
      </w:pPr>
      <w:r>
        <w:rPr>
          <w:lang w:val="en-GB"/>
        </w:rPr>
        <w:t xml:space="preserve">The success of Hyundai in India is due to various strategic factors, among them localisation, innovation and competitive pricing. In 2024-25, Hyundai had to export more than 163,000 vehicles in India, which shows that this country is an important export base (Hyundai, 2026a). The presence of a strong manufacturing background and exporting capacities helps the company to be efficient in operations and integrate globally. Diversification of its products, especially in the SUV category, has also proved to be a success factor as models like Creta recorded sales of more than 200,000 within one year. </w:t>
      </w:r>
    </w:p>
    <w:p w14:paraId="77D95E5C" w14:textId="77777777" w:rsidR="00252A96" w:rsidRDefault="00000000">
      <w:pPr>
        <w:rPr>
          <w:lang w:val="en-GB"/>
        </w:rPr>
      </w:pPr>
      <w:r>
        <w:rPr>
          <w:lang w:val="en-GB"/>
        </w:rPr>
        <w:t xml:space="preserve">The company, however, has threats in the form of market share loss as a result of stiff domestic competition and consumer demand. The success in the future will be determined by how well Hyundai is in a position to grow its EV portfolio, intensify supply </w:t>
      </w:r>
      <w:r>
        <w:rPr>
          <w:lang w:val="en-GB"/>
        </w:rPr>
        <w:lastRenderedPageBreak/>
        <w:t xml:space="preserve">chain localisation and adapt to the price-sensitive market environment in India (Rajan </w:t>
      </w:r>
      <w:r>
        <w:rPr>
          <w:i/>
          <w:iCs/>
          <w:lang w:val="en-GB"/>
        </w:rPr>
        <w:t xml:space="preserve">et al., </w:t>
      </w:r>
      <w:r>
        <w:rPr>
          <w:lang w:val="en-GB"/>
        </w:rPr>
        <w:t>2023).</w:t>
      </w:r>
    </w:p>
    <w:p w14:paraId="6905DA44" w14:textId="77777777" w:rsidR="00252A96" w:rsidRDefault="00000000">
      <w:pPr>
        <w:pStyle w:val="Heading3"/>
        <w:rPr>
          <w:lang w:val="en-GB"/>
        </w:rPr>
      </w:pPr>
      <w:bookmarkStart w:id="38" w:name="_r3p4ipp0ij5c" w:colFirst="0" w:colLast="0"/>
      <w:bookmarkStart w:id="39" w:name="_Toc226383061"/>
      <w:bookmarkEnd w:id="38"/>
      <w:r>
        <w:rPr>
          <w:lang w:val="en-GB"/>
        </w:rPr>
        <w:t>4.6 Overall Critical Evaluation of Market Attractiveness</w:t>
      </w:r>
      <w:bookmarkEnd w:id="39"/>
    </w:p>
    <w:p w14:paraId="209363CF" w14:textId="77777777" w:rsidR="00252A96" w:rsidRDefault="00000000">
      <w:pPr>
        <w:rPr>
          <w:lang w:val="en-GB"/>
        </w:rPr>
      </w:pPr>
      <w:r>
        <w:rPr>
          <w:lang w:val="en-GB"/>
        </w:rPr>
        <w:t xml:space="preserve">Foreign MNCs like Hyundai have India as one of the very attractive yet highly complex automobile markets. It is a highly profitable country because of the demographic benefits, the increasing level of income and the prospering infrastructure. Simultaneously, the level of competition and regulation needs to be very strategic in its dedication. As the experience of Hyundai demonstrates, even the well-established foreign companies should never cease their innovations in order to preserve their role in the market (Singh </w:t>
      </w:r>
      <w:r>
        <w:rPr>
          <w:i/>
          <w:iCs/>
          <w:lang w:val="en-GB"/>
        </w:rPr>
        <w:t>et al.,</w:t>
      </w:r>
      <w:r>
        <w:rPr>
          <w:lang w:val="en-GB"/>
        </w:rPr>
        <w:t xml:space="preserve"> 2023). According to a discriminatory approach, India is characterised by high long-term appeal and moderate short-term appeal, depending on price competition and compliance expenses. </w:t>
      </w:r>
    </w:p>
    <w:p w14:paraId="5168AE67" w14:textId="77777777" w:rsidR="00252A96" w:rsidRDefault="00000000">
      <w:pPr>
        <w:rPr>
          <w:lang w:val="en-GB"/>
        </w:rPr>
      </w:pPr>
      <w:r>
        <w:rPr>
          <w:lang w:val="en-GB"/>
        </w:rPr>
        <w:t>The shift towards EVs and sustainability opens the prospects of the future but demands a massive investment. All in all, Hyundai has shown eagerness to invest in India even as it believes in the long-term prospects of India (Nandi</w:t>
      </w:r>
      <w:r>
        <w:rPr>
          <w:i/>
          <w:iCs/>
          <w:lang w:val="en-GB"/>
        </w:rPr>
        <w:t xml:space="preserve"> et al.</w:t>
      </w:r>
      <w:r>
        <w:rPr>
          <w:lang w:val="en-GB"/>
        </w:rPr>
        <w:t>, 2022). The market may be regarded as appealing to firms that have high financial resources, localisation policies and technological forces, but unappealing to firms that do not have scale or flexibility in the changing competitive market of India.</w:t>
      </w:r>
    </w:p>
    <w:p w14:paraId="37F773B8" w14:textId="77777777" w:rsidR="00252A96" w:rsidRDefault="00000000">
      <w:pPr>
        <w:pStyle w:val="Heading2"/>
        <w:rPr>
          <w:lang w:val="en-GB"/>
        </w:rPr>
      </w:pPr>
      <w:bookmarkStart w:id="40" w:name="_gu4gvspywhkr" w:colFirst="0" w:colLast="0"/>
      <w:bookmarkStart w:id="41" w:name="_Toc226383062"/>
      <w:bookmarkEnd w:id="40"/>
      <w:r>
        <w:rPr>
          <w:lang w:val="en-GB"/>
        </w:rPr>
        <w:t>5. Conclusion to the report</w:t>
      </w:r>
      <w:bookmarkEnd w:id="41"/>
    </w:p>
    <w:p w14:paraId="2B1F2C91" w14:textId="77777777" w:rsidR="00252A96" w:rsidRDefault="00000000">
      <w:pPr>
        <w:rPr>
          <w:lang w:val="en-GB"/>
        </w:rPr>
      </w:pPr>
      <w:r>
        <w:rPr>
          <w:lang w:val="en-GB"/>
        </w:rPr>
        <w:t>The analysis illustrates that the automobile industry in India is a strategically significant sector to the whole automotive industry in the world because of the scale of its production, the increasing domestic demand and the good policy to support the manufacturing and sustainability in the sector. The favourable factor conditions in the industry include friendly labour supplies, a diversifying supplier base and a rise in technological capabilities. According to Porter's Diamond Model, high demand within the domestic market, competition and complementary industries have played a vital role in enhancing the competitiveness of the automobile industry in the global market.</w:t>
      </w:r>
    </w:p>
    <w:p w14:paraId="65FD7E88" w14:textId="77777777" w:rsidR="00252A96" w:rsidRDefault="00000000">
      <w:pPr>
        <w:rPr>
          <w:lang w:val="en-GB"/>
        </w:rPr>
      </w:pPr>
      <w:r>
        <w:rPr>
          <w:lang w:val="en-GB"/>
        </w:rPr>
        <w:lastRenderedPageBreak/>
        <w:t>Analysis of the case of Hyundai Motor Company showcases the aspect of a foreign multinational enterprise that accrues the advantage offered by the Indian market potential, whilst the enterprise encounters the challenge of operation. PESTLE and Hofstede analyses reveal that stability in politics, economic growth and favourable demographics increase the appeal of the market, whereas legal compliance, environmental pressures and high competition levels bring complexities to operations. The cultural issues like price sensitivity, family-oriented buying behaviour and long-term value orientation influence even more the strategic decisions of a foreign firm.</w:t>
      </w:r>
    </w:p>
    <w:p w14:paraId="48EC08AA" w14:textId="77777777" w:rsidR="00252A96" w:rsidRDefault="00000000">
      <w:pPr>
        <w:rPr>
          <w:lang w:val="en-GB"/>
        </w:rPr>
      </w:pPr>
      <w:r>
        <w:rPr>
          <w:lang w:val="en-GB"/>
        </w:rPr>
        <w:t xml:space="preserve">More importantly, the results indicate that the automobile industry in India is determining its success with references to localisation strategies, technological innovation, cost competitiveness, and responsiveness to changes in regulations and the environment. However, as much as the market holds long-term growth opportunities, it needs a long-term investment and freedom to manoeuvre. </w:t>
      </w:r>
    </w:p>
    <w:p w14:paraId="221532C2" w14:textId="77777777" w:rsidR="00252A96" w:rsidRDefault="00252A96">
      <w:pPr>
        <w:rPr>
          <w:lang w:val="en-GB"/>
        </w:rPr>
      </w:pPr>
    </w:p>
    <w:p w14:paraId="2248FD84" w14:textId="77777777" w:rsidR="00252A96" w:rsidRDefault="00252A96">
      <w:pPr>
        <w:rPr>
          <w:lang w:val="en-GB"/>
        </w:rPr>
      </w:pPr>
    </w:p>
    <w:p w14:paraId="65327DE7" w14:textId="77777777" w:rsidR="00252A96" w:rsidRDefault="00252A96">
      <w:pPr>
        <w:rPr>
          <w:lang w:val="en-GB"/>
        </w:rPr>
      </w:pPr>
    </w:p>
    <w:p w14:paraId="5D14F5A9" w14:textId="77777777" w:rsidR="00252A96" w:rsidRDefault="00000000">
      <w:pPr>
        <w:pStyle w:val="Heading1"/>
        <w:rPr>
          <w:lang w:val="en-GB"/>
        </w:rPr>
      </w:pPr>
      <w:bookmarkStart w:id="42" w:name="_y5iqzmlcoykh" w:colFirst="0" w:colLast="0"/>
      <w:bookmarkEnd w:id="42"/>
      <w:r>
        <w:rPr>
          <w:lang w:val="en-GB"/>
        </w:rPr>
        <w:br w:type="page"/>
      </w:r>
    </w:p>
    <w:p w14:paraId="08214012" w14:textId="77777777" w:rsidR="00252A96" w:rsidRDefault="00000000">
      <w:pPr>
        <w:pStyle w:val="Heading1"/>
        <w:rPr>
          <w:lang w:val="en-GB"/>
        </w:rPr>
      </w:pPr>
      <w:bookmarkStart w:id="43" w:name="_gr6b737pq1h4" w:colFirst="0" w:colLast="0"/>
      <w:bookmarkStart w:id="44" w:name="_Toc226383063"/>
      <w:bookmarkEnd w:id="43"/>
      <w:r>
        <w:rPr>
          <w:lang w:val="en-GB"/>
        </w:rPr>
        <w:lastRenderedPageBreak/>
        <w:t>Section 2: Reflective account</w:t>
      </w:r>
      <w:bookmarkEnd w:id="44"/>
      <w:r>
        <w:rPr>
          <w:lang w:val="en-GB"/>
        </w:rPr>
        <w:t xml:space="preserve"> </w:t>
      </w:r>
    </w:p>
    <w:p w14:paraId="7EA3A6B0" w14:textId="77777777" w:rsidR="00252A96" w:rsidRDefault="00000000">
      <w:pPr>
        <w:pStyle w:val="Heading2"/>
      </w:pPr>
      <w:bookmarkStart w:id="45" w:name="_Toc226383064"/>
      <w:r>
        <w:t>Introduction</w:t>
      </w:r>
      <w:bookmarkEnd w:id="45"/>
      <w:r>
        <w:t xml:space="preserve"> </w:t>
      </w:r>
    </w:p>
    <w:p w14:paraId="673E97F5" w14:textId="77777777" w:rsidR="00252A96" w:rsidRDefault="00000000">
      <w:r>
        <w:t>The reflection is an important academic and professional practice which helps students to reflect on their experiences critically and to enhance the further performance. I used the Reflective Cycle by Gibbs in this evaluation, as it offers a systematic approach based on six phases, description, feelings, evaluation, analysis, conclusion, and action plan. The model is popular both in academic and professional settings to train reflexion and learning outcomes. In addition, the model by Gibbs facilitates systematic reflection thanks to the combination of emotions and critical analysis, thus enhancing the effectiveness of learning. This part is a reflection on the procedure taken when researching, analysing and preparing the Section 1 of the report.</w:t>
      </w:r>
    </w:p>
    <w:p w14:paraId="6758931A" w14:textId="77777777" w:rsidR="00252A96" w:rsidRDefault="00252A96"/>
    <w:p w14:paraId="4C104B60" w14:textId="77777777" w:rsidR="00252A96" w:rsidRDefault="00000000">
      <w:pPr>
        <w:pStyle w:val="Heading2"/>
      </w:pPr>
      <w:bookmarkStart w:id="46" w:name="_Toc226383065"/>
      <w:r>
        <w:t>Gibbs Reflective Cycle</w:t>
      </w:r>
      <w:bookmarkEnd w:id="46"/>
      <w:r>
        <w:t xml:space="preserve"> </w:t>
      </w:r>
    </w:p>
    <w:p w14:paraId="2828702D" w14:textId="77777777" w:rsidR="00252A96" w:rsidRDefault="00000000">
      <w:pPr>
        <w:rPr>
          <w:b/>
          <w:bCs/>
          <w:i/>
          <w:iCs/>
        </w:rPr>
      </w:pPr>
      <w:r>
        <w:rPr>
          <w:b/>
          <w:bCs/>
          <w:i/>
          <w:iCs/>
        </w:rPr>
        <w:t>1. Description</w:t>
      </w:r>
    </w:p>
    <w:p w14:paraId="32644112" w14:textId="77777777" w:rsidR="00252A96" w:rsidRDefault="00000000">
      <w:r>
        <w:t>The procedure of the completion of Section 1 was choosing the country and the automobile industry that should be used as the focus area, and the country is India. To get a feel of the industry structure regarding its economic contribution and competitive environment, I carried out comprehensive research to find out much about the industry with regards to academic journals, industry reports and statistical databases. I used the Diamond Model of Porter, PESTLE analysis, and the culture dimension of Hofstede to critically analyse the industry and the operations of the Hyundai Motor Company in India.</w:t>
      </w:r>
    </w:p>
    <w:p w14:paraId="4B211765" w14:textId="77777777" w:rsidR="00252A96" w:rsidRDefault="00000000">
      <w:pPr>
        <w:jc w:val="center"/>
      </w:pPr>
      <w:r>
        <w:rPr>
          <w:noProof/>
        </w:rPr>
        <w:lastRenderedPageBreak/>
        <w:drawing>
          <wp:inline distT="0" distB="0" distL="0" distR="0" wp14:anchorId="22984318" wp14:editId="4652A4FE">
            <wp:extent cx="5733415" cy="4300220"/>
            <wp:effectExtent l="0" t="0" r="635" b="5080"/>
            <wp:docPr id="449385503"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385503" name="Picture 1" descr="Gibbs Reflective Cy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5733415" cy="4300220"/>
                    </a:xfrm>
                    <a:prstGeom prst="rect">
                      <a:avLst/>
                    </a:prstGeom>
                    <a:noFill/>
                    <a:ln>
                      <a:noFill/>
                    </a:ln>
                  </pic:spPr>
                </pic:pic>
              </a:graphicData>
            </a:graphic>
          </wp:inline>
        </w:drawing>
      </w:r>
    </w:p>
    <w:p w14:paraId="4F8B5EF3" w14:textId="77777777" w:rsidR="00252A96" w:rsidRDefault="00000000">
      <w:pPr>
        <w:jc w:val="center"/>
        <w:rPr>
          <w:b/>
          <w:bCs/>
        </w:rPr>
      </w:pPr>
      <w:r>
        <w:rPr>
          <w:b/>
          <w:bCs/>
        </w:rPr>
        <w:t>Figure 5: Gibbs reflective model</w:t>
      </w:r>
    </w:p>
    <w:p w14:paraId="30C66147" w14:textId="77777777" w:rsidR="00252A96" w:rsidRDefault="00000000">
      <w:pPr>
        <w:jc w:val="center"/>
      </w:pPr>
      <w:r>
        <w:t>(Source: Created by learner)</w:t>
      </w:r>
    </w:p>
    <w:p w14:paraId="458EA1D5" w14:textId="77777777" w:rsidR="00252A96" w:rsidRDefault="00000000">
      <w:r>
        <w:t>The research involved the synthesis of copious amounts of data such as market size, production statistics and policy frameworks. I divided the report into logical parts where I was certain that it was in tandem with the assignment brief as presented in the assessment document. It was written by evaluating critically and not descriptively so that that theoretical concepts were translated into the real world of business in the process of writing.</w:t>
      </w:r>
    </w:p>
    <w:p w14:paraId="0BE33555" w14:textId="77777777" w:rsidR="00252A96" w:rsidRDefault="00000000">
      <w:pPr>
        <w:rPr>
          <w:b/>
          <w:bCs/>
          <w:i/>
          <w:iCs/>
        </w:rPr>
      </w:pPr>
      <w:r>
        <w:rPr>
          <w:b/>
          <w:bCs/>
          <w:i/>
          <w:iCs/>
        </w:rPr>
        <w:t>2. Feelings</w:t>
      </w:r>
    </w:p>
    <w:p w14:paraId="2681C643" w14:textId="77777777" w:rsidR="00252A96" w:rsidRDefault="00000000">
      <w:r>
        <w:t>I was a bit overwhelmed in the very start of the task because the assignment is quite complex and I had to combine various theoretical frameworks. This was compounded by the fact that both macro-environmental and cultural factors needed to be analysed. But, as I continued focusing on the research, I was able to get confidence in the fact that I can find the data or any kind of information relevant and can use the relevant models.</w:t>
      </w:r>
    </w:p>
    <w:p w14:paraId="5B9FBDA6" w14:textId="77777777" w:rsidR="00252A96" w:rsidRDefault="00000000">
      <w:r>
        <w:lastRenderedPageBreak/>
        <w:t>It was also a source of motivation when I managed to associate the material taught in theory like the Diamond Model developed by Porter with the actual experience in the industry. My international business dynamics were advanced through the process of examining Hyundai strategy in India market. Gallo and New (2022) insist that emotions are an important part of the reflection process, and my uncertainty-confidence transformation is an indicator of the effectiveness of reflective learning.</w:t>
      </w:r>
    </w:p>
    <w:p w14:paraId="1A3B63D2" w14:textId="77777777" w:rsidR="00252A96" w:rsidRDefault="00252A96"/>
    <w:p w14:paraId="737132F2" w14:textId="77777777" w:rsidR="00252A96" w:rsidRDefault="00000000">
      <w:pPr>
        <w:rPr>
          <w:b/>
          <w:bCs/>
          <w:i/>
          <w:iCs/>
        </w:rPr>
      </w:pPr>
      <w:r>
        <w:rPr>
          <w:b/>
          <w:bCs/>
          <w:i/>
          <w:iCs/>
        </w:rPr>
        <w:t>3. Evaluation</w:t>
      </w:r>
    </w:p>
    <w:p w14:paraId="58BC6EF0" w14:textId="77777777" w:rsidR="00252A96" w:rsidRDefault="00000000">
      <w:r>
        <w:t>The general procedure involved in accomplishing Section 1 had strengths and weaknesses. The fact that I could use relevant and current data by using credible sources was a strength and this enhanced the quality of analysis. The application of various frameworks like PESTLE and Hofstede helped to conduct the evaluation of the business environment in the comprehensive way. I have also had an opportunity to compare domestic and multinational firms critically which added depth to the analysis of the report.</w:t>
      </w:r>
    </w:p>
    <w:p w14:paraId="4FF8E54C" w14:textId="77777777" w:rsidR="00252A96" w:rsidRDefault="00000000">
      <w:r>
        <w:t>Nevertheless, it had challenges as well. My work with large amounts of information was unwieldy, and sometimes I had a hard time balancing a descriptive and critical writing style. The writing in certain parts of the paper was too long and had to be shortened. Moreover, the combination of statistical data and theoretical arguments had to be structured up.</w:t>
      </w:r>
    </w:p>
    <w:p w14:paraId="1A8174F8" w14:textId="77777777" w:rsidR="00252A96" w:rsidRDefault="00000000">
      <w:r>
        <w:t xml:space="preserve">Even with these constraints, the overall effect was good, since the report has fulfilled the most essential requirements of this assignment and showed critical cognition. Reflective practices like a cycle developed by Gibbs have been revealed to enhance academic writing and analytical abilities (Nurlatifah </w:t>
      </w:r>
      <w:r>
        <w:rPr>
          <w:i/>
          <w:iCs/>
        </w:rPr>
        <w:t>et al.,</w:t>
      </w:r>
      <w:r>
        <w:t xml:space="preserve"> 2023).</w:t>
      </w:r>
    </w:p>
    <w:p w14:paraId="73711832" w14:textId="77777777" w:rsidR="00252A96" w:rsidRDefault="00000000">
      <w:pPr>
        <w:rPr>
          <w:b/>
          <w:bCs/>
          <w:i/>
          <w:iCs/>
        </w:rPr>
      </w:pPr>
      <w:r>
        <w:rPr>
          <w:b/>
          <w:bCs/>
          <w:i/>
          <w:iCs/>
        </w:rPr>
        <w:t>4.Analysis</w:t>
      </w:r>
    </w:p>
    <w:p w14:paraId="54BA28A7" w14:textId="77777777" w:rsidR="00252A96" w:rsidRDefault="00000000">
      <w:r>
        <w:t>This process of doing this report has made me realize how orchestrated research and critical thinking in academic work are important. Among the most important lessons was the fact that quality analysis implies not only gathering data but also being able to interpret and apply theoretical approaches. As an example, the usage of the Diamond Model created by Porter made me realize the effects of the national factors on the competitiveness of the industry, whereas the PESTLE analysis allowed me to know the effects of the external factors.</w:t>
      </w:r>
    </w:p>
    <w:p w14:paraId="04B67D7E" w14:textId="77777777" w:rsidR="00252A96" w:rsidRDefault="00000000">
      <w:r>
        <w:lastRenderedPageBreak/>
        <w:t>The value of cultural analysis in international business was also another learning outcome. The cultural dimensions developed by Hofstede helped me to analyse consumer behaviour and management practices in India that are very important to multinational corporations such as Hyundai. This is consistent with the conclusions of Wang (2025), who underlines that organised reflective models can be applied to developing better analytical skills and applied knowledge.</w:t>
      </w:r>
    </w:p>
    <w:p w14:paraId="67F8F0AF" w14:textId="77777777" w:rsidR="00252A96" w:rsidRDefault="00000000">
      <w:r>
        <w:t xml:space="preserve">Moreover, I learnt that in academic writing, there needs to be a mix between theory and studies. It is not enough to provide only data, but it should be critically appraised and associated with theoretical ideas. The report also used scholarly sources thereby contributing to credibility of the report. Aneeis Hashim </w:t>
      </w:r>
      <w:r>
        <w:rPr>
          <w:i/>
          <w:iCs/>
        </w:rPr>
        <w:t>et al.</w:t>
      </w:r>
      <w:r>
        <w:t xml:space="preserve"> (2023) claim that reflective models enhance the skills of critical writing by making the academic literature more actively engaged.</w:t>
      </w:r>
    </w:p>
    <w:p w14:paraId="54366654" w14:textId="77777777" w:rsidR="00252A96" w:rsidRDefault="00000000">
      <w:pPr>
        <w:rPr>
          <w:b/>
          <w:bCs/>
          <w:i/>
          <w:iCs/>
        </w:rPr>
      </w:pPr>
      <w:r>
        <w:rPr>
          <w:b/>
          <w:bCs/>
          <w:i/>
          <w:iCs/>
        </w:rPr>
        <w:t>5. Conclusion</w:t>
      </w:r>
    </w:p>
    <w:p w14:paraId="46008EEA" w14:textId="77777777" w:rsidR="00252A96" w:rsidRDefault="00000000">
      <w:r>
        <w:t>Based on this thought process, I have come to understand that research and analysis involve a lot of hard work and must be optimally planned, intellectually thought, and written. I have learned to be more competent in realizing theoretical models on the real matters of the business world and making judgments of a multifaceted data.</w:t>
      </w:r>
    </w:p>
    <w:p w14:paraId="1E777E27" w14:textId="77777777" w:rsidR="00252A96" w:rsidRDefault="00000000">
      <w:r>
        <w:t>This thought experience has increased my understanding of my strengths, including competencies in research and analytical prowess, and my weakness, including time-management and information organization. As Adeani et al. (2020) point out, reflection assists learners in recognising aspects in which they can improve and acquire professional skills.</w:t>
      </w:r>
    </w:p>
    <w:p w14:paraId="692F5B28" w14:textId="77777777" w:rsidR="00252A96" w:rsidRDefault="00000000">
      <w:pPr>
        <w:rPr>
          <w:b/>
          <w:bCs/>
          <w:i/>
          <w:iCs/>
        </w:rPr>
      </w:pPr>
      <w:r>
        <w:rPr>
          <w:b/>
          <w:bCs/>
          <w:i/>
          <w:iCs/>
        </w:rPr>
        <w:t>6. Action Plan</w:t>
      </w:r>
    </w:p>
    <w:tbl>
      <w:tblPr>
        <w:tblStyle w:val="TableGrid"/>
        <w:tblW w:w="0" w:type="auto"/>
        <w:tblLook w:val="04A0" w:firstRow="1" w:lastRow="0" w:firstColumn="1" w:lastColumn="0" w:noHBand="0" w:noVBand="1"/>
      </w:tblPr>
      <w:tblGrid>
        <w:gridCol w:w="1977"/>
        <w:gridCol w:w="1704"/>
        <w:gridCol w:w="2434"/>
        <w:gridCol w:w="1646"/>
        <w:gridCol w:w="1589"/>
      </w:tblGrid>
      <w:tr w:rsidR="00252A96" w14:paraId="59CC64F9" w14:textId="77777777">
        <w:tc>
          <w:tcPr>
            <w:tcW w:w="0" w:type="auto"/>
          </w:tcPr>
          <w:p w14:paraId="58C90830" w14:textId="77777777" w:rsidR="00252A96" w:rsidRDefault="00000000">
            <w:pPr>
              <w:rPr>
                <w:rFonts w:eastAsia="Times New Roman"/>
                <w:b/>
                <w:bCs/>
                <w:lang w:val="en-IN"/>
              </w:rPr>
            </w:pPr>
            <w:r>
              <w:rPr>
                <w:rFonts w:eastAsia="Times New Roman"/>
                <w:b/>
                <w:bCs/>
                <w:lang w:val="en-IN"/>
              </w:rPr>
              <w:t>Area for Improvement</w:t>
            </w:r>
          </w:p>
        </w:tc>
        <w:tc>
          <w:tcPr>
            <w:tcW w:w="0" w:type="auto"/>
          </w:tcPr>
          <w:p w14:paraId="334C008A" w14:textId="77777777" w:rsidR="00252A96" w:rsidRDefault="00000000">
            <w:pPr>
              <w:rPr>
                <w:rFonts w:eastAsia="Times New Roman"/>
                <w:b/>
                <w:bCs/>
                <w:lang w:val="en-IN"/>
              </w:rPr>
            </w:pPr>
            <w:r>
              <w:rPr>
                <w:rFonts w:eastAsia="Times New Roman"/>
                <w:b/>
                <w:bCs/>
                <w:lang w:val="en-IN"/>
              </w:rPr>
              <w:t>Action</w:t>
            </w:r>
          </w:p>
        </w:tc>
        <w:tc>
          <w:tcPr>
            <w:tcW w:w="0" w:type="auto"/>
          </w:tcPr>
          <w:p w14:paraId="05BD8594" w14:textId="77777777" w:rsidR="00252A96" w:rsidRDefault="00000000">
            <w:pPr>
              <w:rPr>
                <w:rFonts w:eastAsia="Times New Roman"/>
                <w:b/>
                <w:bCs/>
                <w:lang w:val="en-IN"/>
              </w:rPr>
            </w:pPr>
            <w:r>
              <w:rPr>
                <w:rFonts w:eastAsia="Times New Roman"/>
                <w:b/>
                <w:bCs/>
                <w:lang w:val="en-IN"/>
              </w:rPr>
              <w:t>Resources/Support</w:t>
            </w:r>
          </w:p>
        </w:tc>
        <w:tc>
          <w:tcPr>
            <w:tcW w:w="0" w:type="auto"/>
          </w:tcPr>
          <w:p w14:paraId="52BA3144" w14:textId="77777777" w:rsidR="00252A96" w:rsidRDefault="00000000">
            <w:pPr>
              <w:rPr>
                <w:rFonts w:eastAsia="Times New Roman"/>
                <w:b/>
                <w:bCs/>
                <w:lang w:val="en-IN"/>
              </w:rPr>
            </w:pPr>
            <w:r>
              <w:rPr>
                <w:rFonts w:eastAsia="Times New Roman"/>
                <w:b/>
                <w:bCs/>
                <w:lang w:val="en-IN"/>
              </w:rPr>
              <w:t>Success Measure</w:t>
            </w:r>
          </w:p>
        </w:tc>
        <w:tc>
          <w:tcPr>
            <w:tcW w:w="0" w:type="auto"/>
          </w:tcPr>
          <w:p w14:paraId="4C00E7E0" w14:textId="77777777" w:rsidR="00252A96" w:rsidRDefault="00000000">
            <w:pPr>
              <w:rPr>
                <w:rFonts w:eastAsia="Times New Roman"/>
                <w:b/>
                <w:bCs/>
                <w:lang w:val="en-IN"/>
              </w:rPr>
            </w:pPr>
            <w:r>
              <w:rPr>
                <w:rFonts w:eastAsia="Times New Roman"/>
                <w:b/>
                <w:bCs/>
                <w:lang w:val="en-IN"/>
              </w:rPr>
              <w:t>Timeline</w:t>
            </w:r>
          </w:p>
        </w:tc>
      </w:tr>
      <w:tr w:rsidR="00252A96" w14:paraId="3AA56BF0" w14:textId="77777777">
        <w:tc>
          <w:tcPr>
            <w:tcW w:w="0" w:type="auto"/>
          </w:tcPr>
          <w:p w14:paraId="114A942E" w14:textId="77777777" w:rsidR="00252A96" w:rsidRDefault="00000000">
            <w:pPr>
              <w:rPr>
                <w:rFonts w:eastAsia="Times New Roman"/>
                <w:lang w:val="en-IN"/>
              </w:rPr>
            </w:pPr>
            <w:r>
              <w:rPr>
                <w:rFonts w:eastAsia="Times New Roman"/>
                <w:lang w:val="en-IN"/>
              </w:rPr>
              <w:t>Time management</w:t>
            </w:r>
          </w:p>
        </w:tc>
        <w:tc>
          <w:tcPr>
            <w:tcW w:w="0" w:type="auto"/>
          </w:tcPr>
          <w:p w14:paraId="75235584" w14:textId="77777777" w:rsidR="00252A96" w:rsidRDefault="00000000">
            <w:pPr>
              <w:rPr>
                <w:rFonts w:eastAsia="Times New Roman"/>
                <w:lang w:val="en-IN"/>
              </w:rPr>
            </w:pPr>
            <w:r>
              <w:rPr>
                <w:rFonts w:eastAsia="Times New Roman"/>
                <w:lang w:val="en-IN"/>
              </w:rPr>
              <w:t>Create weekly schedule</w:t>
            </w:r>
          </w:p>
        </w:tc>
        <w:tc>
          <w:tcPr>
            <w:tcW w:w="0" w:type="auto"/>
          </w:tcPr>
          <w:p w14:paraId="67949A9E" w14:textId="77777777" w:rsidR="00252A96" w:rsidRDefault="00000000">
            <w:pPr>
              <w:rPr>
                <w:rFonts w:eastAsia="Times New Roman"/>
                <w:lang w:val="en-IN"/>
              </w:rPr>
            </w:pPr>
            <w:r>
              <w:rPr>
                <w:rFonts w:eastAsia="Times New Roman"/>
                <w:lang w:val="en-IN"/>
              </w:rPr>
              <w:t>Planner, deadlines</w:t>
            </w:r>
          </w:p>
        </w:tc>
        <w:tc>
          <w:tcPr>
            <w:tcW w:w="0" w:type="auto"/>
          </w:tcPr>
          <w:p w14:paraId="4AFC8E5E" w14:textId="77777777" w:rsidR="00252A96" w:rsidRDefault="00000000">
            <w:pPr>
              <w:rPr>
                <w:rFonts w:eastAsia="Times New Roman"/>
                <w:lang w:val="en-IN"/>
              </w:rPr>
            </w:pPr>
            <w:r>
              <w:rPr>
                <w:rFonts w:eastAsia="Times New Roman"/>
                <w:lang w:val="en-IN"/>
              </w:rPr>
              <w:t>Timely completion</w:t>
            </w:r>
          </w:p>
        </w:tc>
        <w:tc>
          <w:tcPr>
            <w:tcW w:w="0" w:type="auto"/>
          </w:tcPr>
          <w:p w14:paraId="55EE865C" w14:textId="77777777" w:rsidR="00252A96" w:rsidRDefault="00000000">
            <w:pPr>
              <w:rPr>
                <w:rFonts w:eastAsia="Times New Roman"/>
                <w:lang w:val="en-IN"/>
              </w:rPr>
            </w:pPr>
            <w:r>
              <w:rPr>
                <w:rFonts w:eastAsia="Times New Roman"/>
                <w:lang w:val="en-IN"/>
              </w:rPr>
              <w:t>Ongoing</w:t>
            </w:r>
          </w:p>
        </w:tc>
      </w:tr>
      <w:tr w:rsidR="00252A96" w14:paraId="7FF4EEF9" w14:textId="77777777">
        <w:tc>
          <w:tcPr>
            <w:tcW w:w="0" w:type="auto"/>
          </w:tcPr>
          <w:p w14:paraId="772A9AF8" w14:textId="77777777" w:rsidR="00252A96" w:rsidRDefault="00000000">
            <w:pPr>
              <w:rPr>
                <w:rFonts w:eastAsia="Times New Roman"/>
                <w:lang w:val="en-IN"/>
              </w:rPr>
            </w:pPr>
            <w:r>
              <w:rPr>
                <w:rFonts w:eastAsia="Times New Roman"/>
                <w:lang w:val="en-IN"/>
              </w:rPr>
              <w:lastRenderedPageBreak/>
              <w:t>Critical writing</w:t>
            </w:r>
          </w:p>
        </w:tc>
        <w:tc>
          <w:tcPr>
            <w:tcW w:w="0" w:type="auto"/>
          </w:tcPr>
          <w:p w14:paraId="3888128E" w14:textId="77777777" w:rsidR="00252A96" w:rsidRDefault="00000000">
            <w:pPr>
              <w:rPr>
                <w:rFonts w:eastAsia="Times New Roman"/>
                <w:lang w:val="en-IN"/>
              </w:rPr>
            </w:pPr>
            <w:r>
              <w:rPr>
                <w:rFonts w:eastAsia="Times New Roman"/>
                <w:lang w:val="en-IN"/>
              </w:rPr>
              <w:t>Practice analytical writing</w:t>
            </w:r>
          </w:p>
        </w:tc>
        <w:tc>
          <w:tcPr>
            <w:tcW w:w="0" w:type="auto"/>
          </w:tcPr>
          <w:p w14:paraId="573CB22B" w14:textId="77777777" w:rsidR="00252A96" w:rsidRDefault="00000000">
            <w:pPr>
              <w:rPr>
                <w:rFonts w:eastAsia="Times New Roman"/>
                <w:lang w:val="en-IN"/>
              </w:rPr>
            </w:pPr>
            <w:r>
              <w:rPr>
                <w:rFonts w:eastAsia="Times New Roman"/>
                <w:lang w:val="en-IN"/>
              </w:rPr>
              <w:t>Journals, feedback</w:t>
            </w:r>
          </w:p>
        </w:tc>
        <w:tc>
          <w:tcPr>
            <w:tcW w:w="0" w:type="auto"/>
          </w:tcPr>
          <w:p w14:paraId="4E8BFAA1" w14:textId="77777777" w:rsidR="00252A96" w:rsidRDefault="00000000">
            <w:pPr>
              <w:rPr>
                <w:rFonts w:eastAsia="Times New Roman"/>
                <w:lang w:val="en-IN"/>
              </w:rPr>
            </w:pPr>
            <w:r>
              <w:rPr>
                <w:rFonts w:eastAsia="Times New Roman"/>
                <w:lang w:val="en-IN"/>
              </w:rPr>
              <w:t>Improved arguments</w:t>
            </w:r>
          </w:p>
        </w:tc>
        <w:tc>
          <w:tcPr>
            <w:tcW w:w="0" w:type="auto"/>
          </w:tcPr>
          <w:p w14:paraId="6B1AD89D" w14:textId="77777777" w:rsidR="00252A96" w:rsidRDefault="00000000">
            <w:pPr>
              <w:rPr>
                <w:rFonts w:eastAsia="Times New Roman"/>
                <w:lang w:val="en-IN"/>
              </w:rPr>
            </w:pPr>
            <w:r>
              <w:rPr>
                <w:rFonts w:eastAsia="Times New Roman"/>
                <w:lang w:val="en-IN"/>
              </w:rPr>
              <w:t>1–2 months</w:t>
            </w:r>
          </w:p>
        </w:tc>
      </w:tr>
      <w:tr w:rsidR="00252A96" w14:paraId="36F55112" w14:textId="77777777">
        <w:tc>
          <w:tcPr>
            <w:tcW w:w="0" w:type="auto"/>
          </w:tcPr>
          <w:p w14:paraId="7280D50B" w14:textId="77777777" w:rsidR="00252A96" w:rsidRDefault="00000000">
            <w:pPr>
              <w:rPr>
                <w:rFonts w:eastAsia="Times New Roman"/>
                <w:lang w:val="en-IN"/>
              </w:rPr>
            </w:pPr>
            <w:r>
              <w:rPr>
                <w:rFonts w:eastAsia="Times New Roman"/>
                <w:lang w:val="en-IN"/>
              </w:rPr>
              <w:t>Research skills</w:t>
            </w:r>
          </w:p>
        </w:tc>
        <w:tc>
          <w:tcPr>
            <w:tcW w:w="0" w:type="auto"/>
          </w:tcPr>
          <w:p w14:paraId="5379FA4F" w14:textId="77777777" w:rsidR="00252A96" w:rsidRDefault="00000000">
            <w:pPr>
              <w:rPr>
                <w:rFonts w:eastAsia="Times New Roman"/>
                <w:lang w:val="en-IN"/>
              </w:rPr>
            </w:pPr>
            <w:r>
              <w:rPr>
                <w:rFonts w:eastAsia="Times New Roman"/>
                <w:lang w:val="en-IN"/>
              </w:rPr>
              <w:t>Use structured notes</w:t>
            </w:r>
          </w:p>
        </w:tc>
        <w:tc>
          <w:tcPr>
            <w:tcW w:w="0" w:type="auto"/>
          </w:tcPr>
          <w:p w14:paraId="09849786" w14:textId="77777777" w:rsidR="00252A96" w:rsidRDefault="00000000">
            <w:pPr>
              <w:rPr>
                <w:rFonts w:eastAsia="Times New Roman"/>
                <w:lang w:val="en-IN"/>
              </w:rPr>
            </w:pPr>
            <w:r>
              <w:rPr>
                <w:rFonts w:eastAsia="Times New Roman"/>
                <w:lang w:val="en-IN"/>
              </w:rPr>
              <w:t>Academic databases</w:t>
            </w:r>
          </w:p>
        </w:tc>
        <w:tc>
          <w:tcPr>
            <w:tcW w:w="0" w:type="auto"/>
          </w:tcPr>
          <w:p w14:paraId="3EB59598" w14:textId="77777777" w:rsidR="00252A96" w:rsidRDefault="00000000">
            <w:pPr>
              <w:rPr>
                <w:rFonts w:eastAsia="Times New Roman"/>
                <w:lang w:val="en-IN"/>
              </w:rPr>
            </w:pPr>
            <w:r>
              <w:rPr>
                <w:rFonts w:eastAsia="Times New Roman"/>
                <w:lang w:val="en-IN"/>
              </w:rPr>
              <w:t>Better synthesis</w:t>
            </w:r>
          </w:p>
        </w:tc>
        <w:tc>
          <w:tcPr>
            <w:tcW w:w="0" w:type="auto"/>
          </w:tcPr>
          <w:p w14:paraId="5738BE9C" w14:textId="77777777" w:rsidR="00252A96" w:rsidRDefault="00000000">
            <w:pPr>
              <w:rPr>
                <w:rFonts w:eastAsia="Times New Roman"/>
                <w:lang w:val="en-IN"/>
              </w:rPr>
            </w:pPr>
            <w:r>
              <w:rPr>
                <w:rFonts w:eastAsia="Times New Roman"/>
                <w:lang w:val="en-IN"/>
              </w:rPr>
              <w:t>Ongoing</w:t>
            </w:r>
          </w:p>
        </w:tc>
      </w:tr>
      <w:tr w:rsidR="00252A96" w14:paraId="6C08B19E" w14:textId="77777777">
        <w:tc>
          <w:tcPr>
            <w:tcW w:w="0" w:type="auto"/>
          </w:tcPr>
          <w:p w14:paraId="7C33F6AD" w14:textId="77777777" w:rsidR="00252A96" w:rsidRDefault="00000000">
            <w:pPr>
              <w:rPr>
                <w:rFonts w:eastAsia="Times New Roman"/>
                <w:lang w:val="en-IN"/>
              </w:rPr>
            </w:pPr>
            <w:r>
              <w:rPr>
                <w:rFonts w:eastAsia="Times New Roman"/>
                <w:lang w:val="en-IN"/>
              </w:rPr>
              <w:t>Theory application</w:t>
            </w:r>
          </w:p>
        </w:tc>
        <w:tc>
          <w:tcPr>
            <w:tcW w:w="0" w:type="auto"/>
          </w:tcPr>
          <w:p w14:paraId="708B5490" w14:textId="77777777" w:rsidR="00252A96" w:rsidRDefault="00000000">
            <w:pPr>
              <w:rPr>
                <w:rFonts w:eastAsia="Times New Roman"/>
                <w:lang w:val="en-IN"/>
              </w:rPr>
            </w:pPr>
            <w:r>
              <w:rPr>
                <w:rFonts w:eastAsia="Times New Roman"/>
                <w:lang w:val="en-IN"/>
              </w:rPr>
              <w:t>Link theory with data</w:t>
            </w:r>
          </w:p>
        </w:tc>
        <w:tc>
          <w:tcPr>
            <w:tcW w:w="0" w:type="auto"/>
          </w:tcPr>
          <w:p w14:paraId="2C38131F" w14:textId="77777777" w:rsidR="00252A96" w:rsidRDefault="00000000">
            <w:pPr>
              <w:rPr>
                <w:rFonts w:eastAsia="Times New Roman"/>
                <w:lang w:val="en-IN"/>
              </w:rPr>
            </w:pPr>
            <w:r>
              <w:rPr>
                <w:rFonts w:eastAsia="Times New Roman"/>
                <w:lang w:val="en-IN"/>
              </w:rPr>
              <w:t>Textbooks, cases</w:t>
            </w:r>
          </w:p>
        </w:tc>
        <w:tc>
          <w:tcPr>
            <w:tcW w:w="0" w:type="auto"/>
          </w:tcPr>
          <w:p w14:paraId="7E425B02" w14:textId="77777777" w:rsidR="00252A96" w:rsidRDefault="00000000">
            <w:pPr>
              <w:rPr>
                <w:rFonts w:eastAsia="Times New Roman"/>
                <w:lang w:val="en-IN"/>
              </w:rPr>
            </w:pPr>
            <w:r>
              <w:rPr>
                <w:rFonts w:eastAsia="Times New Roman"/>
                <w:lang w:val="en-IN"/>
              </w:rPr>
              <w:t>Strong analysis</w:t>
            </w:r>
          </w:p>
        </w:tc>
        <w:tc>
          <w:tcPr>
            <w:tcW w:w="0" w:type="auto"/>
          </w:tcPr>
          <w:p w14:paraId="52AA5842" w14:textId="77777777" w:rsidR="00252A96" w:rsidRDefault="00000000">
            <w:pPr>
              <w:rPr>
                <w:rFonts w:eastAsia="Times New Roman"/>
                <w:lang w:val="en-IN"/>
              </w:rPr>
            </w:pPr>
            <w:r>
              <w:rPr>
                <w:rFonts w:eastAsia="Times New Roman"/>
                <w:lang w:val="en-IN"/>
              </w:rPr>
              <w:t>Next assignment</w:t>
            </w:r>
          </w:p>
        </w:tc>
      </w:tr>
    </w:tbl>
    <w:p w14:paraId="2492EBD8" w14:textId="77777777" w:rsidR="00252A96" w:rsidRDefault="00000000">
      <w:pPr>
        <w:jc w:val="center"/>
        <w:rPr>
          <w:b/>
          <w:bCs/>
        </w:rPr>
      </w:pPr>
      <w:r>
        <w:rPr>
          <w:b/>
          <w:bCs/>
        </w:rPr>
        <w:t>Table 1: Action plan</w:t>
      </w:r>
    </w:p>
    <w:p w14:paraId="336E713F" w14:textId="77777777" w:rsidR="00252A96" w:rsidRDefault="00000000">
      <w:pPr>
        <w:jc w:val="center"/>
      </w:pPr>
      <w:r>
        <w:t>(Source: Created by learner)</w:t>
      </w:r>
    </w:p>
    <w:p w14:paraId="2EFB4512" w14:textId="77777777" w:rsidR="00252A96" w:rsidRDefault="00000000">
      <w:pPr>
        <w:pStyle w:val="Heading2"/>
      </w:pPr>
      <w:bookmarkStart w:id="47" w:name="_Toc226383066"/>
      <w:r>
        <w:t>Conclusion</w:t>
      </w:r>
      <w:bookmarkEnd w:id="47"/>
      <w:r>
        <w:t xml:space="preserve"> </w:t>
      </w:r>
    </w:p>
    <w:p w14:paraId="78958C71" w14:textId="77777777" w:rsidR="00252A96" w:rsidRDefault="00000000">
      <w:r>
        <w:t xml:space="preserve">To sum up, the application of the Gibbs Reflective Cycle was an efficient and organized way to assess the process of accomplishing the Section 1 of the report. The reflection has pointed out the strengths like ability to conduct research and ability to think analytically, as well as pointed out the areas of improvement, including time management and critical writing. The given experience broadened my knowledge of international business principles and the implementation of theoretical models. What is more, reflective practice has helped me in developing as a person and professionally, as it motivates me to learn constantly and improve myself. </w:t>
      </w:r>
    </w:p>
    <w:p w14:paraId="1C39C124" w14:textId="77777777" w:rsidR="00252A96" w:rsidRDefault="00252A96">
      <w:pPr>
        <w:rPr>
          <w:lang w:val="en-GB"/>
        </w:rPr>
      </w:pPr>
    </w:p>
    <w:p w14:paraId="6EB33FBE" w14:textId="77777777" w:rsidR="00252A96" w:rsidRDefault="00000000">
      <w:pPr>
        <w:pStyle w:val="Heading1"/>
        <w:rPr>
          <w:color w:val="FF0000"/>
          <w:lang w:val="en-GB"/>
        </w:rPr>
      </w:pPr>
      <w:bookmarkStart w:id="48" w:name="_u814sr5cwo3r" w:colFirst="0" w:colLast="0"/>
      <w:bookmarkEnd w:id="48"/>
      <w:r>
        <w:rPr>
          <w:lang w:val="en-GB"/>
        </w:rPr>
        <w:br w:type="page"/>
      </w:r>
    </w:p>
    <w:p w14:paraId="6DA148AB" w14:textId="77777777" w:rsidR="00252A96" w:rsidRDefault="00000000">
      <w:pPr>
        <w:pStyle w:val="Heading1"/>
        <w:rPr>
          <w:lang w:val="en-GB"/>
        </w:rPr>
      </w:pPr>
      <w:bookmarkStart w:id="49" w:name="_4trbaydun915" w:colFirst="0" w:colLast="0"/>
      <w:bookmarkStart w:id="50" w:name="_Toc226383067"/>
      <w:bookmarkEnd w:id="49"/>
      <w:r>
        <w:rPr>
          <w:lang w:val="en-GB"/>
        </w:rPr>
        <w:lastRenderedPageBreak/>
        <w:t>Reference List</w:t>
      </w:r>
      <w:bookmarkEnd w:id="50"/>
      <w:r>
        <w:rPr>
          <w:lang w:val="en-GB"/>
        </w:rPr>
        <w:t xml:space="preserve"> </w:t>
      </w:r>
    </w:p>
    <w:p w14:paraId="5F6DB0A5" w14:textId="77777777" w:rsidR="00252A96" w:rsidRDefault="00000000">
      <w:pPr>
        <w:pStyle w:val="Heading2"/>
        <w:rPr>
          <w:lang w:val="en-GB"/>
        </w:rPr>
      </w:pPr>
      <w:bookmarkStart w:id="51" w:name="_Toc226383068"/>
      <w:r>
        <w:rPr>
          <w:lang w:val="en-GB"/>
        </w:rPr>
        <w:t>Articles</w:t>
      </w:r>
      <w:bookmarkEnd w:id="51"/>
      <w:r>
        <w:rPr>
          <w:lang w:val="en-GB"/>
        </w:rPr>
        <w:t xml:space="preserve"> </w:t>
      </w:r>
    </w:p>
    <w:p w14:paraId="0E1E92C5" w14:textId="77777777" w:rsidR="00252A96" w:rsidRDefault="00252A96"/>
    <w:p w14:paraId="45F14776" w14:textId="77777777" w:rsidR="00252A96" w:rsidRDefault="00000000">
      <w:pPr>
        <w:rPr>
          <w:lang w:val="en-IN"/>
        </w:rPr>
      </w:pPr>
      <w:r>
        <w:rPr>
          <w:lang w:val="en-IN"/>
        </w:rPr>
        <w:t xml:space="preserve">Adeani, I.S., Febriani, R.B. and Syafryadin, S., (2020). Using GIBBS’reflective cycle in making reflections of literary analysis. </w:t>
      </w:r>
      <w:r>
        <w:rPr>
          <w:i/>
          <w:iCs/>
          <w:lang w:val="en-IN"/>
        </w:rPr>
        <w:t>Indonesian EFL Journal</w:t>
      </w:r>
      <w:r>
        <w:rPr>
          <w:lang w:val="en-IN"/>
        </w:rPr>
        <w:t xml:space="preserve">, </w:t>
      </w:r>
      <w:r>
        <w:rPr>
          <w:i/>
          <w:iCs/>
          <w:lang w:val="en-IN"/>
        </w:rPr>
        <w:t>6</w:t>
      </w:r>
      <w:r>
        <w:rPr>
          <w:lang w:val="en-IN"/>
        </w:rPr>
        <w:t>(2), pp.139-148.</w:t>
      </w:r>
      <w:hyperlink r:id="rId12" w:history="1">
        <w:r>
          <w:rPr>
            <w:rStyle w:val="Hyperlink"/>
            <w:lang w:val="en-IN"/>
          </w:rPr>
          <w:t>https://journal.uniku.ac.id/index.php/IEFLJ/article/download/3382/2034/0</w:t>
        </w:r>
      </w:hyperlink>
      <w:r>
        <w:rPr>
          <w:lang w:val="en-IN"/>
        </w:rPr>
        <w:t> </w:t>
      </w:r>
    </w:p>
    <w:p w14:paraId="544F6709" w14:textId="77777777" w:rsidR="00252A96" w:rsidRDefault="00000000">
      <w:pPr>
        <w:spacing w:before="240" w:after="240"/>
        <w:rPr>
          <w:color w:val="1155CC"/>
          <w:u w:val="single"/>
          <w:lang w:val="en-GB"/>
        </w:rPr>
      </w:pPr>
      <w:r>
        <w:rPr>
          <w:lang w:val="en-GB"/>
        </w:rPr>
        <w:t xml:space="preserve">Ahmad, F. and Bilal, M., (2023). A comprehensive analysis of electric vehicle charging infrastructure, standards, policies, aggregators and challenges for the Indian market. </w:t>
      </w:r>
      <w:r>
        <w:rPr>
          <w:i/>
          <w:iCs/>
          <w:lang w:val="en-GB"/>
        </w:rPr>
        <w:t>Energy Sources, Part A: Recovery, Utilization, and Environmental Effects</w:t>
      </w:r>
      <w:r>
        <w:rPr>
          <w:lang w:val="en-GB"/>
        </w:rPr>
        <w:t xml:space="preserve">, </w:t>
      </w:r>
      <w:r>
        <w:rPr>
          <w:i/>
          <w:iCs/>
          <w:lang w:val="en-GB"/>
        </w:rPr>
        <w:t>45</w:t>
      </w:r>
      <w:r>
        <w:rPr>
          <w:lang w:val="en-GB"/>
        </w:rPr>
        <w:t>(3), pp.8601-8622.</w:t>
      </w:r>
      <w:hyperlink r:id="rId13">
        <w:r>
          <w:rPr>
            <w:lang w:val="en-GB"/>
          </w:rPr>
          <w:t xml:space="preserve"> </w:t>
        </w:r>
      </w:hyperlink>
      <w:hyperlink r:id="rId14">
        <w:r>
          <w:rPr>
            <w:color w:val="1155CC"/>
            <w:u w:val="single"/>
            <w:lang w:val="en-GB"/>
          </w:rPr>
          <w:t>https://www.researchgate.net/profile/Fareed-Ahmad-6/publication/371912673_A_Comprehensive_Analysis_of_Electric_Vehicle_Charging_Infrastructure_Standards_Policies_Aggregators_and_Challenges_for_the_Indian_Market/links/649c1284b9ed6874a5e2eeb1/A-Comprehensive-Analysis-of-Electric-Vehicle-Charging-Infrastructure-Standards-Policies-Aggregators-and-Challenges-for-the-Indian-Market.pdf?origin=journalDetail&amp;_tp=eyJwYWdlIjoiam91cm5hbERldGFpbCJ9</w:t>
        </w:r>
      </w:hyperlink>
    </w:p>
    <w:p w14:paraId="0530B710" w14:textId="77777777" w:rsidR="00252A96" w:rsidRDefault="00000000">
      <w:pPr>
        <w:rPr>
          <w:lang w:val="en-IN"/>
        </w:rPr>
      </w:pPr>
      <w:r>
        <w:rPr>
          <w:lang w:val="en-IN"/>
        </w:rPr>
        <w:t xml:space="preserve">Aneeis Hashim, S.N., Yaacob, A., Suryani, I., Mohd Asraf, R., Bahador, Z. and Supian, N., (2023). Exploring the Use of Gibbs’ Reflective Model in enhancing in-Service ESL teachers’ reflective writing. </w:t>
      </w:r>
      <w:r>
        <w:rPr>
          <w:i/>
          <w:iCs/>
          <w:lang w:val="en-IN"/>
        </w:rPr>
        <w:t>Arab World English Journal (AWEJ) Volume</w:t>
      </w:r>
      <w:r>
        <w:rPr>
          <w:lang w:val="en-IN"/>
        </w:rPr>
        <w:t xml:space="preserve">, </w:t>
      </w:r>
      <w:r>
        <w:rPr>
          <w:i/>
          <w:iCs/>
          <w:lang w:val="en-IN"/>
        </w:rPr>
        <w:t>14</w:t>
      </w:r>
      <w:r>
        <w:rPr>
          <w:lang w:val="en-IN"/>
        </w:rPr>
        <w:t>.</w:t>
      </w:r>
      <w:hyperlink r:id="rId15" w:history="1">
        <w:r>
          <w:rPr>
            <w:rStyle w:val="Hyperlink"/>
            <w:lang w:val="en-IN"/>
          </w:rPr>
          <w:t>https://papers.ssrn.com/sol3/papers.cfm?abstract_id=4497558</w:t>
        </w:r>
      </w:hyperlink>
      <w:r>
        <w:rPr>
          <w:lang w:val="en-IN"/>
        </w:rPr>
        <w:t> </w:t>
      </w:r>
    </w:p>
    <w:p w14:paraId="38EB9EC7" w14:textId="77777777" w:rsidR="00252A96" w:rsidRDefault="00000000">
      <w:pPr>
        <w:spacing w:before="240" w:after="240"/>
        <w:rPr>
          <w:color w:val="1155CC"/>
          <w:u w:val="single"/>
          <w:lang w:val="en-GB"/>
        </w:rPr>
      </w:pPr>
      <w:r>
        <w:rPr>
          <w:lang w:val="en-GB"/>
        </w:rPr>
        <w:t xml:space="preserve">Butt, M.A., Katuse, P. and Namada, J.M., (2023). Role of government as moderator: Porter's diamond firm strategy, structure, and rivalry attribute and industry's performance. </w:t>
      </w:r>
      <w:r>
        <w:rPr>
          <w:i/>
          <w:iCs/>
          <w:lang w:val="en-GB"/>
        </w:rPr>
        <w:t>International Journal of Research in Business &amp; Social Science</w:t>
      </w:r>
      <w:r>
        <w:rPr>
          <w:lang w:val="en-GB"/>
        </w:rPr>
        <w:t xml:space="preserve">, </w:t>
      </w:r>
      <w:r>
        <w:rPr>
          <w:i/>
          <w:iCs/>
          <w:lang w:val="en-GB"/>
        </w:rPr>
        <w:t>12</w:t>
      </w:r>
      <w:r>
        <w:rPr>
          <w:lang w:val="en-GB"/>
        </w:rPr>
        <w:t>(7).</w:t>
      </w:r>
      <w:hyperlink r:id="rId16">
        <w:r>
          <w:rPr>
            <w:lang w:val="en-GB"/>
          </w:rPr>
          <w:t xml:space="preserve"> </w:t>
        </w:r>
      </w:hyperlink>
      <w:hyperlink r:id="rId17">
        <w:r>
          <w:rPr>
            <w:color w:val="1155CC"/>
            <w:u w:val="single"/>
            <w:lang w:val="en-GB"/>
          </w:rPr>
          <w:t>https://search.ebscohost.com/login.aspx?direct=true&amp;profile=ehost&amp;scope=site&amp;authtype=crawler&amp;jrnl=21474478&amp;AN=173379810&amp;h=wAN6%2BP6pV3mKEJ7udMXqIffpir62QAtoMeDzcVWG4Teo798uDfFWMe51CVvopyp40AFL31fXH3Z4vMZKQBW61Q%3D%3D&amp;crl=c</w:t>
        </w:r>
      </w:hyperlink>
    </w:p>
    <w:p w14:paraId="42371A73" w14:textId="77777777" w:rsidR="00252A96" w:rsidRDefault="00000000">
      <w:pPr>
        <w:spacing w:before="240" w:after="240"/>
        <w:rPr>
          <w:color w:val="1155CC"/>
          <w:u w:val="single"/>
          <w:lang w:val="en-GB"/>
        </w:rPr>
      </w:pPr>
      <w:r>
        <w:rPr>
          <w:lang w:val="en-GB"/>
        </w:rPr>
        <w:lastRenderedPageBreak/>
        <w:t xml:space="preserve">Deshwal, D., Sangwan, P. and Dahiya, N., (2022). Economic analysis of lithium ion battery recycling in India. </w:t>
      </w:r>
      <w:r>
        <w:rPr>
          <w:i/>
          <w:iCs/>
          <w:lang w:val="en-GB"/>
        </w:rPr>
        <w:t>Wireless Personal Communications</w:t>
      </w:r>
      <w:r>
        <w:rPr>
          <w:lang w:val="en-GB"/>
        </w:rPr>
        <w:t xml:space="preserve">, </w:t>
      </w:r>
      <w:r>
        <w:rPr>
          <w:i/>
          <w:iCs/>
          <w:lang w:val="en-GB"/>
        </w:rPr>
        <w:t>124</w:t>
      </w:r>
      <w:r>
        <w:rPr>
          <w:lang w:val="en-GB"/>
        </w:rPr>
        <w:t>(4), pp.3263-3286.</w:t>
      </w:r>
      <w:hyperlink r:id="rId18">
        <w:r>
          <w:rPr>
            <w:lang w:val="en-GB"/>
          </w:rPr>
          <w:t xml:space="preserve"> </w:t>
        </w:r>
      </w:hyperlink>
      <w:hyperlink r:id="rId19">
        <w:r>
          <w:rPr>
            <w:color w:val="1155CC"/>
            <w:u w:val="single"/>
            <w:lang w:val="en-GB"/>
          </w:rPr>
          <w:t>https://link.springer.com/article/10.1007/s11277-022-09512-5</w:t>
        </w:r>
      </w:hyperlink>
    </w:p>
    <w:p w14:paraId="56FE85AB" w14:textId="77777777" w:rsidR="00252A96" w:rsidRDefault="00000000">
      <w:pPr>
        <w:spacing w:before="240" w:after="240"/>
        <w:rPr>
          <w:lang w:val="en-GB"/>
        </w:rPr>
      </w:pPr>
      <w:r>
        <w:rPr>
          <w:lang w:val="en-GB"/>
        </w:rPr>
        <w:t xml:space="preserve">Expert Program Management, (2026). </w:t>
      </w:r>
      <w:r>
        <w:rPr>
          <w:i/>
          <w:iCs/>
          <w:lang w:val="en-GB"/>
        </w:rPr>
        <w:t>Porter Diamond Model</w:t>
      </w:r>
      <w:r>
        <w:rPr>
          <w:lang w:val="en-GB"/>
        </w:rPr>
        <w:t>. Available at:</w:t>
      </w:r>
      <w:hyperlink r:id="rId20">
        <w:r>
          <w:rPr>
            <w:lang w:val="en-GB"/>
          </w:rPr>
          <w:t xml:space="preserve"> </w:t>
        </w:r>
      </w:hyperlink>
      <w:hyperlink r:id="rId21">
        <w:r>
          <w:rPr>
            <w:color w:val="1155CC"/>
            <w:u w:val="single"/>
            <w:lang w:val="en-GB"/>
          </w:rPr>
          <w:t>https://expertprogrammanagement.com/2018/04/porter-diamond-model/</w:t>
        </w:r>
      </w:hyperlink>
      <w:r>
        <w:rPr>
          <w:lang w:val="en-GB"/>
        </w:rPr>
        <w:t>. [Accessed 06 April 2026].</w:t>
      </w:r>
    </w:p>
    <w:p w14:paraId="7D5ACD6E" w14:textId="77777777" w:rsidR="00252A96" w:rsidRDefault="00000000">
      <w:pPr>
        <w:rPr>
          <w:lang w:val="en-IN"/>
        </w:rPr>
      </w:pPr>
      <w:r>
        <w:rPr>
          <w:lang w:val="en-IN"/>
        </w:rPr>
        <w:t xml:space="preserve">Galli, F. and New, K.J., (2022). Gibbs’ cycle review. Emotions as a part of the cycle. </w:t>
      </w:r>
      <w:r>
        <w:rPr>
          <w:i/>
          <w:iCs/>
          <w:lang w:val="en-IN"/>
        </w:rPr>
        <w:t>E-Motion: Revista de Educación, Motricidad e Investigación</w:t>
      </w:r>
      <w:r>
        <w:rPr>
          <w:lang w:val="en-IN"/>
        </w:rPr>
        <w:t>, (19), pp.92-101.</w:t>
      </w:r>
      <w:hyperlink r:id="rId22" w:history="1">
        <w:r>
          <w:rPr>
            <w:rStyle w:val="Hyperlink"/>
            <w:lang w:val="en-IN"/>
          </w:rPr>
          <w:t>https://www.uhu.es/publicaciones/ojs/index.php/e-moti-on/article/view/7224</w:t>
        </w:r>
      </w:hyperlink>
      <w:r>
        <w:rPr>
          <w:lang w:val="en-IN"/>
        </w:rPr>
        <w:t> </w:t>
      </w:r>
    </w:p>
    <w:p w14:paraId="1F87ECC6" w14:textId="77777777" w:rsidR="00252A96" w:rsidRDefault="00000000">
      <w:pPr>
        <w:spacing w:before="240" w:after="240"/>
        <w:rPr>
          <w:color w:val="1155CC"/>
          <w:u w:val="single"/>
          <w:lang w:val="en-GB"/>
        </w:rPr>
      </w:pPr>
      <w:r>
        <w:rPr>
          <w:lang w:val="en-GB"/>
        </w:rPr>
        <w:t xml:space="preserve">Ghosh, S., Mandal, M.C. and Ray, A., (2022). Strategic sourcing model for green supply chain management: an insight into automobile manufacturing units in India. </w:t>
      </w:r>
      <w:r>
        <w:rPr>
          <w:i/>
          <w:iCs/>
          <w:lang w:val="en-GB"/>
        </w:rPr>
        <w:t>Benchmarking: An International Journal</w:t>
      </w:r>
      <w:r>
        <w:rPr>
          <w:lang w:val="en-GB"/>
        </w:rPr>
        <w:t xml:space="preserve">, </w:t>
      </w:r>
      <w:r>
        <w:rPr>
          <w:i/>
          <w:iCs/>
          <w:lang w:val="en-GB"/>
        </w:rPr>
        <w:t>29</w:t>
      </w:r>
      <w:r>
        <w:rPr>
          <w:lang w:val="en-GB"/>
        </w:rPr>
        <w:t>(10), pp.3097-3132.</w:t>
      </w:r>
      <w:hyperlink r:id="rId23">
        <w:r>
          <w:rPr>
            <w:lang w:val="en-GB"/>
          </w:rPr>
          <w:t xml:space="preserve"> </w:t>
        </w:r>
      </w:hyperlink>
      <w:hyperlink r:id="rId24">
        <w:r>
          <w:rPr>
            <w:color w:val="1155CC"/>
            <w:u w:val="single"/>
            <w:lang w:val="en-GB"/>
          </w:rPr>
          <w:t>https://doi.org/10.1108/BIJ-06-2021-0333</w:t>
        </w:r>
      </w:hyperlink>
    </w:p>
    <w:p w14:paraId="3C932C7D" w14:textId="77777777" w:rsidR="00252A96" w:rsidRDefault="00000000">
      <w:pPr>
        <w:spacing w:before="240" w:after="240"/>
        <w:rPr>
          <w:color w:val="1155CC"/>
          <w:u w:val="single"/>
          <w:lang w:val="en-GB"/>
        </w:rPr>
      </w:pPr>
      <w:r>
        <w:rPr>
          <w:lang w:val="en-GB"/>
        </w:rPr>
        <w:t xml:space="preserve">Goswami, M. and Daultani, Y., (2022). Make-in-India and Industry 4.0: technology readiness of select firms, barriers and socio-technical implications. </w:t>
      </w:r>
      <w:r>
        <w:rPr>
          <w:i/>
          <w:iCs/>
          <w:lang w:val="en-GB"/>
        </w:rPr>
        <w:t>The TQM Journal</w:t>
      </w:r>
      <w:r>
        <w:rPr>
          <w:lang w:val="en-GB"/>
        </w:rPr>
        <w:t xml:space="preserve">, </w:t>
      </w:r>
      <w:r>
        <w:rPr>
          <w:i/>
          <w:iCs/>
          <w:lang w:val="en-GB"/>
        </w:rPr>
        <w:t>34</w:t>
      </w:r>
      <w:r>
        <w:rPr>
          <w:lang w:val="en-GB"/>
        </w:rPr>
        <w:t>(6), pp.1485-1505.</w:t>
      </w:r>
      <w:hyperlink r:id="rId25">
        <w:r>
          <w:rPr>
            <w:lang w:val="en-GB"/>
          </w:rPr>
          <w:t xml:space="preserve"> </w:t>
        </w:r>
      </w:hyperlink>
      <w:hyperlink r:id="rId26">
        <w:r>
          <w:rPr>
            <w:color w:val="1155CC"/>
            <w:u w:val="single"/>
            <w:lang w:val="en-GB"/>
          </w:rPr>
          <w:t>https://www.emerald.com/tqm/article-pdf/34/6/1485/2367964/tqm-06-2021-0179.pdf</w:t>
        </w:r>
      </w:hyperlink>
    </w:p>
    <w:p w14:paraId="751E98F7" w14:textId="77777777" w:rsidR="00252A96" w:rsidRDefault="00000000">
      <w:pPr>
        <w:spacing w:before="240" w:after="240"/>
        <w:rPr>
          <w:lang w:val="en-GB"/>
        </w:rPr>
      </w:pPr>
      <w:r>
        <w:rPr>
          <w:lang w:val="en-GB"/>
        </w:rPr>
        <w:t xml:space="preserve">Grand View Research, (2026). </w:t>
      </w:r>
      <w:r>
        <w:rPr>
          <w:i/>
          <w:iCs/>
          <w:lang w:val="en-GB"/>
        </w:rPr>
        <w:t>India Automotive Market Size &amp; Trends</w:t>
      </w:r>
      <w:r>
        <w:rPr>
          <w:lang w:val="en-GB"/>
        </w:rPr>
        <w:t xml:space="preserve">. Available at:  </w:t>
      </w:r>
      <w:hyperlink r:id="rId27">
        <w:r>
          <w:rPr>
            <w:color w:val="1155CC"/>
            <w:u w:val="single"/>
            <w:lang w:val="en-GB"/>
          </w:rPr>
          <w:t>https://www.grandviewresearch.com/industry-analysis/india-automotive-market</w:t>
        </w:r>
      </w:hyperlink>
      <w:r>
        <w:rPr>
          <w:lang w:val="en-GB"/>
        </w:rPr>
        <w:t>. [Accessed 06 April 2026].</w:t>
      </w:r>
    </w:p>
    <w:p w14:paraId="31DF289A" w14:textId="77777777" w:rsidR="00252A96" w:rsidRDefault="00000000">
      <w:pPr>
        <w:spacing w:before="240" w:after="240"/>
        <w:rPr>
          <w:color w:val="1155CC"/>
          <w:u w:val="single"/>
          <w:lang w:val="en-GB"/>
        </w:rPr>
      </w:pPr>
      <w:r>
        <w:rPr>
          <w:lang w:val="en-GB"/>
        </w:rPr>
        <w:t xml:space="preserve">Jankowska, B. and Kubala, M., (2024). The adoption of ESG practices in corporate strategies–does cultural background matter?. In </w:t>
      </w:r>
      <w:r>
        <w:rPr>
          <w:i/>
          <w:iCs/>
          <w:lang w:val="en-GB"/>
        </w:rPr>
        <w:t>International Business and Culture</w:t>
      </w:r>
      <w:r>
        <w:rPr>
          <w:lang w:val="en-GB"/>
        </w:rPr>
        <w:t xml:space="preserve"> (pp. 214-232). Routledge.</w:t>
      </w:r>
      <w:hyperlink r:id="rId28">
        <w:r>
          <w:rPr>
            <w:lang w:val="en-GB"/>
          </w:rPr>
          <w:t xml:space="preserve"> </w:t>
        </w:r>
      </w:hyperlink>
      <w:hyperlink r:id="rId29">
        <w:r>
          <w:rPr>
            <w:color w:val="1155CC"/>
            <w:u w:val="single"/>
            <w:lang w:val="en-GB"/>
          </w:rPr>
          <w:t>https://www.taylorfrancis.com/chapters/edit/10.4324/9781032636962-16/adoption-esg-practices-corporate-strategies-cultural-background-matter-barbara-jankowska-maria-kubala</w:t>
        </w:r>
      </w:hyperlink>
    </w:p>
    <w:p w14:paraId="592572F0" w14:textId="77777777" w:rsidR="00252A96" w:rsidRDefault="00000000">
      <w:pPr>
        <w:spacing w:before="240" w:after="240"/>
        <w:rPr>
          <w:color w:val="1155CC"/>
          <w:u w:val="single"/>
          <w:lang w:val="en-GB"/>
        </w:rPr>
      </w:pPr>
      <w:r>
        <w:rPr>
          <w:lang w:val="en-GB"/>
        </w:rPr>
        <w:lastRenderedPageBreak/>
        <w:t xml:space="preserve">Kumar, N., (2024). Manufacturing-led transformation for realizing India’s 2047 Vision in the context of a fractured trading system: challenges, opportunities, and strategic interventions. </w:t>
      </w:r>
      <w:r>
        <w:rPr>
          <w:i/>
          <w:iCs/>
          <w:lang w:val="en-GB"/>
        </w:rPr>
        <w:t>Indian Economic Review</w:t>
      </w:r>
      <w:r>
        <w:rPr>
          <w:lang w:val="en-GB"/>
        </w:rPr>
        <w:t xml:space="preserve">, </w:t>
      </w:r>
      <w:r>
        <w:rPr>
          <w:i/>
          <w:iCs/>
          <w:lang w:val="en-GB"/>
        </w:rPr>
        <w:t>59</w:t>
      </w:r>
      <w:r>
        <w:rPr>
          <w:lang w:val="en-GB"/>
        </w:rPr>
        <w:t>(Suppl 1), pp.155-176.</w:t>
      </w:r>
      <w:hyperlink r:id="rId30">
        <w:r>
          <w:rPr>
            <w:lang w:val="en-GB"/>
          </w:rPr>
          <w:t xml:space="preserve"> </w:t>
        </w:r>
      </w:hyperlink>
      <w:hyperlink r:id="rId31">
        <w:r>
          <w:rPr>
            <w:color w:val="1155CC"/>
            <w:u w:val="single"/>
            <w:lang w:val="en-GB"/>
          </w:rPr>
          <w:t>https://link.springer.com/article/10.1007/s41775-024-00220-4</w:t>
        </w:r>
      </w:hyperlink>
    </w:p>
    <w:p w14:paraId="0CB7369C" w14:textId="77777777" w:rsidR="00252A96" w:rsidRDefault="00000000">
      <w:pPr>
        <w:spacing w:before="240" w:after="240"/>
        <w:rPr>
          <w:color w:val="1155CC"/>
          <w:u w:val="single"/>
          <w:lang w:val="en-GB"/>
        </w:rPr>
      </w:pPr>
      <w:r>
        <w:rPr>
          <w:lang w:val="en-GB"/>
        </w:rPr>
        <w:t xml:space="preserve">Li, Y., Fan, D., Kumar, V. and Ananthram, S., (2024). Configuring international growth of emerging market multinational enterprises: a compositional springboarding view in the context of India. </w:t>
      </w:r>
      <w:r>
        <w:rPr>
          <w:i/>
          <w:iCs/>
          <w:lang w:val="en-GB"/>
        </w:rPr>
        <w:t>Journal of Management Studies</w:t>
      </w:r>
      <w:r>
        <w:rPr>
          <w:lang w:val="en-GB"/>
        </w:rPr>
        <w:t xml:space="preserve">, </w:t>
      </w:r>
      <w:r>
        <w:rPr>
          <w:i/>
          <w:iCs/>
          <w:lang w:val="en-GB"/>
        </w:rPr>
        <w:t>61</w:t>
      </w:r>
      <w:r>
        <w:rPr>
          <w:lang w:val="en-GB"/>
        </w:rPr>
        <w:t>(6), pp.2570-2603.</w:t>
      </w:r>
      <w:hyperlink r:id="rId32">
        <w:r>
          <w:rPr>
            <w:lang w:val="en-GB"/>
          </w:rPr>
          <w:t xml:space="preserve"> </w:t>
        </w:r>
      </w:hyperlink>
      <w:hyperlink r:id="rId33">
        <w:r>
          <w:rPr>
            <w:color w:val="1155CC"/>
            <w:u w:val="single"/>
            <w:lang w:val="en-GB"/>
          </w:rPr>
          <w:t>https://onlinelibrary.wiley.com/doi/pdfdirect/10.1111/joms.12981</w:t>
        </w:r>
      </w:hyperlink>
    </w:p>
    <w:p w14:paraId="6BB6B4D8" w14:textId="77777777" w:rsidR="00252A96" w:rsidRDefault="00000000">
      <w:pPr>
        <w:spacing w:before="240" w:after="240"/>
        <w:rPr>
          <w:color w:val="1155CC"/>
          <w:u w:val="single"/>
          <w:lang w:val="en-GB"/>
        </w:rPr>
      </w:pPr>
      <w:r>
        <w:rPr>
          <w:lang w:val="en-GB"/>
        </w:rPr>
        <w:t xml:space="preserve">Matharu, G.K., von der Heidt, T., Sorwar, G. and Sivapalan, A., (2024). The moderating role of Hofstede’s cultural dimensions on consumer purchasing of organic food. </w:t>
      </w:r>
      <w:r>
        <w:rPr>
          <w:i/>
          <w:iCs/>
          <w:lang w:val="en-GB"/>
        </w:rPr>
        <w:t>Journal of international consumer marketing</w:t>
      </w:r>
      <w:r>
        <w:rPr>
          <w:lang w:val="en-GB"/>
        </w:rPr>
        <w:t xml:space="preserve">, </w:t>
      </w:r>
      <w:r>
        <w:rPr>
          <w:i/>
          <w:iCs/>
          <w:lang w:val="en-GB"/>
        </w:rPr>
        <w:t>36</w:t>
      </w:r>
      <w:r>
        <w:rPr>
          <w:lang w:val="en-GB"/>
        </w:rPr>
        <w:t>(1), pp.21-40.</w:t>
      </w:r>
      <w:hyperlink r:id="rId34">
        <w:r>
          <w:rPr>
            <w:lang w:val="en-GB"/>
          </w:rPr>
          <w:t xml:space="preserve"> </w:t>
        </w:r>
      </w:hyperlink>
      <w:hyperlink r:id="rId35">
        <w:r>
          <w:rPr>
            <w:color w:val="1155CC"/>
            <w:u w:val="single"/>
            <w:lang w:val="en-GB"/>
          </w:rPr>
          <w:t>https://theses.ubn.ru.nl/bitstreams/e0d5b2af-04d2-4e04-8254-bab4a7b59791/download</w:t>
        </w:r>
      </w:hyperlink>
    </w:p>
    <w:p w14:paraId="5B44A8D2" w14:textId="77777777" w:rsidR="00252A96" w:rsidRDefault="00000000">
      <w:pPr>
        <w:spacing w:before="240" w:after="240"/>
        <w:rPr>
          <w:lang w:val="en-GB"/>
        </w:rPr>
      </w:pPr>
      <w:r>
        <w:rPr>
          <w:lang w:val="en-GB"/>
        </w:rPr>
        <w:t xml:space="preserve">Maximise Market Research, (2026). </w:t>
      </w:r>
      <w:r>
        <w:rPr>
          <w:i/>
          <w:iCs/>
          <w:lang w:val="en-GB"/>
        </w:rPr>
        <w:t>Automotive Market In India as per Vehicle Companies and Type of Vehicles</w:t>
      </w:r>
      <w:r>
        <w:rPr>
          <w:lang w:val="en-GB"/>
        </w:rPr>
        <w:t>. Available at:</w:t>
      </w:r>
      <w:hyperlink r:id="rId36">
        <w:r>
          <w:rPr>
            <w:lang w:val="en-GB"/>
          </w:rPr>
          <w:t xml:space="preserve"> </w:t>
        </w:r>
      </w:hyperlink>
      <w:hyperlink r:id="rId37">
        <w:r>
          <w:rPr>
            <w:color w:val="1155CC"/>
            <w:u w:val="single"/>
            <w:lang w:val="en-GB"/>
          </w:rPr>
          <w:t>https://www.maximizemarketresearch.com/market-report/automotive-market-in-india/86126/</w:t>
        </w:r>
      </w:hyperlink>
      <w:r>
        <w:rPr>
          <w:lang w:val="en-GB"/>
        </w:rPr>
        <w:t>. [Accessed 06 April 2026].</w:t>
      </w:r>
    </w:p>
    <w:p w14:paraId="740D5EEC" w14:textId="77777777" w:rsidR="00252A96" w:rsidRDefault="00000000">
      <w:pPr>
        <w:spacing w:before="240" w:after="240"/>
        <w:rPr>
          <w:color w:val="1155CC"/>
          <w:u w:val="single"/>
          <w:lang w:val="en-GB"/>
        </w:rPr>
      </w:pPr>
      <w:r>
        <w:rPr>
          <w:lang w:val="en-GB"/>
        </w:rPr>
        <w:t xml:space="preserve">Megha, N., (2024). A Literature Review on Job Satisfaction Among Employees in Japanese Auto Ancillary Units in Haryana, India. </w:t>
      </w:r>
      <w:r>
        <w:rPr>
          <w:i/>
          <w:iCs/>
          <w:lang w:val="en-GB"/>
        </w:rPr>
        <w:t>International Journal of Advanced Research and Multidisciplinary Trends (IJARMT)</w:t>
      </w:r>
      <w:r>
        <w:rPr>
          <w:lang w:val="en-GB"/>
        </w:rPr>
        <w:t xml:space="preserve">, </w:t>
      </w:r>
      <w:r>
        <w:rPr>
          <w:i/>
          <w:iCs/>
          <w:lang w:val="en-GB"/>
        </w:rPr>
        <w:t>1</w:t>
      </w:r>
      <w:r>
        <w:rPr>
          <w:lang w:val="en-GB"/>
        </w:rPr>
        <w:t>(2), pp.117-126.</w:t>
      </w:r>
      <w:hyperlink r:id="rId38">
        <w:r>
          <w:rPr>
            <w:lang w:val="en-GB"/>
          </w:rPr>
          <w:t xml:space="preserve"> </w:t>
        </w:r>
      </w:hyperlink>
      <w:hyperlink r:id="rId39">
        <w:r>
          <w:rPr>
            <w:color w:val="1155CC"/>
            <w:u w:val="single"/>
            <w:lang w:val="en-GB"/>
          </w:rPr>
          <w:t>https://www.ijarmt.com/index.php/j/article/download/102/74</w:t>
        </w:r>
      </w:hyperlink>
    </w:p>
    <w:p w14:paraId="3FFF6D62" w14:textId="77777777" w:rsidR="00252A96" w:rsidRDefault="00000000">
      <w:pPr>
        <w:spacing w:before="240" w:after="240"/>
        <w:rPr>
          <w:color w:val="1155CC"/>
          <w:u w:val="single"/>
          <w:lang w:val="en-GB"/>
        </w:rPr>
      </w:pPr>
      <w:r>
        <w:rPr>
          <w:lang w:val="en-GB"/>
        </w:rPr>
        <w:t xml:space="preserve">Monye, S.I., Afolalu, S.A., Lawal, S.L., Gisanrin, T.T., Oluwatoyin, O.A. and Adeyemi, A.G., (2023). Now and future challenges of the automobile industry in the developing world. In </w:t>
      </w:r>
      <w:r>
        <w:rPr>
          <w:i/>
          <w:iCs/>
          <w:lang w:val="en-GB"/>
        </w:rPr>
        <w:t>E3S Web of Conferences</w:t>
      </w:r>
      <w:r>
        <w:rPr>
          <w:lang w:val="en-GB"/>
        </w:rPr>
        <w:t xml:space="preserve"> (Vol. 430, p. 01221). EDP Sciences.</w:t>
      </w:r>
      <w:hyperlink r:id="rId40">
        <w:r>
          <w:rPr>
            <w:lang w:val="en-GB"/>
          </w:rPr>
          <w:t xml:space="preserve"> </w:t>
        </w:r>
      </w:hyperlink>
      <w:hyperlink r:id="rId41">
        <w:r>
          <w:rPr>
            <w:color w:val="1155CC"/>
            <w:u w:val="single"/>
            <w:lang w:val="en-GB"/>
          </w:rPr>
          <w:t>https://www.e3s-conferences.org/articles/e3sconf/pdf/(2023)/67/e3sconf_icmpc(2023)_01221.pdf</w:t>
        </w:r>
      </w:hyperlink>
    </w:p>
    <w:p w14:paraId="451426F0" w14:textId="77777777" w:rsidR="00252A96" w:rsidRDefault="00000000">
      <w:pPr>
        <w:spacing w:before="240" w:after="240"/>
        <w:rPr>
          <w:color w:val="1155CC"/>
          <w:u w:val="single"/>
          <w:lang w:val="en-GB"/>
        </w:rPr>
      </w:pPr>
      <w:r>
        <w:rPr>
          <w:lang w:val="en-GB"/>
        </w:rPr>
        <w:t xml:space="preserve">Nandi, S., Nandi, M.L. and Sindhi, S., (2022). Does the concept of “creating shared value” make sense for multinational firms?. </w:t>
      </w:r>
      <w:r>
        <w:rPr>
          <w:i/>
          <w:iCs/>
          <w:lang w:val="en-GB"/>
        </w:rPr>
        <w:t>Society and Business Review</w:t>
      </w:r>
      <w:r>
        <w:rPr>
          <w:lang w:val="en-GB"/>
        </w:rPr>
        <w:t xml:space="preserve">, </w:t>
      </w:r>
      <w:r>
        <w:rPr>
          <w:i/>
          <w:iCs/>
          <w:lang w:val="en-GB"/>
        </w:rPr>
        <w:t>17</w:t>
      </w:r>
      <w:r>
        <w:rPr>
          <w:lang w:val="en-GB"/>
        </w:rPr>
        <w:t>(4), pp.664-690.</w:t>
      </w:r>
      <w:hyperlink r:id="rId42">
        <w:r>
          <w:rPr>
            <w:lang w:val="en-GB"/>
          </w:rPr>
          <w:t xml:space="preserve"> </w:t>
        </w:r>
      </w:hyperlink>
      <w:hyperlink r:id="rId43">
        <w:r>
          <w:rPr>
            <w:color w:val="1155CC"/>
            <w:u w:val="single"/>
            <w:lang w:val="en-GB"/>
          </w:rPr>
          <w:t>https://www.emerald.com/sbr/article-pdf/17/4/664/2250418/sbr-02-(2022)-0049.pdf</w:t>
        </w:r>
      </w:hyperlink>
    </w:p>
    <w:p w14:paraId="312692F7" w14:textId="77777777" w:rsidR="00252A96" w:rsidRDefault="00000000">
      <w:pPr>
        <w:spacing w:before="240" w:after="240"/>
        <w:rPr>
          <w:color w:val="1155CC"/>
          <w:u w:val="single"/>
          <w:lang w:val="en-GB"/>
        </w:rPr>
      </w:pPr>
      <w:r>
        <w:rPr>
          <w:lang w:val="en-GB"/>
        </w:rPr>
        <w:lastRenderedPageBreak/>
        <w:t xml:space="preserve">Nayyar, D. and Nayyar, G., (2024). Made in India: Industrial policy in a changing world. </w:t>
      </w:r>
      <w:r>
        <w:rPr>
          <w:i/>
          <w:iCs/>
          <w:lang w:val="en-GB"/>
        </w:rPr>
        <w:t>Journal of Industry, Competition and Trade</w:t>
      </w:r>
      <w:r>
        <w:rPr>
          <w:lang w:val="en-GB"/>
        </w:rPr>
        <w:t xml:space="preserve">, </w:t>
      </w:r>
      <w:r>
        <w:rPr>
          <w:i/>
          <w:iCs/>
          <w:lang w:val="en-GB"/>
        </w:rPr>
        <w:t>24</w:t>
      </w:r>
      <w:r>
        <w:rPr>
          <w:lang w:val="en-GB"/>
        </w:rPr>
        <w:t>(1), p.13.</w:t>
      </w:r>
      <w:hyperlink r:id="rId44">
        <w:r>
          <w:rPr>
            <w:lang w:val="en-GB"/>
          </w:rPr>
          <w:t xml:space="preserve"> </w:t>
        </w:r>
      </w:hyperlink>
      <w:hyperlink r:id="rId45">
        <w:r>
          <w:rPr>
            <w:color w:val="1155CC"/>
            <w:u w:val="single"/>
            <w:lang w:val="en-GB"/>
          </w:rPr>
          <w:t>https://thedocs.worldbank.org/en/doc/db73120470778ca317f435d6426c71c5-031002(2024)/related/Gaurav-Nayyar-MadeinIndia-SARCE.pdf</w:t>
        </w:r>
      </w:hyperlink>
    </w:p>
    <w:p w14:paraId="2FE0D60A" w14:textId="77777777" w:rsidR="00252A96" w:rsidRDefault="00000000">
      <w:pPr>
        <w:spacing w:before="240" w:after="240"/>
        <w:rPr>
          <w:color w:val="1155CC"/>
          <w:u w:val="single"/>
          <w:lang w:val="en-GB"/>
        </w:rPr>
      </w:pPr>
      <w:r>
        <w:rPr>
          <w:lang w:val="en-GB"/>
        </w:rPr>
        <w:t xml:space="preserve">Novotny, A., Szeberin, I., Kovács, S. and Máté, D., (2022). National culture and the market development of battery electric vehicles in 21 countries. </w:t>
      </w:r>
      <w:r>
        <w:rPr>
          <w:i/>
          <w:iCs/>
          <w:lang w:val="en-GB"/>
        </w:rPr>
        <w:t>Energies</w:t>
      </w:r>
      <w:r>
        <w:rPr>
          <w:lang w:val="en-GB"/>
        </w:rPr>
        <w:t xml:space="preserve">, </w:t>
      </w:r>
      <w:r>
        <w:rPr>
          <w:i/>
          <w:iCs/>
          <w:lang w:val="en-GB"/>
        </w:rPr>
        <w:t>15</w:t>
      </w:r>
      <w:r>
        <w:rPr>
          <w:lang w:val="en-GB"/>
        </w:rPr>
        <w:t>(4), p.1539.</w:t>
      </w:r>
      <w:hyperlink r:id="rId46">
        <w:r>
          <w:rPr>
            <w:lang w:val="en-GB"/>
          </w:rPr>
          <w:t xml:space="preserve"> </w:t>
        </w:r>
      </w:hyperlink>
      <w:hyperlink r:id="rId47">
        <w:r>
          <w:rPr>
            <w:color w:val="1155CC"/>
            <w:u w:val="single"/>
            <w:lang w:val="en-GB"/>
          </w:rPr>
          <w:t>https://www.mdpi.com/1996-1073/15/4/1539</w:t>
        </w:r>
      </w:hyperlink>
    </w:p>
    <w:p w14:paraId="5F7FFBF9" w14:textId="77777777" w:rsidR="00252A96" w:rsidRDefault="00000000">
      <w:pPr>
        <w:rPr>
          <w:lang w:val="en-IN"/>
        </w:rPr>
      </w:pPr>
      <w:r>
        <w:rPr>
          <w:lang w:val="en-IN"/>
        </w:rPr>
        <w:t xml:space="preserve">Nurlatifah, L., Purnawarman, P. and Sukyadi, D., (2023), December. The implementation of reflective assessment using Gibbs’ reflective cycle in assessing students’ writing skill. In </w:t>
      </w:r>
      <w:r>
        <w:rPr>
          <w:i/>
          <w:iCs/>
          <w:lang w:val="en-IN"/>
        </w:rPr>
        <w:t>AIP Conference Proceedings</w:t>
      </w:r>
      <w:r>
        <w:rPr>
          <w:lang w:val="en-IN"/>
        </w:rPr>
        <w:t xml:space="preserve"> (Vol. 2621, No. 1, p. 070006). AIP Publishing LLC.</w:t>
      </w:r>
      <w:hyperlink r:id="rId48" w:history="1">
        <w:r>
          <w:rPr>
            <w:rStyle w:val="Hyperlink"/>
            <w:lang w:val="en-IN"/>
          </w:rPr>
          <w:t>https://pubs.aip.org/aip/acp/article-abstract/doi/10.1063/5.0143375/2925871</w:t>
        </w:r>
      </w:hyperlink>
      <w:r>
        <w:rPr>
          <w:lang w:val="en-IN"/>
        </w:rPr>
        <w:t> </w:t>
      </w:r>
    </w:p>
    <w:p w14:paraId="4BF25E17" w14:textId="77777777" w:rsidR="00252A96" w:rsidRDefault="00000000">
      <w:pPr>
        <w:spacing w:before="240" w:after="240"/>
        <w:rPr>
          <w:color w:val="1155CC"/>
          <w:u w:val="single"/>
          <w:lang w:val="en-GB"/>
        </w:rPr>
      </w:pPr>
      <w:r>
        <w:rPr>
          <w:lang w:val="en-GB"/>
        </w:rPr>
        <w:t xml:space="preserve">Pangarkar, N. and Prabhudesai, R., (2024). Using Porter's Five Forces analysis to drive strategy. </w:t>
      </w:r>
      <w:r>
        <w:rPr>
          <w:i/>
          <w:iCs/>
          <w:lang w:val="en-GB"/>
        </w:rPr>
        <w:t>Global Business and Organizational Excellence</w:t>
      </w:r>
      <w:r>
        <w:rPr>
          <w:lang w:val="en-GB"/>
        </w:rPr>
        <w:t xml:space="preserve">, </w:t>
      </w:r>
      <w:r>
        <w:rPr>
          <w:i/>
          <w:iCs/>
          <w:lang w:val="en-GB"/>
        </w:rPr>
        <w:t>43</w:t>
      </w:r>
      <w:r>
        <w:rPr>
          <w:lang w:val="en-GB"/>
        </w:rPr>
        <w:t>(5), pp.24-34.</w:t>
      </w:r>
      <w:hyperlink r:id="rId49">
        <w:r>
          <w:rPr>
            <w:lang w:val="en-GB"/>
          </w:rPr>
          <w:t xml:space="preserve"> </w:t>
        </w:r>
      </w:hyperlink>
      <w:hyperlink r:id="rId50">
        <w:r>
          <w:rPr>
            <w:color w:val="1155CC"/>
            <w:u w:val="single"/>
            <w:lang w:val="en-GB"/>
          </w:rPr>
          <w:t>https://onlinelibrary.wiley.com/doi/pdf/10.1002/joe.22250</w:t>
        </w:r>
      </w:hyperlink>
    </w:p>
    <w:p w14:paraId="2C108202" w14:textId="77777777" w:rsidR="00252A96" w:rsidRDefault="00000000">
      <w:pPr>
        <w:spacing w:before="240" w:after="240"/>
        <w:rPr>
          <w:color w:val="1155CC"/>
          <w:u w:val="single"/>
          <w:lang w:val="en-GB"/>
        </w:rPr>
      </w:pPr>
      <w:r>
        <w:rPr>
          <w:lang w:val="en-GB"/>
        </w:rPr>
        <w:t xml:space="preserve">Prabhakar, A.C., (2024). India’s manufacturing sector performance and job-oriented sustainable economic growth: a comprehensive analysis. </w:t>
      </w:r>
      <w:r>
        <w:rPr>
          <w:i/>
          <w:iCs/>
          <w:lang w:val="en-GB"/>
        </w:rPr>
        <w:t>International Journal of Academic Research in Business and Social Sciences</w:t>
      </w:r>
      <w:r>
        <w:rPr>
          <w:lang w:val="en-GB"/>
        </w:rPr>
        <w:t xml:space="preserve">, </w:t>
      </w:r>
      <w:r>
        <w:rPr>
          <w:i/>
          <w:iCs/>
          <w:lang w:val="en-GB"/>
        </w:rPr>
        <w:t>14</w:t>
      </w:r>
      <w:r>
        <w:rPr>
          <w:lang w:val="en-GB"/>
        </w:rPr>
        <w:t>(8).</w:t>
      </w:r>
      <w:hyperlink r:id="rId51">
        <w:r>
          <w:rPr>
            <w:lang w:val="en-GB"/>
          </w:rPr>
          <w:t xml:space="preserve"> </w:t>
        </w:r>
      </w:hyperlink>
      <w:hyperlink r:id="rId52">
        <w:r>
          <w:rPr>
            <w:color w:val="1155CC"/>
            <w:u w:val="single"/>
            <w:lang w:val="en-GB"/>
          </w:rPr>
          <w:t>https://kwpublications.com/papers_submitted/9963/indias-manufacturing-sector-performance-and-job-oriented-sustainable-economic-growth-a-comprehensive-analysis.pdf</w:t>
        </w:r>
      </w:hyperlink>
    </w:p>
    <w:p w14:paraId="10583E8D" w14:textId="77777777" w:rsidR="00252A96" w:rsidRDefault="00000000">
      <w:pPr>
        <w:spacing w:before="240" w:after="240"/>
        <w:rPr>
          <w:color w:val="1155CC"/>
          <w:u w:val="single"/>
          <w:lang w:val="en-GB"/>
        </w:rPr>
      </w:pPr>
      <w:r>
        <w:rPr>
          <w:lang w:val="en-GB"/>
        </w:rPr>
        <w:t xml:space="preserve">Pulicherla, K.K., Adapa, V., Ghosh, M. and Ingle, P., (2022). Current efforts on sustainable green growth in the manufacturing sector to complement “make in India” for making “self-reliant India”. </w:t>
      </w:r>
      <w:r>
        <w:rPr>
          <w:i/>
          <w:iCs/>
          <w:lang w:val="en-GB"/>
        </w:rPr>
        <w:t>Environmental Research</w:t>
      </w:r>
      <w:r>
        <w:rPr>
          <w:lang w:val="en-GB"/>
        </w:rPr>
        <w:t xml:space="preserve">, </w:t>
      </w:r>
      <w:r>
        <w:rPr>
          <w:i/>
          <w:iCs/>
          <w:lang w:val="en-GB"/>
        </w:rPr>
        <w:t>206</w:t>
      </w:r>
      <w:r>
        <w:rPr>
          <w:lang w:val="en-GB"/>
        </w:rPr>
        <w:t>, p.112263.</w:t>
      </w:r>
      <w:hyperlink r:id="rId53">
        <w:r>
          <w:rPr>
            <w:lang w:val="en-GB"/>
          </w:rPr>
          <w:t xml:space="preserve"> </w:t>
        </w:r>
      </w:hyperlink>
      <w:hyperlink r:id="rId54">
        <w:r>
          <w:rPr>
            <w:color w:val="1155CC"/>
            <w:u w:val="single"/>
            <w:lang w:val="en-GB"/>
          </w:rPr>
          <w:t>https://www.sciencedirect.com/science/article/pii/S0013935121015644</w:t>
        </w:r>
      </w:hyperlink>
    </w:p>
    <w:p w14:paraId="24646710" w14:textId="77777777" w:rsidR="00252A96" w:rsidRDefault="00000000">
      <w:pPr>
        <w:spacing w:before="240" w:after="240"/>
        <w:rPr>
          <w:color w:val="1155CC"/>
          <w:u w:val="single"/>
          <w:lang w:val="en-GB"/>
        </w:rPr>
      </w:pPr>
      <w:r>
        <w:rPr>
          <w:lang w:val="en-GB"/>
        </w:rPr>
        <w:t xml:space="preserve">Rahman, A. and Acharya, P., (2022). An examination of five financial ratios: The Altman Z Score is a technique used to assess the creditworthiness of selected passenger car companies. </w:t>
      </w:r>
      <w:r>
        <w:rPr>
          <w:i/>
          <w:iCs/>
          <w:lang w:val="en-GB"/>
        </w:rPr>
        <w:t>International Journal of Multidisciplinary Research and Explorer</w:t>
      </w:r>
      <w:r>
        <w:rPr>
          <w:lang w:val="en-GB"/>
        </w:rPr>
        <w:t xml:space="preserve">, </w:t>
      </w:r>
      <w:r>
        <w:rPr>
          <w:i/>
          <w:iCs/>
          <w:lang w:val="en-GB"/>
        </w:rPr>
        <w:t>2</w:t>
      </w:r>
      <w:r>
        <w:rPr>
          <w:lang w:val="en-GB"/>
        </w:rPr>
        <w:t>(1), pp.1-</w:t>
      </w:r>
      <w:r>
        <w:rPr>
          <w:lang w:val="en-GB"/>
        </w:rPr>
        <w:lastRenderedPageBreak/>
        <w:t>6.</w:t>
      </w:r>
      <w:hyperlink r:id="rId55">
        <w:r>
          <w:rPr>
            <w:lang w:val="en-GB"/>
          </w:rPr>
          <w:t xml:space="preserve"> </w:t>
        </w:r>
      </w:hyperlink>
      <w:hyperlink r:id="rId56">
        <w:r>
          <w:rPr>
            <w:color w:val="1155CC"/>
            <w:u w:val="single"/>
            <w:lang w:val="en-GB"/>
          </w:rPr>
          <w:t>https://www.academia.edu/download/79702829/IJMRE_V2N1AI217_published_paper.pdf</w:t>
        </w:r>
      </w:hyperlink>
    </w:p>
    <w:p w14:paraId="3AD2A15C" w14:textId="77777777" w:rsidR="00252A96" w:rsidRDefault="00000000">
      <w:pPr>
        <w:spacing w:before="240" w:after="240"/>
        <w:rPr>
          <w:color w:val="1155CC"/>
          <w:u w:val="single"/>
          <w:lang w:val="en-GB"/>
        </w:rPr>
      </w:pPr>
      <w:r>
        <w:rPr>
          <w:lang w:val="en-GB"/>
        </w:rPr>
        <w:t xml:space="preserve">Rajan, R., Dhir, S. and Sushil, (2023). Determinants of alliance productivity and performance: Evidence from the automobile industry. </w:t>
      </w:r>
      <w:r>
        <w:rPr>
          <w:i/>
          <w:iCs/>
          <w:lang w:val="en-GB"/>
        </w:rPr>
        <w:t>International Journal of Productivity and Performance Management</w:t>
      </w:r>
      <w:r>
        <w:rPr>
          <w:lang w:val="en-GB"/>
        </w:rPr>
        <w:t xml:space="preserve">, </w:t>
      </w:r>
      <w:r>
        <w:rPr>
          <w:i/>
          <w:iCs/>
          <w:lang w:val="en-GB"/>
        </w:rPr>
        <w:t>72</w:t>
      </w:r>
      <w:r>
        <w:rPr>
          <w:lang w:val="en-GB"/>
        </w:rPr>
        <w:t>(2), pp.281-305.</w:t>
      </w:r>
      <w:hyperlink r:id="rId57">
        <w:r>
          <w:rPr>
            <w:lang w:val="en-GB"/>
          </w:rPr>
          <w:t xml:space="preserve"> </w:t>
        </w:r>
      </w:hyperlink>
      <w:hyperlink r:id="rId58">
        <w:r>
          <w:rPr>
            <w:color w:val="1155CC"/>
            <w:u w:val="single"/>
            <w:lang w:val="en-GB"/>
          </w:rPr>
          <w:t>https://www.emerald.com/ijppm/article-pdf/72/2/281/1118553/ijppm-02-2020-0079.pdf</w:t>
        </w:r>
      </w:hyperlink>
    </w:p>
    <w:p w14:paraId="3D852A60" w14:textId="77777777" w:rsidR="00252A96" w:rsidRDefault="00000000">
      <w:pPr>
        <w:spacing w:before="240" w:after="240"/>
        <w:rPr>
          <w:color w:val="1155CC"/>
          <w:u w:val="single"/>
          <w:lang w:val="en-GB"/>
        </w:rPr>
      </w:pPr>
      <w:r>
        <w:rPr>
          <w:lang w:val="en-GB"/>
        </w:rPr>
        <w:t xml:space="preserve">Ramachandran, S. and Chandramohan, B.P., (2024). Oligopoly in the Passenger Vehicle Segment of The Indian Automobile Sector–A Meta-Analysis. </w:t>
      </w:r>
      <w:r>
        <w:rPr>
          <w:i/>
          <w:iCs/>
          <w:lang w:val="en-GB"/>
        </w:rPr>
        <w:t>European Economic Letters</w:t>
      </w:r>
      <w:r>
        <w:rPr>
          <w:lang w:val="en-GB"/>
        </w:rPr>
        <w:t xml:space="preserve">, </w:t>
      </w:r>
      <w:r>
        <w:rPr>
          <w:i/>
          <w:iCs/>
          <w:lang w:val="en-GB"/>
        </w:rPr>
        <w:t>14</w:t>
      </w:r>
      <w:r>
        <w:rPr>
          <w:lang w:val="en-GB"/>
        </w:rPr>
        <w:t>(4), pp.2160-2173.</w:t>
      </w:r>
      <w:hyperlink r:id="rId59">
        <w:r>
          <w:rPr>
            <w:lang w:val="en-GB"/>
          </w:rPr>
          <w:t xml:space="preserve"> </w:t>
        </w:r>
      </w:hyperlink>
      <w:hyperlink r:id="rId60">
        <w:r>
          <w:rPr>
            <w:color w:val="1155CC"/>
            <w:u w:val="single"/>
            <w:lang w:val="en-GB"/>
          </w:rPr>
          <w:t>https://www.academia.edu/download/124192715/Oligopoly_in_the_Passenger_Vehicle_Segment_of_The_Indian_Automobile_Sector_A_Meta_Analysis.pdf</w:t>
        </w:r>
      </w:hyperlink>
    </w:p>
    <w:p w14:paraId="38B78A8E" w14:textId="77777777" w:rsidR="00252A96" w:rsidRDefault="00000000">
      <w:pPr>
        <w:spacing w:before="240" w:after="240"/>
        <w:rPr>
          <w:color w:val="1155CC"/>
          <w:u w:val="single"/>
          <w:lang w:val="en-GB"/>
        </w:rPr>
      </w:pPr>
      <w:r>
        <w:rPr>
          <w:lang w:val="en-GB"/>
        </w:rPr>
        <w:t>Rehman, A.U., (2022). Consumers' perceived value of luxury goods through the lens of Hofstede cultural dimensions: A cross</w:t>
      </w:r>
      <w:r>
        <w:rPr>
          <w:rFonts w:ascii="Cambria Math" w:hAnsi="Cambria Math" w:cs="Cambria Math"/>
          <w:lang w:val="en-GB"/>
        </w:rPr>
        <w:t>‐</w:t>
      </w:r>
      <w:r>
        <w:rPr>
          <w:lang w:val="en-GB"/>
        </w:rPr>
        <w:t xml:space="preserve">cultural study. </w:t>
      </w:r>
      <w:r>
        <w:rPr>
          <w:i/>
          <w:iCs/>
          <w:lang w:val="en-GB"/>
        </w:rPr>
        <w:t>Journal of Public Affairs</w:t>
      </w:r>
      <w:r>
        <w:rPr>
          <w:lang w:val="en-GB"/>
        </w:rPr>
        <w:t xml:space="preserve">, </w:t>
      </w:r>
      <w:r>
        <w:rPr>
          <w:i/>
          <w:iCs/>
          <w:lang w:val="en-GB"/>
        </w:rPr>
        <w:t>22</w:t>
      </w:r>
      <w:r>
        <w:rPr>
          <w:lang w:val="en-GB"/>
        </w:rPr>
        <w:t>(4), p.e2660.</w:t>
      </w:r>
      <w:hyperlink r:id="rId61">
        <w:r>
          <w:rPr>
            <w:lang w:val="en-GB"/>
          </w:rPr>
          <w:t xml:space="preserve"> </w:t>
        </w:r>
      </w:hyperlink>
      <w:hyperlink r:id="rId62">
        <w:r>
          <w:rPr>
            <w:color w:val="1155CC"/>
            <w:u w:val="single"/>
            <w:lang w:val="en-GB"/>
          </w:rPr>
          <w:t>https://onlinelibrary.wiley.com/doi/abs/10.1002/pa.2660</w:t>
        </w:r>
      </w:hyperlink>
    </w:p>
    <w:p w14:paraId="744B2FB7" w14:textId="77777777" w:rsidR="00252A96" w:rsidRDefault="00000000">
      <w:pPr>
        <w:spacing w:before="240" w:after="240"/>
        <w:rPr>
          <w:color w:val="1155CC"/>
          <w:u w:val="single"/>
          <w:lang w:val="en-GB"/>
        </w:rPr>
      </w:pPr>
      <w:r>
        <w:rPr>
          <w:lang w:val="en-GB"/>
        </w:rPr>
        <w:t xml:space="preserve">Rizvi, S.W.H., Agrawal, S. and Murtaza, Q., (2023). Automotive industry and industry 4.0-Circular economy nexus through the consumers' and manufacturers’ perspectives: A case study. </w:t>
      </w:r>
      <w:r>
        <w:rPr>
          <w:i/>
          <w:iCs/>
          <w:lang w:val="en-GB"/>
        </w:rPr>
        <w:t>Renewable and Sustainable Energy Reviews</w:t>
      </w:r>
      <w:r>
        <w:rPr>
          <w:lang w:val="en-GB"/>
        </w:rPr>
        <w:t xml:space="preserve">, </w:t>
      </w:r>
      <w:r>
        <w:rPr>
          <w:i/>
          <w:iCs/>
          <w:lang w:val="en-GB"/>
        </w:rPr>
        <w:t>183</w:t>
      </w:r>
      <w:r>
        <w:rPr>
          <w:lang w:val="en-GB"/>
        </w:rPr>
        <w:t>, p.113517.</w:t>
      </w:r>
      <w:hyperlink r:id="rId63">
        <w:r>
          <w:rPr>
            <w:lang w:val="en-GB"/>
          </w:rPr>
          <w:t xml:space="preserve"> </w:t>
        </w:r>
      </w:hyperlink>
      <w:hyperlink r:id="rId64">
        <w:r>
          <w:rPr>
            <w:color w:val="1155CC"/>
            <w:u w:val="single"/>
            <w:lang w:val="en-GB"/>
          </w:rPr>
          <w:t>https://www.sciencedirect.com/science/article/pii/S136403212300374X</w:t>
        </w:r>
      </w:hyperlink>
    </w:p>
    <w:p w14:paraId="03728049" w14:textId="77777777" w:rsidR="00252A96" w:rsidRDefault="00000000">
      <w:pPr>
        <w:spacing w:before="240" w:after="240"/>
        <w:rPr>
          <w:color w:val="1155CC"/>
          <w:u w:val="single"/>
          <w:lang w:val="en-GB"/>
        </w:rPr>
      </w:pPr>
      <w:r>
        <w:rPr>
          <w:lang w:val="en-GB"/>
        </w:rPr>
        <w:t xml:space="preserve">Sheikhar, C. and Bhat, A., (2026). Competitiveness in India’s Defence Industry Ecosystem: An Analysis. </w:t>
      </w:r>
      <w:r>
        <w:rPr>
          <w:i/>
          <w:iCs/>
          <w:lang w:val="en-GB"/>
        </w:rPr>
        <w:t>Strategic Analysis</w:t>
      </w:r>
      <w:r>
        <w:rPr>
          <w:lang w:val="en-GB"/>
        </w:rPr>
        <w:t>, pp.1-16.</w:t>
      </w:r>
      <w:hyperlink r:id="rId65">
        <w:r>
          <w:rPr>
            <w:lang w:val="en-GB"/>
          </w:rPr>
          <w:t xml:space="preserve"> </w:t>
        </w:r>
      </w:hyperlink>
      <w:hyperlink r:id="rId66">
        <w:r>
          <w:rPr>
            <w:color w:val="1155CC"/>
            <w:u w:val="single"/>
            <w:lang w:val="en-GB"/>
          </w:rPr>
          <w:t>https://www.tandfonline.com/doi/abs/10.1080/09700161.(2026).2615278</w:t>
        </w:r>
      </w:hyperlink>
    </w:p>
    <w:p w14:paraId="5AB02D49" w14:textId="77777777" w:rsidR="00252A96" w:rsidRDefault="00000000">
      <w:pPr>
        <w:spacing w:before="240" w:after="240"/>
        <w:rPr>
          <w:color w:val="1155CC"/>
          <w:u w:val="single"/>
          <w:lang w:val="en-GB"/>
        </w:rPr>
      </w:pPr>
      <w:r>
        <w:rPr>
          <w:lang w:val="en-GB"/>
        </w:rPr>
        <w:t xml:space="preserve">Singh, B.J., Sehgal, R., Chakraborty, A. and Phanden, R.K., (2024). Managing digital manufacturing transformation: assessing the status-quo and future prospects in North Indian industries. </w:t>
      </w:r>
      <w:r>
        <w:rPr>
          <w:i/>
          <w:iCs/>
          <w:lang w:val="en-GB"/>
        </w:rPr>
        <w:t>Journal of Strategy and Management</w:t>
      </w:r>
      <w:r>
        <w:rPr>
          <w:lang w:val="en-GB"/>
        </w:rPr>
        <w:t>.</w:t>
      </w:r>
      <w:hyperlink r:id="rId67">
        <w:r>
          <w:rPr>
            <w:lang w:val="en-GB"/>
          </w:rPr>
          <w:t xml:space="preserve"> </w:t>
        </w:r>
      </w:hyperlink>
      <w:hyperlink r:id="rId68">
        <w:r>
          <w:rPr>
            <w:color w:val="1155CC"/>
            <w:u w:val="single"/>
            <w:lang w:val="en-GB"/>
          </w:rPr>
          <w:t>https://www.emerald.com/jsma/article-pdf/doi/10.1108/JSMA-07-(2023)-0168/9774159/jsma-07-(2023)-0168.pdf</w:t>
        </w:r>
      </w:hyperlink>
    </w:p>
    <w:p w14:paraId="33C62F46" w14:textId="77777777" w:rsidR="00252A96" w:rsidRDefault="00000000">
      <w:pPr>
        <w:spacing w:before="240" w:after="240"/>
        <w:rPr>
          <w:color w:val="1155CC"/>
          <w:u w:val="single"/>
          <w:lang w:val="en-GB"/>
        </w:rPr>
      </w:pPr>
      <w:r>
        <w:rPr>
          <w:lang w:val="en-GB"/>
        </w:rPr>
        <w:lastRenderedPageBreak/>
        <w:t xml:space="preserve">Singh, V.K., Kumar, R., Joshi, C.V. and Poddar, S., (2023). Improving operational performance with world class quality (WCQ) technique: A case in Indian automotive industry. </w:t>
      </w:r>
      <w:r>
        <w:rPr>
          <w:i/>
          <w:iCs/>
          <w:lang w:val="en-GB"/>
        </w:rPr>
        <w:t>Materials Today: Proceedings</w:t>
      </w:r>
      <w:r>
        <w:rPr>
          <w:lang w:val="en-GB"/>
        </w:rPr>
        <w:t xml:space="preserve">, </w:t>
      </w:r>
      <w:r>
        <w:rPr>
          <w:i/>
          <w:iCs/>
          <w:lang w:val="en-GB"/>
        </w:rPr>
        <w:t>72</w:t>
      </w:r>
      <w:r>
        <w:rPr>
          <w:lang w:val="en-GB"/>
        </w:rPr>
        <w:t>, pp.1561-1567.</w:t>
      </w:r>
      <w:hyperlink r:id="rId69">
        <w:r>
          <w:rPr>
            <w:lang w:val="en-GB"/>
          </w:rPr>
          <w:t xml:space="preserve"> </w:t>
        </w:r>
      </w:hyperlink>
      <w:hyperlink r:id="rId70">
        <w:r>
          <w:rPr>
            <w:color w:val="1155CC"/>
            <w:u w:val="single"/>
            <w:lang w:val="en-GB"/>
          </w:rPr>
          <w:t>https://www.sciencedirect.com/science/article/pii/S2214785322062009</w:t>
        </w:r>
      </w:hyperlink>
    </w:p>
    <w:p w14:paraId="55105D88" w14:textId="77777777" w:rsidR="00252A96" w:rsidRDefault="00000000">
      <w:pPr>
        <w:spacing w:before="240" w:after="240"/>
        <w:rPr>
          <w:lang w:val="en-GB"/>
        </w:rPr>
      </w:pPr>
      <w:r>
        <w:rPr>
          <w:lang w:val="en-GB"/>
        </w:rPr>
        <w:t xml:space="preserve">The Culture Factor, (2026). </w:t>
      </w:r>
      <w:r>
        <w:rPr>
          <w:i/>
          <w:iCs/>
          <w:lang w:val="en-GB"/>
        </w:rPr>
        <w:t>Hofstede Cultural Dimension of India</w:t>
      </w:r>
      <w:r>
        <w:rPr>
          <w:lang w:val="en-GB"/>
        </w:rPr>
        <w:t>. Available at:</w:t>
      </w:r>
      <w:hyperlink r:id="rId71">
        <w:r>
          <w:rPr>
            <w:lang w:val="en-GB"/>
          </w:rPr>
          <w:t xml:space="preserve"> </w:t>
        </w:r>
      </w:hyperlink>
      <w:hyperlink r:id="rId72">
        <w:r>
          <w:rPr>
            <w:color w:val="1155CC"/>
            <w:u w:val="single"/>
            <w:lang w:val="en-GB"/>
          </w:rPr>
          <w:t>https://www.theculturefactor.com/country-comparison-tool?countries=india</w:t>
        </w:r>
      </w:hyperlink>
      <w:r>
        <w:rPr>
          <w:lang w:val="en-GB"/>
        </w:rPr>
        <w:t>. [Accessed 06 April 2026].</w:t>
      </w:r>
    </w:p>
    <w:p w14:paraId="6FE100B9" w14:textId="77777777" w:rsidR="00252A96" w:rsidRDefault="00000000">
      <w:pPr>
        <w:spacing w:before="240" w:after="240"/>
        <w:rPr>
          <w:color w:val="1155CC"/>
          <w:u w:val="single"/>
          <w:lang w:val="en-GB"/>
        </w:rPr>
      </w:pPr>
      <w:r>
        <w:rPr>
          <w:lang w:val="en-GB"/>
        </w:rPr>
        <w:t xml:space="preserve">Tripathi, S. and Talukder, B., (2023). Supply chain performance and profitability in Indian automobile industry: Evidence of segmental difference. </w:t>
      </w:r>
      <w:r>
        <w:rPr>
          <w:i/>
          <w:iCs/>
          <w:lang w:val="en-GB"/>
        </w:rPr>
        <w:t>Global Business Review</w:t>
      </w:r>
      <w:r>
        <w:rPr>
          <w:lang w:val="en-GB"/>
        </w:rPr>
        <w:t xml:space="preserve">, </w:t>
      </w:r>
      <w:r>
        <w:rPr>
          <w:i/>
          <w:iCs/>
          <w:lang w:val="en-GB"/>
        </w:rPr>
        <w:t>24</w:t>
      </w:r>
      <w:r>
        <w:rPr>
          <w:lang w:val="en-GB"/>
        </w:rPr>
        <w:t>(2), pp.371-392.</w:t>
      </w:r>
      <w:hyperlink r:id="rId73">
        <w:r>
          <w:rPr>
            <w:lang w:val="en-GB"/>
          </w:rPr>
          <w:t xml:space="preserve"> </w:t>
        </w:r>
      </w:hyperlink>
      <w:hyperlink r:id="rId74">
        <w:r>
          <w:rPr>
            <w:color w:val="1155CC"/>
            <w:u w:val="single"/>
            <w:lang w:val="en-GB"/>
          </w:rPr>
          <w:t>https://doi.org/10.1177/0972150919898302</w:t>
        </w:r>
      </w:hyperlink>
    </w:p>
    <w:p w14:paraId="25E59CA4" w14:textId="77777777" w:rsidR="00252A96" w:rsidRDefault="00000000">
      <w:pPr>
        <w:spacing w:before="240" w:after="240"/>
      </w:pPr>
      <w:r>
        <w:rPr>
          <w:lang w:val="en-GB"/>
        </w:rPr>
        <w:t xml:space="preserve">Tripathy, A. and Dastrala, S.M., (2023). Make in India: So far and going ahead. </w:t>
      </w:r>
      <w:r>
        <w:rPr>
          <w:i/>
          <w:iCs/>
          <w:lang w:val="en-GB"/>
        </w:rPr>
        <w:t>IIM Bangalore Research Paper</w:t>
      </w:r>
      <w:r>
        <w:rPr>
          <w:lang w:val="en-GB"/>
        </w:rPr>
        <w:t>, (674).</w:t>
      </w:r>
      <w:hyperlink r:id="rId75">
        <w:r>
          <w:rPr>
            <w:lang w:val="en-GB"/>
          </w:rPr>
          <w:t xml:space="preserve"> </w:t>
        </w:r>
      </w:hyperlink>
      <w:hyperlink r:id="rId76">
        <w:r>
          <w:rPr>
            <w:color w:val="1155CC"/>
            <w:u w:val="single"/>
            <w:lang w:val="en-GB"/>
          </w:rPr>
          <w:t>https://papers.ssrn.com/sol3/Delivery.cfm?abstractid=4384039</w:t>
        </w:r>
      </w:hyperlink>
    </w:p>
    <w:p w14:paraId="74B6F48D" w14:textId="77777777" w:rsidR="00252A96" w:rsidRDefault="00000000">
      <w:pPr>
        <w:rPr>
          <w:lang w:val="en-IN"/>
        </w:rPr>
      </w:pPr>
      <w:r>
        <w:rPr>
          <w:lang w:val="en-IN"/>
        </w:rPr>
        <w:t xml:space="preserve">Wang, D., (2025). Practice and Exploration of a Clinical Nursing Student Teaching Model Based on the Combination of Flipped Classroom, MOOCs, and Gibbs’ Reflective Cycle: A Case Study of The First Affiliated Hospital of Anhui Medical University. </w:t>
      </w:r>
      <w:r>
        <w:rPr>
          <w:i/>
          <w:iCs/>
          <w:lang w:val="en-IN"/>
        </w:rPr>
        <w:t>Pacific International Journal</w:t>
      </w:r>
      <w:r>
        <w:rPr>
          <w:lang w:val="en-IN"/>
        </w:rPr>
        <w:t xml:space="preserve">, </w:t>
      </w:r>
      <w:r>
        <w:rPr>
          <w:i/>
          <w:iCs/>
          <w:lang w:val="en-IN"/>
        </w:rPr>
        <w:t>8</w:t>
      </w:r>
      <w:r>
        <w:rPr>
          <w:lang w:val="en-IN"/>
        </w:rPr>
        <w:t>(4), pp.176-184.</w:t>
      </w:r>
      <w:hyperlink r:id="rId77" w:history="1">
        <w:r>
          <w:rPr>
            <w:rStyle w:val="Hyperlink"/>
            <w:lang w:val="en-IN"/>
          </w:rPr>
          <w:t>https://www.rclss.com/pij/article/view/866</w:t>
        </w:r>
      </w:hyperlink>
      <w:r>
        <w:rPr>
          <w:lang w:val="en-IN"/>
        </w:rPr>
        <w:t> </w:t>
      </w:r>
    </w:p>
    <w:p w14:paraId="29D0AF2C" w14:textId="77777777" w:rsidR="00252A96" w:rsidRDefault="00000000">
      <w:pPr>
        <w:pStyle w:val="Heading2"/>
        <w:spacing w:before="240" w:after="240"/>
        <w:rPr>
          <w:lang w:val="en-GB"/>
        </w:rPr>
      </w:pPr>
      <w:bookmarkStart w:id="52" w:name="_g5w5s9868sbk" w:colFirst="0" w:colLast="0"/>
      <w:bookmarkStart w:id="53" w:name="_Toc226383069"/>
      <w:bookmarkEnd w:id="52"/>
      <w:r>
        <w:rPr>
          <w:lang w:val="en-GB"/>
        </w:rPr>
        <w:t>Website</w:t>
      </w:r>
      <w:bookmarkEnd w:id="53"/>
      <w:r>
        <w:rPr>
          <w:lang w:val="en-GB"/>
        </w:rPr>
        <w:t xml:space="preserve"> </w:t>
      </w:r>
    </w:p>
    <w:p w14:paraId="45DCFED4" w14:textId="77777777" w:rsidR="00252A96" w:rsidRDefault="00000000">
      <w:pPr>
        <w:spacing w:before="240" w:after="240"/>
        <w:rPr>
          <w:lang w:val="en-GB"/>
        </w:rPr>
      </w:pPr>
      <w:r>
        <w:rPr>
          <w:lang w:val="en-GB"/>
        </w:rPr>
        <w:t xml:space="preserve">Business Standard (2026). </w:t>
      </w:r>
      <w:r>
        <w:rPr>
          <w:i/>
          <w:iCs/>
          <w:lang w:val="en-GB"/>
        </w:rPr>
        <w:t>Car sales in India hit a speed bump in FY25; slow lane ahead in FY26.</w:t>
      </w:r>
      <w:r>
        <w:rPr>
          <w:lang w:val="en-GB"/>
        </w:rPr>
        <w:t xml:space="preserve"> Available at:</w:t>
      </w:r>
      <w:hyperlink r:id="rId78">
        <w:r>
          <w:rPr>
            <w:lang w:val="en-GB"/>
          </w:rPr>
          <w:t xml:space="preserve"> </w:t>
        </w:r>
      </w:hyperlink>
      <w:hyperlink r:id="rId79">
        <w:r>
          <w:rPr>
            <w:color w:val="1155CC"/>
            <w:u w:val="single"/>
            <w:lang w:val="en-GB"/>
          </w:rPr>
          <w:t>https://www.business-standard.com/industry/auto/domestic-passenger-vehicle-sales-rise-2-6-in-fy25-to-4-34-million-units-125040101294_1.html</w:t>
        </w:r>
      </w:hyperlink>
      <w:r>
        <w:rPr>
          <w:lang w:val="en-GB"/>
        </w:rPr>
        <w:t>. [Accessed 06 April 2026].</w:t>
      </w:r>
    </w:p>
    <w:p w14:paraId="4A28EEAC" w14:textId="77777777" w:rsidR="00252A96" w:rsidRDefault="00000000">
      <w:pPr>
        <w:spacing w:before="240" w:after="240"/>
        <w:rPr>
          <w:lang w:val="en-GB"/>
        </w:rPr>
      </w:pPr>
      <w:r>
        <w:rPr>
          <w:lang w:val="en-GB"/>
        </w:rPr>
        <w:t xml:space="preserve">Business Standard (2026a). </w:t>
      </w:r>
      <w:r>
        <w:rPr>
          <w:i/>
          <w:iCs/>
          <w:lang w:val="en-GB"/>
        </w:rPr>
        <w:t>India's automotive industry contributes 7.1% to India's Gross Domestic Product says NITI Aayog.</w:t>
      </w:r>
      <w:r>
        <w:rPr>
          <w:lang w:val="en-GB"/>
        </w:rPr>
        <w:t xml:space="preserve"> Available at:</w:t>
      </w:r>
      <w:hyperlink r:id="rId80">
        <w:r>
          <w:rPr>
            <w:lang w:val="en-GB"/>
          </w:rPr>
          <w:t xml:space="preserve"> </w:t>
        </w:r>
      </w:hyperlink>
      <w:hyperlink r:id="rId81">
        <w:r>
          <w:rPr>
            <w:color w:val="1155CC"/>
            <w:u w:val="single"/>
            <w:lang w:val="en-GB"/>
          </w:rPr>
          <w:t>https://www.business-standard.com/markets/capital-market-news/india-s-automotive-industry-contributes-7-1-to-india-s-gross-domestic-product-says-niti-aayog-125041501065_1.html</w:t>
        </w:r>
      </w:hyperlink>
      <w:r>
        <w:rPr>
          <w:lang w:val="en-GB"/>
        </w:rPr>
        <w:t>. [Accessed 06 April 2026].</w:t>
      </w:r>
    </w:p>
    <w:p w14:paraId="1F59064B" w14:textId="77777777" w:rsidR="00252A96" w:rsidRDefault="00000000">
      <w:pPr>
        <w:spacing w:before="240" w:after="240"/>
        <w:rPr>
          <w:lang w:val="en-GB"/>
        </w:rPr>
      </w:pPr>
      <w:r>
        <w:rPr>
          <w:lang w:val="en-GB"/>
        </w:rPr>
        <w:lastRenderedPageBreak/>
        <w:t xml:space="preserve">EY (2026). </w:t>
      </w:r>
      <w:r>
        <w:rPr>
          <w:i/>
          <w:iCs/>
          <w:lang w:val="en-GB"/>
        </w:rPr>
        <w:t>Indian media and entertainment is scripting a new story</w:t>
      </w:r>
      <w:r>
        <w:rPr>
          <w:lang w:val="en-GB"/>
        </w:rPr>
        <w:t>. Available at:</w:t>
      </w:r>
      <w:hyperlink r:id="rId82">
        <w:r>
          <w:rPr>
            <w:lang w:val="en-GB"/>
          </w:rPr>
          <w:t xml:space="preserve"> </w:t>
        </w:r>
      </w:hyperlink>
      <w:hyperlink r:id="rId83">
        <w:r>
          <w:rPr>
            <w:color w:val="1155CC"/>
            <w:u w:val="single"/>
            <w:lang w:val="en-GB"/>
          </w:rPr>
          <w:t>https://www.ey.com/content/dam/ey-unified-site/ey-com/en-in/insights/media-entertainment/ey-shape-the-future-indian-media-and-entertainment-is-scripting-a-new-story.pdf</w:t>
        </w:r>
      </w:hyperlink>
      <w:r>
        <w:rPr>
          <w:lang w:val="en-GB"/>
        </w:rPr>
        <w:t>. [Accessed 06 April 2026].</w:t>
      </w:r>
    </w:p>
    <w:p w14:paraId="35531B80" w14:textId="77777777" w:rsidR="00252A96" w:rsidRDefault="00000000">
      <w:pPr>
        <w:spacing w:before="240" w:after="240"/>
        <w:rPr>
          <w:lang w:val="en-GB"/>
        </w:rPr>
      </w:pPr>
      <w:r>
        <w:rPr>
          <w:lang w:val="en-GB"/>
        </w:rPr>
        <w:t xml:space="preserve">EY (2026a). </w:t>
      </w:r>
      <w:r>
        <w:rPr>
          <w:i/>
          <w:iCs/>
          <w:lang w:val="en-GB"/>
        </w:rPr>
        <w:t>Building India’s future: Opportunities in green mobility and logistics.</w:t>
      </w:r>
      <w:r>
        <w:rPr>
          <w:lang w:val="en-GB"/>
        </w:rPr>
        <w:t xml:space="preserve"> Available at:</w:t>
      </w:r>
      <w:hyperlink r:id="rId84">
        <w:r>
          <w:rPr>
            <w:lang w:val="en-GB"/>
          </w:rPr>
          <w:t xml:space="preserve"> </w:t>
        </w:r>
      </w:hyperlink>
      <w:hyperlink r:id="rId85">
        <w:r>
          <w:rPr>
            <w:color w:val="1155CC"/>
            <w:u w:val="single"/>
            <w:lang w:val="en-GB"/>
          </w:rPr>
          <w:t>https://www.ey.com/content/dam/ey-unified-site/ey-com/en-in/insights/infrastructure/ey-building-indias-future-lowres.pdf</w:t>
        </w:r>
      </w:hyperlink>
      <w:r>
        <w:rPr>
          <w:lang w:val="en-GB"/>
        </w:rPr>
        <w:t>. [Accessed 06 April 2026].</w:t>
      </w:r>
    </w:p>
    <w:p w14:paraId="5052D670" w14:textId="77777777" w:rsidR="00252A96" w:rsidRDefault="00000000">
      <w:pPr>
        <w:spacing w:before="240" w:after="240"/>
        <w:rPr>
          <w:lang w:val="en-GB"/>
        </w:rPr>
      </w:pPr>
      <w:r>
        <w:rPr>
          <w:lang w:val="en-GB"/>
        </w:rPr>
        <w:t xml:space="preserve">Hyundai (2026). </w:t>
      </w:r>
      <w:r>
        <w:rPr>
          <w:i/>
          <w:iCs/>
          <w:lang w:val="en-GB"/>
        </w:rPr>
        <w:t xml:space="preserve">Together with India Towards new horizons. </w:t>
      </w:r>
      <w:r>
        <w:rPr>
          <w:lang w:val="en-GB"/>
        </w:rPr>
        <w:t>Available at:</w:t>
      </w:r>
      <w:hyperlink r:id="rId86">
        <w:r>
          <w:rPr>
            <w:lang w:val="en-GB"/>
          </w:rPr>
          <w:t xml:space="preserve"> </w:t>
        </w:r>
      </w:hyperlink>
      <w:hyperlink r:id="rId87">
        <w:r>
          <w:rPr>
            <w:color w:val="1155CC"/>
            <w:u w:val="single"/>
            <w:lang w:val="en-GB"/>
          </w:rPr>
          <w:t>https://www.hyundai.com/content/dam/hyundai/in/en/data/investor-relations/annual-report/annual-report2024-25.pdf</w:t>
        </w:r>
      </w:hyperlink>
      <w:r>
        <w:rPr>
          <w:lang w:val="en-GB"/>
        </w:rPr>
        <w:t>. [Accessed 06 April 2026].</w:t>
      </w:r>
    </w:p>
    <w:p w14:paraId="14F977D5" w14:textId="77777777" w:rsidR="00252A96" w:rsidRDefault="00000000">
      <w:pPr>
        <w:spacing w:before="240" w:after="240"/>
        <w:rPr>
          <w:lang w:val="en-GB"/>
        </w:rPr>
      </w:pPr>
      <w:r>
        <w:rPr>
          <w:lang w:val="en-GB"/>
        </w:rPr>
        <w:t xml:space="preserve">Hyundai (2026a). </w:t>
      </w:r>
      <w:r>
        <w:rPr>
          <w:i/>
          <w:iCs/>
          <w:lang w:val="en-GB"/>
        </w:rPr>
        <w:t>Together with India Towards new horizons</w:t>
      </w:r>
      <w:r>
        <w:rPr>
          <w:lang w:val="en-GB"/>
        </w:rPr>
        <w:t>. Available at:</w:t>
      </w:r>
      <w:hyperlink r:id="rId88">
        <w:r>
          <w:rPr>
            <w:lang w:val="en-GB"/>
          </w:rPr>
          <w:t xml:space="preserve"> </w:t>
        </w:r>
      </w:hyperlink>
      <w:hyperlink r:id="rId89">
        <w:r>
          <w:rPr>
            <w:color w:val="1155CC"/>
            <w:u w:val="single"/>
            <w:lang w:val="en-GB"/>
          </w:rPr>
          <w:t>https://www.hyundai.com/content/dam/hyundai/in/en/data/investor-relations/annual-report/annual-report2024-25.pdf</w:t>
        </w:r>
      </w:hyperlink>
      <w:r>
        <w:rPr>
          <w:lang w:val="en-GB"/>
        </w:rPr>
        <w:t>. [Accessed 06 April 2026].</w:t>
      </w:r>
    </w:p>
    <w:p w14:paraId="4176E47F" w14:textId="77777777" w:rsidR="00252A96" w:rsidRDefault="00000000">
      <w:pPr>
        <w:spacing w:before="240" w:after="240"/>
        <w:rPr>
          <w:lang w:val="en-GB"/>
        </w:rPr>
      </w:pPr>
      <w:r>
        <w:rPr>
          <w:lang w:val="en-GB"/>
        </w:rPr>
        <w:t xml:space="preserve">IBEF (2026). </w:t>
      </w:r>
      <w:r>
        <w:rPr>
          <w:i/>
          <w:iCs/>
          <w:lang w:val="en-GB"/>
        </w:rPr>
        <w:t>India's automobile exports rise 24% in 2025, driven by robust demand.</w:t>
      </w:r>
      <w:r>
        <w:rPr>
          <w:lang w:val="en-GB"/>
        </w:rPr>
        <w:t xml:space="preserve"> Available at:</w:t>
      </w:r>
      <w:hyperlink r:id="rId90">
        <w:r>
          <w:rPr>
            <w:lang w:val="en-GB"/>
          </w:rPr>
          <w:t xml:space="preserve"> </w:t>
        </w:r>
      </w:hyperlink>
      <w:hyperlink r:id="rId91">
        <w:r>
          <w:rPr>
            <w:color w:val="1155CC"/>
            <w:u w:val="single"/>
            <w:lang w:val="en-GB"/>
          </w:rPr>
          <w:t>https://www.ibef.org/news/india-s-automobile-exports-rise-24-in-2025-driven-by-robust-demand</w:t>
        </w:r>
      </w:hyperlink>
      <w:r>
        <w:rPr>
          <w:lang w:val="en-GB"/>
        </w:rPr>
        <w:t>. [Accessed 06 April 2026].</w:t>
      </w:r>
    </w:p>
    <w:p w14:paraId="0928A5DF" w14:textId="77777777" w:rsidR="00252A96" w:rsidRDefault="00000000">
      <w:pPr>
        <w:spacing w:before="240" w:after="240"/>
        <w:rPr>
          <w:lang w:val="en-GB"/>
        </w:rPr>
      </w:pPr>
      <w:r>
        <w:rPr>
          <w:lang w:val="en-GB"/>
        </w:rPr>
        <w:t xml:space="preserve">IBEF (2026a). </w:t>
      </w:r>
      <w:r>
        <w:rPr>
          <w:i/>
          <w:iCs/>
          <w:lang w:val="en-GB"/>
        </w:rPr>
        <w:t>Manufacturing Industries in India &amp; its Growth</w:t>
      </w:r>
      <w:r>
        <w:rPr>
          <w:lang w:val="en-GB"/>
        </w:rPr>
        <w:t>. Available at:</w:t>
      </w:r>
      <w:hyperlink r:id="rId92">
        <w:r>
          <w:rPr>
            <w:lang w:val="en-GB"/>
          </w:rPr>
          <w:t xml:space="preserve"> </w:t>
        </w:r>
      </w:hyperlink>
      <w:hyperlink r:id="rId93">
        <w:r>
          <w:rPr>
            <w:color w:val="1155CC"/>
            <w:u w:val="single"/>
            <w:lang w:val="en-GB"/>
          </w:rPr>
          <w:t>https://www.ibef.org/industry/manufacturing-sector-india</w:t>
        </w:r>
      </w:hyperlink>
      <w:r>
        <w:rPr>
          <w:lang w:val="en-GB"/>
        </w:rPr>
        <w:t>. [Accessed 06 April 2026].</w:t>
      </w:r>
    </w:p>
    <w:p w14:paraId="7770054B" w14:textId="77777777" w:rsidR="00252A96" w:rsidRDefault="00000000">
      <w:pPr>
        <w:spacing w:before="240" w:after="240"/>
        <w:rPr>
          <w:lang w:val="en-GB"/>
        </w:rPr>
      </w:pPr>
      <w:r>
        <w:rPr>
          <w:lang w:val="en-GB"/>
        </w:rPr>
        <w:t xml:space="preserve">IBEF (2026b). </w:t>
      </w:r>
      <w:r>
        <w:rPr>
          <w:i/>
          <w:iCs/>
          <w:lang w:val="en-GB"/>
        </w:rPr>
        <w:t>India's passenger vehicle sales hit record high at 43 lakh units in FY25, utility vehicles driver of growth: Society of Indian Automobile Manufacturers (SIAM).</w:t>
      </w:r>
      <w:r>
        <w:rPr>
          <w:lang w:val="en-GB"/>
        </w:rPr>
        <w:t xml:space="preserve"> Available at:</w:t>
      </w:r>
      <w:hyperlink r:id="rId94">
        <w:r>
          <w:rPr>
            <w:lang w:val="en-GB"/>
          </w:rPr>
          <w:t xml:space="preserve"> </w:t>
        </w:r>
      </w:hyperlink>
      <w:hyperlink r:id="rId95">
        <w:r>
          <w:rPr>
            <w:color w:val="1155CC"/>
            <w:u w:val="single"/>
            <w:lang w:val="en-GB"/>
          </w:rPr>
          <w:t>https://www.ibef.org/news/india-s-passenger-vehicle-sales-hit-record-high-at-43-lakh-units-in-fy25-utility-vehicles-driver-of-growth-society-of-indian-automobile-manufacturers-siam</w:t>
        </w:r>
      </w:hyperlink>
      <w:r>
        <w:rPr>
          <w:lang w:val="en-GB"/>
        </w:rPr>
        <w:t>. [Accessed 06 April 2026].</w:t>
      </w:r>
    </w:p>
    <w:p w14:paraId="1F8811AC" w14:textId="77777777" w:rsidR="00252A96" w:rsidRDefault="00000000">
      <w:pPr>
        <w:spacing w:before="240" w:after="240"/>
        <w:rPr>
          <w:lang w:val="en-GB"/>
        </w:rPr>
      </w:pPr>
      <w:r>
        <w:rPr>
          <w:lang w:val="en-GB"/>
        </w:rPr>
        <w:t xml:space="preserve">IEA (2026). </w:t>
      </w:r>
      <w:r>
        <w:rPr>
          <w:i/>
          <w:iCs/>
          <w:lang w:val="en-GB"/>
        </w:rPr>
        <w:t>Trends in electric car markets – Global EV Outlook 2025</w:t>
      </w:r>
      <w:r>
        <w:rPr>
          <w:lang w:val="en-GB"/>
        </w:rPr>
        <w:t>. Available at:</w:t>
      </w:r>
      <w:hyperlink r:id="rId96">
        <w:r>
          <w:rPr>
            <w:lang w:val="en-GB"/>
          </w:rPr>
          <w:t xml:space="preserve"> </w:t>
        </w:r>
      </w:hyperlink>
      <w:hyperlink r:id="rId97">
        <w:r>
          <w:rPr>
            <w:color w:val="1155CC"/>
            <w:u w:val="single"/>
            <w:lang w:val="en-GB"/>
          </w:rPr>
          <w:t>https://www.iea.org/reports/global-ev-outlook-2025/trends-in-electric-car-markets-2</w:t>
        </w:r>
      </w:hyperlink>
      <w:r>
        <w:rPr>
          <w:lang w:val="en-GB"/>
        </w:rPr>
        <w:t>. [Accessed 06 April 2026].</w:t>
      </w:r>
    </w:p>
    <w:p w14:paraId="421ABE0A" w14:textId="77777777" w:rsidR="00252A96" w:rsidRDefault="00000000">
      <w:pPr>
        <w:spacing w:before="240" w:after="240"/>
        <w:rPr>
          <w:lang w:val="en-GB"/>
        </w:rPr>
      </w:pPr>
      <w:r>
        <w:rPr>
          <w:lang w:val="en-GB"/>
        </w:rPr>
        <w:lastRenderedPageBreak/>
        <w:t xml:space="preserve">India Budget (2026). </w:t>
      </w:r>
      <w:r>
        <w:rPr>
          <w:i/>
          <w:iCs/>
          <w:lang w:val="en-GB"/>
        </w:rPr>
        <w:t>Economic Outlook, Prospects, and Policy Challenges.</w:t>
      </w:r>
      <w:r>
        <w:rPr>
          <w:lang w:val="en-GB"/>
        </w:rPr>
        <w:t xml:space="preserve"> Available at:</w:t>
      </w:r>
      <w:hyperlink r:id="rId98">
        <w:r>
          <w:rPr>
            <w:lang w:val="en-GB"/>
          </w:rPr>
          <w:t xml:space="preserve"> </w:t>
        </w:r>
      </w:hyperlink>
      <w:hyperlink r:id="rId99">
        <w:r>
          <w:rPr>
            <w:color w:val="1155CC"/>
            <w:u w:val="single"/>
            <w:lang w:val="en-GB"/>
          </w:rPr>
          <w:t>https://www.indiabudget.gov.in/budget2016-2017/es2015-16/echapter-vol1.pdf</w:t>
        </w:r>
      </w:hyperlink>
      <w:r>
        <w:rPr>
          <w:lang w:val="en-GB"/>
        </w:rPr>
        <w:t>. [Accessed 06 April 2026].</w:t>
      </w:r>
    </w:p>
    <w:p w14:paraId="16F95536" w14:textId="77777777" w:rsidR="00252A96" w:rsidRDefault="00000000">
      <w:pPr>
        <w:spacing w:before="240" w:after="240"/>
        <w:rPr>
          <w:lang w:val="en-GB"/>
        </w:rPr>
      </w:pPr>
      <w:r>
        <w:rPr>
          <w:lang w:val="en-GB"/>
        </w:rPr>
        <w:t xml:space="preserve">KPMG (2026). </w:t>
      </w:r>
      <w:r>
        <w:rPr>
          <w:i/>
          <w:iCs/>
          <w:lang w:val="en-GB"/>
        </w:rPr>
        <w:t>Impact of e-commerce on employment in India</w:t>
      </w:r>
      <w:r>
        <w:rPr>
          <w:lang w:val="en-GB"/>
        </w:rPr>
        <w:t>. Available at:</w:t>
      </w:r>
      <w:hyperlink r:id="rId100">
        <w:r>
          <w:rPr>
            <w:lang w:val="en-GB"/>
          </w:rPr>
          <w:t xml:space="preserve"> </w:t>
        </w:r>
      </w:hyperlink>
      <w:hyperlink r:id="rId101">
        <w:r>
          <w:rPr>
            <w:color w:val="1155CC"/>
            <w:u w:val="single"/>
            <w:lang w:val="en-GB"/>
          </w:rPr>
          <w:t>https://assets.kpmg.com/content/dam/kpmg/in/pdf/2016/12/impact-of-ecommerce-on-employment-in-india.pdf</w:t>
        </w:r>
      </w:hyperlink>
      <w:r>
        <w:rPr>
          <w:lang w:val="en-GB"/>
        </w:rPr>
        <w:t>. [Accessed 06 April 2026].</w:t>
      </w:r>
    </w:p>
    <w:p w14:paraId="7646A858" w14:textId="77777777" w:rsidR="00252A96" w:rsidRDefault="00000000">
      <w:pPr>
        <w:spacing w:before="240" w:after="240"/>
        <w:rPr>
          <w:lang w:val="en-GB"/>
        </w:rPr>
      </w:pPr>
      <w:r>
        <w:rPr>
          <w:lang w:val="en-GB"/>
        </w:rPr>
        <w:t xml:space="preserve">McKinsey &amp; Company (2026). </w:t>
      </w:r>
      <w:r>
        <w:rPr>
          <w:i/>
          <w:iCs/>
          <w:lang w:val="en-GB"/>
        </w:rPr>
        <w:t>Tech-enabled transformation</w:t>
      </w:r>
      <w:r>
        <w:rPr>
          <w:lang w:val="en-GB"/>
        </w:rPr>
        <w:t>. Available at:</w:t>
      </w:r>
      <w:hyperlink r:id="rId102">
        <w:r>
          <w:rPr>
            <w:lang w:val="en-GB"/>
          </w:rPr>
          <w:t xml:space="preserve"> </w:t>
        </w:r>
      </w:hyperlink>
      <w:hyperlink r:id="rId103">
        <w:r>
          <w:rPr>
            <w:color w:val="1155CC"/>
            <w:u w:val="single"/>
            <w:lang w:val="en-GB"/>
          </w:rPr>
          <w:t>https://www.mckinsey.com/~/media/mckinsey/business%20functions/mckinsey%20digital/our%20insights/tech%20enabled%20transformation/tech-enabled-transformation-the-trillion-dollar-opportunity-for-industrials.pdf</w:t>
        </w:r>
      </w:hyperlink>
      <w:r>
        <w:rPr>
          <w:lang w:val="en-GB"/>
        </w:rPr>
        <w:t>. [Accessed 06 April 2026].</w:t>
      </w:r>
    </w:p>
    <w:p w14:paraId="0FB52CDC" w14:textId="77777777" w:rsidR="00252A96" w:rsidRDefault="00000000">
      <w:pPr>
        <w:spacing w:before="240" w:after="240"/>
        <w:rPr>
          <w:lang w:val="en-GB"/>
        </w:rPr>
      </w:pPr>
      <w:r>
        <w:rPr>
          <w:lang w:val="en-GB"/>
        </w:rPr>
        <w:t xml:space="preserve">Statista (2026). </w:t>
      </w:r>
      <w:r>
        <w:rPr>
          <w:i/>
          <w:iCs/>
          <w:lang w:val="en-GB"/>
        </w:rPr>
        <w:t>Maruti Suzuki - statistics &amp; facts</w:t>
      </w:r>
      <w:r>
        <w:rPr>
          <w:lang w:val="en-GB"/>
        </w:rPr>
        <w:t>. Available at:</w:t>
      </w:r>
      <w:hyperlink r:id="rId104">
        <w:r>
          <w:rPr>
            <w:lang w:val="en-GB"/>
          </w:rPr>
          <w:t xml:space="preserve"> </w:t>
        </w:r>
      </w:hyperlink>
      <w:hyperlink r:id="rId105">
        <w:r>
          <w:rPr>
            <w:color w:val="1155CC"/>
            <w:u w:val="single"/>
            <w:lang w:val="en-GB"/>
          </w:rPr>
          <w:t>https://www.statista.com/topics/5854/maruti-suzuki/?srsltid=AfmBOortw_Ao9qJ6Yg1FUkKv1HOn4fL3s37hWK64wqHadbzkeRLJjNyW</w:t>
        </w:r>
      </w:hyperlink>
      <w:r>
        <w:rPr>
          <w:lang w:val="en-GB"/>
        </w:rPr>
        <w:t>. [Accessed 06 April 2026].</w:t>
      </w:r>
    </w:p>
    <w:p w14:paraId="3486B52F" w14:textId="77777777" w:rsidR="00252A96" w:rsidRDefault="00000000">
      <w:pPr>
        <w:spacing w:before="240" w:after="240"/>
        <w:rPr>
          <w:lang w:val="en-GB"/>
        </w:rPr>
      </w:pPr>
      <w:r>
        <w:rPr>
          <w:lang w:val="en-GB"/>
        </w:rPr>
        <w:t xml:space="preserve">The Economic Times (2026). </w:t>
      </w:r>
      <w:r>
        <w:rPr>
          <w:i/>
          <w:iCs/>
          <w:lang w:val="en-GB"/>
        </w:rPr>
        <w:t>India exports 5.3 million vehicles in FY25 as global demand for made-in-India autos grows: Survey.</w:t>
      </w:r>
      <w:r>
        <w:rPr>
          <w:lang w:val="en-GB"/>
        </w:rPr>
        <w:t xml:space="preserve"> Available at:</w:t>
      </w:r>
      <w:hyperlink r:id="rId106">
        <w:r>
          <w:rPr>
            <w:lang w:val="en-GB"/>
          </w:rPr>
          <w:t xml:space="preserve"> </w:t>
        </w:r>
      </w:hyperlink>
      <w:hyperlink r:id="rId107">
        <w:r>
          <w:rPr>
            <w:color w:val="1155CC"/>
            <w:u w:val="single"/>
            <w:lang w:val="en-GB"/>
          </w:rPr>
          <w:t>https://economictimes.indiatimes.com/industry/auto/auto-news/india-exports-5-3-million-vehicles-in-fy25-as-global-demand-for-made-in-india-autos-grows-survey/articleshow/127773949.cms?from=mdr</w:t>
        </w:r>
      </w:hyperlink>
      <w:r>
        <w:rPr>
          <w:lang w:val="en-GB"/>
        </w:rPr>
        <w:t>. [Accessed 06 April 2026].</w:t>
      </w:r>
    </w:p>
    <w:p w14:paraId="2EE1ADEF" w14:textId="77777777" w:rsidR="00252A96" w:rsidRDefault="00000000">
      <w:pPr>
        <w:spacing w:before="240" w:after="240"/>
        <w:rPr>
          <w:lang w:val="en-GB"/>
        </w:rPr>
      </w:pPr>
      <w:r>
        <w:rPr>
          <w:lang w:val="en-GB"/>
        </w:rPr>
        <w:t xml:space="preserve">The Economic Times (2026a). </w:t>
      </w:r>
      <w:r>
        <w:rPr>
          <w:i/>
          <w:iCs/>
          <w:lang w:val="en-GB"/>
        </w:rPr>
        <w:t xml:space="preserve">Latin America pips Africa to be India’s largest auto export market. </w:t>
      </w:r>
      <w:r>
        <w:rPr>
          <w:lang w:val="en-GB"/>
        </w:rPr>
        <w:t>Available at:</w:t>
      </w:r>
      <w:hyperlink r:id="rId108">
        <w:r>
          <w:rPr>
            <w:lang w:val="en-GB"/>
          </w:rPr>
          <w:t xml:space="preserve"> </w:t>
        </w:r>
      </w:hyperlink>
      <w:hyperlink r:id="rId109">
        <w:r>
          <w:rPr>
            <w:color w:val="1155CC"/>
            <w:u w:val="single"/>
            <w:lang w:val="en-GB"/>
          </w:rPr>
          <w:t>https://economictimes.indiatimes.com/industry/auto/latin-america-pips-africa-to-be-indias-largest-auto-export-market/articleshow/52737864.cms?from=mdr</w:t>
        </w:r>
      </w:hyperlink>
      <w:r>
        <w:rPr>
          <w:lang w:val="en-GB"/>
        </w:rPr>
        <w:t>. [Accessed 06 April 2026].</w:t>
      </w:r>
    </w:p>
    <w:p w14:paraId="22DA65D8" w14:textId="77777777" w:rsidR="00252A96" w:rsidRDefault="00000000">
      <w:pPr>
        <w:spacing w:before="240" w:after="240"/>
        <w:rPr>
          <w:lang w:val="en-GB"/>
        </w:rPr>
      </w:pPr>
      <w:r>
        <w:rPr>
          <w:lang w:val="en-GB"/>
        </w:rPr>
        <w:t xml:space="preserve">The Economic Times (2026b). </w:t>
      </w:r>
      <w:r>
        <w:rPr>
          <w:i/>
          <w:iCs/>
          <w:lang w:val="en-GB"/>
        </w:rPr>
        <w:t>Flat, festive, then furious: How 2025 delivered a supercharged plot twist to India’s auto story.</w:t>
      </w:r>
      <w:r>
        <w:rPr>
          <w:lang w:val="en-GB"/>
        </w:rPr>
        <w:t xml:space="preserve"> Available at:</w:t>
      </w:r>
      <w:hyperlink r:id="rId110">
        <w:r>
          <w:rPr>
            <w:lang w:val="en-GB"/>
          </w:rPr>
          <w:t xml:space="preserve"> </w:t>
        </w:r>
      </w:hyperlink>
      <w:hyperlink r:id="rId111">
        <w:r>
          <w:rPr>
            <w:color w:val="1155CC"/>
            <w:u w:val="single"/>
            <w:lang w:val="en-GB"/>
          </w:rPr>
          <w:t>https://economictimes.indiatimes.com/industry/auto/auto-news/flat-festive-then-furious-</w:t>
        </w:r>
        <w:r>
          <w:rPr>
            <w:color w:val="1155CC"/>
            <w:u w:val="single"/>
            <w:lang w:val="en-GB"/>
          </w:rPr>
          <w:lastRenderedPageBreak/>
          <w:t>how-2025-delivered-a-supercharged-plot-twist-to-indias-auto-story/articleshow/126184655.cms?from=mdr</w:t>
        </w:r>
      </w:hyperlink>
      <w:r>
        <w:rPr>
          <w:lang w:val="en-GB"/>
        </w:rPr>
        <w:t>. [Accessed 06 April 2026].</w:t>
      </w:r>
    </w:p>
    <w:p w14:paraId="2F81D5E7" w14:textId="77777777" w:rsidR="00252A96" w:rsidRDefault="00000000">
      <w:pPr>
        <w:spacing w:before="240" w:after="240"/>
        <w:rPr>
          <w:lang w:val="en-GB"/>
        </w:rPr>
      </w:pPr>
      <w:r>
        <w:rPr>
          <w:lang w:val="en-GB"/>
        </w:rPr>
        <w:t xml:space="preserve">The Economic Times (2026c). </w:t>
      </w:r>
      <w:r>
        <w:rPr>
          <w:i/>
          <w:iCs/>
          <w:lang w:val="en-GB"/>
        </w:rPr>
        <w:t>Strong demand, new launches drive double-digit growth in auto wholesales in Feb: Aditya Birla Capital.</w:t>
      </w:r>
      <w:r>
        <w:rPr>
          <w:lang w:val="en-GB"/>
        </w:rPr>
        <w:t xml:space="preserve"> Available at:</w:t>
      </w:r>
      <w:hyperlink r:id="rId112">
        <w:r>
          <w:rPr>
            <w:lang w:val="en-GB"/>
          </w:rPr>
          <w:t xml:space="preserve"> </w:t>
        </w:r>
      </w:hyperlink>
      <w:hyperlink r:id="rId113">
        <w:r>
          <w:rPr>
            <w:color w:val="1155CC"/>
            <w:u w:val="single"/>
            <w:lang w:val="en-GB"/>
          </w:rPr>
          <w:t>https://economictimes.indiatimes.com/industry/auto/auto-news/strong-demand-new-launches-drive-double-digit-growth-in-auto-wholesales-in-feb-aditya-birla-capital/articleshow/129065701.cms?from=mdr</w:t>
        </w:r>
      </w:hyperlink>
      <w:r>
        <w:rPr>
          <w:lang w:val="en-GB"/>
        </w:rPr>
        <w:t>. [Accessed 06 April 2026].</w:t>
      </w:r>
    </w:p>
    <w:p w14:paraId="22F7CEDE" w14:textId="77777777" w:rsidR="00252A96" w:rsidRDefault="00000000">
      <w:pPr>
        <w:spacing w:before="240" w:after="240"/>
        <w:rPr>
          <w:lang w:val="en-GB"/>
        </w:rPr>
      </w:pPr>
      <w:r>
        <w:rPr>
          <w:lang w:val="en-GB"/>
        </w:rPr>
        <w:t xml:space="preserve">The Economic Times (2026d). </w:t>
      </w:r>
      <w:r>
        <w:rPr>
          <w:i/>
          <w:iCs/>
          <w:lang w:val="en-GB"/>
        </w:rPr>
        <w:t>Electric, Flex-Fuel, and CNG vehicles dominate Indian automotive launches: Report.</w:t>
      </w:r>
      <w:r>
        <w:rPr>
          <w:lang w:val="en-GB"/>
        </w:rPr>
        <w:t xml:space="preserve"> Available at:</w:t>
      </w:r>
      <w:hyperlink r:id="rId114">
        <w:r>
          <w:rPr>
            <w:lang w:val="en-GB"/>
          </w:rPr>
          <w:t xml:space="preserve"> </w:t>
        </w:r>
      </w:hyperlink>
      <w:hyperlink r:id="rId115">
        <w:r>
          <w:rPr>
            <w:color w:val="1155CC"/>
            <w:u w:val="single"/>
            <w:lang w:val="en-GB"/>
          </w:rPr>
          <w:t>https://economictimes.indiatimes.com/industry/auto/auto-news/electric-flex-fuel-and-cng-vehicles-dominate-indian-automotive-launches-report/articleshow/117548759.cms?from=mdr</w:t>
        </w:r>
      </w:hyperlink>
      <w:r>
        <w:rPr>
          <w:lang w:val="en-GB"/>
        </w:rPr>
        <w:t>. [Accessed 06 April 2026].</w:t>
      </w:r>
    </w:p>
    <w:p w14:paraId="17C7ED39" w14:textId="77777777" w:rsidR="00252A96" w:rsidRDefault="00000000">
      <w:pPr>
        <w:spacing w:before="240" w:after="240"/>
        <w:rPr>
          <w:lang w:val="en-GB"/>
        </w:rPr>
      </w:pPr>
      <w:r>
        <w:rPr>
          <w:lang w:val="en-GB"/>
        </w:rPr>
        <w:t xml:space="preserve">The Economic Times (2026e). </w:t>
      </w:r>
      <w:r>
        <w:rPr>
          <w:i/>
          <w:iCs/>
          <w:lang w:val="en-GB"/>
        </w:rPr>
        <w:t>EV sales set for rapid growth; penetration likely to touch 12-13 pc over 5 yrs: Hyundai COO</w:t>
      </w:r>
      <w:r>
        <w:rPr>
          <w:lang w:val="en-GB"/>
        </w:rPr>
        <w:t>. Available at:</w:t>
      </w:r>
      <w:hyperlink r:id="rId116">
        <w:r>
          <w:rPr>
            <w:lang w:val="en-GB"/>
          </w:rPr>
          <w:t xml:space="preserve"> </w:t>
        </w:r>
      </w:hyperlink>
      <w:hyperlink r:id="rId117">
        <w:r>
          <w:rPr>
            <w:color w:val="1155CC"/>
            <w:u w:val="single"/>
            <w:lang w:val="en-GB"/>
          </w:rPr>
          <w:t>https://economictimes.indiatimes.com/industry/renewables/ev-sales-set-for-rapid-growth-penetration-likely-to-touch-12-13-pc-over-5-yrs-hyundai-coo/articleshow/120032982.cms?from=mdr</w:t>
        </w:r>
      </w:hyperlink>
      <w:r>
        <w:rPr>
          <w:lang w:val="en-GB"/>
        </w:rPr>
        <w:t>. [Accessed 06 April 2026].</w:t>
      </w:r>
    </w:p>
    <w:p w14:paraId="6BE45DA0" w14:textId="77777777" w:rsidR="00252A96" w:rsidRDefault="00000000">
      <w:pPr>
        <w:spacing w:before="240" w:after="240"/>
        <w:rPr>
          <w:lang w:val="en-GB"/>
        </w:rPr>
      </w:pPr>
      <w:r>
        <w:rPr>
          <w:lang w:val="en-GB"/>
        </w:rPr>
        <w:t xml:space="preserve">The Times of India (2026). </w:t>
      </w:r>
      <w:r>
        <w:rPr>
          <w:i/>
          <w:iCs/>
          <w:lang w:val="en-GB"/>
        </w:rPr>
        <w:t>'India is Hyundai’s global strategy... Will be like a rocket given its population and motorization potential’: Global CEO Jose Munoz</w:t>
      </w:r>
      <w:r>
        <w:rPr>
          <w:lang w:val="en-GB"/>
        </w:rPr>
        <w:t>. Available at:</w:t>
      </w:r>
      <w:hyperlink r:id="rId118">
        <w:r>
          <w:rPr>
            <w:lang w:val="en-GB"/>
          </w:rPr>
          <w:t xml:space="preserve"> </w:t>
        </w:r>
      </w:hyperlink>
      <w:hyperlink r:id="rId119">
        <w:r>
          <w:rPr>
            <w:color w:val="1155CC"/>
            <w:u w:val="single"/>
            <w:lang w:val="en-GB"/>
          </w:rPr>
          <w:t>https://timesofindia.indiatimes.com/business/india-business/indian-market-will-be-a-rocket-given-its-population-and-motorization-potential-hyundai-global-ceo-jose-munoz/articleshow/124584433.cms</w:t>
        </w:r>
      </w:hyperlink>
      <w:r>
        <w:rPr>
          <w:lang w:val="en-GB"/>
        </w:rPr>
        <w:t>. [Accessed 06 April 2026].</w:t>
      </w:r>
    </w:p>
    <w:p w14:paraId="32E8ACA0" w14:textId="77777777" w:rsidR="00252A96" w:rsidRDefault="00000000">
      <w:pPr>
        <w:spacing w:before="240" w:after="240"/>
        <w:rPr>
          <w:lang w:val="en-GB"/>
        </w:rPr>
      </w:pPr>
      <w:r>
        <w:rPr>
          <w:lang w:val="en-GB"/>
        </w:rPr>
        <w:t xml:space="preserve">The Times of India (2026a). </w:t>
      </w:r>
      <w:r>
        <w:rPr>
          <w:i/>
          <w:iCs/>
          <w:lang w:val="en-GB"/>
        </w:rPr>
        <w:t>Car sales March '26: Renault sees fastest growth, check how others performed.</w:t>
      </w:r>
      <w:r>
        <w:rPr>
          <w:lang w:val="en-GB"/>
        </w:rPr>
        <w:t xml:space="preserve"> Available at:</w:t>
      </w:r>
      <w:hyperlink r:id="rId120">
        <w:r>
          <w:rPr>
            <w:lang w:val="en-GB"/>
          </w:rPr>
          <w:t xml:space="preserve"> </w:t>
        </w:r>
      </w:hyperlink>
      <w:hyperlink r:id="rId121">
        <w:r>
          <w:rPr>
            <w:color w:val="1155CC"/>
            <w:u w:val="single"/>
            <w:lang w:val="en-GB"/>
          </w:rPr>
          <w:t>https://timesofindia.indiatimes.com/auto/cars/car-sales-march-26-renault-sees-fastest-growth-check-how-others-performed/articleshow/129949500.cms</w:t>
        </w:r>
      </w:hyperlink>
      <w:r>
        <w:rPr>
          <w:lang w:val="en-GB"/>
        </w:rPr>
        <w:t>. [Accessed 06 April 2026].</w:t>
      </w:r>
    </w:p>
    <w:sectPr w:rsidR="00252A96">
      <w:headerReference w:type="default" r:id="rId122"/>
      <w:footerReference w:type="default" r:id="rId1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554261" w14:textId="77777777" w:rsidR="00402C48" w:rsidRDefault="00402C48">
      <w:pPr>
        <w:spacing w:line="240" w:lineRule="auto"/>
      </w:pPr>
      <w:r>
        <w:separator/>
      </w:r>
    </w:p>
  </w:endnote>
  <w:endnote w:type="continuationSeparator" w:id="0">
    <w:p w14:paraId="4C8803A3" w14:textId="77777777" w:rsidR="00402C48" w:rsidRDefault="00402C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D102403-60B3-42DB-B949-5938CBB9457C}"/>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2815F0C1-1212-4449-9BFB-90621E805095}"/>
  </w:font>
  <w:font w:name="Cambria Math">
    <w:panose1 w:val="02040503050406030204"/>
    <w:charset w:val="00"/>
    <w:family w:val="roman"/>
    <w:pitch w:val="variable"/>
    <w:sig w:usb0="E00006FF" w:usb1="420024FF" w:usb2="02000000" w:usb3="00000000" w:csb0="0000019F" w:csb1="00000000"/>
    <w:embedRegular r:id="rId3" w:fontKey="{7D19E13A-2741-4BD5-A1EC-0595298B254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6946525"/>
      <w:docPartObj>
        <w:docPartGallery w:val="AutoText"/>
      </w:docPartObj>
    </w:sdtPr>
    <w:sdtEndPr>
      <w:rPr>
        <w:sz w:val="20"/>
        <w:szCs w:val="20"/>
      </w:rPr>
    </w:sdtEndPr>
    <w:sdtContent>
      <w:p w14:paraId="649349A0" w14:textId="77777777" w:rsidR="00252A96" w:rsidRDefault="00000000">
        <w:pPr>
          <w:pStyle w:val="Footer"/>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sz w:val="20"/>
            <w:szCs w:val="20"/>
          </w:rPr>
          <w:t>2</w:t>
        </w:r>
        <w:r>
          <w:rPr>
            <w:sz w:val="20"/>
            <w:szCs w:val="20"/>
          </w:rPr>
          <w:fldChar w:fldCharType="end"/>
        </w:r>
      </w:p>
    </w:sdtContent>
  </w:sdt>
  <w:p w14:paraId="017C5DEA" w14:textId="77777777" w:rsidR="00252A96" w:rsidRDefault="00252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077D0" w14:textId="77777777" w:rsidR="00402C48" w:rsidRDefault="00402C48">
      <w:r>
        <w:separator/>
      </w:r>
    </w:p>
  </w:footnote>
  <w:footnote w:type="continuationSeparator" w:id="0">
    <w:p w14:paraId="095EEAED" w14:textId="77777777" w:rsidR="00402C48" w:rsidRDefault="00402C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9955D2" w14:textId="77777777" w:rsidR="00252A96" w:rsidRDefault="00000000">
    <w:pPr>
      <w:jc w:val="right"/>
    </w:pPr>
    <w:r>
      <w:rPr>
        <w:noProof/>
      </w:rPr>
      <w:drawing>
        <wp:inline distT="114300" distB="114300" distL="114300" distR="114300" wp14:anchorId="445DA94F" wp14:editId="583513E3">
          <wp:extent cx="1343025" cy="4953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referRelativeResize="0"/>
                </pic:nvPicPr>
                <pic:blipFill>
                  <a:blip r:embed="rId1"/>
                  <a:srcRect/>
                  <a:stretch>
                    <a:fillRect/>
                  </a:stretch>
                </pic:blipFill>
                <pic:spPr>
                  <a:xfrm>
                    <a:off x="0" y="0"/>
                    <a:ext cx="1343025" cy="495300"/>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7E76"/>
    <w:rsid w:val="00012312"/>
    <w:rsid w:val="00047E76"/>
    <w:rsid w:val="00252A96"/>
    <w:rsid w:val="002C0B49"/>
    <w:rsid w:val="00402C48"/>
    <w:rsid w:val="005607A5"/>
    <w:rsid w:val="006F255F"/>
    <w:rsid w:val="00937198"/>
    <w:rsid w:val="00997B88"/>
    <w:rsid w:val="00C51BBF"/>
    <w:rsid w:val="00C711F5"/>
    <w:rsid w:val="00CD2F39"/>
    <w:rsid w:val="00D263D4"/>
    <w:rsid w:val="00DF7B97"/>
    <w:rsid w:val="00E21E9F"/>
    <w:rsid w:val="00F0599A"/>
    <w:rsid w:val="0A71759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23EA2"/>
  <w15:docId w15:val="{CC1534A2-A4DC-48B8-9F7F-111D0FF5C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lang w:val="en"/>
    </w:rPr>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table" w:styleId="TableGrid">
    <w:name w:val="Table Grid"/>
    <w:basedOn w:val="TableNormal"/>
    <w:uiPriority w:val="39"/>
    <w:qFormat/>
    <w:rPr>
      <w:rFonts w:ascii="Times New Roman" w:eastAsia="Times New Roman" w:hAnsi="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uiPriority w:val="10"/>
    <w:qFormat/>
    <w:pPr>
      <w:keepNext/>
      <w:keepLines/>
      <w:spacing w:after="60"/>
      <w:jc w:val="center"/>
    </w:pPr>
    <w:rPr>
      <w:b/>
      <w:bCs/>
      <w:sz w:val="32"/>
      <w:szCs w:val="3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qFormat/>
    <w:pPr>
      <w:spacing w:after="100"/>
      <w:ind w:left="480"/>
    </w:pPr>
  </w:style>
  <w:style w:type="table" w:customStyle="1" w:styleId="TableNormal0">
    <w:name w:val="TableNormal"/>
    <w:qFormat/>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character" w:customStyle="1" w:styleId="UnresolvedMention1">
    <w:name w:val="Unresolved Mention1"/>
    <w:basedOn w:val="DefaultParagraphFont"/>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emerald.com/tqm/article-pdf/34/6/1485/2367964/tqm-06-2021-0179.pdf" TargetMode="External"/><Relationship Id="rId117" Type="http://schemas.openxmlformats.org/officeDocument/2006/relationships/hyperlink" Target="https://economictimes.indiatimes.com/industry/renewables/ev-sales-set-for-rapid-growth-penetration-likely-to-touch-12-13-pc-over-5-yrs-hyundai-coo/articleshow/120032982.cms?from=mdr" TargetMode="External"/><Relationship Id="rId21" Type="http://schemas.openxmlformats.org/officeDocument/2006/relationships/hyperlink" Target="https://expertprogrammanagement.com/2018/04/porter-diamond-model/" TargetMode="External"/><Relationship Id="rId42" Type="http://schemas.openxmlformats.org/officeDocument/2006/relationships/hyperlink" Target="https://www.emerald.com/sbr/article-pdf/17/4/664/2250418/sbr-02-2022-0049.pdf" TargetMode="External"/><Relationship Id="rId47" Type="http://schemas.openxmlformats.org/officeDocument/2006/relationships/hyperlink" Target="https://www.mdpi.com/1996-1073/15/4/1539" TargetMode="External"/><Relationship Id="rId63" Type="http://schemas.openxmlformats.org/officeDocument/2006/relationships/hyperlink" Target="https://www.sciencedirect.com/science/article/pii/S136403212300374X" TargetMode="External"/><Relationship Id="rId68" Type="http://schemas.openxmlformats.org/officeDocument/2006/relationships/hyperlink" Target="https://www.emerald.com/jsma/article-pdf/doi/10.1108/JSMA-07-2023-0168/9774159/jsma-07-2023-0168.pdf" TargetMode="External"/><Relationship Id="rId84" Type="http://schemas.openxmlformats.org/officeDocument/2006/relationships/hyperlink" Target="https://www.ey.com/content/dam/ey-unified-site/ey-com/en-in/insights/infrastructure/ey-building-indias-future-lowres.pdf" TargetMode="External"/><Relationship Id="rId89" Type="http://schemas.openxmlformats.org/officeDocument/2006/relationships/hyperlink" Target="https://www.hyundai.com/content/dam/hyundai/in/en/data/investor-relations/annual-report/annual-report2024-25.pdf" TargetMode="External"/><Relationship Id="rId112" Type="http://schemas.openxmlformats.org/officeDocument/2006/relationships/hyperlink" Target="https://economictimes.indiatimes.com/industry/auto/auto-news/strong-demand-new-launches-drive-double-digit-growth-in-auto-wholesales-in-feb-aditya-birla-capital/articleshow/129065701.cms?from=mdr" TargetMode="External"/><Relationship Id="rId16" Type="http://schemas.openxmlformats.org/officeDocument/2006/relationships/hyperlink" Target="https://search.ebscohost.com/login.aspx?direct=true&amp;profile=ehost&amp;scope=site&amp;authtype=crawler&amp;jrnl=21474478&amp;AN=173379810&amp;h=wAN6%2BP6pV3mKEJ7udMXqIffpir62QAtoMeDzcVWG4Teo798uDfFWMe51CVvopyp40AFL31fXH3Z4vMZKQBW61Q%3D%3D&amp;crl=c" TargetMode="External"/><Relationship Id="rId107" Type="http://schemas.openxmlformats.org/officeDocument/2006/relationships/hyperlink" Target="https://economictimes.indiatimes.com/industry/auto/auto-news/india-exports-5-3-million-vehicles-in-fy25-as-global-demand-for-made-in-india-autos-grows-survey/articleshow/127773949.cms?from=mdr" TargetMode="External"/><Relationship Id="rId11" Type="http://schemas.openxmlformats.org/officeDocument/2006/relationships/image" Target="media/image5.jpeg"/><Relationship Id="rId32" Type="http://schemas.openxmlformats.org/officeDocument/2006/relationships/hyperlink" Target="https://onlinelibrary.wiley.com/doi/pdfdirect/10.1111/joms.12981" TargetMode="External"/><Relationship Id="rId37" Type="http://schemas.openxmlformats.org/officeDocument/2006/relationships/hyperlink" Target="https://www.maximizemarketresearch.com/market-report/automotive-market-in-india/86126/" TargetMode="External"/><Relationship Id="rId53" Type="http://schemas.openxmlformats.org/officeDocument/2006/relationships/hyperlink" Target="https://www.sciencedirect.com/science/article/pii/S0013935121015644" TargetMode="External"/><Relationship Id="rId58" Type="http://schemas.openxmlformats.org/officeDocument/2006/relationships/hyperlink" Target="https://www.emerald.com/ijppm/article-pdf/72/2/281/1118553/ijppm-02-2020-0079.pdf" TargetMode="External"/><Relationship Id="rId74" Type="http://schemas.openxmlformats.org/officeDocument/2006/relationships/hyperlink" Target="https://doi.org/10.1177/0972150919898302" TargetMode="External"/><Relationship Id="rId79" Type="http://schemas.openxmlformats.org/officeDocument/2006/relationships/hyperlink" Target="https://www.business-standard.com/industry/auto/domestic-passenger-vehicle-sales-rise-2-6-in-fy25-to-4-34-million-units-125040101294_1.html" TargetMode="External"/><Relationship Id="rId102" Type="http://schemas.openxmlformats.org/officeDocument/2006/relationships/hyperlink" Target="https://www.mckinsey.com/~/media/mckinsey/business%20functions/mckinsey%20digital/our%20insights/tech%20enabled%20transformation/tech-enabled-transformation-the-trillion-dollar-opportunity-for-industrials.pdf" TargetMode="External"/><Relationship Id="rId123" Type="http://schemas.openxmlformats.org/officeDocument/2006/relationships/footer" Target="footer1.xml"/><Relationship Id="rId5" Type="http://schemas.openxmlformats.org/officeDocument/2006/relationships/footnotes" Target="footnotes.xml"/><Relationship Id="rId90" Type="http://schemas.openxmlformats.org/officeDocument/2006/relationships/hyperlink" Target="https://www.ibef.org/news/india-s-automobile-exports-rise-24-in-2025-driven-by-robust-demand" TargetMode="External"/><Relationship Id="rId95" Type="http://schemas.openxmlformats.org/officeDocument/2006/relationships/hyperlink" Target="https://www.ibef.org/news/india-s-passenger-vehicle-sales-hit-record-high-at-43-lakh-units-in-fy25-utility-vehicles-driver-of-growth-society-of-indian-automobile-manufacturers-siam" TargetMode="External"/><Relationship Id="rId22" Type="http://schemas.openxmlformats.org/officeDocument/2006/relationships/hyperlink" Target="https://www.uhu.es/publicaciones/ojs/index.php/e-moti-on/article/view/7224" TargetMode="External"/><Relationship Id="rId27" Type="http://schemas.openxmlformats.org/officeDocument/2006/relationships/hyperlink" Target="https://www.grandviewresearch.com/industry-analysis/india-automotive-market" TargetMode="External"/><Relationship Id="rId43" Type="http://schemas.openxmlformats.org/officeDocument/2006/relationships/hyperlink" Target="https://www.emerald.com/sbr/article-pdf/17/4/664/2250418/sbr-02-2022-0049.pdf" TargetMode="External"/><Relationship Id="rId48" Type="http://schemas.openxmlformats.org/officeDocument/2006/relationships/hyperlink" Target="https://pubs.aip.org/aip/acp/article-abstract/doi/10.1063/5.0143375/2925871" TargetMode="External"/><Relationship Id="rId64" Type="http://schemas.openxmlformats.org/officeDocument/2006/relationships/hyperlink" Target="https://www.sciencedirect.com/science/article/pii/S136403212300374X" TargetMode="External"/><Relationship Id="rId69" Type="http://schemas.openxmlformats.org/officeDocument/2006/relationships/hyperlink" Target="https://www.sciencedirect.com/science/article/pii/S2214785322062009" TargetMode="External"/><Relationship Id="rId113" Type="http://schemas.openxmlformats.org/officeDocument/2006/relationships/hyperlink" Target="https://economictimes.indiatimes.com/industry/auto/auto-news/strong-demand-new-launches-drive-double-digit-growth-in-auto-wholesales-in-feb-aditya-birla-capital/articleshow/129065701.cms?from=mdr" TargetMode="External"/><Relationship Id="rId118" Type="http://schemas.openxmlformats.org/officeDocument/2006/relationships/hyperlink" Target="https://timesofindia.indiatimes.com/business/india-business/indian-market-will-be-a-rocket-given-its-population-and-motorization-potential-hyundai-global-ceo-jose-munoz/articleshow/124584433.cms" TargetMode="External"/><Relationship Id="rId80" Type="http://schemas.openxmlformats.org/officeDocument/2006/relationships/hyperlink" Target="https://www.business-standard.com/markets/capital-market-news/india-s-automotive-industry-contributes-7-1-to-india-s-gross-domestic-product-says-niti-aayog-125041501065_1.html" TargetMode="External"/><Relationship Id="rId85" Type="http://schemas.openxmlformats.org/officeDocument/2006/relationships/hyperlink" Target="https://www.ey.com/content/dam/ey-unified-site/ey-com/en-in/insights/infrastructure/ey-building-indias-future-lowres.pdf" TargetMode="External"/><Relationship Id="rId12" Type="http://schemas.openxmlformats.org/officeDocument/2006/relationships/hyperlink" Target="https://journal.uniku.ac.id/index.php/IEFLJ/article/download/3382/2034/0" TargetMode="External"/><Relationship Id="rId17" Type="http://schemas.openxmlformats.org/officeDocument/2006/relationships/hyperlink" Target="https://search.ebscohost.com/login.aspx?direct=true&amp;profile=ehost&amp;scope=site&amp;authtype=crawler&amp;jrnl=21474478&amp;AN=173379810&amp;h=wAN6%2BP6pV3mKEJ7udMXqIffpir62QAtoMeDzcVWG4Teo798uDfFWMe51CVvopyp40AFL31fXH3Z4vMZKQBW61Q%3D%3D&amp;crl=c" TargetMode="External"/><Relationship Id="rId33" Type="http://schemas.openxmlformats.org/officeDocument/2006/relationships/hyperlink" Target="https://onlinelibrary.wiley.com/doi/pdfdirect/10.1111/joms.12981" TargetMode="External"/><Relationship Id="rId38" Type="http://schemas.openxmlformats.org/officeDocument/2006/relationships/hyperlink" Target="https://www.ijarmt.com/index.php/j/article/download/102/74" TargetMode="External"/><Relationship Id="rId59" Type="http://schemas.openxmlformats.org/officeDocument/2006/relationships/hyperlink" Target="https://www.academia.edu/download/124192715/Oligopoly_in_the_Passenger_Vehicle_Segment_of_The_Indian_Automobile_Sector_A_Meta_Analysis.pdf" TargetMode="External"/><Relationship Id="rId103" Type="http://schemas.openxmlformats.org/officeDocument/2006/relationships/hyperlink" Target="https://www.mckinsey.com/~/media/mckinsey/business%20functions/mckinsey%20digital/our%20insights/tech%20enabled%20transformation/tech-enabled-transformation-the-trillion-dollar-opportunity-for-industrials.pdf" TargetMode="External"/><Relationship Id="rId108" Type="http://schemas.openxmlformats.org/officeDocument/2006/relationships/hyperlink" Target="https://economictimes.indiatimes.com/industry/auto/latin-america-pips-africa-to-be-indias-largest-auto-export-market/articleshow/52737864.cms?from=mdr" TargetMode="External"/><Relationship Id="rId124" Type="http://schemas.openxmlformats.org/officeDocument/2006/relationships/fontTable" Target="fontTable.xml"/><Relationship Id="rId54" Type="http://schemas.openxmlformats.org/officeDocument/2006/relationships/hyperlink" Target="https://www.sciencedirect.com/science/article/pii/S0013935121015644" TargetMode="External"/><Relationship Id="rId70" Type="http://schemas.openxmlformats.org/officeDocument/2006/relationships/hyperlink" Target="https://www.sciencedirect.com/science/article/pii/S2214785322062009" TargetMode="External"/><Relationship Id="rId75" Type="http://schemas.openxmlformats.org/officeDocument/2006/relationships/hyperlink" Target="https://papers.ssrn.com/sol3/Delivery.cfm?abstractid=4384039" TargetMode="External"/><Relationship Id="rId91" Type="http://schemas.openxmlformats.org/officeDocument/2006/relationships/hyperlink" Target="https://www.ibef.org/news/india-s-automobile-exports-rise-24-in-2025-driven-by-robust-demand" TargetMode="External"/><Relationship Id="rId96" Type="http://schemas.openxmlformats.org/officeDocument/2006/relationships/hyperlink" Target="https://www.iea.org/reports/global-ev-outlook-2025/trends-in-electric-car-markets-2" TargetMode="External"/><Relationship Id="rId1" Type="http://schemas.openxmlformats.org/officeDocument/2006/relationships/customXml" Target="../customXml/item1.xml"/><Relationship Id="rId6" Type="http://schemas.openxmlformats.org/officeDocument/2006/relationships/endnotes" Target="endnotes.xml"/><Relationship Id="rId23" Type="http://schemas.openxmlformats.org/officeDocument/2006/relationships/hyperlink" Target="https://doi.org/10.1108/BIJ-06-2021-0333" TargetMode="External"/><Relationship Id="rId28" Type="http://schemas.openxmlformats.org/officeDocument/2006/relationships/hyperlink" Target="https://www.taylorfrancis.com/chapters/edit/10.4324/9781032636962-16/adoption-esg-practices-corporate-strategies-cultural-background-matter-barbara-jankowska-maria-kubala" TargetMode="External"/><Relationship Id="rId49" Type="http://schemas.openxmlformats.org/officeDocument/2006/relationships/hyperlink" Target="https://onlinelibrary.wiley.com/doi/pdf/10.1002/joe.22250" TargetMode="External"/><Relationship Id="rId114" Type="http://schemas.openxmlformats.org/officeDocument/2006/relationships/hyperlink" Target="https://economictimes.indiatimes.com/industry/auto/auto-news/electric-flex-fuel-and-cng-vehicles-dominate-indian-automotive-launches-report/articleshow/117548759.cms?from=mdr" TargetMode="External"/><Relationship Id="rId119" Type="http://schemas.openxmlformats.org/officeDocument/2006/relationships/hyperlink" Target="https://timesofindia.indiatimes.com/business/india-business/indian-market-will-be-a-rocket-given-its-population-and-motorization-potential-hyundai-global-ceo-jose-munoz/articleshow/124584433.cms" TargetMode="External"/><Relationship Id="rId44" Type="http://schemas.openxmlformats.org/officeDocument/2006/relationships/hyperlink" Target="https://thedocs.worldbank.org/en/doc/db73120470778ca317f435d6426c71c5-0310022024/related/Gaurav-Nayyar-MadeinIndia-SARCE.pdf" TargetMode="External"/><Relationship Id="rId60" Type="http://schemas.openxmlformats.org/officeDocument/2006/relationships/hyperlink" Target="https://www.academia.edu/download/124192715/Oligopoly_in_the_Passenger_Vehicle_Segment_of_The_Indian_Automobile_Sector_A_Meta_Analysis.pdf" TargetMode="External"/><Relationship Id="rId65" Type="http://schemas.openxmlformats.org/officeDocument/2006/relationships/hyperlink" Target="https://www.tandfonline.com/doi/abs/10.1080/09700161.2026.2615278" TargetMode="External"/><Relationship Id="rId81" Type="http://schemas.openxmlformats.org/officeDocument/2006/relationships/hyperlink" Target="https://www.business-standard.com/markets/capital-market-news/india-s-automotive-industry-contributes-7-1-to-india-s-gross-domestic-product-says-niti-aayog-125041501065_1.html" TargetMode="External"/><Relationship Id="rId86" Type="http://schemas.openxmlformats.org/officeDocument/2006/relationships/hyperlink" Target="https://www.hyundai.com/content/dam/hyundai/in/en/data/investor-relations/annual-report/annual-report2024-25.pdf" TargetMode="External"/><Relationship Id="rId13" Type="http://schemas.openxmlformats.org/officeDocument/2006/relationships/hyperlink" Target="https://www.researchgate.net/profile/Fareed-Ahmad-6/publication/371912673_A_Comprehensive_Analysis_of_Electric_Vehicle_Charging_Infrastructure_Standards_Policies_Aggregators_and_Challenges_for_the_Indian_Market/links/649c1284b9ed6874a5e2eeb1/A-Comprehensive-Analysis-of-Electric-Vehicle-Charging-Infrastructure-Standards-Policies-Aggregators-and-Challenges-for-the-Indian-Market.pdf?origin=journalDetail&amp;_tp=eyJwYWdlIjoiam91cm5hbERldGFpbCJ9" TargetMode="External"/><Relationship Id="rId18" Type="http://schemas.openxmlformats.org/officeDocument/2006/relationships/hyperlink" Target="https://link.springer.com/article/10.1007/s11277-022-09512-5" TargetMode="External"/><Relationship Id="rId39" Type="http://schemas.openxmlformats.org/officeDocument/2006/relationships/hyperlink" Target="https://www.ijarmt.com/index.php/j/article/download/102/74" TargetMode="External"/><Relationship Id="rId109" Type="http://schemas.openxmlformats.org/officeDocument/2006/relationships/hyperlink" Target="https://economictimes.indiatimes.com/industry/auto/latin-america-pips-africa-to-be-indias-largest-auto-export-market/articleshow/52737864.cms?from=mdr" TargetMode="External"/><Relationship Id="rId34" Type="http://schemas.openxmlformats.org/officeDocument/2006/relationships/hyperlink" Target="https://theses.ubn.ru.nl/bitstreams/e0d5b2af-04d2-4e04-8254-bab4a7b59791/download" TargetMode="External"/><Relationship Id="rId50" Type="http://schemas.openxmlformats.org/officeDocument/2006/relationships/hyperlink" Target="https://onlinelibrary.wiley.com/doi/pdf/10.1002/joe.22250" TargetMode="External"/><Relationship Id="rId55" Type="http://schemas.openxmlformats.org/officeDocument/2006/relationships/hyperlink" Target="https://www.academia.edu/download/79702829/IJMRE_V2N1AI217_published_paper.pdf" TargetMode="External"/><Relationship Id="rId76" Type="http://schemas.openxmlformats.org/officeDocument/2006/relationships/hyperlink" Target="https://papers.ssrn.com/sol3/Delivery.cfm?abstractid=4384039" TargetMode="External"/><Relationship Id="rId97" Type="http://schemas.openxmlformats.org/officeDocument/2006/relationships/hyperlink" Target="https://www.iea.org/reports/global-ev-outlook-2025/trends-in-electric-car-markets-2" TargetMode="External"/><Relationship Id="rId104" Type="http://schemas.openxmlformats.org/officeDocument/2006/relationships/hyperlink" Target="https://www.statista.com/topics/5854/maruti-suzuki/?srsltid=AfmBOortw_Ao9qJ6Yg1FUkKv1HOn4fL3s37hWK64wqHadbzkeRLJjNyW" TargetMode="External"/><Relationship Id="rId120" Type="http://schemas.openxmlformats.org/officeDocument/2006/relationships/hyperlink" Target="https://timesofindia.indiatimes.com/auto/cars/car-sales-march-26-renault-sees-fastest-growth-check-how-others-performed/articleshow/129949500.cms" TargetMode="External"/><Relationship Id="rId125"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hyperlink" Target="https://www.theculturefactor.com/country-comparison-tool?countries=india" TargetMode="External"/><Relationship Id="rId92" Type="http://schemas.openxmlformats.org/officeDocument/2006/relationships/hyperlink" Target="https://www.ibef.org/industry/manufacturing-sector-india" TargetMode="External"/><Relationship Id="rId2" Type="http://schemas.openxmlformats.org/officeDocument/2006/relationships/styles" Target="styles.xml"/><Relationship Id="rId29" Type="http://schemas.openxmlformats.org/officeDocument/2006/relationships/hyperlink" Target="https://www.taylorfrancis.com/chapters/edit/10.4324/9781032636962-16/adoption-esg-practices-corporate-strategies-cultural-background-matter-barbara-jankowska-maria-kubala" TargetMode="External"/><Relationship Id="rId24" Type="http://schemas.openxmlformats.org/officeDocument/2006/relationships/hyperlink" Target="https://doi.org/10.1108/BIJ-06-2021-0333" TargetMode="External"/><Relationship Id="rId40" Type="http://schemas.openxmlformats.org/officeDocument/2006/relationships/hyperlink" Target="https://www.e3s-conferences.org/articles/e3sconf/pdf/2023/67/e3sconf_icmpc2023_01221.pdf" TargetMode="External"/><Relationship Id="rId45" Type="http://schemas.openxmlformats.org/officeDocument/2006/relationships/hyperlink" Target="https://thedocs.worldbank.org/en/doc/db73120470778ca317f435d6426c71c5-0310022024/related/Gaurav-Nayyar-MadeinIndia-SARCE.pdf" TargetMode="External"/><Relationship Id="rId66" Type="http://schemas.openxmlformats.org/officeDocument/2006/relationships/hyperlink" Target="https://www.tandfonline.com/doi/abs/10.1080/09700161.2026.2615278" TargetMode="External"/><Relationship Id="rId87" Type="http://schemas.openxmlformats.org/officeDocument/2006/relationships/hyperlink" Target="https://www.hyundai.com/content/dam/hyundai/in/en/data/investor-relations/annual-report/annual-report2024-25.pdf" TargetMode="External"/><Relationship Id="rId110" Type="http://schemas.openxmlformats.org/officeDocument/2006/relationships/hyperlink" Target="https://economictimes.indiatimes.com/industry/auto/auto-news/flat-festive-then-furious-how-2025-delivered-a-supercharged-plot-twist-to-indias-auto-story/articleshow/126184655.cms?from=mdr" TargetMode="External"/><Relationship Id="rId115" Type="http://schemas.openxmlformats.org/officeDocument/2006/relationships/hyperlink" Target="https://economictimes.indiatimes.com/industry/auto/auto-news/electric-flex-fuel-and-cng-vehicles-dominate-indian-automotive-launches-report/articleshow/117548759.cms?from=mdr" TargetMode="External"/><Relationship Id="rId61" Type="http://schemas.openxmlformats.org/officeDocument/2006/relationships/hyperlink" Target="https://onlinelibrary.wiley.com/doi/abs/10.1002/pa.2660" TargetMode="External"/><Relationship Id="rId82" Type="http://schemas.openxmlformats.org/officeDocument/2006/relationships/hyperlink" Target="https://www.ey.com/content/dam/ey-unified-site/ey-com/en-in/insights/media-entertainment/ey-shape-the-future-indian-media-and-entertainment-is-scripting-a-new-story.pdf" TargetMode="External"/><Relationship Id="rId19" Type="http://schemas.openxmlformats.org/officeDocument/2006/relationships/hyperlink" Target="https://link.springer.com/article/10.1007/s11277-022-09512-5" TargetMode="External"/><Relationship Id="rId14" Type="http://schemas.openxmlformats.org/officeDocument/2006/relationships/hyperlink" Target="https://www.researchgate.net/profile/Fareed-Ahmad-6/publication/371912673_A_Comprehensive_Analysis_of_Electric_Vehicle_Charging_Infrastructure_Standards_Policies_Aggregators_and_Challenges_for_the_Indian_Market/links/649c1284b9ed6874a5e2eeb1/A-Comprehensive-Analysis-of-Electric-Vehicle-Charging-Infrastructure-Standards-Policies-Aggregators-and-Challenges-for-the-Indian-Market.pdf?origin=journalDetail&amp;_tp=eyJwYWdlIjoiam91cm5hbERldGFpbCJ9" TargetMode="External"/><Relationship Id="rId30" Type="http://schemas.openxmlformats.org/officeDocument/2006/relationships/hyperlink" Target="https://link.springer.com/article/10.1007/s41775-024-00220-4" TargetMode="External"/><Relationship Id="rId35" Type="http://schemas.openxmlformats.org/officeDocument/2006/relationships/hyperlink" Target="https://theses.ubn.ru.nl/bitstreams/e0d5b2af-04d2-4e04-8254-bab4a7b59791/download" TargetMode="External"/><Relationship Id="rId56" Type="http://schemas.openxmlformats.org/officeDocument/2006/relationships/hyperlink" Target="https://www.academia.edu/download/79702829/IJMRE_V2N1AI217_published_paper.pdf" TargetMode="External"/><Relationship Id="rId77" Type="http://schemas.openxmlformats.org/officeDocument/2006/relationships/hyperlink" Target="https://www.rclss.com/pij/article/view/866" TargetMode="External"/><Relationship Id="rId100" Type="http://schemas.openxmlformats.org/officeDocument/2006/relationships/hyperlink" Target="https://assets.kpmg.com/content/dam/kpmg/in/pdf/2016/12/impact-of-ecommerce-on-employment-in-india.pdf" TargetMode="External"/><Relationship Id="rId105" Type="http://schemas.openxmlformats.org/officeDocument/2006/relationships/hyperlink" Target="https://www.statista.com/topics/5854/maruti-suzuki/?srsltid=AfmBOortw_Ao9qJ6Yg1FUkKv1HOn4fL3s37hWK64wqHadbzkeRLJjNyW" TargetMode="External"/><Relationship Id="rId8" Type="http://schemas.openxmlformats.org/officeDocument/2006/relationships/image" Target="media/image2.png"/><Relationship Id="rId51" Type="http://schemas.openxmlformats.org/officeDocument/2006/relationships/hyperlink" Target="https://kwpublications.com/papers_submitted/9963/indias-manufacturing-sector-performance-and-job-oriented-sustainable-economic-growth-a-comprehensive-analysis.pdf" TargetMode="External"/><Relationship Id="rId72" Type="http://schemas.openxmlformats.org/officeDocument/2006/relationships/hyperlink" Target="https://www.theculturefactor.com/country-comparison-tool?countries=india" TargetMode="External"/><Relationship Id="rId93" Type="http://schemas.openxmlformats.org/officeDocument/2006/relationships/hyperlink" Target="https://www.ibef.org/industry/manufacturing-sector-india" TargetMode="External"/><Relationship Id="rId98" Type="http://schemas.openxmlformats.org/officeDocument/2006/relationships/hyperlink" Target="https://www.indiabudget.gov.in/budget2016-2017/es2015-16/echapter-vol1.pdf" TargetMode="External"/><Relationship Id="rId121" Type="http://schemas.openxmlformats.org/officeDocument/2006/relationships/hyperlink" Target="https://timesofindia.indiatimes.com/auto/cars/car-sales-march-26-renault-sees-fastest-growth-check-how-others-performed/articleshow/129949500.cms" TargetMode="External"/><Relationship Id="rId3" Type="http://schemas.openxmlformats.org/officeDocument/2006/relationships/settings" Target="settings.xml"/><Relationship Id="rId25" Type="http://schemas.openxmlformats.org/officeDocument/2006/relationships/hyperlink" Target="https://www.emerald.com/tqm/article-pdf/34/6/1485/2367964/tqm-06-2021-0179.pdf" TargetMode="External"/><Relationship Id="rId46" Type="http://schemas.openxmlformats.org/officeDocument/2006/relationships/hyperlink" Target="https://www.mdpi.com/1996-1073/15/4/1539" TargetMode="External"/><Relationship Id="rId67" Type="http://schemas.openxmlformats.org/officeDocument/2006/relationships/hyperlink" Target="https://www.emerald.com/jsma/article-pdf/doi/10.1108/JSMA-07-2023-0168/9774159/jsma-07-2023-0168.pdf" TargetMode="External"/><Relationship Id="rId116" Type="http://schemas.openxmlformats.org/officeDocument/2006/relationships/hyperlink" Target="https://economictimes.indiatimes.com/industry/renewables/ev-sales-set-for-rapid-growth-penetration-likely-to-touch-12-13-pc-over-5-yrs-hyundai-coo/articleshow/120032982.cms?from=mdr" TargetMode="External"/><Relationship Id="rId20" Type="http://schemas.openxmlformats.org/officeDocument/2006/relationships/hyperlink" Target="https://expertprogrammanagement.com/2018/04/porter-diamond-model/" TargetMode="External"/><Relationship Id="rId41" Type="http://schemas.openxmlformats.org/officeDocument/2006/relationships/hyperlink" Target="https://www.e3s-conferences.org/articles/e3sconf/pdf/2023/67/e3sconf_icmpc2023_01221.pdf" TargetMode="External"/><Relationship Id="rId62" Type="http://schemas.openxmlformats.org/officeDocument/2006/relationships/hyperlink" Target="https://onlinelibrary.wiley.com/doi/abs/10.1002/pa.2660" TargetMode="External"/><Relationship Id="rId83" Type="http://schemas.openxmlformats.org/officeDocument/2006/relationships/hyperlink" Target="https://www.ey.com/content/dam/ey-unified-site/ey-com/en-in/insights/media-entertainment/ey-shape-the-future-indian-media-and-entertainment-is-scripting-a-new-story.pdf" TargetMode="External"/><Relationship Id="rId88" Type="http://schemas.openxmlformats.org/officeDocument/2006/relationships/hyperlink" Target="https://www.hyundai.com/content/dam/hyundai/in/en/data/investor-relations/annual-report/annual-report2024-25.pdf" TargetMode="External"/><Relationship Id="rId111" Type="http://schemas.openxmlformats.org/officeDocument/2006/relationships/hyperlink" Target="https://economictimes.indiatimes.com/industry/auto/auto-news/flat-festive-then-furious-how-2025-delivered-a-supercharged-plot-twist-to-indias-auto-story/articleshow/126184655.cms?from=mdr" TargetMode="External"/><Relationship Id="rId15" Type="http://schemas.openxmlformats.org/officeDocument/2006/relationships/hyperlink" Target="https://papers.ssrn.com/sol3/papers.cfm?abstract_id=4497558" TargetMode="External"/><Relationship Id="rId36" Type="http://schemas.openxmlformats.org/officeDocument/2006/relationships/hyperlink" Target="https://www.maximizemarketresearch.com/market-report/automotive-market-in-india/86126/" TargetMode="External"/><Relationship Id="rId57" Type="http://schemas.openxmlformats.org/officeDocument/2006/relationships/hyperlink" Target="https://www.emerald.com/ijppm/article-pdf/72/2/281/1118553/ijppm-02-2020-0079.pdf" TargetMode="External"/><Relationship Id="rId106" Type="http://schemas.openxmlformats.org/officeDocument/2006/relationships/hyperlink" Target="https://economictimes.indiatimes.com/industry/auto/auto-news/india-exports-5-3-million-vehicles-in-fy25-as-global-demand-for-made-in-india-autos-grows-survey/articleshow/127773949.cms?from=mdr" TargetMode="External"/><Relationship Id="rId10" Type="http://schemas.openxmlformats.org/officeDocument/2006/relationships/image" Target="media/image4.png"/><Relationship Id="rId31" Type="http://schemas.openxmlformats.org/officeDocument/2006/relationships/hyperlink" Target="https://link.springer.com/article/10.1007/s41775-024-00220-4" TargetMode="External"/><Relationship Id="rId52" Type="http://schemas.openxmlformats.org/officeDocument/2006/relationships/hyperlink" Target="https://kwpublications.com/papers_submitted/9963/indias-manufacturing-sector-performance-and-job-oriented-sustainable-economic-growth-a-comprehensive-analysis.pdf" TargetMode="External"/><Relationship Id="rId73" Type="http://schemas.openxmlformats.org/officeDocument/2006/relationships/hyperlink" Target="https://doi.org/10.1177/0972150919898302" TargetMode="External"/><Relationship Id="rId78" Type="http://schemas.openxmlformats.org/officeDocument/2006/relationships/hyperlink" Target="https://www.business-standard.com/industry/auto/domestic-passenger-vehicle-sales-rise-2-6-in-fy25-to-4-34-million-units-125040101294_1.html" TargetMode="External"/><Relationship Id="rId94" Type="http://schemas.openxmlformats.org/officeDocument/2006/relationships/hyperlink" Target="https://www.ibef.org/news/india-s-passenger-vehicle-sales-hit-record-high-at-43-lakh-units-in-fy25-utility-vehicles-driver-of-growth-society-of-indian-automobile-manufacturers-siam" TargetMode="External"/><Relationship Id="rId99" Type="http://schemas.openxmlformats.org/officeDocument/2006/relationships/hyperlink" Target="https://www.indiabudget.gov.in/budget2016-2017/es2015-16/echapter-vol1.pdf" TargetMode="External"/><Relationship Id="rId101" Type="http://schemas.openxmlformats.org/officeDocument/2006/relationships/hyperlink" Target="https://assets.kpmg.com/content/dam/kpmg/in/pdf/2016/12/impact-of-ecommerce-on-employment-in-india.pdf" TargetMode="External"/><Relationship Id="rId12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0B50AE-7197-44F9-8483-0C069543E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10354</Words>
  <Characters>59019</Characters>
  <Application>Microsoft Office Word</Application>
  <DocSecurity>0</DocSecurity>
  <Lines>491</Lines>
  <Paragraphs>138</Paragraphs>
  <ScaleCrop>false</ScaleCrop>
  <Company/>
  <LinksUpToDate>false</LinksUpToDate>
  <CharactersWithSpaces>69235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Sreyashi Saha</dc:creator>
  <cp:lastModifiedBy>Rahul Jyoti</cp:lastModifiedBy>
  <cp:revision>2</cp:revision>
  <dcterms:created xsi:type="dcterms:W3CDTF">2026-04-25T20:37:00Z</dcterms:created>
  <dcterms:modified xsi:type="dcterms:W3CDTF">2026-04-25T20:37:00Z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eyJoZGlkIjoiNmE4YjRmMjkzZGFlZTYyMDgyMDJjYTAzYWE2OWQ2OGEiLCJ1c2VySWQiOiI1NjcwNjEyMzcxMTYifQ==</vt:lpwstr>
  </property>
  <property fmtid="{D5CDD505-2E9C-101B-9397-08002B2CF9AE}" pid="3" name="KSOProductBuildVer">
    <vt:lpwstr>1033-12.1.0.25862</vt:lpwstr>
  </property>
  <property fmtid="{D5CDD505-2E9C-101B-9397-08002B2CF9AE}" pid="4" name="ICV">
    <vt:lpwstr>1467D0083C7549B9A1EB26AC621826BB_13</vt:lpwstr>
  </property>
  <property fmtid="{D5CDD505-2E9C-101B-9397-08002B2CF9AE}" pid="5" name="GrammarlyDocumentId">
    <vt:lpwstr>2eebf4d0-abc9-4414-852a-7f5b9e5e5998</vt:lpwstr>
  </property>
</Properties>
</file>