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250A7" w14:textId="77777777" w:rsidR="009846B9" w:rsidRPr="009846B9" w:rsidRDefault="009846B9" w:rsidP="009846B9">
      <w:pPr>
        <w:jc w:val="center"/>
        <w:rPr>
          <w:rFonts w:ascii="Century Gothic" w:hAnsi="Century Gothic"/>
          <w:b/>
          <w:bCs/>
          <w:sz w:val="28"/>
          <w:szCs w:val="28"/>
        </w:rPr>
      </w:pPr>
      <w:r w:rsidRPr="009846B9">
        <w:rPr>
          <w:rFonts w:ascii="Century Gothic" w:hAnsi="Century Gothic"/>
          <w:b/>
          <w:bCs/>
          <w:sz w:val="28"/>
          <w:szCs w:val="28"/>
        </w:rPr>
        <w:t>Name: Uzma Rani</w:t>
      </w:r>
    </w:p>
    <w:p w14:paraId="1EFD1260" w14:textId="77777777" w:rsidR="009846B9" w:rsidRPr="009846B9" w:rsidRDefault="009846B9" w:rsidP="009846B9">
      <w:pPr>
        <w:jc w:val="center"/>
        <w:rPr>
          <w:rFonts w:ascii="Century Gothic" w:hAnsi="Century Gothic"/>
          <w:sz w:val="28"/>
          <w:szCs w:val="28"/>
        </w:rPr>
      </w:pPr>
      <w:r w:rsidRPr="009846B9">
        <w:rPr>
          <w:rFonts w:ascii="Century Gothic" w:hAnsi="Century Gothic"/>
          <w:b/>
          <w:bCs/>
          <w:sz w:val="28"/>
          <w:szCs w:val="28"/>
        </w:rPr>
        <w:t>Student Number:</w:t>
      </w:r>
      <w:r w:rsidRPr="009846B9">
        <w:rPr>
          <w:rFonts w:ascii="Century Gothic" w:hAnsi="Century Gothic"/>
          <w:sz w:val="28"/>
          <w:szCs w:val="28"/>
        </w:rPr>
        <w:t xml:space="preserve"> 2245024</w:t>
      </w:r>
      <w:r w:rsidRPr="009846B9">
        <w:rPr>
          <w:rFonts w:ascii="Century Gothic" w:hAnsi="Century Gothic"/>
          <w:sz w:val="28"/>
          <w:szCs w:val="28"/>
        </w:rPr>
        <w:br/>
      </w:r>
      <w:r w:rsidRPr="009846B9">
        <w:rPr>
          <w:rFonts w:ascii="Century Gothic" w:hAnsi="Century Gothic"/>
          <w:b/>
          <w:bCs/>
          <w:sz w:val="28"/>
          <w:szCs w:val="28"/>
        </w:rPr>
        <w:t>Module Code:</w:t>
      </w:r>
      <w:r w:rsidRPr="009846B9">
        <w:rPr>
          <w:rFonts w:ascii="Century Gothic" w:hAnsi="Century Gothic"/>
          <w:sz w:val="28"/>
          <w:szCs w:val="28"/>
        </w:rPr>
        <w:t xml:space="preserve"> BMHP6020</w:t>
      </w:r>
      <w:r w:rsidRPr="009846B9">
        <w:rPr>
          <w:rFonts w:ascii="Century Gothic" w:hAnsi="Century Gothic"/>
          <w:sz w:val="28"/>
          <w:szCs w:val="28"/>
        </w:rPr>
        <w:br/>
      </w:r>
      <w:r w:rsidRPr="009846B9">
        <w:rPr>
          <w:rFonts w:ascii="Century Gothic" w:hAnsi="Century Gothic"/>
          <w:b/>
          <w:bCs/>
          <w:sz w:val="28"/>
          <w:szCs w:val="28"/>
        </w:rPr>
        <w:t>Assignment Title:</w:t>
      </w:r>
      <w:r w:rsidRPr="009846B9">
        <w:rPr>
          <w:rFonts w:ascii="Century Gothic" w:hAnsi="Century Gothic"/>
          <w:sz w:val="28"/>
          <w:szCs w:val="28"/>
        </w:rPr>
        <w:t xml:space="preserve"> Element 1 – Project Proposal</w:t>
      </w:r>
    </w:p>
    <w:p w14:paraId="6DB6C271" w14:textId="2EA35E24" w:rsidR="009846B9" w:rsidRPr="009846B9" w:rsidRDefault="009846B9" w:rsidP="009846B9">
      <w:pPr>
        <w:rPr>
          <w:rFonts w:ascii="Century Gothic" w:hAnsi="Century Gothic"/>
        </w:rPr>
      </w:pPr>
    </w:p>
    <w:p w14:paraId="174E5387" w14:textId="77777777" w:rsidR="009846B9" w:rsidRPr="009846B9" w:rsidRDefault="009846B9" w:rsidP="009846B9">
      <w:pPr>
        <w:rPr>
          <w:rFonts w:ascii="Century Gothic" w:hAnsi="Century Gothic"/>
          <w:b/>
          <w:bCs/>
        </w:rPr>
      </w:pPr>
      <w:r w:rsidRPr="009846B9">
        <w:rPr>
          <w:rFonts w:ascii="Century Gothic" w:hAnsi="Century Gothic"/>
          <w:b/>
          <w:bCs/>
        </w:rPr>
        <w:t>Title:</w:t>
      </w:r>
    </w:p>
    <w:p w14:paraId="32E719DE" w14:textId="77777777" w:rsidR="009846B9" w:rsidRPr="009846B9" w:rsidRDefault="009846B9" w:rsidP="009846B9">
      <w:pPr>
        <w:rPr>
          <w:rFonts w:ascii="Century Gothic" w:hAnsi="Century Gothic"/>
        </w:rPr>
      </w:pPr>
      <w:r w:rsidRPr="009846B9">
        <w:rPr>
          <w:rFonts w:ascii="Century Gothic" w:hAnsi="Century Gothic"/>
        </w:rPr>
        <w:t>The Impact of Academic Stress on the Mental Health of University Students: A Secondary Research Study</w:t>
      </w:r>
    </w:p>
    <w:p w14:paraId="66D8197C" w14:textId="04899EF2" w:rsidR="009846B9" w:rsidRPr="009846B9" w:rsidRDefault="009846B9" w:rsidP="009846B9">
      <w:pPr>
        <w:rPr>
          <w:rFonts w:ascii="Century Gothic" w:hAnsi="Century Gothic"/>
        </w:rPr>
      </w:pPr>
    </w:p>
    <w:p w14:paraId="0B56A0F6" w14:textId="77777777" w:rsidR="009846B9" w:rsidRPr="009846B9" w:rsidRDefault="009846B9" w:rsidP="009846B9">
      <w:pPr>
        <w:rPr>
          <w:rFonts w:ascii="Century Gothic" w:hAnsi="Century Gothic"/>
          <w:b/>
          <w:bCs/>
        </w:rPr>
      </w:pPr>
      <w:r w:rsidRPr="009846B9">
        <w:rPr>
          <w:rFonts w:ascii="Century Gothic" w:hAnsi="Century Gothic"/>
          <w:b/>
          <w:bCs/>
        </w:rPr>
        <w:t>Abstract</w:t>
      </w:r>
    </w:p>
    <w:p w14:paraId="1569BAF6" w14:textId="77777777" w:rsidR="009846B9" w:rsidRPr="009846B9" w:rsidRDefault="009846B9" w:rsidP="009846B9">
      <w:pPr>
        <w:rPr>
          <w:rFonts w:ascii="Century Gothic" w:hAnsi="Century Gothic"/>
        </w:rPr>
      </w:pPr>
      <w:r w:rsidRPr="009846B9">
        <w:rPr>
          <w:rFonts w:ascii="Century Gothic" w:hAnsi="Century Gothic"/>
        </w:rPr>
        <w:t>This secondary research project explores how academic stress influences the mental health of university students in the United Kingdom and examines the coping strategies identified in existing studies. Guided by the Transactional Model of Stress and Coping (Lazarus &amp; Folkman, 1984), the research will not involve the collection of primary data but will instead analyse and synthesise existing peer-reviewed literature. A systematic search and thematic review of published studies will be undertaken to identify key academic stressors, coping mechanisms, and their implications for student wellbeing. The findings aim to provide evidence-based recommendations to help universities design preventative wellbeing strategies that strengthen resilience, accessibility, and early support for students.</w:t>
      </w:r>
    </w:p>
    <w:p w14:paraId="14362EAF" w14:textId="43027B00" w:rsidR="009846B9" w:rsidRPr="009846B9" w:rsidRDefault="009846B9" w:rsidP="009846B9">
      <w:pPr>
        <w:rPr>
          <w:rFonts w:ascii="Century Gothic" w:hAnsi="Century Gothic"/>
        </w:rPr>
      </w:pPr>
    </w:p>
    <w:p w14:paraId="7DA9B5B4" w14:textId="77777777" w:rsidR="009846B9" w:rsidRPr="009846B9" w:rsidRDefault="009846B9" w:rsidP="009846B9">
      <w:pPr>
        <w:rPr>
          <w:rFonts w:ascii="Century Gothic" w:hAnsi="Century Gothic"/>
          <w:b/>
          <w:bCs/>
        </w:rPr>
      </w:pPr>
      <w:r w:rsidRPr="009846B9">
        <w:rPr>
          <w:rFonts w:ascii="Century Gothic" w:hAnsi="Century Gothic"/>
          <w:b/>
          <w:bCs/>
        </w:rPr>
        <w:t>Introduction and Rationale</w:t>
      </w:r>
    </w:p>
    <w:p w14:paraId="72ACBB31" w14:textId="77777777" w:rsidR="009846B9" w:rsidRPr="009846B9" w:rsidRDefault="009846B9" w:rsidP="009846B9">
      <w:pPr>
        <w:rPr>
          <w:rFonts w:ascii="Century Gothic" w:hAnsi="Century Gothic"/>
        </w:rPr>
      </w:pPr>
      <w:r w:rsidRPr="009846B9">
        <w:rPr>
          <w:rFonts w:ascii="Century Gothic" w:hAnsi="Century Gothic"/>
        </w:rPr>
        <w:t>University students face increasing academic pressures which can adversely affect their mental health. Studies highlight that stress, anxiety, and depression are prevalent among students both in the UK and internationally (Beiter et al., 2015; Bewick et al., 2010). Academic demands, assessment deadlines, and workload expectations are significant contributors to this stress (Misra &amp; Castillo, 2004). The COVID-19 pandemic further intensified these challenges through disrupted learning and social isolation (Elmer, Mepham &amp; Stadtfeld, 2020).</w:t>
      </w:r>
    </w:p>
    <w:p w14:paraId="679629EE" w14:textId="77777777" w:rsidR="009846B9" w:rsidRPr="009846B9" w:rsidRDefault="009846B9" w:rsidP="009846B9">
      <w:pPr>
        <w:rPr>
          <w:rFonts w:ascii="Century Gothic" w:hAnsi="Century Gothic"/>
        </w:rPr>
      </w:pPr>
      <w:r w:rsidRPr="009846B9">
        <w:rPr>
          <w:rFonts w:ascii="Century Gothic" w:hAnsi="Century Gothic"/>
        </w:rPr>
        <w:t xml:space="preserve">The Transactional Model of Stress and Coping (Lazarus &amp; Folkman, 1984) </w:t>
      </w:r>
      <w:proofErr w:type="gramStart"/>
      <w:r w:rsidRPr="009846B9">
        <w:rPr>
          <w:rFonts w:ascii="Century Gothic" w:hAnsi="Century Gothic"/>
        </w:rPr>
        <w:t>provides</w:t>
      </w:r>
      <w:proofErr w:type="gramEnd"/>
      <w:r w:rsidRPr="009846B9">
        <w:rPr>
          <w:rFonts w:ascii="Century Gothic" w:hAnsi="Century Gothic"/>
        </w:rPr>
        <w:t xml:space="preserve"> an effective theoretical basis for understanding how students appraise stressors and select coping responses. By reviewing existing studies, this project will identify patterns of stress and coping and propose </w:t>
      </w:r>
      <w:r w:rsidRPr="009846B9">
        <w:rPr>
          <w:rFonts w:ascii="Century Gothic" w:hAnsi="Century Gothic"/>
        </w:rPr>
        <w:lastRenderedPageBreak/>
        <w:t>recommendations that inform university wellbeing provision. A secondary research approach is appropriate for this project as it allows the synthesis of a wide range of existing evidence within the time and ethical constraints of undergraduate research.</w:t>
      </w:r>
    </w:p>
    <w:p w14:paraId="06D3754B" w14:textId="2CE912F9" w:rsidR="009846B9" w:rsidRPr="009846B9" w:rsidRDefault="009846B9" w:rsidP="009846B9">
      <w:pPr>
        <w:rPr>
          <w:rFonts w:ascii="Century Gothic" w:hAnsi="Century Gothic"/>
        </w:rPr>
      </w:pPr>
    </w:p>
    <w:p w14:paraId="79476BF3" w14:textId="77777777" w:rsidR="009846B9" w:rsidRPr="009846B9" w:rsidRDefault="009846B9" w:rsidP="009846B9">
      <w:pPr>
        <w:rPr>
          <w:rFonts w:ascii="Century Gothic" w:hAnsi="Century Gothic"/>
          <w:b/>
          <w:bCs/>
        </w:rPr>
      </w:pPr>
      <w:r w:rsidRPr="009846B9">
        <w:rPr>
          <w:rFonts w:ascii="Century Gothic" w:hAnsi="Century Gothic"/>
          <w:b/>
          <w:bCs/>
        </w:rPr>
        <w:t>Aim and Objectives</w:t>
      </w:r>
    </w:p>
    <w:p w14:paraId="440541D6" w14:textId="77777777" w:rsidR="009846B9" w:rsidRPr="009846B9" w:rsidRDefault="009846B9" w:rsidP="009846B9">
      <w:pPr>
        <w:rPr>
          <w:rFonts w:ascii="Century Gothic" w:hAnsi="Century Gothic"/>
        </w:rPr>
      </w:pPr>
      <w:r w:rsidRPr="009846B9">
        <w:rPr>
          <w:rFonts w:ascii="Century Gothic" w:hAnsi="Century Gothic"/>
          <w:b/>
          <w:bCs/>
        </w:rPr>
        <w:t>Aim:</w:t>
      </w:r>
      <w:r w:rsidRPr="009846B9">
        <w:rPr>
          <w:rFonts w:ascii="Century Gothic" w:hAnsi="Century Gothic"/>
        </w:rPr>
        <w:br/>
        <w:t>To examine the impact of academic stress on the mental health of university students in the UK through the analysis of existing literature, and to identify coping strategies that support positive wellbeing.</w:t>
      </w:r>
    </w:p>
    <w:p w14:paraId="18BB92A0" w14:textId="77777777" w:rsidR="009846B9" w:rsidRPr="009846B9" w:rsidRDefault="009846B9" w:rsidP="009846B9">
      <w:pPr>
        <w:rPr>
          <w:rFonts w:ascii="Century Gothic" w:hAnsi="Century Gothic"/>
        </w:rPr>
      </w:pPr>
      <w:r w:rsidRPr="009846B9">
        <w:rPr>
          <w:rFonts w:ascii="Century Gothic" w:hAnsi="Century Gothic"/>
          <w:b/>
          <w:bCs/>
        </w:rPr>
        <w:t>Objectives:</w:t>
      </w:r>
    </w:p>
    <w:p w14:paraId="6EF4BC78" w14:textId="77777777" w:rsidR="009846B9" w:rsidRPr="009846B9" w:rsidRDefault="009846B9" w:rsidP="009846B9">
      <w:pPr>
        <w:numPr>
          <w:ilvl w:val="0"/>
          <w:numId w:val="7"/>
        </w:numPr>
        <w:rPr>
          <w:rFonts w:ascii="Century Gothic" w:hAnsi="Century Gothic"/>
        </w:rPr>
      </w:pPr>
      <w:r w:rsidRPr="009846B9">
        <w:rPr>
          <w:rFonts w:ascii="Century Gothic" w:hAnsi="Century Gothic"/>
        </w:rPr>
        <w:t>Identify key academic stressors affecting university students.</w:t>
      </w:r>
    </w:p>
    <w:p w14:paraId="3DEF3836" w14:textId="77777777" w:rsidR="009846B9" w:rsidRPr="009846B9" w:rsidRDefault="009846B9" w:rsidP="009846B9">
      <w:pPr>
        <w:numPr>
          <w:ilvl w:val="0"/>
          <w:numId w:val="7"/>
        </w:numPr>
        <w:rPr>
          <w:rFonts w:ascii="Century Gothic" w:hAnsi="Century Gothic"/>
        </w:rPr>
      </w:pPr>
      <w:r w:rsidRPr="009846B9">
        <w:rPr>
          <w:rFonts w:ascii="Century Gothic" w:hAnsi="Century Gothic"/>
        </w:rPr>
        <w:t>Explore the relationship between academic stress and mental health outcomes.</w:t>
      </w:r>
    </w:p>
    <w:p w14:paraId="1D4C49C2" w14:textId="77777777" w:rsidR="009846B9" w:rsidRPr="009846B9" w:rsidRDefault="009846B9" w:rsidP="009846B9">
      <w:pPr>
        <w:numPr>
          <w:ilvl w:val="0"/>
          <w:numId w:val="7"/>
        </w:numPr>
        <w:rPr>
          <w:rFonts w:ascii="Century Gothic" w:hAnsi="Century Gothic"/>
        </w:rPr>
      </w:pPr>
      <w:r w:rsidRPr="009846B9">
        <w:rPr>
          <w:rFonts w:ascii="Century Gothic" w:hAnsi="Century Gothic"/>
        </w:rPr>
        <w:t>Analyse coping strategies and their perceived effectiveness.</w:t>
      </w:r>
    </w:p>
    <w:p w14:paraId="12B65EA9" w14:textId="77777777" w:rsidR="009846B9" w:rsidRPr="009846B9" w:rsidRDefault="009846B9" w:rsidP="009846B9">
      <w:pPr>
        <w:numPr>
          <w:ilvl w:val="0"/>
          <w:numId w:val="7"/>
        </w:numPr>
        <w:rPr>
          <w:rFonts w:ascii="Century Gothic" w:hAnsi="Century Gothic"/>
        </w:rPr>
      </w:pPr>
      <w:r w:rsidRPr="009846B9">
        <w:rPr>
          <w:rFonts w:ascii="Century Gothic" w:hAnsi="Century Gothic"/>
        </w:rPr>
        <w:t>Provide evidence-based recommendations for improving institutional support.</w:t>
      </w:r>
    </w:p>
    <w:p w14:paraId="4521633E" w14:textId="77777777" w:rsidR="009846B9" w:rsidRPr="009846B9" w:rsidRDefault="009846B9" w:rsidP="009846B9">
      <w:pPr>
        <w:rPr>
          <w:rFonts w:ascii="Century Gothic" w:hAnsi="Century Gothic"/>
          <w:b/>
          <w:bCs/>
        </w:rPr>
      </w:pPr>
    </w:p>
    <w:p w14:paraId="16AE53B3" w14:textId="78FAB5E7" w:rsidR="009846B9" w:rsidRPr="009846B9" w:rsidRDefault="009846B9" w:rsidP="009846B9">
      <w:pPr>
        <w:rPr>
          <w:rFonts w:ascii="Century Gothic" w:hAnsi="Century Gothic"/>
          <w:b/>
          <w:bCs/>
        </w:rPr>
      </w:pPr>
      <w:r w:rsidRPr="009846B9">
        <w:rPr>
          <w:rFonts w:ascii="Century Gothic" w:hAnsi="Century Gothic"/>
          <w:b/>
          <w:bCs/>
        </w:rPr>
        <w:t>M</w:t>
      </w:r>
      <w:r w:rsidRPr="009846B9">
        <w:rPr>
          <w:rFonts w:ascii="Century Gothic" w:hAnsi="Century Gothic"/>
          <w:b/>
          <w:bCs/>
        </w:rPr>
        <w:t>ethods</w:t>
      </w:r>
    </w:p>
    <w:p w14:paraId="38CDB7B2" w14:textId="77777777" w:rsidR="009846B9" w:rsidRPr="009846B9" w:rsidRDefault="009846B9" w:rsidP="009846B9">
      <w:pPr>
        <w:rPr>
          <w:rFonts w:ascii="Century Gothic" w:hAnsi="Century Gothic"/>
        </w:rPr>
      </w:pPr>
      <w:r w:rsidRPr="009846B9">
        <w:rPr>
          <w:rFonts w:ascii="Century Gothic" w:hAnsi="Century Gothic"/>
        </w:rPr>
        <w:t xml:space="preserve">This project will use a </w:t>
      </w:r>
      <w:r w:rsidRPr="009846B9">
        <w:rPr>
          <w:rFonts w:ascii="Century Gothic" w:hAnsi="Century Gothic"/>
          <w:b/>
          <w:bCs/>
        </w:rPr>
        <w:t>secondary qualitative research design</w:t>
      </w:r>
      <w:r w:rsidRPr="009846B9">
        <w:rPr>
          <w:rFonts w:ascii="Century Gothic" w:hAnsi="Century Gothic"/>
        </w:rPr>
        <w:t xml:space="preserve"> through a </w:t>
      </w:r>
      <w:r w:rsidRPr="009846B9">
        <w:rPr>
          <w:rFonts w:ascii="Century Gothic" w:hAnsi="Century Gothic"/>
          <w:b/>
          <w:bCs/>
        </w:rPr>
        <w:t>systematic literature review</w:t>
      </w:r>
      <w:r w:rsidRPr="009846B9">
        <w:rPr>
          <w:rFonts w:ascii="Century Gothic" w:hAnsi="Century Gothic"/>
        </w:rPr>
        <w:t xml:space="preserve">. Relevant peer-reviewed studies will be identified using academic databases such as PsycINFO, PubMed, and Google Scholar. Search terms will include </w:t>
      </w:r>
      <w:r w:rsidRPr="009846B9">
        <w:rPr>
          <w:rFonts w:ascii="Century Gothic" w:hAnsi="Century Gothic"/>
          <w:i/>
          <w:iCs/>
        </w:rPr>
        <w:t>academic stress</w:t>
      </w:r>
      <w:r w:rsidRPr="009846B9">
        <w:rPr>
          <w:rFonts w:ascii="Century Gothic" w:hAnsi="Century Gothic"/>
        </w:rPr>
        <w:t xml:space="preserve">, </w:t>
      </w:r>
      <w:r w:rsidRPr="009846B9">
        <w:rPr>
          <w:rFonts w:ascii="Century Gothic" w:hAnsi="Century Gothic"/>
          <w:i/>
          <w:iCs/>
        </w:rPr>
        <w:t>mental health</w:t>
      </w:r>
      <w:r w:rsidRPr="009846B9">
        <w:rPr>
          <w:rFonts w:ascii="Century Gothic" w:hAnsi="Century Gothic"/>
        </w:rPr>
        <w:t xml:space="preserve">, </w:t>
      </w:r>
      <w:r w:rsidRPr="009846B9">
        <w:rPr>
          <w:rFonts w:ascii="Century Gothic" w:hAnsi="Century Gothic"/>
          <w:i/>
          <w:iCs/>
        </w:rPr>
        <w:t>coping strategies</w:t>
      </w:r>
      <w:r w:rsidRPr="009846B9">
        <w:rPr>
          <w:rFonts w:ascii="Century Gothic" w:hAnsi="Century Gothic"/>
        </w:rPr>
        <w:t xml:space="preserve">, and </w:t>
      </w:r>
      <w:r w:rsidRPr="009846B9">
        <w:rPr>
          <w:rFonts w:ascii="Century Gothic" w:hAnsi="Century Gothic"/>
          <w:i/>
          <w:iCs/>
        </w:rPr>
        <w:t>university students</w:t>
      </w:r>
      <w:r w:rsidRPr="009846B9">
        <w:rPr>
          <w:rFonts w:ascii="Century Gothic" w:hAnsi="Century Gothic"/>
        </w:rPr>
        <w:t>. Inclusion criteria will focus on studies published between 2010 and 2025 in English, based on university student populations.</w:t>
      </w:r>
    </w:p>
    <w:p w14:paraId="470CEDF2" w14:textId="77777777" w:rsidR="009846B9" w:rsidRPr="009846B9" w:rsidRDefault="009846B9" w:rsidP="009846B9">
      <w:pPr>
        <w:rPr>
          <w:rFonts w:ascii="Century Gothic" w:hAnsi="Century Gothic"/>
        </w:rPr>
      </w:pPr>
      <w:r w:rsidRPr="009846B9">
        <w:rPr>
          <w:rFonts w:ascii="Century Gothic" w:hAnsi="Century Gothic"/>
        </w:rPr>
        <w:t>The selected studies will be reviewed and thematically analysed following Braun and Clarke’s (2006) approach to identify common patterns related to academic stress, coping, and wellbeing outcomes. Ethical approval is not required as the study uses existing published data. All literature will be correctly cited and referenced in line with university academic integrity policies.</w:t>
      </w:r>
    </w:p>
    <w:p w14:paraId="5611454A" w14:textId="2F07382A" w:rsidR="009846B9" w:rsidRPr="009846B9" w:rsidRDefault="009846B9" w:rsidP="009846B9">
      <w:pPr>
        <w:rPr>
          <w:rFonts w:ascii="Century Gothic" w:hAnsi="Century Gothic"/>
        </w:rPr>
      </w:pPr>
    </w:p>
    <w:p w14:paraId="6F9C02B1" w14:textId="77777777" w:rsidR="009846B9" w:rsidRPr="009846B9" w:rsidRDefault="009846B9" w:rsidP="009846B9">
      <w:pPr>
        <w:rPr>
          <w:rFonts w:ascii="Century Gothic" w:hAnsi="Century Gothic"/>
          <w:b/>
          <w:bCs/>
        </w:rPr>
      </w:pPr>
      <w:r w:rsidRPr="009846B9">
        <w:rPr>
          <w:rFonts w:ascii="Century Gothic" w:hAnsi="Century Gothic"/>
          <w:b/>
          <w:bCs/>
        </w:rPr>
        <w:t>Project Plan / Timeline (27 Weeks)</w:t>
      </w:r>
    </w:p>
    <w:p w14:paraId="4F204632" w14:textId="77777777" w:rsidR="009846B9" w:rsidRPr="009846B9" w:rsidRDefault="009846B9" w:rsidP="009846B9">
      <w:pPr>
        <w:numPr>
          <w:ilvl w:val="0"/>
          <w:numId w:val="8"/>
        </w:numPr>
        <w:rPr>
          <w:rFonts w:ascii="Century Gothic" w:hAnsi="Century Gothic"/>
        </w:rPr>
      </w:pPr>
      <w:r w:rsidRPr="009846B9">
        <w:rPr>
          <w:rFonts w:ascii="Century Gothic" w:hAnsi="Century Gothic"/>
          <w:b/>
          <w:bCs/>
        </w:rPr>
        <w:t>Weeks 1–3:</w:t>
      </w:r>
      <w:r w:rsidRPr="009846B9">
        <w:rPr>
          <w:rFonts w:ascii="Century Gothic" w:hAnsi="Century Gothic"/>
        </w:rPr>
        <w:t xml:space="preserve"> Develop research plan and search strategy.</w:t>
      </w:r>
    </w:p>
    <w:p w14:paraId="2431DCC9" w14:textId="77777777" w:rsidR="009846B9" w:rsidRPr="009846B9" w:rsidRDefault="009846B9" w:rsidP="009846B9">
      <w:pPr>
        <w:numPr>
          <w:ilvl w:val="0"/>
          <w:numId w:val="8"/>
        </w:numPr>
        <w:rPr>
          <w:rFonts w:ascii="Century Gothic" w:hAnsi="Century Gothic"/>
        </w:rPr>
      </w:pPr>
      <w:r w:rsidRPr="009846B9">
        <w:rPr>
          <w:rFonts w:ascii="Century Gothic" w:hAnsi="Century Gothic"/>
          <w:b/>
          <w:bCs/>
        </w:rPr>
        <w:lastRenderedPageBreak/>
        <w:t>Weeks 4–7:</w:t>
      </w:r>
      <w:r w:rsidRPr="009846B9">
        <w:rPr>
          <w:rFonts w:ascii="Century Gothic" w:hAnsi="Century Gothic"/>
        </w:rPr>
        <w:t xml:space="preserve"> Conduct database searches and screen studies.</w:t>
      </w:r>
    </w:p>
    <w:p w14:paraId="27EFBEB9" w14:textId="77777777" w:rsidR="009846B9" w:rsidRPr="009846B9" w:rsidRDefault="009846B9" w:rsidP="009846B9">
      <w:pPr>
        <w:numPr>
          <w:ilvl w:val="0"/>
          <w:numId w:val="8"/>
        </w:numPr>
        <w:rPr>
          <w:rFonts w:ascii="Century Gothic" w:hAnsi="Century Gothic"/>
        </w:rPr>
      </w:pPr>
      <w:r w:rsidRPr="009846B9">
        <w:rPr>
          <w:rFonts w:ascii="Century Gothic" w:hAnsi="Century Gothic"/>
          <w:b/>
          <w:bCs/>
        </w:rPr>
        <w:t>Weeks 8–12:</w:t>
      </w:r>
      <w:r w:rsidRPr="009846B9">
        <w:rPr>
          <w:rFonts w:ascii="Century Gothic" w:hAnsi="Century Gothic"/>
        </w:rPr>
        <w:t xml:space="preserve"> Extract data and identify key themes.</w:t>
      </w:r>
    </w:p>
    <w:p w14:paraId="33747F6C" w14:textId="77777777" w:rsidR="009846B9" w:rsidRPr="009846B9" w:rsidRDefault="009846B9" w:rsidP="009846B9">
      <w:pPr>
        <w:numPr>
          <w:ilvl w:val="0"/>
          <w:numId w:val="8"/>
        </w:numPr>
        <w:rPr>
          <w:rFonts w:ascii="Century Gothic" w:hAnsi="Century Gothic"/>
        </w:rPr>
      </w:pPr>
      <w:r w:rsidRPr="009846B9">
        <w:rPr>
          <w:rFonts w:ascii="Century Gothic" w:hAnsi="Century Gothic"/>
          <w:b/>
          <w:bCs/>
        </w:rPr>
        <w:t>Weeks 13–18:</w:t>
      </w:r>
      <w:r w:rsidRPr="009846B9">
        <w:rPr>
          <w:rFonts w:ascii="Century Gothic" w:hAnsi="Century Gothic"/>
        </w:rPr>
        <w:t xml:space="preserve"> Thematic analysis and synthesis of findings.</w:t>
      </w:r>
    </w:p>
    <w:p w14:paraId="17491F43" w14:textId="77777777" w:rsidR="009846B9" w:rsidRPr="009846B9" w:rsidRDefault="009846B9" w:rsidP="009846B9">
      <w:pPr>
        <w:numPr>
          <w:ilvl w:val="0"/>
          <w:numId w:val="8"/>
        </w:numPr>
        <w:rPr>
          <w:rFonts w:ascii="Century Gothic" w:hAnsi="Century Gothic"/>
        </w:rPr>
      </w:pPr>
      <w:r w:rsidRPr="009846B9">
        <w:rPr>
          <w:rFonts w:ascii="Century Gothic" w:hAnsi="Century Gothic"/>
          <w:b/>
          <w:bCs/>
        </w:rPr>
        <w:t>Weeks 19–23:</w:t>
      </w:r>
      <w:r w:rsidRPr="009846B9">
        <w:rPr>
          <w:rFonts w:ascii="Century Gothic" w:hAnsi="Century Gothic"/>
        </w:rPr>
        <w:t xml:space="preserve"> Write introduction, findings, and discussion.</w:t>
      </w:r>
    </w:p>
    <w:p w14:paraId="6B411CB0" w14:textId="77777777" w:rsidR="009846B9" w:rsidRPr="009846B9" w:rsidRDefault="009846B9" w:rsidP="009846B9">
      <w:pPr>
        <w:numPr>
          <w:ilvl w:val="0"/>
          <w:numId w:val="8"/>
        </w:numPr>
        <w:rPr>
          <w:rFonts w:ascii="Century Gothic" w:hAnsi="Century Gothic"/>
        </w:rPr>
      </w:pPr>
      <w:r w:rsidRPr="009846B9">
        <w:rPr>
          <w:rFonts w:ascii="Century Gothic" w:hAnsi="Century Gothic"/>
          <w:b/>
          <w:bCs/>
        </w:rPr>
        <w:t>Weeks 24–26:</w:t>
      </w:r>
      <w:r w:rsidRPr="009846B9">
        <w:rPr>
          <w:rFonts w:ascii="Century Gothic" w:hAnsi="Century Gothic"/>
        </w:rPr>
        <w:t xml:space="preserve"> Edit, proofread, and finalise report.</w:t>
      </w:r>
    </w:p>
    <w:p w14:paraId="3BF6737D" w14:textId="77777777" w:rsidR="009846B9" w:rsidRPr="009846B9" w:rsidRDefault="009846B9" w:rsidP="009846B9">
      <w:pPr>
        <w:numPr>
          <w:ilvl w:val="0"/>
          <w:numId w:val="8"/>
        </w:numPr>
        <w:rPr>
          <w:rFonts w:ascii="Century Gothic" w:hAnsi="Century Gothic"/>
        </w:rPr>
      </w:pPr>
      <w:r w:rsidRPr="009846B9">
        <w:rPr>
          <w:rFonts w:ascii="Century Gothic" w:hAnsi="Century Gothic"/>
          <w:b/>
          <w:bCs/>
        </w:rPr>
        <w:t>Week 27:</w:t>
      </w:r>
      <w:r w:rsidRPr="009846B9">
        <w:rPr>
          <w:rFonts w:ascii="Century Gothic" w:hAnsi="Century Gothic"/>
        </w:rPr>
        <w:t xml:space="preserve"> Submission.</w:t>
      </w:r>
    </w:p>
    <w:p w14:paraId="78B95D72" w14:textId="3242280D" w:rsidR="009846B9" w:rsidRPr="009846B9" w:rsidRDefault="009846B9" w:rsidP="009846B9">
      <w:pPr>
        <w:rPr>
          <w:rFonts w:ascii="Century Gothic" w:hAnsi="Century Gothic"/>
        </w:rPr>
      </w:pPr>
    </w:p>
    <w:p w14:paraId="7A42D2D9" w14:textId="77777777" w:rsidR="009846B9" w:rsidRPr="009846B9" w:rsidRDefault="009846B9" w:rsidP="009846B9">
      <w:pPr>
        <w:rPr>
          <w:rFonts w:ascii="Century Gothic" w:hAnsi="Century Gothic"/>
          <w:b/>
          <w:bCs/>
        </w:rPr>
      </w:pPr>
      <w:r w:rsidRPr="009846B9">
        <w:rPr>
          <w:rFonts w:ascii="Century Gothic" w:hAnsi="Century Gothic"/>
          <w:b/>
          <w:bCs/>
        </w:rPr>
        <w:t>Expected Outcomes</w:t>
      </w:r>
    </w:p>
    <w:p w14:paraId="709FD986" w14:textId="77777777" w:rsidR="009846B9" w:rsidRPr="009846B9" w:rsidRDefault="009846B9" w:rsidP="009846B9">
      <w:pPr>
        <w:rPr>
          <w:rFonts w:ascii="Century Gothic" w:hAnsi="Century Gothic"/>
        </w:rPr>
      </w:pPr>
      <w:r w:rsidRPr="009846B9">
        <w:rPr>
          <w:rFonts w:ascii="Century Gothic" w:hAnsi="Century Gothic"/>
        </w:rPr>
        <w:t>The project will summarise key stressors and coping strategies influencing university students’ mental wellbeing. It is expected to highlight effective coping mechanisms and provide recommendations for universities to reduce academic stress and promote resilience. The findings will contribute to preventative and student-centred wellbeing strategies within higher education.</w:t>
      </w:r>
    </w:p>
    <w:p w14:paraId="3F68CBE9" w14:textId="63C25BA1" w:rsidR="009846B9" w:rsidRPr="009846B9" w:rsidRDefault="009846B9" w:rsidP="009846B9">
      <w:pPr>
        <w:rPr>
          <w:rFonts w:ascii="Century Gothic" w:hAnsi="Century Gothic"/>
        </w:rPr>
      </w:pPr>
    </w:p>
    <w:p w14:paraId="32638894" w14:textId="77777777" w:rsidR="009846B9" w:rsidRPr="009846B9" w:rsidRDefault="009846B9" w:rsidP="009846B9">
      <w:pPr>
        <w:rPr>
          <w:rFonts w:ascii="Century Gothic" w:hAnsi="Century Gothic"/>
          <w:b/>
          <w:bCs/>
        </w:rPr>
      </w:pPr>
      <w:r w:rsidRPr="009846B9">
        <w:rPr>
          <w:rFonts w:ascii="Century Gothic" w:hAnsi="Century Gothic"/>
          <w:b/>
          <w:bCs/>
        </w:rPr>
        <w:t>References</w:t>
      </w:r>
    </w:p>
    <w:p w14:paraId="2F7B74ED" w14:textId="77777777" w:rsidR="009846B9" w:rsidRPr="009846B9" w:rsidRDefault="009846B9" w:rsidP="009846B9">
      <w:pPr>
        <w:rPr>
          <w:rFonts w:ascii="Century Gothic" w:hAnsi="Century Gothic"/>
        </w:rPr>
      </w:pPr>
      <w:r w:rsidRPr="009846B9">
        <w:rPr>
          <w:rFonts w:ascii="Century Gothic" w:hAnsi="Century Gothic"/>
        </w:rPr>
        <w:t xml:space="preserve">Beiter, R., Nash, R., McCrady, M., Rhoades, D., Linscomb, M., Clarahan, M. and Sammut, S. (2015) </w:t>
      </w:r>
      <w:r w:rsidRPr="009846B9">
        <w:rPr>
          <w:rFonts w:ascii="Century Gothic" w:hAnsi="Century Gothic"/>
          <w:i/>
          <w:iCs/>
        </w:rPr>
        <w:t>The prevalence and correlates of depression, anxiety, and stress in a sample of college students</w:t>
      </w:r>
      <w:r w:rsidRPr="009846B9">
        <w:rPr>
          <w:rFonts w:ascii="Century Gothic" w:hAnsi="Century Gothic"/>
        </w:rPr>
        <w:t xml:space="preserve"> - </w:t>
      </w:r>
      <w:r w:rsidRPr="009846B9">
        <w:rPr>
          <w:rFonts w:ascii="Century Gothic" w:hAnsi="Century Gothic"/>
          <w:i/>
          <w:iCs/>
        </w:rPr>
        <w:t>Journal of Affective Disorders</w:t>
      </w:r>
      <w:r w:rsidRPr="009846B9">
        <w:rPr>
          <w:rFonts w:ascii="Century Gothic" w:hAnsi="Century Gothic"/>
        </w:rPr>
        <w:t xml:space="preserve">, Elsevier. Available at: </w:t>
      </w:r>
      <w:hyperlink r:id="rId5" w:tgtFrame="_new" w:history="1">
        <w:r w:rsidRPr="009846B9">
          <w:rPr>
            <w:rStyle w:val="Hyperlink"/>
            <w:rFonts w:ascii="Century Gothic" w:hAnsi="Century Gothic"/>
          </w:rPr>
          <w:t>https://doi.org/10.1016/j.jad.2015.03.063</w:t>
        </w:r>
      </w:hyperlink>
      <w:r w:rsidRPr="009846B9">
        <w:rPr>
          <w:rFonts w:ascii="Century Gothic" w:hAnsi="Century Gothic"/>
        </w:rPr>
        <w:t xml:space="preserve"> (Accessed: 7 October 2025).</w:t>
      </w:r>
    </w:p>
    <w:p w14:paraId="2E4175CD" w14:textId="77777777" w:rsidR="009846B9" w:rsidRPr="009846B9" w:rsidRDefault="009846B9" w:rsidP="009846B9">
      <w:pPr>
        <w:rPr>
          <w:rFonts w:ascii="Century Gothic" w:hAnsi="Century Gothic"/>
        </w:rPr>
      </w:pPr>
      <w:r w:rsidRPr="009846B9">
        <w:rPr>
          <w:rFonts w:ascii="Century Gothic" w:hAnsi="Century Gothic"/>
        </w:rPr>
        <w:t xml:space="preserve">Bewick, B., </w:t>
      </w:r>
      <w:proofErr w:type="spellStart"/>
      <w:r w:rsidRPr="009846B9">
        <w:rPr>
          <w:rFonts w:ascii="Century Gothic" w:hAnsi="Century Gothic"/>
        </w:rPr>
        <w:t>Koutsopoulou</w:t>
      </w:r>
      <w:proofErr w:type="spellEnd"/>
      <w:r w:rsidRPr="009846B9">
        <w:rPr>
          <w:rFonts w:ascii="Century Gothic" w:hAnsi="Century Gothic"/>
        </w:rPr>
        <w:t xml:space="preserve">, G., Miles, J., </w:t>
      </w:r>
      <w:proofErr w:type="spellStart"/>
      <w:r w:rsidRPr="009846B9">
        <w:rPr>
          <w:rFonts w:ascii="Century Gothic" w:hAnsi="Century Gothic"/>
        </w:rPr>
        <w:t>Slaa</w:t>
      </w:r>
      <w:proofErr w:type="spellEnd"/>
      <w:r w:rsidRPr="009846B9">
        <w:rPr>
          <w:rFonts w:ascii="Century Gothic" w:hAnsi="Century Gothic"/>
        </w:rPr>
        <w:t xml:space="preserve">, E. and Barkham, M. (2010) </w:t>
      </w:r>
      <w:r w:rsidRPr="009846B9">
        <w:rPr>
          <w:rFonts w:ascii="Century Gothic" w:hAnsi="Century Gothic"/>
          <w:i/>
          <w:iCs/>
        </w:rPr>
        <w:t>Changes in undergraduate students’ psychological well-being as they progress through university</w:t>
      </w:r>
      <w:r w:rsidRPr="009846B9">
        <w:rPr>
          <w:rFonts w:ascii="Century Gothic" w:hAnsi="Century Gothic"/>
        </w:rPr>
        <w:t xml:space="preserve"> - </w:t>
      </w:r>
      <w:r w:rsidRPr="009846B9">
        <w:rPr>
          <w:rFonts w:ascii="Century Gothic" w:hAnsi="Century Gothic"/>
          <w:i/>
          <w:iCs/>
        </w:rPr>
        <w:t>Studies in Higher Education</w:t>
      </w:r>
      <w:r w:rsidRPr="009846B9">
        <w:rPr>
          <w:rFonts w:ascii="Century Gothic" w:hAnsi="Century Gothic"/>
        </w:rPr>
        <w:t xml:space="preserve">, Taylor &amp; Francis Online. Available at: </w:t>
      </w:r>
      <w:hyperlink r:id="rId6" w:tgtFrame="_new" w:history="1">
        <w:r w:rsidRPr="009846B9">
          <w:rPr>
            <w:rStyle w:val="Hyperlink"/>
            <w:rFonts w:ascii="Century Gothic" w:hAnsi="Century Gothic"/>
          </w:rPr>
          <w:t>https://doi.org/10.1080/03075070903216646</w:t>
        </w:r>
      </w:hyperlink>
      <w:r w:rsidRPr="009846B9">
        <w:rPr>
          <w:rFonts w:ascii="Century Gothic" w:hAnsi="Century Gothic"/>
        </w:rPr>
        <w:t xml:space="preserve"> (Accessed: 12 October 2025).</w:t>
      </w:r>
    </w:p>
    <w:p w14:paraId="2050FAD0" w14:textId="77777777" w:rsidR="009846B9" w:rsidRPr="009846B9" w:rsidRDefault="009846B9" w:rsidP="009846B9">
      <w:pPr>
        <w:rPr>
          <w:rFonts w:ascii="Century Gothic" w:hAnsi="Century Gothic"/>
        </w:rPr>
      </w:pPr>
      <w:r w:rsidRPr="009846B9">
        <w:rPr>
          <w:rFonts w:ascii="Century Gothic" w:hAnsi="Century Gothic"/>
        </w:rPr>
        <w:t xml:space="preserve">Elmer, T., Mepham, K. and Stadtfeld, C. (2020) </w:t>
      </w:r>
      <w:r w:rsidRPr="009846B9">
        <w:rPr>
          <w:rFonts w:ascii="Century Gothic" w:hAnsi="Century Gothic"/>
          <w:i/>
          <w:iCs/>
        </w:rPr>
        <w:t>Students under lockdown: Comparisons of students’ social networks and mental health before and during the COVID-19 crisis in Switzerland</w:t>
      </w:r>
      <w:r w:rsidRPr="009846B9">
        <w:rPr>
          <w:rFonts w:ascii="Century Gothic" w:hAnsi="Century Gothic"/>
        </w:rPr>
        <w:t xml:space="preserve"> - </w:t>
      </w:r>
      <w:r w:rsidRPr="009846B9">
        <w:rPr>
          <w:rFonts w:ascii="Century Gothic" w:hAnsi="Century Gothic"/>
          <w:i/>
          <w:iCs/>
        </w:rPr>
        <w:t>PLOS ONE</w:t>
      </w:r>
      <w:r w:rsidRPr="009846B9">
        <w:rPr>
          <w:rFonts w:ascii="Century Gothic" w:hAnsi="Century Gothic"/>
        </w:rPr>
        <w:t xml:space="preserve">, Public Library of Science. Available at: </w:t>
      </w:r>
      <w:hyperlink r:id="rId7" w:tgtFrame="_new" w:history="1">
        <w:r w:rsidRPr="009846B9">
          <w:rPr>
            <w:rStyle w:val="Hyperlink"/>
            <w:rFonts w:ascii="Century Gothic" w:hAnsi="Century Gothic"/>
          </w:rPr>
          <w:t>https://doi.org/10.1371/journal.pone.0236337</w:t>
        </w:r>
      </w:hyperlink>
      <w:r w:rsidRPr="009846B9">
        <w:rPr>
          <w:rFonts w:ascii="Century Gothic" w:hAnsi="Century Gothic"/>
        </w:rPr>
        <w:t xml:space="preserve"> (Accessed: 6 October 2025).</w:t>
      </w:r>
    </w:p>
    <w:p w14:paraId="5DB2C006" w14:textId="77777777" w:rsidR="009846B9" w:rsidRPr="009846B9" w:rsidRDefault="009846B9" w:rsidP="009846B9">
      <w:pPr>
        <w:rPr>
          <w:rFonts w:ascii="Century Gothic" w:hAnsi="Century Gothic"/>
        </w:rPr>
      </w:pPr>
      <w:r w:rsidRPr="009846B9">
        <w:rPr>
          <w:rFonts w:ascii="Century Gothic" w:hAnsi="Century Gothic"/>
        </w:rPr>
        <w:t xml:space="preserve">HEPI (Higher Education Policy Institute) (2023) </w:t>
      </w:r>
      <w:r w:rsidRPr="009846B9">
        <w:rPr>
          <w:rFonts w:ascii="Century Gothic" w:hAnsi="Century Gothic"/>
          <w:i/>
          <w:iCs/>
        </w:rPr>
        <w:t>Student Academic Experience Survey 2023</w:t>
      </w:r>
      <w:r w:rsidRPr="009846B9">
        <w:rPr>
          <w:rFonts w:ascii="Century Gothic" w:hAnsi="Century Gothic"/>
        </w:rPr>
        <w:t xml:space="preserve"> - HEPI. Available at: </w:t>
      </w:r>
      <w:hyperlink r:id="rId8" w:tgtFrame="_new" w:history="1">
        <w:r w:rsidRPr="009846B9">
          <w:rPr>
            <w:rStyle w:val="Hyperlink"/>
            <w:rFonts w:ascii="Century Gothic" w:hAnsi="Century Gothic"/>
          </w:rPr>
          <w:t>https://www.hepi.ac.uk/publication/student-experience-survey-2023/</w:t>
        </w:r>
      </w:hyperlink>
      <w:r w:rsidRPr="009846B9">
        <w:rPr>
          <w:rFonts w:ascii="Century Gothic" w:hAnsi="Century Gothic"/>
        </w:rPr>
        <w:t xml:space="preserve"> (Accessed: 30 September 2025).</w:t>
      </w:r>
    </w:p>
    <w:p w14:paraId="2D7D8471" w14:textId="77777777" w:rsidR="009846B9" w:rsidRPr="009846B9" w:rsidRDefault="009846B9" w:rsidP="009846B9">
      <w:pPr>
        <w:rPr>
          <w:rFonts w:ascii="Century Gothic" w:hAnsi="Century Gothic"/>
        </w:rPr>
      </w:pPr>
      <w:r w:rsidRPr="009846B9">
        <w:rPr>
          <w:rFonts w:ascii="Century Gothic" w:hAnsi="Century Gothic"/>
        </w:rPr>
        <w:lastRenderedPageBreak/>
        <w:t xml:space="preserve">Lazarus, R.S. and Folkman, S. (1984) </w:t>
      </w:r>
      <w:r w:rsidRPr="009846B9">
        <w:rPr>
          <w:rFonts w:ascii="Century Gothic" w:hAnsi="Century Gothic"/>
          <w:i/>
          <w:iCs/>
        </w:rPr>
        <w:t>Stress, Appraisal and Coping</w:t>
      </w:r>
      <w:r w:rsidRPr="009846B9">
        <w:rPr>
          <w:rFonts w:ascii="Century Gothic" w:hAnsi="Century Gothic"/>
        </w:rPr>
        <w:t xml:space="preserve"> - Springer. Available at: </w:t>
      </w:r>
      <w:hyperlink r:id="rId9" w:tgtFrame="_new" w:history="1">
        <w:r w:rsidRPr="009846B9">
          <w:rPr>
            <w:rStyle w:val="Hyperlink"/>
            <w:rFonts w:ascii="Century Gothic" w:hAnsi="Century Gothic"/>
          </w:rPr>
          <w:t>https://doi.org/10.1007/978-1-4613-2840-0</w:t>
        </w:r>
      </w:hyperlink>
      <w:r w:rsidRPr="009846B9">
        <w:rPr>
          <w:rFonts w:ascii="Century Gothic" w:hAnsi="Century Gothic"/>
        </w:rPr>
        <w:t xml:space="preserve"> (Accessed: 8 October 2025).</w:t>
      </w:r>
    </w:p>
    <w:p w14:paraId="3F45E381" w14:textId="77777777" w:rsidR="00800D2C" w:rsidRPr="009846B9" w:rsidRDefault="00800D2C">
      <w:pPr>
        <w:rPr>
          <w:rFonts w:ascii="Century Gothic" w:hAnsi="Century Gothic"/>
          <w:lang w:val="en-US"/>
        </w:rPr>
      </w:pPr>
    </w:p>
    <w:sectPr w:rsidR="00800D2C" w:rsidRPr="009846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20AA9"/>
    <w:multiLevelType w:val="multilevel"/>
    <w:tmpl w:val="56E4B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6B0DCA"/>
    <w:multiLevelType w:val="multilevel"/>
    <w:tmpl w:val="48E88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641277"/>
    <w:multiLevelType w:val="multilevel"/>
    <w:tmpl w:val="4330EA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8DC20DD"/>
    <w:multiLevelType w:val="multilevel"/>
    <w:tmpl w:val="CA7E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F16339D"/>
    <w:multiLevelType w:val="multilevel"/>
    <w:tmpl w:val="AE80F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30E0F30"/>
    <w:multiLevelType w:val="multilevel"/>
    <w:tmpl w:val="9E62C0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E467145"/>
    <w:multiLevelType w:val="multilevel"/>
    <w:tmpl w:val="8132D6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C0F1391"/>
    <w:multiLevelType w:val="multilevel"/>
    <w:tmpl w:val="8A9C2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2748855">
    <w:abstractNumId w:val="2"/>
  </w:num>
  <w:num w:numId="2" w16cid:durableId="1912347867">
    <w:abstractNumId w:val="0"/>
  </w:num>
  <w:num w:numId="3" w16cid:durableId="277954666">
    <w:abstractNumId w:val="4"/>
  </w:num>
  <w:num w:numId="4" w16cid:durableId="53281899">
    <w:abstractNumId w:val="6"/>
  </w:num>
  <w:num w:numId="5" w16cid:durableId="744645234">
    <w:abstractNumId w:val="3"/>
  </w:num>
  <w:num w:numId="6" w16cid:durableId="1379017002">
    <w:abstractNumId w:val="7"/>
  </w:num>
  <w:num w:numId="7" w16cid:durableId="511340789">
    <w:abstractNumId w:val="5"/>
  </w:num>
  <w:num w:numId="8" w16cid:durableId="1684956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4BB"/>
    <w:rsid w:val="000D1069"/>
    <w:rsid w:val="002514BB"/>
    <w:rsid w:val="005069DE"/>
    <w:rsid w:val="00800D2C"/>
    <w:rsid w:val="008B19E6"/>
    <w:rsid w:val="009846B9"/>
    <w:rsid w:val="009F0E7B"/>
    <w:rsid w:val="00C81E80"/>
    <w:rsid w:val="00E65D4B"/>
    <w:rsid w:val="00FC20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B07C1"/>
  <w15:chartTrackingRefBased/>
  <w15:docId w15:val="{8E6C80EF-BC3F-4912-9E60-E2BCE35D3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14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14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14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14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14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14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14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14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14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14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14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14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14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14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14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14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14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14BB"/>
    <w:rPr>
      <w:rFonts w:eastAsiaTheme="majorEastAsia" w:cstheme="majorBidi"/>
      <w:color w:val="272727" w:themeColor="text1" w:themeTint="D8"/>
    </w:rPr>
  </w:style>
  <w:style w:type="paragraph" w:styleId="Title">
    <w:name w:val="Title"/>
    <w:basedOn w:val="Normal"/>
    <w:next w:val="Normal"/>
    <w:link w:val="TitleChar"/>
    <w:uiPriority w:val="10"/>
    <w:qFormat/>
    <w:rsid w:val="002514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14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14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14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14BB"/>
    <w:pPr>
      <w:spacing w:before="160"/>
      <w:jc w:val="center"/>
    </w:pPr>
    <w:rPr>
      <w:i/>
      <w:iCs/>
      <w:color w:val="404040" w:themeColor="text1" w:themeTint="BF"/>
    </w:rPr>
  </w:style>
  <w:style w:type="character" w:customStyle="1" w:styleId="QuoteChar">
    <w:name w:val="Quote Char"/>
    <w:basedOn w:val="DefaultParagraphFont"/>
    <w:link w:val="Quote"/>
    <w:uiPriority w:val="29"/>
    <w:rsid w:val="002514BB"/>
    <w:rPr>
      <w:i/>
      <w:iCs/>
      <w:color w:val="404040" w:themeColor="text1" w:themeTint="BF"/>
    </w:rPr>
  </w:style>
  <w:style w:type="paragraph" w:styleId="ListParagraph">
    <w:name w:val="List Paragraph"/>
    <w:basedOn w:val="Normal"/>
    <w:uiPriority w:val="34"/>
    <w:qFormat/>
    <w:rsid w:val="002514BB"/>
    <w:pPr>
      <w:ind w:left="720"/>
      <w:contextualSpacing/>
    </w:pPr>
  </w:style>
  <w:style w:type="character" w:styleId="IntenseEmphasis">
    <w:name w:val="Intense Emphasis"/>
    <w:basedOn w:val="DefaultParagraphFont"/>
    <w:uiPriority w:val="21"/>
    <w:qFormat/>
    <w:rsid w:val="002514BB"/>
    <w:rPr>
      <w:i/>
      <w:iCs/>
      <w:color w:val="0F4761" w:themeColor="accent1" w:themeShade="BF"/>
    </w:rPr>
  </w:style>
  <w:style w:type="paragraph" w:styleId="IntenseQuote">
    <w:name w:val="Intense Quote"/>
    <w:basedOn w:val="Normal"/>
    <w:next w:val="Normal"/>
    <w:link w:val="IntenseQuoteChar"/>
    <w:uiPriority w:val="30"/>
    <w:qFormat/>
    <w:rsid w:val="002514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14BB"/>
    <w:rPr>
      <w:i/>
      <w:iCs/>
      <w:color w:val="0F4761" w:themeColor="accent1" w:themeShade="BF"/>
    </w:rPr>
  </w:style>
  <w:style w:type="character" w:styleId="IntenseReference">
    <w:name w:val="Intense Reference"/>
    <w:basedOn w:val="DefaultParagraphFont"/>
    <w:uiPriority w:val="32"/>
    <w:qFormat/>
    <w:rsid w:val="002514BB"/>
    <w:rPr>
      <w:b/>
      <w:bCs/>
      <w:smallCaps/>
      <w:color w:val="0F4761" w:themeColor="accent1" w:themeShade="BF"/>
      <w:spacing w:val="5"/>
    </w:rPr>
  </w:style>
  <w:style w:type="character" w:styleId="Hyperlink">
    <w:name w:val="Hyperlink"/>
    <w:basedOn w:val="DefaultParagraphFont"/>
    <w:uiPriority w:val="99"/>
    <w:unhideWhenUsed/>
    <w:rsid w:val="00800D2C"/>
    <w:rPr>
      <w:color w:val="467886" w:themeColor="hyperlink"/>
      <w:u w:val="single"/>
    </w:rPr>
  </w:style>
  <w:style w:type="character" w:styleId="UnresolvedMention">
    <w:name w:val="Unresolved Mention"/>
    <w:basedOn w:val="DefaultParagraphFont"/>
    <w:uiPriority w:val="99"/>
    <w:semiHidden/>
    <w:unhideWhenUsed/>
    <w:rsid w:val="00800D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pi.ac.uk/publication/student-experience-survey-2023/" TargetMode="External"/><Relationship Id="rId3" Type="http://schemas.openxmlformats.org/officeDocument/2006/relationships/settings" Target="settings.xml"/><Relationship Id="rId7" Type="http://schemas.openxmlformats.org/officeDocument/2006/relationships/hyperlink" Target="https://doi.org/10.1371/journal.pone.023633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80/03075070903216646" TargetMode="External"/><Relationship Id="rId11" Type="http://schemas.openxmlformats.org/officeDocument/2006/relationships/theme" Target="theme/theme1.xml"/><Relationship Id="rId5" Type="http://schemas.openxmlformats.org/officeDocument/2006/relationships/hyperlink" Target="https://doi.org/10.1016/j.jad.2015.03.063"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07/978-1-4613-284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891</Words>
  <Characters>5080</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(Y12) Zain Adam</dc:creator>
  <cp:keywords/>
  <dc:description/>
  <cp:lastModifiedBy>M Hamid</cp:lastModifiedBy>
  <cp:revision>2</cp:revision>
  <dcterms:created xsi:type="dcterms:W3CDTF">2025-10-19T00:09:00Z</dcterms:created>
  <dcterms:modified xsi:type="dcterms:W3CDTF">2025-10-19T00:09:00Z</dcterms:modified>
</cp:coreProperties>
</file>