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4342" w:rsidRPr="00A23B08" w:rsidRDefault="006A76CD" w:rsidP="006A76CD">
      <w:pPr>
        <w:pStyle w:val="Title"/>
        <w:rPr>
          <w:sz w:val="56"/>
        </w:rPr>
      </w:pPr>
      <w:r w:rsidRPr="00A23B08">
        <w:rPr>
          <w:sz w:val="56"/>
        </w:rPr>
        <w:t>AHMS5005</w:t>
      </w:r>
    </w:p>
    <w:p w:rsidR="006A76CD" w:rsidRPr="00A23B08" w:rsidRDefault="006A76CD" w:rsidP="006A76CD">
      <w:pPr>
        <w:pStyle w:val="Heading1"/>
        <w:rPr>
          <w:sz w:val="24"/>
        </w:rPr>
      </w:pPr>
      <w:r w:rsidRPr="00A23B08">
        <w:rPr>
          <w:sz w:val="24"/>
        </w:rPr>
        <w:t>Medieval Manuscript Studies</w:t>
      </w:r>
    </w:p>
    <w:p w:rsidR="006A76CD" w:rsidRDefault="006A76CD"/>
    <w:p w:rsidR="007F7044" w:rsidRDefault="007F7044"/>
    <w:p w:rsidR="006A76CD" w:rsidRDefault="006A76CD"/>
    <w:p w:rsidR="006A76CD" w:rsidRPr="00A23B08" w:rsidRDefault="007F7044">
      <w:pPr>
        <w:rPr>
          <w:rStyle w:val="IntenseEmphasis"/>
          <w:sz w:val="40"/>
        </w:rPr>
      </w:pPr>
      <w:r>
        <w:rPr>
          <w:rStyle w:val="IntenseEmphasis"/>
          <w:sz w:val="40"/>
        </w:rPr>
        <w:t>Report</w:t>
      </w:r>
    </w:p>
    <w:p w:rsidR="006A76CD" w:rsidRPr="00A23B08" w:rsidRDefault="00564863">
      <w:pPr>
        <w:rPr>
          <w:rStyle w:val="Emphasis"/>
          <w:sz w:val="40"/>
        </w:rPr>
      </w:pPr>
      <w:r>
        <w:rPr>
          <w:rStyle w:val="Emphasis"/>
          <w:sz w:val="40"/>
        </w:rPr>
        <w:t>Presentation 1 – Representations of musical instruments within medieval manuscripts</w:t>
      </w:r>
    </w:p>
    <w:p w:rsidR="00A23B08" w:rsidRDefault="00A23B08">
      <w:pPr>
        <w:rPr>
          <w:rStyle w:val="Emphasis"/>
          <w:sz w:val="32"/>
        </w:rPr>
      </w:pPr>
    </w:p>
    <w:p w:rsidR="00A23B08" w:rsidRDefault="00A23B08">
      <w:pPr>
        <w:rPr>
          <w:rStyle w:val="Emphasis"/>
          <w:sz w:val="32"/>
        </w:rPr>
      </w:pPr>
    </w:p>
    <w:p w:rsidR="006A76CD" w:rsidRPr="007F7044" w:rsidRDefault="006A76CD" w:rsidP="006A76CD">
      <w:pPr>
        <w:pStyle w:val="Subtitle"/>
        <w:rPr>
          <w:rStyle w:val="BookTitle"/>
          <w:sz w:val="28"/>
        </w:rPr>
      </w:pPr>
      <w:r w:rsidRPr="007F7044">
        <w:rPr>
          <w:rStyle w:val="BookTitle"/>
          <w:sz w:val="28"/>
        </w:rPr>
        <w:t>Jordan James</w:t>
      </w:r>
    </w:p>
    <w:p w:rsidR="00295BFE" w:rsidRDefault="00295BFE" w:rsidP="00295BFE"/>
    <w:p w:rsidR="00295BFE" w:rsidRDefault="00295BFE" w:rsidP="00295BFE">
      <w:r>
        <w:br w:type="page"/>
      </w:r>
    </w:p>
    <w:p w:rsidR="009449E6" w:rsidRDefault="009449E6" w:rsidP="00295BFE">
      <w:pPr>
        <w:rPr>
          <w:sz w:val="24"/>
        </w:rPr>
      </w:pPr>
    </w:p>
    <w:p w:rsidR="00FB027C" w:rsidRDefault="00333902" w:rsidP="00295BFE">
      <w:pPr>
        <w:rPr>
          <w:sz w:val="24"/>
        </w:rPr>
      </w:pPr>
      <w:r>
        <w:rPr>
          <w:sz w:val="24"/>
        </w:rPr>
        <w:t xml:space="preserve">The following is a report on </w:t>
      </w:r>
      <w:r w:rsidR="00250A09">
        <w:rPr>
          <w:sz w:val="24"/>
        </w:rPr>
        <w:t>the presentation delivered on 02</w:t>
      </w:r>
      <w:r>
        <w:rPr>
          <w:sz w:val="24"/>
        </w:rPr>
        <w:t xml:space="preserve">/05/2018 regarding </w:t>
      </w:r>
      <w:r w:rsidR="00250A09">
        <w:rPr>
          <w:sz w:val="24"/>
        </w:rPr>
        <w:t>the different representations of musical instruments found within medieval manuscripts</w:t>
      </w:r>
      <w:r>
        <w:rPr>
          <w:sz w:val="24"/>
        </w:rPr>
        <w:t>.</w:t>
      </w:r>
    </w:p>
    <w:p w:rsidR="00787500" w:rsidRDefault="00787500" w:rsidP="00295BFE">
      <w:pPr>
        <w:rPr>
          <w:sz w:val="24"/>
        </w:rPr>
      </w:pPr>
    </w:p>
    <w:p w:rsidR="00787500" w:rsidRDefault="00250A09" w:rsidP="00295BFE">
      <w:pPr>
        <w:rPr>
          <w:sz w:val="24"/>
        </w:rPr>
      </w:pPr>
      <w:r>
        <w:rPr>
          <w:sz w:val="24"/>
        </w:rPr>
        <w:t xml:space="preserve">The structure of this presentation was </w:t>
      </w:r>
      <w:r w:rsidR="00163425">
        <w:rPr>
          <w:sz w:val="24"/>
        </w:rPr>
        <w:t>one which followed a chronological</w:t>
      </w:r>
      <w:r w:rsidR="004E4C6A">
        <w:rPr>
          <w:sz w:val="24"/>
        </w:rPr>
        <w:t xml:space="preserve"> sequence. Therefore, the first main topic of the presentation was a case study of a particular representation of music that was common throughout the medieval period</w:t>
      </w:r>
      <w:r w:rsidR="00146C41">
        <w:rPr>
          <w:sz w:val="24"/>
        </w:rPr>
        <w:t xml:space="preserve"> but began very early</w:t>
      </w:r>
      <w:r w:rsidR="004E4C6A">
        <w:rPr>
          <w:sz w:val="24"/>
        </w:rPr>
        <w:t>. In this instance, the representation of David and his musicians was a good example to use for this purpose as it met the criteria to provide a good demonstration</w:t>
      </w:r>
      <w:r w:rsidR="00146C41">
        <w:rPr>
          <w:sz w:val="24"/>
        </w:rPr>
        <w:t xml:space="preserve">. The first section of this example features an early representation of </w:t>
      </w:r>
      <w:r w:rsidR="00260887">
        <w:rPr>
          <w:sz w:val="24"/>
        </w:rPr>
        <w:t xml:space="preserve">David and his musicians from the </w:t>
      </w:r>
      <w:r w:rsidR="0072033C">
        <w:rPr>
          <w:sz w:val="24"/>
        </w:rPr>
        <w:t>Vespasian</w:t>
      </w:r>
      <w:r w:rsidR="00260887">
        <w:rPr>
          <w:sz w:val="24"/>
        </w:rPr>
        <w:t xml:space="preserve"> Psalter, which dates from </w:t>
      </w:r>
      <w:r w:rsidR="0072033C">
        <w:rPr>
          <w:sz w:val="24"/>
        </w:rPr>
        <w:t>the 8</w:t>
      </w:r>
      <w:r w:rsidR="0072033C" w:rsidRPr="0072033C">
        <w:rPr>
          <w:sz w:val="24"/>
          <w:vertAlign w:val="superscript"/>
        </w:rPr>
        <w:t>th</w:t>
      </w:r>
      <w:r w:rsidR="0072033C">
        <w:rPr>
          <w:sz w:val="24"/>
        </w:rPr>
        <w:t xml:space="preserve"> century.</w:t>
      </w:r>
      <w:r w:rsidR="0072033C">
        <w:rPr>
          <w:rStyle w:val="FootnoteReference"/>
          <w:sz w:val="24"/>
        </w:rPr>
        <w:footnoteReference w:id="1"/>
      </w:r>
      <w:r w:rsidR="0072033C">
        <w:rPr>
          <w:sz w:val="24"/>
        </w:rPr>
        <w:t xml:space="preserve"> My reason for using this particular example is </w:t>
      </w:r>
      <w:r w:rsidR="00C258B4" w:rsidRPr="00C258B4">
        <w:rPr>
          <w:sz w:val="24"/>
        </w:rPr>
        <w:t>it is pro</w:t>
      </w:r>
      <w:r w:rsidR="00C258B4">
        <w:rPr>
          <w:sz w:val="24"/>
        </w:rPr>
        <w:t xml:space="preserve">bably the best example I have found </w:t>
      </w:r>
      <w:r w:rsidR="00C258B4" w:rsidRPr="00C258B4">
        <w:rPr>
          <w:sz w:val="24"/>
        </w:rPr>
        <w:t>that demonstrates both the art and music style of the time it was created.</w:t>
      </w:r>
      <w:r w:rsidR="00C258B4">
        <w:rPr>
          <w:sz w:val="24"/>
        </w:rPr>
        <w:t xml:space="preserve"> </w:t>
      </w:r>
      <w:r w:rsidR="003E0B33">
        <w:rPr>
          <w:sz w:val="24"/>
        </w:rPr>
        <w:t xml:space="preserve">It features musicians all gathered around David and playing instruments which are prominent at that time and even features two figures clapping as a form of percussion for the music. </w:t>
      </w:r>
      <w:r w:rsidR="00C258B4">
        <w:rPr>
          <w:sz w:val="24"/>
        </w:rPr>
        <w:t>The presentation then moves on to briefly look at some other representations of David</w:t>
      </w:r>
      <w:r w:rsidR="003C5AB9">
        <w:rPr>
          <w:sz w:val="24"/>
        </w:rPr>
        <w:t xml:space="preserve"> from a later period</w:t>
      </w:r>
      <w:r w:rsidR="00C258B4">
        <w:rPr>
          <w:sz w:val="24"/>
        </w:rPr>
        <w:t>, including an example from a piece by Rudolf von Ems.</w:t>
      </w:r>
      <w:r w:rsidR="003E0B33">
        <w:rPr>
          <w:sz w:val="24"/>
        </w:rPr>
        <w:t xml:space="preserve"> These later examples are aimed to demonstrate how even one example of one story can be changed and adapted over time. </w:t>
      </w:r>
      <w:r w:rsidR="003C5AB9">
        <w:rPr>
          <w:sz w:val="24"/>
        </w:rPr>
        <w:t>The later date also meant that music itself had evolved over time and this can be demonstrated by a number of things that had not been previously featured in earlier examples as they had not yet rose to prominence, such as the inclusion of a hurdy-gurdy which was a reasonably new instrument at the time the manuscript was created.</w:t>
      </w:r>
    </w:p>
    <w:p w:rsidR="001D1336" w:rsidRDefault="001755DD" w:rsidP="00295BFE">
      <w:pPr>
        <w:rPr>
          <w:sz w:val="24"/>
        </w:rPr>
      </w:pPr>
      <w:r>
        <w:rPr>
          <w:sz w:val="24"/>
        </w:rPr>
        <w:t>Once the case study of David had been adequately covered, the presentation then moved on to look at some other early medieval examples of representations of instruments. T</w:t>
      </w:r>
      <w:r w:rsidRPr="001755DD">
        <w:rPr>
          <w:sz w:val="24"/>
        </w:rPr>
        <w:t>hrough the medieval period they proved to be a fairly popular idea to incorporate, particularly in some of the border art. This was particularly the case when it came to the later, Gothic style manuscripts.</w:t>
      </w:r>
      <w:r>
        <w:rPr>
          <w:rStyle w:val="FootnoteReference"/>
          <w:sz w:val="24"/>
        </w:rPr>
        <w:footnoteReference w:id="2"/>
      </w:r>
      <w:r w:rsidRPr="001755DD">
        <w:rPr>
          <w:sz w:val="24"/>
        </w:rPr>
        <w:t xml:space="preserve"> Along with all the other changes brought in with this change of style, an additional feature of this new style was the rather unique way in which people started representing instruments and the people, or in many cases creatures, that were playing them.</w:t>
      </w:r>
      <w:r>
        <w:rPr>
          <w:sz w:val="24"/>
        </w:rPr>
        <w:t xml:space="preserve"> </w:t>
      </w:r>
      <w:r w:rsidR="00B63C8E">
        <w:rPr>
          <w:sz w:val="24"/>
        </w:rPr>
        <w:t xml:space="preserve">Some more visual examples here demonstrated the creativity some artists were able to use to incorporate </w:t>
      </w:r>
      <w:r w:rsidR="00614500">
        <w:rPr>
          <w:sz w:val="24"/>
        </w:rPr>
        <w:t>these representations in different, often unique ways, such as some form of demonic looking figure playing a lute.</w:t>
      </w:r>
      <w:r w:rsidR="00C4507F">
        <w:rPr>
          <w:sz w:val="24"/>
        </w:rPr>
        <w:t xml:space="preserve"> </w:t>
      </w:r>
    </w:p>
    <w:p w:rsidR="00852494" w:rsidRDefault="00852494" w:rsidP="00295BFE">
      <w:pPr>
        <w:rPr>
          <w:sz w:val="24"/>
        </w:rPr>
      </w:pPr>
      <w:r>
        <w:rPr>
          <w:sz w:val="24"/>
        </w:rPr>
        <w:t xml:space="preserve">These later Gothic examples are interesting in many ways as they begin to drift away from the purpose of earlier Romanesque representations, which primarily wanted to portray as simply as possible the way music was being played at the time the manuscript was created, </w:t>
      </w:r>
      <w:r>
        <w:rPr>
          <w:sz w:val="24"/>
        </w:rPr>
        <w:lastRenderedPageBreak/>
        <w:t xml:space="preserve">in to a more unique and creative method of portraying instruments. </w:t>
      </w:r>
      <w:r w:rsidR="00A5575E">
        <w:rPr>
          <w:sz w:val="24"/>
        </w:rPr>
        <w:t>While these portrayals are not as accurate or even believable as some of their Romanesque predecessors, they certainly have their own fascinating appeal to them</w:t>
      </w:r>
      <w:r w:rsidR="00055041">
        <w:rPr>
          <w:sz w:val="24"/>
        </w:rPr>
        <w:t>. It is interesting to note here that some people argue that these grotesque representations may hold some deeper meaning behind them or act as some sort of a message, although it would be reasonable for one to conclude that maybe it was just the medieval artists way of having a bit of fun.</w:t>
      </w:r>
      <w:r w:rsidR="00A5575E">
        <w:rPr>
          <w:sz w:val="24"/>
        </w:rPr>
        <w:t xml:space="preserve"> </w:t>
      </w:r>
    </w:p>
    <w:p w:rsidR="001755DD" w:rsidRDefault="00C4507F" w:rsidP="00295BFE">
      <w:pPr>
        <w:rPr>
          <w:sz w:val="24"/>
        </w:rPr>
      </w:pPr>
      <w:r>
        <w:rPr>
          <w:sz w:val="24"/>
        </w:rPr>
        <w:t>The presentation then moved on to look at some later medieval examples that while different in style, still had many of the same ideas in mind.</w:t>
      </w:r>
      <w:r w:rsidR="006405A4">
        <w:rPr>
          <w:sz w:val="24"/>
        </w:rPr>
        <w:t xml:space="preserve"> </w:t>
      </w:r>
      <w:r w:rsidR="006405A4" w:rsidRPr="006405A4">
        <w:rPr>
          <w:sz w:val="24"/>
        </w:rPr>
        <w:t>The British Renaissance brought along with it many, many changes and arguably one of the most significant of these was the perception of music. While it was true music had always been an important aspect up to this point, the Renaissance took this to a whole new level and brought in both new styles of music being played and new styles of the instruments themselves.</w:t>
      </w:r>
      <w:r>
        <w:rPr>
          <w:rStyle w:val="FootnoteReference"/>
          <w:sz w:val="24"/>
        </w:rPr>
        <w:footnoteReference w:id="3"/>
      </w:r>
      <w:r w:rsidR="00D05CE7">
        <w:rPr>
          <w:sz w:val="24"/>
        </w:rPr>
        <w:t xml:space="preserve"> </w:t>
      </w:r>
      <w:r w:rsidR="00D05CE7" w:rsidRPr="00D05CE7">
        <w:rPr>
          <w:sz w:val="24"/>
        </w:rPr>
        <w:t xml:space="preserve">It’s also interesting to note that it was around this time that much of our modern thinking of music, in particular the theory aspect of it, came to be. Although there were of course playing styles and ways to show music on paper </w:t>
      </w:r>
      <w:r w:rsidR="00D05CE7">
        <w:rPr>
          <w:sz w:val="24"/>
        </w:rPr>
        <w:t>in a form of music tabs as can be seen from the presentation</w:t>
      </w:r>
      <w:r w:rsidR="00D05CE7" w:rsidRPr="00D05CE7">
        <w:rPr>
          <w:sz w:val="24"/>
        </w:rPr>
        <w:t>, it was during this period that many modern ways of writing down music as well as tunings and the way the music itself was played (such as playing in 4ths) was born, or at least greatly popularised in Britain, around this same time.</w:t>
      </w:r>
      <w:r w:rsidR="00D05CE7">
        <w:rPr>
          <w:sz w:val="24"/>
        </w:rPr>
        <w:t xml:space="preserve"> It is therefore very interesting to see these new ideas incorporated within the manuscripts being produced at the time.</w:t>
      </w:r>
    </w:p>
    <w:p w:rsidR="00852494" w:rsidRDefault="00852494" w:rsidP="00295BFE">
      <w:pPr>
        <w:rPr>
          <w:sz w:val="24"/>
        </w:rPr>
      </w:pPr>
    </w:p>
    <w:p w:rsidR="00F70096" w:rsidRDefault="00F70096" w:rsidP="00295BFE">
      <w:pPr>
        <w:rPr>
          <w:sz w:val="24"/>
        </w:rPr>
      </w:pPr>
      <w:r>
        <w:rPr>
          <w:sz w:val="24"/>
        </w:rPr>
        <w:t>T</w:t>
      </w:r>
      <w:r w:rsidRPr="00F70096">
        <w:rPr>
          <w:sz w:val="24"/>
        </w:rPr>
        <w:t>he main</w:t>
      </w:r>
      <w:r>
        <w:rPr>
          <w:sz w:val="24"/>
        </w:rPr>
        <w:t xml:space="preserve"> point this presentation has tri</w:t>
      </w:r>
      <w:r w:rsidRPr="00F70096">
        <w:rPr>
          <w:sz w:val="24"/>
        </w:rPr>
        <w:t>ed to make is that the representation of music instruments within medieval manuscripts was something that was constantly changing and evolving which was based on both the changes in art style of the period as well as the changes in music itself &amp; the instruments played</w:t>
      </w:r>
      <w:r>
        <w:rPr>
          <w:sz w:val="24"/>
        </w:rPr>
        <w:t xml:space="preserve">. </w:t>
      </w:r>
      <w:r w:rsidR="00DE5892">
        <w:rPr>
          <w:sz w:val="24"/>
        </w:rPr>
        <w:t>As the earlier case study of David has shown, these changes can be reflected on different versions of the very same</w:t>
      </w:r>
      <w:r w:rsidR="00B86665">
        <w:rPr>
          <w:sz w:val="24"/>
        </w:rPr>
        <w:t xml:space="preserve"> example</w:t>
      </w:r>
      <w:r w:rsidR="00DE5892">
        <w:rPr>
          <w:sz w:val="24"/>
        </w:rPr>
        <w:t xml:space="preserve">. </w:t>
      </w:r>
      <w:r w:rsidR="00E66D50">
        <w:rPr>
          <w:sz w:val="24"/>
        </w:rPr>
        <w:t>Likewise, subsequent examples have demonstrated the change in evolution on the portrayal of music instruments more generally, and this includes both Romanesque and Gothic styles.</w:t>
      </w:r>
      <w:r w:rsidR="00B86665" w:rsidRPr="00B86665">
        <w:t xml:space="preserve"> </w:t>
      </w:r>
      <w:r w:rsidR="00B86665">
        <w:rPr>
          <w:sz w:val="24"/>
        </w:rPr>
        <w:t>Vi</w:t>
      </w:r>
      <w:r w:rsidR="00B86665" w:rsidRPr="00B86665">
        <w:rPr>
          <w:sz w:val="24"/>
        </w:rPr>
        <w:t>sually appealing results based on the concept of music people had at any given time</w:t>
      </w:r>
      <w:r w:rsidR="00E66D50">
        <w:rPr>
          <w:sz w:val="24"/>
        </w:rPr>
        <w:t xml:space="preserve"> </w:t>
      </w:r>
      <w:r w:rsidR="00B86665">
        <w:rPr>
          <w:sz w:val="24"/>
        </w:rPr>
        <w:t xml:space="preserve">were produced and reflected in the works that survive from the medieval period and are available to us. </w:t>
      </w:r>
      <w:r w:rsidR="00C71E72">
        <w:rPr>
          <w:sz w:val="24"/>
        </w:rPr>
        <w:t>Indeed, even the late medieval representations from the early modern/renaissance period show yet another evolution of the times in which they were created and these changes are again demonstrated in the different forms of representations musical instruments took on.</w:t>
      </w:r>
    </w:p>
    <w:p w:rsidR="00CA3C77" w:rsidRDefault="00CA3C77" w:rsidP="00295BFE">
      <w:pPr>
        <w:rPr>
          <w:sz w:val="24"/>
        </w:rPr>
      </w:pPr>
    </w:p>
    <w:p w:rsidR="00CA3C77" w:rsidRDefault="00CA3C77">
      <w:pPr>
        <w:rPr>
          <w:sz w:val="24"/>
        </w:rPr>
      </w:pPr>
      <w:r>
        <w:rPr>
          <w:sz w:val="24"/>
        </w:rPr>
        <w:br w:type="page"/>
      </w:r>
    </w:p>
    <w:p w:rsidR="00CA3C77" w:rsidRDefault="00CA3C77" w:rsidP="00295BFE">
      <w:pPr>
        <w:rPr>
          <w:b/>
          <w:sz w:val="40"/>
        </w:rPr>
      </w:pPr>
      <w:bookmarkStart w:id="0" w:name="_GoBack"/>
      <w:bookmarkEnd w:id="0"/>
    </w:p>
    <w:p w:rsidR="00CA3C77" w:rsidRPr="00CA3C77" w:rsidRDefault="00CA3C77" w:rsidP="00295BFE">
      <w:pPr>
        <w:rPr>
          <w:b/>
          <w:sz w:val="40"/>
        </w:rPr>
      </w:pPr>
      <w:r w:rsidRPr="00CA3C77">
        <w:rPr>
          <w:b/>
          <w:sz w:val="40"/>
        </w:rPr>
        <w:t>Bibliography</w:t>
      </w:r>
    </w:p>
    <w:p w:rsidR="00CA3C77" w:rsidRDefault="00CA3C77" w:rsidP="00295BFE">
      <w:pPr>
        <w:rPr>
          <w:sz w:val="24"/>
        </w:rPr>
      </w:pPr>
    </w:p>
    <w:p w:rsidR="00614500" w:rsidRDefault="00A6048D" w:rsidP="00295BFE">
      <w:pPr>
        <w:rPr>
          <w:sz w:val="24"/>
        </w:rPr>
      </w:pPr>
      <w:r>
        <w:rPr>
          <w:sz w:val="24"/>
        </w:rPr>
        <w:t>BL, Cotton Vespasian A. fol.53</w:t>
      </w:r>
    </w:p>
    <w:p w:rsidR="00A6048D" w:rsidRDefault="00C15D92" w:rsidP="00295BFE">
      <w:pPr>
        <w:rPr>
          <w:sz w:val="24"/>
        </w:rPr>
      </w:pPr>
      <w:r>
        <w:rPr>
          <w:sz w:val="24"/>
        </w:rPr>
        <w:t>MS 28162 fol.6v</w:t>
      </w:r>
    </w:p>
    <w:p w:rsidR="00A6048D" w:rsidRDefault="00A6048D" w:rsidP="00295BFE">
      <w:pPr>
        <w:rPr>
          <w:sz w:val="24"/>
        </w:rPr>
      </w:pPr>
    </w:p>
    <w:p w:rsidR="00A6048D" w:rsidRDefault="00A6048D" w:rsidP="00295BFE">
      <w:pPr>
        <w:rPr>
          <w:sz w:val="24"/>
        </w:rPr>
      </w:pPr>
    </w:p>
    <w:p w:rsidR="00A6048D" w:rsidRDefault="00A6048D" w:rsidP="00295BFE">
      <w:pPr>
        <w:rPr>
          <w:sz w:val="24"/>
        </w:rPr>
      </w:pPr>
    </w:p>
    <w:p w:rsidR="001755DD" w:rsidRDefault="001755DD" w:rsidP="00295BFE">
      <w:pPr>
        <w:rPr>
          <w:sz w:val="24"/>
        </w:rPr>
      </w:pPr>
      <w:r w:rsidRPr="001755DD">
        <w:rPr>
          <w:sz w:val="24"/>
        </w:rPr>
        <w:t>Graham</w:t>
      </w:r>
      <w:r>
        <w:rPr>
          <w:sz w:val="24"/>
        </w:rPr>
        <w:t>, T.</w:t>
      </w:r>
      <w:r w:rsidRPr="001755DD">
        <w:rPr>
          <w:sz w:val="24"/>
        </w:rPr>
        <w:t xml:space="preserve"> </w:t>
      </w:r>
      <w:r w:rsidRPr="001755DD">
        <w:rPr>
          <w:i/>
          <w:sz w:val="24"/>
        </w:rPr>
        <w:t>An Introduction to Medieval Manuscripts</w:t>
      </w:r>
      <w:r w:rsidRPr="001755DD">
        <w:rPr>
          <w:sz w:val="24"/>
        </w:rPr>
        <w:t xml:space="preserve"> (London: Cornell Un</w:t>
      </w:r>
      <w:r>
        <w:rPr>
          <w:sz w:val="24"/>
        </w:rPr>
        <w:t xml:space="preserve">iversity Press, 2007) </w:t>
      </w:r>
    </w:p>
    <w:p w:rsidR="0023385F" w:rsidRPr="0023385F" w:rsidRDefault="0023385F" w:rsidP="0023385F">
      <w:pPr>
        <w:rPr>
          <w:sz w:val="24"/>
        </w:rPr>
      </w:pPr>
      <w:r w:rsidRPr="0023385F">
        <w:rPr>
          <w:sz w:val="24"/>
        </w:rPr>
        <w:t>Morgan</w:t>
      </w:r>
      <w:r>
        <w:rPr>
          <w:sz w:val="24"/>
        </w:rPr>
        <w:t>, N</w:t>
      </w:r>
      <w:r w:rsidRPr="0023385F">
        <w:rPr>
          <w:sz w:val="24"/>
        </w:rPr>
        <w:t xml:space="preserve">. </w:t>
      </w:r>
      <w:r w:rsidRPr="0023385F">
        <w:rPr>
          <w:i/>
          <w:sz w:val="24"/>
        </w:rPr>
        <w:t>Early Gothic Manuscripts</w:t>
      </w:r>
      <w:r w:rsidRPr="0023385F">
        <w:rPr>
          <w:sz w:val="24"/>
        </w:rPr>
        <w:t xml:space="preserve"> (L</w:t>
      </w:r>
      <w:r>
        <w:rPr>
          <w:sz w:val="24"/>
        </w:rPr>
        <w:t>ondon: Harvey Miller, 1988)</w:t>
      </w:r>
    </w:p>
    <w:p w:rsidR="0023385F" w:rsidRDefault="0023385F" w:rsidP="00295BFE">
      <w:pPr>
        <w:rPr>
          <w:sz w:val="24"/>
        </w:rPr>
      </w:pPr>
    </w:p>
    <w:p w:rsidR="00614500" w:rsidRPr="00614500" w:rsidRDefault="00614500" w:rsidP="00295BFE">
      <w:pPr>
        <w:rPr>
          <w:sz w:val="32"/>
        </w:rPr>
      </w:pPr>
    </w:p>
    <w:p w:rsidR="00614500" w:rsidRPr="00614500" w:rsidRDefault="00614500" w:rsidP="00295BFE">
      <w:pPr>
        <w:rPr>
          <w:sz w:val="24"/>
        </w:rPr>
      </w:pPr>
      <w:r w:rsidRPr="00614500">
        <w:rPr>
          <w:sz w:val="24"/>
        </w:rPr>
        <w:t xml:space="preserve">British Library, ‘The Vespasian Psalter’ [online] available: </w:t>
      </w:r>
      <w:hyperlink r:id="rId7" w:history="1">
        <w:r w:rsidRPr="00614500">
          <w:rPr>
            <w:rStyle w:val="Hyperlink"/>
            <w:sz w:val="24"/>
          </w:rPr>
          <w:t>https://www.bl.uk/manuscripts/FullDisplay.aspx?ref=Cotton_MS_Vespasian_A_I</w:t>
        </w:r>
      </w:hyperlink>
    </w:p>
    <w:p w:rsidR="00614500" w:rsidRPr="00614500" w:rsidRDefault="00614500" w:rsidP="00295BFE">
      <w:pPr>
        <w:rPr>
          <w:sz w:val="40"/>
          <w:szCs w:val="24"/>
          <w:u w:val="single"/>
        </w:rPr>
      </w:pPr>
      <w:r w:rsidRPr="00614500">
        <w:rPr>
          <w:sz w:val="24"/>
        </w:rPr>
        <w:t>(</w:t>
      </w:r>
      <w:proofErr w:type="gramStart"/>
      <w:r w:rsidRPr="00614500">
        <w:rPr>
          <w:sz w:val="24"/>
        </w:rPr>
        <w:t>accessed</w:t>
      </w:r>
      <w:proofErr w:type="gramEnd"/>
      <w:r w:rsidRPr="00614500">
        <w:rPr>
          <w:sz w:val="24"/>
        </w:rPr>
        <w:t xml:space="preserve"> 04/05/2018)</w:t>
      </w:r>
    </w:p>
    <w:sectPr w:rsidR="00614500" w:rsidRPr="00614500" w:rsidSect="00295B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29E5" w:rsidRDefault="00BD29E5" w:rsidP="0072033C">
      <w:pPr>
        <w:spacing w:before="0" w:after="0" w:line="240" w:lineRule="auto"/>
      </w:pPr>
      <w:r>
        <w:separator/>
      </w:r>
    </w:p>
  </w:endnote>
  <w:endnote w:type="continuationSeparator" w:id="0">
    <w:p w:rsidR="00BD29E5" w:rsidRDefault="00BD29E5" w:rsidP="007203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29E5" w:rsidRDefault="00BD29E5" w:rsidP="0072033C">
      <w:pPr>
        <w:spacing w:before="0" w:after="0" w:line="240" w:lineRule="auto"/>
      </w:pPr>
      <w:r>
        <w:separator/>
      </w:r>
    </w:p>
  </w:footnote>
  <w:footnote w:type="continuationSeparator" w:id="0">
    <w:p w:rsidR="00BD29E5" w:rsidRDefault="00BD29E5" w:rsidP="0072033C">
      <w:pPr>
        <w:spacing w:before="0" w:after="0" w:line="240" w:lineRule="auto"/>
      </w:pPr>
      <w:r>
        <w:continuationSeparator/>
      </w:r>
    </w:p>
  </w:footnote>
  <w:footnote w:id="1">
    <w:p w:rsidR="0072033C" w:rsidRDefault="0072033C">
      <w:pPr>
        <w:pStyle w:val="FootnoteText"/>
      </w:pPr>
      <w:r>
        <w:rPr>
          <w:rStyle w:val="FootnoteReference"/>
        </w:rPr>
        <w:footnoteRef/>
      </w:r>
      <w:r>
        <w:t xml:space="preserve"> British Library, ‘The Vespasian Psalter’ [online] available: </w:t>
      </w:r>
      <w:hyperlink r:id="rId1" w:history="1">
        <w:r w:rsidRPr="005865E8">
          <w:rPr>
            <w:rStyle w:val="Hyperlink"/>
          </w:rPr>
          <w:t>https://www.bl.uk/manuscripts/FullDisplay.aspx?ref=Cotton_MS_Vespasian_A_I</w:t>
        </w:r>
      </w:hyperlink>
    </w:p>
  </w:footnote>
  <w:footnote w:id="2">
    <w:p w:rsidR="001755DD" w:rsidRDefault="001755DD">
      <w:pPr>
        <w:pStyle w:val="FootnoteText"/>
      </w:pPr>
      <w:r>
        <w:rPr>
          <w:rStyle w:val="FootnoteReference"/>
        </w:rPr>
        <w:footnoteRef/>
      </w:r>
      <w:r>
        <w:t xml:space="preserve"> T.</w:t>
      </w:r>
      <w:r w:rsidR="0023385F">
        <w:t xml:space="preserve"> </w:t>
      </w:r>
      <w:r>
        <w:t xml:space="preserve">Graham, </w:t>
      </w:r>
      <w:r w:rsidRPr="001755DD">
        <w:rPr>
          <w:i/>
        </w:rPr>
        <w:t>An Introduction to Medieval Manuscripts</w:t>
      </w:r>
      <w:r>
        <w:t xml:space="preserve"> (London: Cornell University Press, 2007) pp.118-119</w:t>
      </w:r>
    </w:p>
  </w:footnote>
  <w:footnote w:id="3">
    <w:p w:rsidR="00C4507F" w:rsidRDefault="00C4507F">
      <w:pPr>
        <w:pStyle w:val="FootnoteText"/>
      </w:pPr>
      <w:r>
        <w:rPr>
          <w:rStyle w:val="FootnoteReference"/>
        </w:rPr>
        <w:footnoteRef/>
      </w:r>
      <w:r>
        <w:t xml:space="preserve"> </w:t>
      </w:r>
      <w:r w:rsidR="0023385F">
        <w:t xml:space="preserve">N. Morgan. </w:t>
      </w:r>
      <w:r w:rsidR="0023385F" w:rsidRPr="0023385F">
        <w:rPr>
          <w:i/>
        </w:rPr>
        <w:t>Early Gothic Manuscripts</w:t>
      </w:r>
      <w:r w:rsidR="0023385F">
        <w:t xml:space="preserve"> (London: Harvey Miller, 1988) p.64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76CD"/>
    <w:rsid w:val="00055041"/>
    <w:rsid w:val="00103CB2"/>
    <w:rsid w:val="00146C41"/>
    <w:rsid w:val="00163425"/>
    <w:rsid w:val="001755DD"/>
    <w:rsid w:val="001D1336"/>
    <w:rsid w:val="0023385F"/>
    <w:rsid w:val="00250A09"/>
    <w:rsid w:val="00260887"/>
    <w:rsid w:val="00295BFE"/>
    <w:rsid w:val="00333902"/>
    <w:rsid w:val="00372AE0"/>
    <w:rsid w:val="003926A1"/>
    <w:rsid w:val="003C5AB9"/>
    <w:rsid w:val="003E0B33"/>
    <w:rsid w:val="00403962"/>
    <w:rsid w:val="0046714D"/>
    <w:rsid w:val="004E4C6A"/>
    <w:rsid w:val="005613D0"/>
    <w:rsid w:val="00564863"/>
    <w:rsid w:val="005D1CD2"/>
    <w:rsid w:val="00614500"/>
    <w:rsid w:val="006405A4"/>
    <w:rsid w:val="006A76CD"/>
    <w:rsid w:val="0072033C"/>
    <w:rsid w:val="00787500"/>
    <w:rsid w:val="0079787E"/>
    <w:rsid w:val="007C4342"/>
    <w:rsid w:val="007E3C59"/>
    <w:rsid w:val="007F7044"/>
    <w:rsid w:val="00852494"/>
    <w:rsid w:val="0088376E"/>
    <w:rsid w:val="008B50FB"/>
    <w:rsid w:val="008C2D5C"/>
    <w:rsid w:val="00906CF0"/>
    <w:rsid w:val="009349E9"/>
    <w:rsid w:val="009449E6"/>
    <w:rsid w:val="009E3231"/>
    <w:rsid w:val="00A23B08"/>
    <w:rsid w:val="00A5575E"/>
    <w:rsid w:val="00A6048D"/>
    <w:rsid w:val="00B15AA0"/>
    <w:rsid w:val="00B63C8E"/>
    <w:rsid w:val="00B86665"/>
    <w:rsid w:val="00BD29E5"/>
    <w:rsid w:val="00BD6F3C"/>
    <w:rsid w:val="00C15D92"/>
    <w:rsid w:val="00C258B4"/>
    <w:rsid w:val="00C4507F"/>
    <w:rsid w:val="00C71E72"/>
    <w:rsid w:val="00C93288"/>
    <w:rsid w:val="00CA3C77"/>
    <w:rsid w:val="00D05CE7"/>
    <w:rsid w:val="00DC5A20"/>
    <w:rsid w:val="00DE5892"/>
    <w:rsid w:val="00E6241F"/>
    <w:rsid w:val="00E66D50"/>
    <w:rsid w:val="00F70096"/>
    <w:rsid w:val="00FB0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4D62042-9015-430C-BA96-AB60B8607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76CD"/>
  </w:style>
  <w:style w:type="paragraph" w:styleId="Heading1">
    <w:name w:val="heading 1"/>
    <w:basedOn w:val="Normal"/>
    <w:next w:val="Normal"/>
    <w:link w:val="Heading1Char"/>
    <w:uiPriority w:val="9"/>
    <w:qFormat/>
    <w:rsid w:val="006A76CD"/>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A76C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A76CD"/>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6A76CD"/>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6A76CD"/>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6A76CD"/>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6A76CD"/>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6A76C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A76CD"/>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6CD"/>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6A76CD"/>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6A76CD"/>
    <w:rPr>
      <w:caps/>
      <w:color w:val="1F4D78" w:themeColor="accent1" w:themeShade="7F"/>
      <w:spacing w:val="15"/>
    </w:rPr>
  </w:style>
  <w:style w:type="character" w:customStyle="1" w:styleId="Heading4Char">
    <w:name w:val="Heading 4 Char"/>
    <w:basedOn w:val="DefaultParagraphFont"/>
    <w:link w:val="Heading4"/>
    <w:uiPriority w:val="9"/>
    <w:semiHidden/>
    <w:rsid w:val="006A76CD"/>
    <w:rPr>
      <w:caps/>
      <w:color w:val="2E74B5" w:themeColor="accent1" w:themeShade="BF"/>
      <w:spacing w:val="10"/>
    </w:rPr>
  </w:style>
  <w:style w:type="character" w:customStyle="1" w:styleId="Heading5Char">
    <w:name w:val="Heading 5 Char"/>
    <w:basedOn w:val="DefaultParagraphFont"/>
    <w:link w:val="Heading5"/>
    <w:uiPriority w:val="9"/>
    <w:semiHidden/>
    <w:rsid w:val="006A76CD"/>
    <w:rPr>
      <w:caps/>
      <w:color w:val="2E74B5" w:themeColor="accent1" w:themeShade="BF"/>
      <w:spacing w:val="10"/>
    </w:rPr>
  </w:style>
  <w:style w:type="character" w:customStyle="1" w:styleId="Heading6Char">
    <w:name w:val="Heading 6 Char"/>
    <w:basedOn w:val="DefaultParagraphFont"/>
    <w:link w:val="Heading6"/>
    <w:uiPriority w:val="9"/>
    <w:semiHidden/>
    <w:rsid w:val="006A76CD"/>
    <w:rPr>
      <w:caps/>
      <w:color w:val="2E74B5" w:themeColor="accent1" w:themeShade="BF"/>
      <w:spacing w:val="10"/>
    </w:rPr>
  </w:style>
  <w:style w:type="character" w:customStyle="1" w:styleId="Heading7Char">
    <w:name w:val="Heading 7 Char"/>
    <w:basedOn w:val="DefaultParagraphFont"/>
    <w:link w:val="Heading7"/>
    <w:uiPriority w:val="9"/>
    <w:semiHidden/>
    <w:rsid w:val="006A76CD"/>
    <w:rPr>
      <w:caps/>
      <w:color w:val="2E74B5" w:themeColor="accent1" w:themeShade="BF"/>
      <w:spacing w:val="10"/>
    </w:rPr>
  </w:style>
  <w:style w:type="character" w:customStyle="1" w:styleId="Heading8Char">
    <w:name w:val="Heading 8 Char"/>
    <w:basedOn w:val="DefaultParagraphFont"/>
    <w:link w:val="Heading8"/>
    <w:uiPriority w:val="9"/>
    <w:semiHidden/>
    <w:rsid w:val="006A76CD"/>
    <w:rPr>
      <w:caps/>
      <w:spacing w:val="10"/>
      <w:sz w:val="18"/>
      <w:szCs w:val="18"/>
    </w:rPr>
  </w:style>
  <w:style w:type="character" w:customStyle="1" w:styleId="Heading9Char">
    <w:name w:val="Heading 9 Char"/>
    <w:basedOn w:val="DefaultParagraphFont"/>
    <w:link w:val="Heading9"/>
    <w:uiPriority w:val="9"/>
    <w:semiHidden/>
    <w:rsid w:val="006A76CD"/>
    <w:rPr>
      <w:i/>
      <w:iCs/>
      <w:caps/>
      <w:spacing w:val="10"/>
      <w:sz w:val="18"/>
      <w:szCs w:val="18"/>
    </w:rPr>
  </w:style>
  <w:style w:type="paragraph" w:styleId="Caption">
    <w:name w:val="caption"/>
    <w:basedOn w:val="Normal"/>
    <w:next w:val="Normal"/>
    <w:uiPriority w:val="35"/>
    <w:semiHidden/>
    <w:unhideWhenUsed/>
    <w:qFormat/>
    <w:rsid w:val="006A76CD"/>
    <w:rPr>
      <w:b/>
      <w:bCs/>
      <w:color w:val="2E74B5" w:themeColor="accent1" w:themeShade="BF"/>
      <w:sz w:val="16"/>
      <w:szCs w:val="16"/>
    </w:rPr>
  </w:style>
  <w:style w:type="paragraph" w:styleId="Title">
    <w:name w:val="Title"/>
    <w:basedOn w:val="Normal"/>
    <w:next w:val="Normal"/>
    <w:link w:val="TitleChar"/>
    <w:uiPriority w:val="10"/>
    <w:qFormat/>
    <w:rsid w:val="006A76CD"/>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6A76CD"/>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6A76C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A76CD"/>
    <w:rPr>
      <w:caps/>
      <w:color w:val="595959" w:themeColor="text1" w:themeTint="A6"/>
      <w:spacing w:val="10"/>
      <w:sz w:val="21"/>
      <w:szCs w:val="21"/>
    </w:rPr>
  </w:style>
  <w:style w:type="character" w:styleId="Strong">
    <w:name w:val="Strong"/>
    <w:uiPriority w:val="22"/>
    <w:qFormat/>
    <w:rsid w:val="006A76CD"/>
    <w:rPr>
      <w:b/>
      <w:bCs/>
    </w:rPr>
  </w:style>
  <w:style w:type="character" w:styleId="Emphasis">
    <w:name w:val="Emphasis"/>
    <w:uiPriority w:val="20"/>
    <w:qFormat/>
    <w:rsid w:val="006A76CD"/>
    <w:rPr>
      <w:caps/>
      <w:color w:val="1F4D78" w:themeColor="accent1" w:themeShade="7F"/>
      <w:spacing w:val="5"/>
    </w:rPr>
  </w:style>
  <w:style w:type="paragraph" w:styleId="NoSpacing">
    <w:name w:val="No Spacing"/>
    <w:uiPriority w:val="1"/>
    <w:qFormat/>
    <w:rsid w:val="006A76CD"/>
    <w:pPr>
      <w:spacing w:after="0" w:line="240" w:lineRule="auto"/>
    </w:pPr>
  </w:style>
  <w:style w:type="paragraph" w:styleId="Quote">
    <w:name w:val="Quote"/>
    <w:basedOn w:val="Normal"/>
    <w:next w:val="Normal"/>
    <w:link w:val="QuoteChar"/>
    <w:uiPriority w:val="29"/>
    <w:qFormat/>
    <w:rsid w:val="006A76CD"/>
    <w:rPr>
      <w:i/>
      <w:iCs/>
      <w:sz w:val="24"/>
      <w:szCs w:val="24"/>
    </w:rPr>
  </w:style>
  <w:style w:type="character" w:customStyle="1" w:styleId="QuoteChar">
    <w:name w:val="Quote Char"/>
    <w:basedOn w:val="DefaultParagraphFont"/>
    <w:link w:val="Quote"/>
    <w:uiPriority w:val="29"/>
    <w:rsid w:val="006A76CD"/>
    <w:rPr>
      <w:i/>
      <w:iCs/>
      <w:sz w:val="24"/>
      <w:szCs w:val="24"/>
    </w:rPr>
  </w:style>
  <w:style w:type="paragraph" w:styleId="IntenseQuote">
    <w:name w:val="Intense Quote"/>
    <w:basedOn w:val="Normal"/>
    <w:next w:val="Normal"/>
    <w:link w:val="IntenseQuoteChar"/>
    <w:uiPriority w:val="30"/>
    <w:qFormat/>
    <w:rsid w:val="006A76CD"/>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6A76CD"/>
    <w:rPr>
      <w:color w:val="5B9BD5" w:themeColor="accent1"/>
      <w:sz w:val="24"/>
      <w:szCs w:val="24"/>
    </w:rPr>
  </w:style>
  <w:style w:type="character" w:styleId="SubtleEmphasis">
    <w:name w:val="Subtle Emphasis"/>
    <w:uiPriority w:val="19"/>
    <w:qFormat/>
    <w:rsid w:val="006A76CD"/>
    <w:rPr>
      <w:i/>
      <w:iCs/>
      <w:color w:val="1F4D78" w:themeColor="accent1" w:themeShade="7F"/>
    </w:rPr>
  </w:style>
  <w:style w:type="character" w:styleId="IntenseEmphasis">
    <w:name w:val="Intense Emphasis"/>
    <w:uiPriority w:val="21"/>
    <w:qFormat/>
    <w:rsid w:val="006A76CD"/>
    <w:rPr>
      <w:b/>
      <w:bCs/>
      <w:caps/>
      <w:color w:val="1F4D78" w:themeColor="accent1" w:themeShade="7F"/>
      <w:spacing w:val="10"/>
    </w:rPr>
  </w:style>
  <w:style w:type="character" w:styleId="SubtleReference">
    <w:name w:val="Subtle Reference"/>
    <w:uiPriority w:val="31"/>
    <w:qFormat/>
    <w:rsid w:val="006A76CD"/>
    <w:rPr>
      <w:b/>
      <w:bCs/>
      <w:color w:val="5B9BD5" w:themeColor="accent1"/>
    </w:rPr>
  </w:style>
  <w:style w:type="character" w:styleId="IntenseReference">
    <w:name w:val="Intense Reference"/>
    <w:uiPriority w:val="32"/>
    <w:qFormat/>
    <w:rsid w:val="006A76CD"/>
    <w:rPr>
      <w:b/>
      <w:bCs/>
      <w:i/>
      <w:iCs/>
      <w:caps/>
      <w:color w:val="5B9BD5" w:themeColor="accent1"/>
    </w:rPr>
  </w:style>
  <w:style w:type="character" w:styleId="BookTitle">
    <w:name w:val="Book Title"/>
    <w:uiPriority w:val="33"/>
    <w:qFormat/>
    <w:rsid w:val="006A76CD"/>
    <w:rPr>
      <w:b/>
      <w:bCs/>
      <w:i/>
      <w:iCs/>
      <w:spacing w:val="0"/>
    </w:rPr>
  </w:style>
  <w:style w:type="paragraph" w:styleId="TOCHeading">
    <w:name w:val="TOC Heading"/>
    <w:basedOn w:val="Heading1"/>
    <w:next w:val="Normal"/>
    <w:uiPriority w:val="39"/>
    <w:semiHidden/>
    <w:unhideWhenUsed/>
    <w:qFormat/>
    <w:rsid w:val="006A76CD"/>
    <w:pPr>
      <w:outlineLvl w:val="9"/>
    </w:pPr>
  </w:style>
  <w:style w:type="paragraph" w:styleId="FootnoteText">
    <w:name w:val="footnote text"/>
    <w:basedOn w:val="Normal"/>
    <w:link w:val="FootnoteTextChar"/>
    <w:uiPriority w:val="99"/>
    <w:semiHidden/>
    <w:unhideWhenUsed/>
    <w:rsid w:val="0072033C"/>
    <w:pPr>
      <w:spacing w:before="0" w:after="0" w:line="240" w:lineRule="auto"/>
    </w:pPr>
  </w:style>
  <w:style w:type="character" w:customStyle="1" w:styleId="FootnoteTextChar">
    <w:name w:val="Footnote Text Char"/>
    <w:basedOn w:val="DefaultParagraphFont"/>
    <w:link w:val="FootnoteText"/>
    <w:uiPriority w:val="99"/>
    <w:semiHidden/>
    <w:rsid w:val="0072033C"/>
  </w:style>
  <w:style w:type="character" w:styleId="FootnoteReference">
    <w:name w:val="footnote reference"/>
    <w:basedOn w:val="DefaultParagraphFont"/>
    <w:uiPriority w:val="99"/>
    <w:semiHidden/>
    <w:unhideWhenUsed/>
    <w:rsid w:val="0072033C"/>
    <w:rPr>
      <w:vertAlign w:val="superscript"/>
    </w:rPr>
  </w:style>
  <w:style w:type="character" w:styleId="Hyperlink">
    <w:name w:val="Hyperlink"/>
    <w:basedOn w:val="DefaultParagraphFont"/>
    <w:uiPriority w:val="99"/>
    <w:unhideWhenUsed/>
    <w:rsid w:val="0072033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l.uk/manuscripts/FullDisplay.aspx?ref=Cotton_MS_Vespasian_A_I"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bl.uk/manuscripts/FullDisplay.aspx?ref=Cotton_MS_Vespasian_A_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B962FE-34F7-4C04-85DF-B41218DDF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4</Pages>
  <Words>926</Words>
  <Characters>5284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49</cp:revision>
  <dcterms:created xsi:type="dcterms:W3CDTF">2018-05-09T18:20:00Z</dcterms:created>
  <dcterms:modified xsi:type="dcterms:W3CDTF">2018-05-11T21:40:00Z</dcterms:modified>
</cp:coreProperties>
</file>