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97A95F" w14:textId="20B80ABE" w:rsidR="00D203B0" w:rsidRPr="00D203B0" w:rsidRDefault="00D203B0" w:rsidP="00D203B0">
      <w:pPr>
        <w:spacing w:line="360" w:lineRule="auto"/>
        <w:jc w:val="center"/>
        <w:rPr>
          <w:rFonts w:ascii="Arial" w:eastAsia="Calibri" w:hAnsi="Arial" w:cs="Arial"/>
          <w:b/>
          <w:bCs/>
          <w:kern w:val="0"/>
          <w:sz w:val="28"/>
          <w:szCs w:val="28"/>
          <w:lang w:val="en-GB"/>
          <w14:ligatures w14:val="none"/>
        </w:rPr>
      </w:pPr>
    </w:p>
    <w:p w14:paraId="5F149399" w14:textId="77777777" w:rsidR="00642F73" w:rsidRDefault="00642F73" w:rsidP="00642F73">
      <w:pPr>
        <w:spacing w:line="360" w:lineRule="auto"/>
        <w:jc w:val="center"/>
        <w:rPr>
          <w:rFonts w:ascii="Arial" w:eastAsia="Calibri" w:hAnsi="Arial" w:cs="Arial"/>
          <w:kern w:val="0"/>
          <w:sz w:val="32"/>
          <w:szCs w:val="32"/>
          <w:lang w:val="en-GB"/>
          <w14:ligatures w14:val="none"/>
        </w:rPr>
      </w:pPr>
      <w:r w:rsidRPr="00D203B0">
        <w:rPr>
          <w:rFonts w:ascii="Arial" w:eastAsia="Calibri" w:hAnsi="Arial" w:cs="Arial"/>
          <w:b/>
          <w:bCs/>
          <w:kern w:val="0"/>
          <w:sz w:val="32"/>
          <w:szCs w:val="32"/>
          <w:lang w:val="en-GB"/>
          <w14:ligatures w14:val="none"/>
        </w:rPr>
        <w:t>Student Name</w:t>
      </w:r>
      <w:r w:rsidRPr="00D203B0">
        <w:rPr>
          <w:rFonts w:ascii="Arial" w:eastAsia="Calibri" w:hAnsi="Arial" w:cs="Arial"/>
          <w:kern w:val="0"/>
          <w:sz w:val="32"/>
          <w:szCs w:val="32"/>
          <w:lang w:val="en-GB"/>
          <w14:ligatures w14:val="none"/>
        </w:rPr>
        <w:t>: Kwabena Mensah Yeboah</w:t>
      </w:r>
    </w:p>
    <w:p w14:paraId="31F66012" w14:textId="7DE897CD" w:rsidR="00642F73" w:rsidRPr="00D203B0" w:rsidRDefault="00642F73" w:rsidP="00642F73">
      <w:pPr>
        <w:spacing w:line="360" w:lineRule="auto"/>
        <w:jc w:val="center"/>
        <w:rPr>
          <w:rFonts w:ascii="Arial" w:eastAsia="Calibri" w:hAnsi="Arial" w:cs="Arial"/>
          <w:kern w:val="0"/>
          <w:sz w:val="32"/>
          <w:szCs w:val="32"/>
          <w:lang w:val="en-GB"/>
          <w14:ligatures w14:val="none"/>
        </w:rPr>
      </w:pPr>
      <w:r w:rsidRPr="00D203B0">
        <w:rPr>
          <w:rFonts w:ascii="Arial" w:eastAsia="Calibri" w:hAnsi="Arial" w:cs="Arial"/>
          <w:b/>
          <w:bCs/>
          <w:kern w:val="0"/>
          <w:sz w:val="32"/>
          <w:szCs w:val="32"/>
          <w:lang w:val="en-GB"/>
          <w14:ligatures w14:val="none"/>
        </w:rPr>
        <w:t>Student ID</w:t>
      </w:r>
      <w:r w:rsidRPr="00D203B0">
        <w:rPr>
          <w:rFonts w:ascii="Arial" w:eastAsia="Calibri" w:hAnsi="Arial" w:cs="Arial"/>
          <w:kern w:val="0"/>
          <w:sz w:val="32"/>
          <w:szCs w:val="32"/>
          <w:lang w:val="en-GB"/>
          <w14:ligatures w14:val="none"/>
        </w:rPr>
        <w:t>: 2240875</w:t>
      </w:r>
    </w:p>
    <w:p w14:paraId="4ED58E8E" w14:textId="77777777" w:rsidR="00642F73" w:rsidRDefault="00642F73" w:rsidP="00642F73">
      <w:pPr>
        <w:spacing w:line="360" w:lineRule="auto"/>
        <w:jc w:val="center"/>
        <w:rPr>
          <w:rFonts w:ascii="Arial" w:eastAsia="Calibri" w:hAnsi="Arial" w:cs="Arial"/>
          <w:b/>
          <w:bCs/>
          <w:kern w:val="0"/>
          <w:sz w:val="32"/>
          <w:szCs w:val="32"/>
          <w:lang w:val="en-GB"/>
          <w14:ligatures w14:val="none"/>
        </w:rPr>
      </w:pPr>
    </w:p>
    <w:p w14:paraId="7A0177C7" w14:textId="336F45CD" w:rsidR="00642F73" w:rsidRDefault="00642F73" w:rsidP="00642F73">
      <w:pPr>
        <w:spacing w:line="360" w:lineRule="auto"/>
        <w:jc w:val="center"/>
        <w:rPr>
          <w:rFonts w:ascii="Arial" w:eastAsia="Calibri" w:hAnsi="Arial" w:cs="Arial"/>
          <w:b/>
          <w:bCs/>
          <w:kern w:val="0"/>
          <w:sz w:val="32"/>
          <w:szCs w:val="32"/>
          <w:lang w:val="en-GB"/>
          <w14:ligatures w14:val="none"/>
        </w:rPr>
      </w:pPr>
      <w:r w:rsidRPr="00D203B0">
        <w:rPr>
          <w:rFonts w:ascii="Arial" w:eastAsia="Calibri" w:hAnsi="Arial" w:cs="Arial"/>
          <w:b/>
          <w:bCs/>
          <w:kern w:val="0"/>
          <w:sz w:val="32"/>
          <w:szCs w:val="32"/>
          <w:lang w:val="en-GB"/>
          <w14:ligatures w14:val="none"/>
        </w:rPr>
        <w:t xml:space="preserve">Module: </w:t>
      </w:r>
      <w:r w:rsidRPr="00642F73">
        <w:rPr>
          <w:rFonts w:ascii="Arial" w:eastAsia="Calibri" w:hAnsi="Arial" w:cs="Arial"/>
          <w:kern w:val="0"/>
          <w:sz w:val="32"/>
          <w:szCs w:val="32"/>
          <w:lang w:val="en-GB"/>
          <w14:ligatures w14:val="none"/>
        </w:rPr>
        <w:t>Empowering the Older Person</w:t>
      </w:r>
      <w:r w:rsidRPr="00D203B0">
        <w:rPr>
          <w:rFonts w:ascii="Arial" w:eastAsia="Calibri" w:hAnsi="Arial" w:cs="Arial"/>
          <w:b/>
          <w:bCs/>
          <w:kern w:val="0"/>
          <w:sz w:val="32"/>
          <w:szCs w:val="32"/>
          <w:lang w:val="en-GB"/>
          <w14:ligatures w14:val="none"/>
        </w:rPr>
        <w:t xml:space="preserve"> </w:t>
      </w:r>
    </w:p>
    <w:p w14:paraId="79FDC365" w14:textId="02EFA7EE" w:rsidR="00642F73" w:rsidRPr="00D203B0" w:rsidRDefault="00642F73" w:rsidP="00642F73">
      <w:pPr>
        <w:spacing w:line="360" w:lineRule="auto"/>
        <w:jc w:val="center"/>
        <w:rPr>
          <w:rFonts w:ascii="Arial" w:eastAsia="Calibri" w:hAnsi="Arial" w:cs="Arial"/>
          <w:b/>
          <w:bCs/>
          <w:kern w:val="0"/>
          <w:sz w:val="32"/>
          <w:szCs w:val="32"/>
          <w:lang w:val="en-GB"/>
          <w14:ligatures w14:val="none"/>
        </w:rPr>
      </w:pPr>
      <w:r>
        <w:rPr>
          <w:rFonts w:ascii="Arial" w:eastAsia="Calibri" w:hAnsi="Arial" w:cs="Arial"/>
          <w:b/>
          <w:bCs/>
          <w:kern w:val="0"/>
          <w:sz w:val="32"/>
          <w:szCs w:val="32"/>
          <w:lang w:val="en-GB"/>
          <w14:ligatures w14:val="none"/>
        </w:rPr>
        <w:t xml:space="preserve"> Module Code:</w:t>
      </w:r>
      <w:r w:rsidRPr="00642F73">
        <w:rPr>
          <w:rFonts w:ascii="Arial" w:eastAsia="Calibri" w:hAnsi="Arial" w:cs="Arial"/>
          <w:kern w:val="0"/>
          <w:sz w:val="32"/>
          <w:szCs w:val="32"/>
          <w:lang w:val="en-GB"/>
          <w14:ligatures w14:val="none"/>
        </w:rPr>
        <w:t xml:space="preserve"> BMHP6027</w:t>
      </w:r>
    </w:p>
    <w:p w14:paraId="433958F8" w14:textId="77777777" w:rsidR="00D203B0" w:rsidRPr="00D203B0" w:rsidRDefault="00D203B0" w:rsidP="00D203B0">
      <w:pPr>
        <w:spacing w:line="360" w:lineRule="auto"/>
        <w:jc w:val="center"/>
        <w:rPr>
          <w:rFonts w:ascii="Arial" w:eastAsia="Calibri" w:hAnsi="Arial" w:cs="Arial"/>
          <w:kern w:val="0"/>
          <w:sz w:val="28"/>
          <w:szCs w:val="28"/>
          <w:lang w:val="en-GB"/>
          <w14:ligatures w14:val="none"/>
        </w:rPr>
      </w:pPr>
    </w:p>
    <w:p w14:paraId="0A16EED3" w14:textId="68BA77E9" w:rsidR="00D203B0" w:rsidRDefault="00D203B0" w:rsidP="00D203B0">
      <w:pPr>
        <w:spacing w:line="360" w:lineRule="auto"/>
        <w:jc w:val="center"/>
        <w:rPr>
          <w:rFonts w:ascii="Arial" w:eastAsia="Calibri" w:hAnsi="Arial" w:cs="Arial"/>
          <w:kern w:val="0"/>
          <w:sz w:val="32"/>
          <w:szCs w:val="32"/>
          <w:lang w:val="en-GB"/>
          <w14:ligatures w14:val="none"/>
        </w:rPr>
      </w:pPr>
      <w:r w:rsidRPr="00D203B0">
        <w:rPr>
          <w:rFonts w:ascii="Arial" w:eastAsia="Calibri" w:hAnsi="Arial" w:cs="Arial"/>
          <w:b/>
          <w:bCs/>
          <w:kern w:val="0"/>
          <w:sz w:val="32"/>
          <w:szCs w:val="32"/>
          <w:lang w:val="en-GB"/>
          <w14:ligatures w14:val="none"/>
        </w:rPr>
        <w:t xml:space="preserve">Component </w:t>
      </w:r>
      <w:r w:rsidR="00642F73">
        <w:rPr>
          <w:rFonts w:ascii="Arial" w:eastAsia="Calibri" w:hAnsi="Arial" w:cs="Arial"/>
          <w:b/>
          <w:bCs/>
          <w:kern w:val="0"/>
          <w:sz w:val="32"/>
          <w:szCs w:val="32"/>
          <w:lang w:val="en-GB"/>
          <w14:ligatures w14:val="none"/>
        </w:rPr>
        <w:t>2</w:t>
      </w:r>
      <w:r w:rsidRPr="00D203B0">
        <w:rPr>
          <w:rFonts w:ascii="Arial" w:eastAsia="Calibri" w:hAnsi="Arial" w:cs="Arial"/>
          <w:b/>
          <w:bCs/>
          <w:kern w:val="0"/>
          <w:sz w:val="32"/>
          <w:szCs w:val="32"/>
          <w:lang w:val="en-GB"/>
          <w14:ligatures w14:val="none"/>
        </w:rPr>
        <w:t xml:space="preserve">: </w:t>
      </w:r>
      <w:r w:rsidR="00642F73">
        <w:rPr>
          <w:rFonts w:ascii="Arial" w:eastAsia="Calibri" w:hAnsi="Arial" w:cs="Arial"/>
          <w:kern w:val="0"/>
          <w:sz w:val="32"/>
          <w:szCs w:val="32"/>
          <w:lang w:val="en-GB"/>
          <w14:ligatures w14:val="none"/>
        </w:rPr>
        <w:t>Debate/Discussion</w:t>
      </w:r>
      <w:r w:rsidRPr="00D203B0">
        <w:rPr>
          <w:rFonts w:ascii="Arial" w:eastAsia="Calibri" w:hAnsi="Arial" w:cs="Arial"/>
          <w:kern w:val="0"/>
          <w:sz w:val="32"/>
          <w:szCs w:val="32"/>
          <w:lang w:val="en-GB"/>
          <w14:ligatures w14:val="none"/>
        </w:rPr>
        <w:t xml:space="preserve"> </w:t>
      </w:r>
    </w:p>
    <w:p w14:paraId="61129E54" w14:textId="77777777" w:rsidR="00642F73" w:rsidRDefault="00642F73" w:rsidP="00D203B0">
      <w:pPr>
        <w:spacing w:line="360" w:lineRule="auto"/>
        <w:jc w:val="center"/>
        <w:rPr>
          <w:rFonts w:ascii="Arial" w:eastAsia="Calibri" w:hAnsi="Arial" w:cs="Arial"/>
          <w:kern w:val="0"/>
          <w:sz w:val="32"/>
          <w:szCs w:val="32"/>
          <w:lang w:val="en-GB"/>
          <w14:ligatures w14:val="none"/>
        </w:rPr>
      </w:pPr>
    </w:p>
    <w:p w14:paraId="133087BE" w14:textId="7C8B602F" w:rsidR="00642F73" w:rsidRDefault="00642F73" w:rsidP="00627CBF">
      <w:pPr>
        <w:spacing w:line="276" w:lineRule="auto"/>
        <w:jc w:val="center"/>
        <w:rPr>
          <w:rFonts w:ascii="Arial" w:eastAsia="Calibri" w:hAnsi="Arial" w:cs="Arial"/>
          <w:kern w:val="0"/>
          <w:sz w:val="32"/>
          <w:szCs w:val="32"/>
          <w:lang w:val="en-GB"/>
          <w14:ligatures w14:val="none"/>
        </w:rPr>
      </w:pPr>
      <w:r w:rsidRPr="00642F73">
        <w:rPr>
          <w:rFonts w:ascii="Arial" w:eastAsia="Calibri" w:hAnsi="Arial" w:cs="Arial"/>
          <w:b/>
          <w:bCs/>
          <w:kern w:val="0"/>
          <w:sz w:val="32"/>
          <w:szCs w:val="32"/>
          <w:lang w:val="en-GB"/>
          <w14:ligatures w14:val="none"/>
        </w:rPr>
        <w:t>T</w:t>
      </w:r>
      <w:r>
        <w:rPr>
          <w:rFonts w:ascii="Arial" w:eastAsia="Calibri" w:hAnsi="Arial" w:cs="Arial"/>
          <w:b/>
          <w:bCs/>
          <w:kern w:val="0"/>
          <w:sz w:val="32"/>
          <w:szCs w:val="32"/>
          <w:lang w:val="en-GB"/>
          <w14:ligatures w14:val="none"/>
        </w:rPr>
        <w:t xml:space="preserve">itle: </w:t>
      </w:r>
      <w:r>
        <w:rPr>
          <w:rFonts w:ascii="Arial" w:eastAsia="Calibri" w:hAnsi="Arial" w:cs="Arial"/>
          <w:kern w:val="0"/>
          <w:sz w:val="32"/>
          <w:szCs w:val="32"/>
          <w:lang w:val="en-GB"/>
          <w14:ligatures w14:val="none"/>
        </w:rPr>
        <w:t>The Role of Residential Care Homes: Do They Provide Quality Care or Restrict Freedom</w:t>
      </w:r>
      <w:r w:rsidR="000A684C">
        <w:rPr>
          <w:rFonts w:ascii="Arial" w:eastAsia="Calibri" w:hAnsi="Arial" w:cs="Arial"/>
          <w:kern w:val="0"/>
          <w:sz w:val="32"/>
          <w:szCs w:val="32"/>
          <w:lang w:val="en-GB"/>
          <w14:ligatures w14:val="none"/>
        </w:rPr>
        <w:t>?</w:t>
      </w:r>
    </w:p>
    <w:p w14:paraId="3A137755" w14:textId="77777777" w:rsidR="000A684C" w:rsidRDefault="000A684C" w:rsidP="00627CBF">
      <w:pPr>
        <w:spacing w:line="276" w:lineRule="auto"/>
        <w:jc w:val="center"/>
        <w:rPr>
          <w:rFonts w:ascii="Arial" w:eastAsia="Calibri" w:hAnsi="Arial" w:cs="Arial"/>
          <w:kern w:val="0"/>
          <w:sz w:val="32"/>
          <w:szCs w:val="32"/>
          <w:lang w:val="en-GB"/>
          <w14:ligatures w14:val="none"/>
        </w:rPr>
      </w:pPr>
    </w:p>
    <w:p w14:paraId="31327CF6" w14:textId="37C2D97F" w:rsidR="000A684C" w:rsidRDefault="000A684C" w:rsidP="00627CBF">
      <w:pPr>
        <w:spacing w:line="276" w:lineRule="auto"/>
        <w:jc w:val="center"/>
        <w:rPr>
          <w:rFonts w:ascii="Arial" w:eastAsia="Calibri" w:hAnsi="Arial" w:cs="Arial"/>
          <w:kern w:val="0"/>
          <w:sz w:val="32"/>
          <w:szCs w:val="32"/>
          <w:lang w:val="en-GB"/>
          <w14:ligatures w14:val="none"/>
        </w:rPr>
      </w:pPr>
      <w:r>
        <w:rPr>
          <w:rFonts w:ascii="Arial" w:eastAsia="Calibri" w:hAnsi="Arial" w:cs="Arial"/>
          <w:kern w:val="0"/>
          <w:sz w:val="32"/>
          <w:szCs w:val="32"/>
          <w:lang w:val="en-GB"/>
          <w14:ligatures w14:val="none"/>
        </w:rPr>
        <w:t>Speaking ‘</w:t>
      </w:r>
      <w:r w:rsidRPr="000A684C">
        <w:rPr>
          <w:rFonts w:ascii="Arial" w:eastAsia="Calibri" w:hAnsi="Arial" w:cs="Arial"/>
          <w:b/>
          <w:bCs/>
          <w:kern w:val="0"/>
          <w:sz w:val="32"/>
          <w:szCs w:val="32"/>
          <w:lang w:val="en-GB"/>
          <w14:ligatures w14:val="none"/>
        </w:rPr>
        <w:t>Against</w:t>
      </w:r>
      <w:r>
        <w:rPr>
          <w:rFonts w:ascii="Arial" w:eastAsia="Calibri" w:hAnsi="Arial" w:cs="Arial"/>
          <w:kern w:val="0"/>
          <w:sz w:val="32"/>
          <w:szCs w:val="32"/>
          <w:lang w:val="en-GB"/>
          <w14:ligatures w14:val="none"/>
        </w:rPr>
        <w:t>’ (Restrict Freedom)</w:t>
      </w:r>
    </w:p>
    <w:p w14:paraId="2CD4C821" w14:textId="77777777" w:rsidR="00D203B0" w:rsidRPr="00D203B0" w:rsidRDefault="00D203B0" w:rsidP="00627CBF">
      <w:pPr>
        <w:spacing w:line="276" w:lineRule="auto"/>
        <w:rPr>
          <w:rFonts w:ascii="Arial" w:eastAsia="Calibri" w:hAnsi="Arial" w:cs="Arial"/>
          <w:kern w:val="0"/>
          <w:sz w:val="32"/>
          <w:szCs w:val="32"/>
          <w:lang w:val="en-GB"/>
          <w14:ligatures w14:val="none"/>
        </w:rPr>
      </w:pPr>
    </w:p>
    <w:p w14:paraId="7A0E6BA8" w14:textId="77777777" w:rsidR="00D203B0" w:rsidRPr="00D203B0" w:rsidRDefault="00D203B0" w:rsidP="00627CBF">
      <w:pPr>
        <w:spacing w:line="276" w:lineRule="auto"/>
        <w:rPr>
          <w:rFonts w:ascii="Arial" w:eastAsia="Calibri" w:hAnsi="Arial" w:cs="Arial"/>
          <w:kern w:val="0"/>
          <w:sz w:val="32"/>
          <w:szCs w:val="32"/>
          <w:lang w:val="en-GB"/>
          <w14:ligatures w14:val="none"/>
        </w:rPr>
      </w:pPr>
    </w:p>
    <w:p w14:paraId="71E1EC51" w14:textId="77777777" w:rsidR="00D203B0" w:rsidRPr="00D203B0" w:rsidRDefault="00D203B0" w:rsidP="00627CBF">
      <w:pPr>
        <w:spacing w:line="276" w:lineRule="auto"/>
        <w:rPr>
          <w:rFonts w:ascii="Arial" w:eastAsia="Calibri" w:hAnsi="Arial" w:cs="Arial"/>
          <w:kern w:val="0"/>
          <w:sz w:val="32"/>
          <w:szCs w:val="32"/>
          <w:lang w:val="en-GB"/>
          <w14:ligatures w14:val="none"/>
        </w:rPr>
      </w:pPr>
    </w:p>
    <w:p w14:paraId="3913ED09" w14:textId="7705E171" w:rsidR="00D203B0" w:rsidRDefault="00D203B0" w:rsidP="00627CBF">
      <w:pPr>
        <w:spacing w:line="276" w:lineRule="auto"/>
        <w:rPr>
          <w:rFonts w:ascii="Arial" w:hAnsi="Arial" w:cs="Arial"/>
          <w:b/>
          <w:bCs/>
          <w:sz w:val="32"/>
          <w:szCs w:val="32"/>
          <w:lang w:val="en-GB"/>
        </w:rPr>
      </w:pPr>
    </w:p>
    <w:p w14:paraId="3A5AB5BA" w14:textId="77777777" w:rsidR="00B56DD1" w:rsidRDefault="00B56DD1" w:rsidP="00627CBF">
      <w:pPr>
        <w:spacing w:line="276" w:lineRule="auto"/>
        <w:rPr>
          <w:rFonts w:ascii="Arial" w:hAnsi="Arial" w:cs="Arial"/>
          <w:b/>
          <w:bCs/>
          <w:sz w:val="32"/>
          <w:szCs w:val="32"/>
          <w:lang w:val="en-GB"/>
        </w:rPr>
      </w:pPr>
    </w:p>
    <w:p w14:paraId="5479AAE2" w14:textId="77777777" w:rsidR="00B56DD1" w:rsidRDefault="00B56DD1" w:rsidP="00627CBF">
      <w:pPr>
        <w:spacing w:line="276" w:lineRule="auto"/>
        <w:rPr>
          <w:rFonts w:ascii="Arial" w:hAnsi="Arial" w:cs="Arial"/>
          <w:b/>
          <w:bCs/>
          <w:sz w:val="32"/>
          <w:szCs w:val="32"/>
          <w:lang w:val="en-GB"/>
        </w:rPr>
      </w:pPr>
    </w:p>
    <w:p w14:paraId="64FA5421" w14:textId="77777777" w:rsidR="00B56DD1" w:rsidRDefault="00B56DD1" w:rsidP="00627CBF">
      <w:pPr>
        <w:spacing w:line="276" w:lineRule="auto"/>
        <w:rPr>
          <w:rFonts w:ascii="Arial" w:hAnsi="Arial" w:cs="Arial"/>
          <w:b/>
          <w:bCs/>
          <w:sz w:val="32"/>
          <w:szCs w:val="32"/>
          <w:lang w:val="en-GB"/>
        </w:rPr>
      </w:pPr>
    </w:p>
    <w:p w14:paraId="5A7D5C5E" w14:textId="77777777" w:rsidR="00B56DD1" w:rsidRDefault="00B56DD1" w:rsidP="00627CBF">
      <w:pPr>
        <w:spacing w:line="276" w:lineRule="auto"/>
        <w:rPr>
          <w:rFonts w:ascii="Arial" w:hAnsi="Arial" w:cs="Arial"/>
          <w:b/>
          <w:bCs/>
          <w:sz w:val="32"/>
          <w:szCs w:val="32"/>
          <w:lang w:val="en-GB"/>
        </w:rPr>
      </w:pPr>
    </w:p>
    <w:p w14:paraId="38E4F2C4" w14:textId="77777777" w:rsidR="002A129E" w:rsidRPr="00B56DD1" w:rsidRDefault="002A129E" w:rsidP="001B1B25">
      <w:pPr>
        <w:spacing w:after="0" w:line="360" w:lineRule="auto"/>
        <w:jc w:val="both"/>
        <w:rPr>
          <w:rFonts w:ascii="Arial" w:eastAsia="Calibri" w:hAnsi="Arial" w:cs="Arial"/>
          <w:kern w:val="0"/>
          <w:sz w:val="22"/>
          <w:szCs w:val="22"/>
          <w:lang w:val="en-GB"/>
          <w14:ligatures w14:val="none"/>
        </w:rPr>
        <w:sectPr w:rsidR="002A129E" w:rsidRPr="00B56DD1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0691AF56" w14:textId="4902BC2E" w:rsidR="00CE411B" w:rsidRPr="00D83830" w:rsidRDefault="00B16829" w:rsidP="00D83830">
      <w:pPr>
        <w:spacing w:after="0" w:line="276" w:lineRule="auto"/>
        <w:jc w:val="both"/>
        <w:rPr>
          <w:rFonts w:ascii="Arial" w:eastAsia="Calibri" w:hAnsi="Arial" w:cs="Arial"/>
          <w:b/>
          <w:bCs/>
          <w:kern w:val="0"/>
          <w:sz w:val="22"/>
          <w:szCs w:val="22"/>
          <w:lang w:val="en-GB"/>
          <w14:ligatures w14:val="none"/>
        </w:rPr>
      </w:pPr>
      <w:r w:rsidRPr="00D83830">
        <w:rPr>
          <w:rFonts w:ascii="Arial" w:eastAsia="Calibri" w:hAnsi="Arial" w:cs="Arial"/>
          <w:b/>
          <w:bCs/>
          <w:kern w:val="0"/>
          <w:sz w:val="22"/>
          <w:szCs w:val="22"/>
          <w:lang w:val="en-GB"/>
          <w14:ligatures w14:val="none"/>
        </w:rPr>
        <w:lastRenderedPageBreak/>
        <w:t>References</w:t>
      </w:r>
    </w:p>
    <w:p w14:paraId="678E2040" w14:textId="699587AA" w:rsidR="00986A0F" w:rsidRPr="00D83830" w:rsidRDefault="00986A0F" w:rsidP="00D83830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eastAsia="Calibri" w:hAnsi="Arial" w:cs="Arial"/>
          <w:kern w:val="0"/>
          <w:sz w:val="22"/>
          <w:szCs w:val="22"/>
          <w14:ligatures w14:val="none"/>
        </w:rPr>
      </w:pP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Adult social care - Care Quality Commission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(2025). </w:t>
      </w:r>
      <w:hyperlink r:id="rId8" w:history="1">
        <w:r w:rsidRPr="00D83830">
          <w:rPr>
            <w:rStyle w:val="Hyperlink"/>
            <w:rFonts w:ascii="Arial" w:eastAsia="Calibri" w:hAnsi="Arial" w:cs="Arial"/>
            <w:kern w:val="0"/>
            <w:sz w:val="22"/>
            <w:szCs w:val="22"/>
            <w14:ligatures w14:val="none"/>
          </w:rPr>
          <w:t>https://www.cqc.org.uk/publications/major-report/state-care/2024-2025/access/asc</w:t>
        </w:r>
      </w:hyperlink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(Accessed: March 7, 2026).</w:t>
      </w:r>
    </w:p>
    <w:p w14:paraId="527833A1" w14:textId="2FCDE8F4" w:rsidR="00986A0F" w:rsidRPr="00D83830" w:rsidRDefault="00986A0F" w:rsidP="00D83830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eastAsia="Calibri" w:hAnsi="Arial" w:cs="Arial"/>
          <w:kern w:val="0"/>
          <w:sz w:val="22"/>
          <w:szCs w:val="22"/>
          <w14:ligatures w14:val="none"/>
        </w:rPr>
      </w:pP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Allan, S. and </w:t>
      </w:r>
      <w:proofErr w:type="spellStart"/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>Vadean</w:t>
      </w:r>
      <w:proofErr w:type="spellEnd"/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, F. (2021) 'The Association between Staff Retention and English Care Home Quality,' </w:t>
      </w: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Journal of Aging &amp; Social Policy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, 33(6), pp. 708–724. </w:t>
      </w:r>
      <w:hyperlink r:id="rId9" w:history="1">
        <w:r w:rsidRPr="00D83830">
          <w:rPr>
            <w:rStyle w:val="Hyperlink"/>
            <w:rFonts w:ascii="Arial" w:eastAsia="Calibri" w:hAnsi="Arial" w:cs="Arial"/>
            <w:kern w:val="0"/>
            <w:sz w:val="22"/>
            <w:szCs w:val="22"/>
            <w14:ligatures w14:val="none"/>
          </w:rPr>
          <w:t>https://doi.org/10.1080/08959420.2020.1851349</w:t>
        </w:r>
      </w:hyperlink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. </w:t>
      </w:r>
    </w:p>
    <w:p w14:paraId="68619568" w14:textId="724DB609" w:rsidR="00986A0F" w:rsidRPr="00D83830" w:rsidRDefault="00986A0F" w:rsidP="00D83830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eastAsia="Calibri" w:hAnsi="Arial" w:cs="Arial"/>
          <w:kern w:val="0"/>
          <w:sz w:val="22"/>
          <w:szCs w:val="22"/>
          <w14:ligatures w14:val="none"/>
        </w:rPr>
      </w:pP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Bölenius, K. </w:t>
      </w: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et al.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(2019) 'Perceptions of self-determination and quality of life among Swedish home care recipients - a cross-sectional study,' </w:t>
      </w: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BMC Geriatrics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, 19(1), p. 142. </w:t>
      </w:r>
      <w:hyperlink r:id="rId10" w:history="1">
        <w:r w:rsidRPr="00D83830">
          <w:rPr>
            <w:rStyle w:val="Hyperlink"/>
            <w:rFonts w:ascii="Arial" w:eastAsia="Calibri" w:hAnsi="Arial" w:cs="Arial"/>
            <w:kern w:val="0"/>
            <w:sz w:val="22"/>
            <w:szCs w:val="22"/>
            <w14:ligatures w14:val="none"/>
          </w:rPr>
          <w:t>https://doi.org/10.1186/s12877-019-1145-8</w:t>
        </w:r>
      </w:hyperlink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. </w:t>
      </w:r>
    </w:p>
    <w:p w14:paraId="02ADA288" w14:textId="48A023DE" w:rsidR="00986A0F" w:rsidRPr="00D83830" w:rsidRDefault="00986A0F" w:rsidP="00D83830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eastAsia="Calibri" w:hAnsi="Arial" w:cs="Arial"/>
          <w:kern w:val="0"/>
          <w:sz w:val="22"/>
          <w:szCs w:val="22"/>
          <w14:ligatures w14:val="none"/>
        </w:rPr>
      </w:pPr>
      <w:proofErr w:type="spellStart"/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>Boumans</w:t>
      </w:r>
      <w:proofErr w:type="spellEnd"/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, J. </w:t>
      </w: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et al.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(2021) 'Exploring how residential care facilities can enhance the autonomy of people with dementia and improve informal care,' </w:t>
      </w: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Dementia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, 21(1), pp. 136–152. </w:t>
      </w:r>
      <w:hyperlink r:id="rId11" w:history="1">
        <w:r w:rsidRPr="00D83830">
          <w:rPr>
            <w:rStyle w:val="Hyperlink"/>
            <w:rFonts w:ascii="Arial" w:eastAsia="Calibri" w:hAnsi="Arial" w:cs="Arial"/>
            <w:kern w:val="0"/>
            <w:sz w:val="22"/>
            <w:szCs w:val="22"/>
            <w14:ligatures w14:val="none"/>
          </w:rPr>
          <w:t>https://doi.org/10.1177/14713012211030501</w:t>
        </w:r>
      </w:hyperlink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. </w:t>
      </w:r>
    </w:p>
    <w:p w14:paraId="5A40F686" w14:textId="35C3074E" w:rsidR="00986A0F" w:rsidRPr="00D83830" w:rsidRDefault="00986A0F" w:rsidP="00D83830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eastAsia="Calibri" w:hAnsi="Arial" w:cs="Arial"/>
          <w:kern w:val="0"/>
          <w:sz w:val="22"/>
          <w:szCs w:val="22"/>
          <w14:ligatures w14:val="none"/>
        </w:rPr>
      </w:pP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Care homes market study: summary of final report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(2017). </w:t>
      </w:r>
      <w:hyperlink r:id="rId12" w:history="1">
        <w:r w:rsidR="00212032" w:rsidRPr="00D83830">
          <w:rPr>
            <w:rStyle w:val="Hyperlink"/>
            <w:rFonts w:ascii="Arial" w:eastAsia="Calibri" w:hAnsi="Arial" w:cs="Arial"/>
            <w:kern w:val="0"/>
            <w:sz w:val="22"/>
            <w:szCs w:val="22"/>
            <w14:ligatures w14:val="none"/>
          </w:rPr>
          <w:t>https://www.gov.uk/government/publications/care-homes-market-study-summary-of-final-report/care-homes-market-study-summary-of-final-report</w:t>
        </w:r>
      </w:hyperlink>
      <w:r w:rsidR="00212032"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(Accessed: March 6, 2026). </w:t>
      </w:r>
    </w:p>
    <w:p w14:paraId="093E5897" w14:textId="4C83E325" w:rsidR="00986A0F" w:rsidRPr="00D83830" w:rsidRDefault="00986A0F" w:rsidP="00D83830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eastAsia="Calibri" w:hAnsi="Arial" w:cs="Arial"/>
          <w:kern w:val="0"/>
          <w:sz w:val="22"/>
          <w:szCs w:val="22"/>
          <w14:ligatures w14:val="none"/>
        </w:rPr>
      </w:pPr>
      <w:proofErr w:type="spellStart"/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>Haghnia</w:t>
      </w:r>
      <w:proofErr w:type="spellEnd"/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, S. and </w:t>
      </w:r>
      <w:proofErr w:type="spellStart"/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>Olfat</w:t>
      </w:r>
      <w:proofErr w:type="spellEnd"/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, M. (2025) 'The impact of the physical environment on the autonomy of older adults in residential care: a systematic review,' </w:t>
      </w: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Journal of Aging and Environment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, pp. 1–25. </w:t>
      </w:r>
      <w:hyperlink r:id="rId13" w:history="1">
        <w:r w:rsidR="00212032" w:rsidRPr="00D83830">
          <w:rPr>
            <w:rStyle w:val="Hyperlink"/>
            <w:rFonts w:ascii="Arial" w:eastAsia="Calibri" w:hAnsi="Arial" w:cs="Arial"/>
            <w:kern w:val="0"/>
            <w:sz w:val="22"/>
            <w:szCs w:val="22"/>
            <w14:ligatures w14:val="none"/>
          </w:rPr>
          <w:t>https://doi.org/10.1080/26892618.2025.2552796</w:t>
        </w:r>
      </w:hyperlink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>.</w:t>
      </w:r>
      <w:r w:rsidR="00212032"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</w:t>
      </w:r>
    </w:p>
    <w:p w14:paraId="37D93E2C" w14:textId="17C4CD23" w:rsidR="00986A0F" w:rsidRPr="00D83830" w:rsidRDefault="00986A0F" w:rsidP="00D83830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eastAsia="Calibri" w:hAnsi="Arial" w:cs="Arial"/>
          <w:kern w:val="0"/>
          <w:sz w:val="22"/>
          <w:szCs w:val="22"/>
          <w14:ligatures w14:val="none"/>
        </w:rPr>
      </w:pP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Hall, A. </w:t>
      </w: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et al.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(2019) 'Moving beyond ‘safety’ versus ‘autonomy’: a qualitative exploration of the ethics of using monitoring technologies in long-term dementia care,' </w:t>
      </w: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BMC Geriatrics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, 19(1), p. 145. </w:t>
      </w:r>
      <w:hyperlink r:id="rId14" w:history="1">
        <w:r w:rsidR="00212032" w:rsidRPr="00D83830">
          <w:rPr>
            <w:rStyle w:val="Hyperlink"/>
            <w:rFonts w:ascii="Arial" w:eastAsia="Calibri" w:hAnsi="Arial" w:cs="Arial"/>
            <w:kern w:val="0"/>
            <w:sz w:val="22"/>
            <w:szCs w:val="22"/>
            <w14:ligatures w14:val="none"/>
          </w:rPr>
          <w:t>https://doi.org/10.1186/s12877-019-1155-6</w:t>
        </w:r>
      </w:hyperlink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>.</w:t>
      </w:r>
      <w:r w:rsidR="00212032"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</w:t>
      </w:r>
    </w:p>
    <w:p w14:paraId="2432E2FF" w14:textId="1675C174" w:rsidR="00986A0F" w:rsidRPr="00D83830" w:rsidRDefault="00986A0F" w:rsidP="00D83830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eastAsia="Calibri" w:hAnsi="Arial" w:cs="Arial"/>
          <w:kern w:val="0"/>
          <w:sz w:val="22"/>
          <w:szCs w:val="22"/>
          <w14:ligatures w14:val="none"/>
        </w:rPr>
      </w:pP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Hedman, M. </w:t>
      </w: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et al.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(2017) 'Caring in nursing homes to promote autonomy and participation,' </w:t>
      </w: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Nursing Ethics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, 26(1), pp. 280–292. </w:t>
      </w:r>
      <w:hyperlink r:id="rId15" w:history="1">
        <w:r w:rsidR="00212032" w:rsidRPr="00D83830">
          <w:rPr>
            <w:rStyle w:val="Hyperlink"/>
            <w:rFonts w:ascii="Arial" w:eastAsia="Calibri" w:hAnsi="Arial" w:cs="Arial"/>
            <w:kern w:val="0"/>
            <w:sz w:val="22"/>
            <w:szCs w:val="22"/>
            <w14:ligatures w14:val="none"/>
          </w:rPr>
          <w:t>https://doi.org/10.1177/0969733017703698</w:t>
        </w:r>
      </w:hyperlink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>.</w:t>
      </w:r>
      <w:r w:rsidR="00212032"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</w:t>
      </w:r>
    </w:p>
    <w:p w14:paraId="4F3B0F47" w14:textId="66FC8F77" w:rsidR="00986A0F" w:rsidRPr="00D83830" w:rsidRDefault="00986A0F" w:rsidP="00D83830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eastAsia="Calibri" w:hAnsi="Arial" w:cs="Arial"/>
          <w:kern w:val="0"/>
          <w:sz w:val="22"/>
          <w:szCs w:val="22"/>
          <w14:ligatures w14:val="none"/>
        </w:rPr>
      </w:pP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Heggestad, A.K.T. </w:t>
      </w: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et al.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(2015) 'Dignity, dependence, and relational autonomy for older people living in nursing homes,' </w:t>
      </w: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International Journal for Human Caring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, 19(3), pp. 42–46. </w:t>
      </w:r>
      <w:hyperlink r:id="rId16" w:history="1">
        <w:r w:rsidR="00212032" w:rsidRPr="00D83830">
          <w:rPr>
            <w:rStyle w:val="Hyperlink"/>
            <w:rFonts w:ascii="Arial" w:eastAsia="Calibri" w:hAnsi="Arial" w:cs="Arial"/>
            <w:kern w:val="0"/>
            <w:sz w:val="22"/>
            <w:szCs w:val="22"/>
            <w14:ligatures w14:val="none"/>
          </w:rPr>
          <w:t>https://doi.org/10.20467/1091-5710.19.3.42</w:t>
        </w:r>
      </w:hyperlink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>.</w:t>
      </w:r>
      <w:r w:rsidR="00212032"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</w:t>
      </w:r>
    </w:p>
    <w:p w14:paraId="27C5EAF0" w14:textId="1772A415" w:rsidR="00986A0F" w:rsidRPr="00D83830" w:rsidRDefault="00986A0F" w:rsidP="00D83830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eastAsia="Calibri" w:hAnsi="Arial" w:cs="Arial"/>
          <w:kern w:val="0"/>
          <w:sz w:val="22"/>
          <w:szCs w:val="22"/>
          <w14:ligatures w14:val="none"/>
        </w:rPr>
      </w:pPr>
      <w:proofErr w:type="spellStart"/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>Killaspy</w:t>
      </w:r>
      <w:proofErr w:type="spellEnd"/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, H. </w:t>
      </w: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et al.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(2016) 'Quality of life, autonomy, satisfaction, and costs associated with mental health supported accommodation services in England: a national survey,' </w:t>
      </w: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The Lancet Psychiatry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, 3(12), pp. 1129–1137. </w:t>
      </w:r>
      <w:hyperlink r:id="rId17" w:history="1">
        <w:r w:rsidR="00212032" w:rsidRPr="00D83830">
          <w:rPr>
            <w:rStyle w:val="Hyperlink"/>
            <w:rFonts w:ascii="Arial" w:eastAsia="Calibri" w:hAnsi="Arial" w:cs="Arial"/>
            <w:kern w:val="0"/>
            <w:sz w:val="22"/>
            <w:szCs w:val="22"/>
            <w14:ligatures w14:val="none"/>
          </w:rPr>
          <w:t>https://doi.org/10.1016/s2215-0366(16)30327-3</w:t>
        </w:r>
      </w:hyperlink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>.</w:t>
      </w:r>
      <w:r w:rsidR="00212032"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</w:t>
      </w:r>
    </w:p>
    <w:p w14:paraId="6ED2D25A" w14:textId="5D762E8B" w:rsidR="00986A0F" w:rsidRPr="00D83830" w:rsidRDefault="00986A0F" w:rsidP="00D83830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eastAsia="Calibri" w:hAnsi="Arial" w:cs="Arial"/>
          <w:kern w:val="0"/>
          <w:sz w:val="22"/>
          <w:szCs w:val="22"/>
          <w14:ligatures w14:val="none"/>
        </w:rPr>
      </w:pP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Local Government Association and Age UK (2012) (2012) </w:t>
      </w: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Delivering Dignity: Securing dignity in care for colder people in hospitals and care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, </w:t>
      </w: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NHS Confederation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>. NHS Confederation.</w:t>
      </w:r>
      <w:r w:rsidR="00212032"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</w:t>
      </w:r>
      <w:proofErr w:type="spellStart"/>
      <w:r w:rsidR="00212032"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>Availabe</w:t>
      </w:r>
      <w:proofErr w:type="spellEnd"/>
      <w:r w:rsidR="00212032"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at: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</w:t>
      </w:r>
      <w:hyperlink r:id="rId18" w:history="1">
        <w:r w:rsidR="00212032" w:rsidRPr="00D83830">
          <w:rPr>
            <w:rStyle w:val="Hyperlink"/>
            <w:rFonts w:ascii="Arial" w:eastAsia="Calibri" w:hAnsi="Arial" w:cs="Arial"/>
            <w:kern w:val="0"/>
            <w:sz w:val="22"/>
            <w:szCs w:val="22"/>
            <w14:ligatures w14:val="none"/>
          </w:rPr>
          <w:t>https://www.nhsconfed.org/publications/delivering-dignity</w:t>
        </w:r>
      </w:hyperlink>
      <w:r w:rsidR="00212032"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>(Accessed: March 7, 2026).</w:t>
      </w:r>
      <w:r w:rsidR="00212032"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</w:t>
      </w:r>
    </w:p>
    <w:p w14:paraId="28DCA661" w14:textId="622157C9" w:rsidR="00986A0F" w:rsidRPr="00D83830" w:rsidRDefault="00986A0F" w:rsidP="00D83830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eastAsia="Calibri" w:hAnsi="Arial" w:cs="Arial"/>
          <w:kern w:val="0"/>
          <w:sz w:val="22"/>
          <w:szCs w:val="22"/>
          <w14:ligatures w14:val="none"/>
        </w:rPr>
      </w:pP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Mikton, C. </w:t>
      </w: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et al.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(2021) 'Ageism: a social determinant of health that has come of age,' </w:t>
      </w: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The Lancet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, 397(10282), pp. 1333–1334. </w:t>
      </w:r>
      <w:hyperlink r:id="rId19" w:history="1">
        <w:r w:rsidR="00212032" w:rsidRPr="00D83830">
          <w:rPr>
            <w:rStyle w:val="Hyperlink"/>
            <w:rFonts w:ascii="Arial" w:eastAsia="Calibri" w:hAnsi="Arial" w:cs="Arial"/>
            <w:kern w:val="0"/>
            <w:sz w:val="22"/>
            <w:szCs w:val="22"/>
            <w14:ligatures w14:val="none"/>
          </w:rPr>
          <w:t>https://doi.org/10.1016/s0140-6736(21)00524-9</w:t>
        </w:r>
      </w:hyperlink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>.</w:t>
      </w:r>
      <w:r w:rsidR="00212032"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</w:t>
      </w:r>
    </w:p>
    <w:p w14:paraId="33E7AF6E" w14:textId="45267269" w:rsidR="00986A0F" w:rsidRPr="00D83830" w:rsidRDefault="00986A0F" w:rsidP="00D83830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eastAsia="Calibri" w:hAnsi="Arial" w:cs="Arial"/>
          <w:kern w:val="0"/>
          <w:sz w:val="22"/>
          <w:szCs w:val="22"/>
          <w14:ligatures w14:val="none"/>
        </w:rPr>
      </w:pP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Moilanen, T. </w:t>
      </w: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et al.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(2020) 'Older people’s perceived autonomy in residential care: An integrative review,' </w:t>
      </w: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Nursing Ethics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, 28(3), pp. 414–434. </w:t>
      </w:r>
      <w:hyperlink r:id="rId20" w:history="1">
        <w:r w:rsidR="00212032" w:rsidRPr="00D83830">
          <w:rPr>
            <w:rStyle w:val="Hyperlink"/>
            <w:rFonts w:ascii="Arial" w:eastAsia="Calibri" w:hAnsi="Arial" w:cs="Arial"/>
            <w:kern w:val="0"/>
            <w:sz w:val="22"/>
            <w:szCs w:val="22"/>
            <w14:ligatures w14:val="none"/>
          </w:rPr>
          <w:t>https://doi.org/10.1177/0969733020948115</w:t>
        </w:r>
      </w:hyperlink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>.</w:t>
      </w:r>
      <w:r w:rsidR="00212032"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</w:t>
      </w:r>
    </w:p>
    <w:p w14:paraId="5A41E0C8" w14:textId="55A859E6" w:rsidR="00986A0F" w:rsidRPr="00D83830" w:rsidRDefault="00986A0F" w:rsidP="00D83830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eastAsia="Calibri" w:hAnsi="Arial" w:cs="Arial"/>
          <w:kern w:val="0"/>
          <w:sz w:val="22"/>
          <w:szCs w:val="22"/>
          <w14:ligatures w14:val="none"/>
        </w:rPr>
      </w:pP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NHS England (2023) </w:t>
      </w: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NHS England » Inclusive Digital Healthcare: A framework for NHS Action on Digital Inclusion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. </w:t>
      </w:r>
      <w:r w:rsidR="00212032"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Available at: </w:t>
      </w:r>
      <w:hyperlink r:id="rId21" w:history="1">
        <w:r w:rsidR="00212032" w:rsidRPr="00D83830">
          <w:rPr>
            <w:rStyle w:val="Hyperlink"/>
            <w:rFonts w:ascii="Arial" w:eastAsia="Calibri" w:hAnsi="Arial" w:cs="Arial"/>
            <w:kern w:val="0"/>
            <w:sz w:val="22"/>
            <w:szCs w:val="22"/>
            <w14:ligatures w14:val="none"/>
          </w:rPr>
          <w:t>https://www.england.nhs.uk/long-read/inclusive-</w:t>
        </w:r>
        <w:r w:rsidR="00212032" w:rsidRPr="00D83830">
          <w:rPr>
            <w:rStyle w:val="Hyperlink"/>
            <w:rFonts w:ascii="Arial" w:eastAsia="Calibri" w:hAnsi="Arial" w:cs="Arial"/>
            <w:kern w:val="0"/>
            <w:sz w:val="22"/>
            <w:szCs w:val="22"/>
            <w14:ligatures w14:val="none"/>
          </w:rPr>
          <w:lastRenderedPageBreak/>
          <w:t>digital-healthcare-a-framework-for-nhs-action-on-digital-inclusion/</w:t>
        </w:r>
      </w:hyperlink>
      <w:r w:rsidR="00212032"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(Accessed: March 7, 2026).</w:t>
      </w:r>
    </w:p>
    <w:p w14:paraId="2C593FFC" w14:textId="0544443F" w:rsidR="00986A0F" w:rsidRPr="00D83830" w:rsidRDefault="00986A0F" w:rsidP="00D83830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eastAsia="Calibri" w:hAnsi="Arial" w:cs="Arial"/>
          <w:kern w:val="0"/>
          <w:sz w:val="22"/>
          <w:szCs w:val="22"/>
          <w14:ligatures w14:val="none"/>
        </w:rPr>
      </w:pP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Rand, S. </w:t>
      </w: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et al.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(2021) 'Measuring safety in older adult care homes: a scoping review of the international literature,' </w:t>
      </w: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BMJ Open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, 11(3), p. e043206. </w:t>
      </w:r>
      <w:hyperlink r:id="rId22" w:history="1">
        <w:r w:rsidR="00212032" w:rsidRPr="00D83830">
          <w:rPr>
            <w:rStyle w:val="Hyperlink"/>
            <w:rFonts w:ascii="Arial" w:eastAsia="Calibri" w:hAnsi="Arial" w:cs="Arial"/>
            <w:kern w:val="0"/>
            <w:sz w:val="22"/>
            <w:szCs w:val="22"/>
            <w14:ligatures w14:val="none"/>
          </w:rPr>
          <w:t>https://doi.org/10.1136/bmjopen-2020-043206</w:t>
        </w:r>
      </w:hyperlink>
      <w:r w:rsidR="00212032"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. </w:t>
      </w:r>
    </w:p>
    <w:p w14:paraId="76F86C87" w14:textId="1AA3CC83" w:rsidR="00986A0F" w:rsidRPr="00D83830" w:rsidRDefault="00986A0F" w:rsidP="00D83830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eastAsia="Calibri" w:hAnsi="Arial" w:cs="Arial"/>
          <w:kern w:val="0"/>
          <w:sz w:val="22"/>
          <w:szCs w:val="22"/>
          <w14:ligatures w14:val="none"/>
        </w:rPr>
      </w:pP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Social Care 360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(2025). The King’s Fund. </w:t>
      </w:r>
      <w:hyperlink r:id="rId23" w:history="1">
        <w:r w:rsidR="00212032" w:rsidRPr="00D83830">
          <w:rPr>
            <w:rStyle w:val="Hyperlink"/>
            <w:rFonts w:ascii="Arial" w:eastAsia="Calibri" w:hAnsi="Arial" w:cs="Arial"/>
            <w:kern w:val="0"/>
            <w:sz w:val="22"/>
            <w:szCs w:val="22"/>
            <w14:ligatures w14:val="none"/>
          </w:rPr>
          <w:t>https://www.kingsfund.org.uk/insight-and-analysis/long-reads/social-care-360</w:t>
        </w:r>
      </w:hyperlink>
      <w:r w:rsidR="00212032"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>(Accessed: March 7, 2026).</w:t>
      </w:r>
    </w:p>
    <w:p w14:paraId="336869E9" w14:textId="017AACC7" w:rsidR="00986A0F" w:rsidRPr="00D83830" w:rsidRDefault="00986A0F" w:rsidP="00D83830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eastAsia="Calibri" w:hAnsi="Arial" w:cs="Arial"/>
          <w:kern w:val="0"/>
          <w:sz w:val="22"/>
          <w:szCs w:val="22"/>
          <w14:ligatures w14:val="none"/>
        </w:rPr>
      </w:pP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Spilsbury, K. </w:t>
      </w: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et al.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(2024) 'Relationship between staff and quality of care in care homes: StaRQ mixed methods study,' </w:t>
      </w: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Health and Social Care Delivery Research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, 12(8), pp. 1–139. </w:t>
      </w:r>
      <w:hyperlink r:id="rId24" w:history="1">
        <w:r w:rsidR="00D752EA" w:rsidRPr="00D83830">
          <w:rPr>
            <w:rStyle w:val="Hyperlink"/>
            <w:rFonts w:ascii="Arial" w:eastAsia="Calibri" w:hAnsi="Arial" w:cs="Arial"/>
            <w:kern w:val="0"/>
            <w:sz w:val="22"/>
            <w:szCs w:val="22"/>
            <w14:ligatures w14:val="none"/>
          </w:rPr>
          <w:t>https://doi.org/10.3310/gwtt8143</w:t>
        </w:r>
      </w:hyperlink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>.</w:t>
      </w:r>
      <w:r w:rsidR="00D752EA"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</w:t>
      </w:r>
    </w:p>
    <w:p w14:paraId="47B3D4A7" w14:textId="58AE1231" w:rsidR="00986A0F" w:rsidRPr="00D83830" w:rsidRDefault="00986A0F" w:rsidP="00D83830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eastAsia="Calibri" w:hAnsi="Arial" w:cs="Arial"/>
          <w:kern w:val="0"/>
          <w:sz w:val="22"/>
          <w:szCs w:val="22"/>
          <w14:ligatures w14:val="none"/>
        </w:rPr>
      </w:pP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Towers, A.-M. </w:t>
      </w: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et al.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(2019) 'A cross-sectional study exploring the relationship between regulator quality ratings and care home residents’ quality of life in England,' </w:t>
      </w: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Health and Quality of Life Outcomes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, 17(1), p. 22. </w:t>
      </w:r>
      <w:hyperlink r:id="rId25" w:history="1">
        <w:r w:rsidR="00D752EA" w:rsidRPr="00D83830">
          <w:rPr>
            <w:rStyle w:val="Hyperlink"/>
            <w:rFonts w:ascii="Arial" w:eastAsia="Calibri" w:hAnsi="Arial" w:cs="Arial"/>
            <w:kern w:val="0"/>
            <w:sz w:val="22"/>
            <w:szCs w:val="22"/>
            <w14:ligatures w14:val="none"/>
          </w:rPr>
          <w:t>https://doi.org/10.1186/s12955-019-1093-1</w:t>
        </w:r>
      </w:hyperlink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>.</w:t>
      </w:r>
      <w:r w:rsidR="00D752EA"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</w:t>
      </w:r>
    </w:p>
    <w:p w14:paraId="58F1EFAC" w14:textId="3D51FCA6" w:rsidR="00986A0F" w:rsidRPr="00D83830" w:rsidRDefault="00986A0F" w:rsidP="00D83830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eastAsia="Calibri" w:hAnsi="Arial" w:cs="Arial"/>
          <w:kern w:val="0"/>
          <w:sz w:val="22"/>
          <w:szCs w:val="22"/>
          <w14:ligatures w14:val="none"/>
        </w:rPr>
      </w:pP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Van Loon, J. </w:t>
      </w: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et al.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(2019) 'Facilitators and barriers to autonomy: a systematic literature review for older adults with physical impairments, living in residential care facilities,' </w:t>
      </w: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Ageing and Society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, 41(5), pp. 1021–1050. </w:t>
      </w:r>
      <w:hyperlink r:id="rId26" w:history="1">
        <w:r w:rsidR="00D752EA" w:rsidRPr="00D83830">
          <w:rPr>
            <w:rStyle w:val="Hyperlink"/>
            <w:rFonts w:ascii="Arial" w:eastAsia="Calibri" w:hAnsi="Arial" w:cs="Arial"/>
            <w:kern w:val="0"/>
            <w:sz w:val="22"/>
            <w:szCs w:val="22"/>
            <w14:ligatures w14:val="none"/>
          </w:rPr>
          <w:t>https://doi.org/10.1017/s0144686x19001557</w:t>
        </w:r>
      </w:hyperlink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>.</w:t>
      </w:r>
      <w:r w:rsidR="00D752EA"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</w:t>
      </w:r>
    </w:p>
    <w:p w14:paraId="54846DA1" w14:textId="010B406C" w:rsidR="00986A0F" w:rsidRPr="00D83830" w:rsidRDefault="00986A0F" w:rsidP="00D83830">
      <w:pPr>
        <w:pStyle w:val="ListParagraph"/>
        <w:numPr>
          <w:ilvl w:val="0"/>
          <w:numId w:val="4"/>
        </w:numPr>
        <w:spacing w:line="276" w:lineRule="auto"/>
        <w:jc w:val="both"/>
        <w:rPr>
          <w:rFonts w:ascii="Arial" w:eastAsia="Calibri" w:hAnsi="Arial" w:cs="Arial"/>
          <w:kern w:val="0"/>
          <w:sz w:val="22"/>
          <w:szCs w:val="22"/>
          <w14:ligatures w14:val="none"/>
        </w:rPr>
      </w:pPr>
      <w:r w:rsidRPr="00D83830">
        <w:rPr>
          <w:rFonts w:ascii="Arial" w:eastAsia="Calibri" w:hAnsi="Arial" w:cs="Arial"/>
          <w:i/>
          <w:iCs/>
          <w:kern w:val="0"/>
          <w:sz w:val="22"/>
          <w:szCs w:val="22"/>
          <w14:ligatures w14:val="none"/>
        </w:rPr>
        <w:t>Your guide to the Care Act (England) | Carers UK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(no date). </w:t>
      </w:r>
      <w:r w:rsidR="00D752EA"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</w:t>
      </w:r>
      <w:hyperlink r:id="rId27" w:history="1">
        <w:r w:rsidR="00D752EA" w:rsidRPr="00D83830">
          <w:rPr>
            <w:rStyle w:val="Hyperlink"/>
            <w:rFonts w:ascii="Arial" w:eastAsia="Calibri" w:hAnsi="Arial" w:cs="Arial"/>
            <w:kern w:val="0"/>
            <w:sz w:val="22"/>
            <w:szCs w:val="22"/>
            <w14:ligatures w14:val="none"/>
          </w:rPr>
          <w:t>https://www.carersuk.org/help-and-advice/guides-and-tools/your-guide-to-the-care-act-england/</w:t>
        </w:r>
      </w:hyperlink>
      <w:r w:rsidR="00D752EA"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</w:t>
      </w:r>
      <w:r w:rsidRPr="00D83830">
        <w:rPr>
          <w:rFonts w:ascii="Arial" w:eastAsia="Calibri" w:hAnsi="Arial" w:cs="Arial"/>
          <w:kern w:val="0"/>
          <w:sz w:val="22"/>
          <w:szCs w:val="22"/>
          <w14:ligatures w14:val="none"/>
        </w:rPr>
        <w:t>(Accessed: March 7, 2026).</w:t>
      </w:r>
    </w:p>
    <w:p w14:paraId="7F8843EA" w14:textId="4F8F8F10" w:rsidR="00B121D7" w:rsidRPr="00D752EA" w:rsidRDefault="00B121D7" w:rsidP="00D752EA">
      <w:pPr>
        <w:spacing w:after="0" w:line="360" w:lineRule="auto"/>
        <w:ind w:left="360"/>
        <w:jc w:val="both"/>
        <w:rPr>
          <w:rFonts w:ascii="Arial" w:eastAsia="Calibri" w:hAnsi="Arial" w:cs="Arial"/>
          <w:kern w:val="0"/>
          <w:sz w:val="22"/>
          <w:szCs w:val="20"/>
          <w:lang w:val="en-GB"/>
          <w14:ligatures w14:val="none"/>
        </w:rPr>
      </w:pPr>
    </w:p>
    <w:sectPr w:rsidR="00B121D7" w:rsidRPr="00D752E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733DC3" w14:textId="77777777" w:rsidR="00B87360" w:rsidRDefault="00B87360" w:rsidP="002A129E">
      <w:pPr>
        <w:spacing w:after="0" w:line="240" w:lineRule="auto"/>
      </w:pPr>
      <w:r>
        <w:separator/>
      </w:r>
    </w:p>
  </w:endnote>
  <w:endnote w:type="continuationSeparator" w:id="0">
    <w:p w14:paraId="226016BB" w14:textId="77777777" w:rsidR="00B87360" w:rsidRDefault="00B87360" w:rsidP="002A12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E7EDD1" w14:textId="77777777" w:rsidR="00B87360" w:rsidRDefault="00B87360" w:rsidP="002A129E">
      <w:pPr>
        <w:spacing w:after="0" w:line="240" w:lineRule="auto"/>
      </w:pPr>
      <w:r>
        <w:separator/>
      </w:r>
    </w:p>
  </w:footnote>
  <w:footnote w:type="continuationSeparator" w:id="0">
    <w:p w14:paraId="1875D043" w14:textId="77777777" w:rsidR="00B87360" w:rsidRDefault="00B87360" w:rsidP="002A129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9B6DEE"/>
    <w:multiLevelType w:val="hybridMultilevel"/>
    <w:tmpl w:val="2DD22FE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AC50BC4"/>
    <w:multiLevelType w:val="hybridMultilevel"/>
    <w:tmpl w:val="F8A68DC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C1A7DC4"/>
    <w:multiLevelType w:val="hybridMultilevel"/>
    <w:tmpl w:val="2FA42F9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B431161"/>
    <w:multiLevelType w:val="hybridMultilevel"/>
    <w:tmpl w:val="BE0C4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08763282">
    <w:abstractNumId w:val="3"/>
  </w:num>
  <w:num w:numId="2" w16cid:durableId="711418623">
    <w:abstractNumId w:val="0"/>
  </w:num>
  <w:num w:numId="3" w16cid:durableId="2125297213">
    <w:abstractNumId w:val="1"/>
  </w:num>
  <w:num w:numId="4" w16cid:durableId="68120716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1FE8"/>
    <w:rsid w:val="000020CE"/>
    <w:rsid w:val="00043CA1"/>
    <w:rsid w:val="00061C62"/>
    <w:rsid w:val="000844D6"/>
    <w:rsid w:val="000A684C"/>
    <w:rsid w:val="000B0A0D"/>
    <w:rsid w:val="000B76E7"/>
    <w:rsid w:val="001362BF"/>
    <w:rsid w:val="00162EE6"/>
    <w:rsid w:val="001B1B25"/>
    <w:rsid w:val="001B6040"/>
    <w:rsid w:val="001C36BD"/>
    <w:rsid w:val="001C51A8"/>
    <w:rsid w:val="001E425B"/>
    <w:rsid w:val="00212032"/>
    <w:rsid w:val="002201D4"/>
    <w:rsid w:val="00245ECC"/>
    <w:rsid w:val="0025596D"/>
    <w:rsid w:val="002A129E"/>
    <w:rsid w:val="00321FE8"/>
    <w:rsid w:val="00334FBC"/>
    <w:rsid w:val="00355CAF"/>
    <w:rsid w:val="00380E5D"/>
    <w:rsid w:val="003F2078"/>
    <w:rsid w:val="0046049B"/>
    <w:rsid w:val="004B22D6"/>
    <w:rsid w:val="004C37EA"/>
    <w:rsid w:val="004D6681"/>
    <w:rsid w:val="00500C1C"/>
    <w:rsid w:val="005250BD"/>
    <w:rsid w:val="00546B95"/>
    <w:rsid w:val="005733FC"/>
    <w:rsid w:val="00627CBF"/>
    <w:rsid w:val="0064267A"/>
    <w:rsid w:val="00642F73"/>
    <w:rsid w:val="006616FE"/>
    <w:rsid w:val="006D28A7"/>
    <w:rsid w:val="00702301"/>
    <w:rsid w:val="00713174"/>
    <w:rsid w:val="00714466"/>
    <w:rsid w:val="007818A5"/>
    <w:rsid w:val="007968E0"/>
    <w:rsid w:val="008B6A19"/>
    <w:rsid w:val="008D22F7"/>
    <w:rsid w:val="00901868"/>
    <w:rsid w:val="009172E7"/>
    <w:rsid w:val="00986A0F"/>
    <w:rsid w:val="00A17A0D"/>
    <w:rsid w:val="00A276B0"/>
    <w:rsid w:val="00A4754F"/>
    <w:rsid w:val="00A550D1"/>
    <w:rsid w:val="00A92916"/>
    <w:rsid w:val="00AD2C00"/>
    <w:rsid w:val="00AE0E43"/>
    <w:rsid w:val="00B00F3C"/>
    <w:rsid w:val="00B121D7"/>
    <w:rsid w:val="00B15B64"/>
    <w:rsid w:val="00B16829"/>
    <w:rsid w:val="00B366E9"/>
    <w:rsid w:val="00B56981"/>
    <w:rsid w:val="00B56DD1"/>
    <w:rsid w:val="00B66A49"/>
    <w:rsid w:val="00B80464"/>
    <w:rsid w:val="00B87360"/>
    <w:rsid w:val="00BE25B0"/>
    <w:rsid w:val="00C6556E"/>
    <w:rsid w:val="00C72108"/>
    <w:rsid w:val="00CE411B"/>
    <w:rsid w:val="00D203B0"/>
    <w:rsid w:val="00D56C1A"/>
    <w:rsid w:val="00D752EA"/>
    <w:rsid w:val="00D77722"/>
    <w:rsid w:val="00D83830"/>
    <w:rsid w:val="00DE1D94"/>
    <w:rsid w:val="00DF55E4"/>
    <w:rsid w:val="00E04DDD"/>
    <w:rsid w:val="00E33A26"/>
    <w:rsid w:val="00E5516F"/>
    <w:rsid w:val="00E828E7"/>
    <w:rsid w:val="00E83A33"/>
    <w:rsid w:val="00E86B5B"/>
    <w:rsid w:val="00F13B4C"/>
    <w:rsid w:val="00FA060D"/>
    <w:rsid w:val="00FD2370"/>
    <w:rsid w:val="00FF26F4"/>
    <w:rsid w:val="00FF6E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C7A978"/>
  <w15:chartTrackingRefBased/>
  <w15:docId w15:val="{4B47FECB-0391-42BD-BC28-F1C2DD63D0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1F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1F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21F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1F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1F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1F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1F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1F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1F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1FE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1FE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1FE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1FE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1FE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1F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1F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1F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1F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1F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1F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1F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1F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1FE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1F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1F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1F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1F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1F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1FE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00C1C"/>
    <w:pPr>
      <w:spacing w:after="0" w:line="240" w:lineRule="auto"/>
    </w:pPr>
    <w:rPr>
      <w:kern w:val="0"/>
      <w:lang w:val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121D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21D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A129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129E"/>
  </w:style>
  <w:style w:type="paragraph" w:styleId="Footer">
    <w:name w:val="footer"/>
    <w:basedOn w:val="Normal"/>
    <w:link w:val="FooterChar"/>
    <w:uiPriority w:val="99"/>
    <w:unhideWhenUsed/>
    <w:rsid w:val="002A129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129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qc.org.uk/publications/major-report/state-care/2024-2025/access/asc" TargetMode="External"/><Relationship Id="rId13" Type="http://schemas.openxmlformats.org/officeDocument/2006/relationships/hyperlink" Target="https://doi.org/10.1080/26892618.2025.2552796" TargetMode="External"/><Relationship Id="rId18" Type="http://schemas.openxmlformats.org/officeDocument/2006/relationships/hyperlink" Target="https://www.nhsconfed.org/publications/delivering-dignity" TargetMode="External"/><Relationship Id="rId26" Type="http://schemas.openxmlformats.org/officeDocument/2006/relationships/hyperlink" Target="https://doi.org/10.1017/s0144686x19001557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england.nhs.uk/long-read/inclusive-digital-healthcare-a-framework-for-nhs-action-on-digital-inclusion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gov.uk/government/publications/care-homes-market-study-summary-of-final-report/care-homes-market-study-summary-of-final-report" TargetMode="External"/><Relationship Id="rId17" Type="http://schemas.openxmlformats.org/officeDocument/2006/relationships/hyperlink" Target="https://doi.org/10.1016/s2215-0366(16)30327-3" TargetMode="External"/><Relationship Id="rId25" Type="http://schemas.openxmlformats.org/officeDocument/2006/relationships/hyperlink" Target="https://doi.org/10.1186/s12955-019-1093-1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oi.org/10.20467/1091-5710.19.3.42" TargetMode="External"/><Relationship Id="rId20" Type="http://schemas.openxmlformats.org/officeDocument/2006/relationships/hyperlink" Target="https://doi.org/10.1177/0969733020948115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177/14713012211030501" TargetMode="External"/><Relationship Id="rId24" Type="http://schemas.openxmlformats.org/officeDocument/2006/relationships/hyperlink" Target="https://doi.org/10.3310/gwtt8143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1177/0969733017703698" TargetMode="External"/><Relationship Id="rId23" Type="http://schemas.openxmlformats.org/officeDocument/2006/relationships/hyperlink" Target="https://www.kingsfund.org.uk/insight-and-analysis/long-reads/social-care-360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doi.org/10.1186/s12877-019-1145-8" TargetMode="External"/><Relationship Id="rId19" Type="http://schemas.openxmlformats.org/officeDocument/2006/relationships/hyperlink" Target="https://doi.org/10.1016/s0140-6736(21)00524-9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080/08959420.2020.1851349" TargetMode="External"/><Relationship Id="rId14" Type="http://schemas.openxmlformats.org/officeDocument/2006/relationships/hyperlink" Target="https://doi.org/10.1186/s12877-019-1155-6" TargetMode="External"/><Relationship Id="rId22" Type="http://schemas.openxmlformats.org/officeDocument/2006/relationships/hyperlink" Target="https://doi.org/10.1136/bmjopen-2020-043206" TargetMode="External"/><Relationship Id="rId27" Type="http://schemas.openxmlformats.org/officeDocument/2006/relationships/hyperlink" Target="https://www.carersuk.org/help-and-advice/guides-and-tools/your-guide-to-the-care-act-england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0ECEA6D-EB92-467D-90BD-8A799B0C1A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912</Words>
  <Characters>5200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Mumuni</dc:creator>
  <cp:keywords/>
  <dc:description/>
  <cp:lastModifiedBy>EUNICE ANSONG MENSAH YEBOAH</cp:lastModifiedBy>
  <cp:revision>2</cp:revision>
  <dcterms:created xsi:type="dcterms:W3CDTF">2026-03-09T23:08:00Z</dcterms:created>
  <dcterms:modified xsi:type="dcterms:W3CDTF">2026-03-09T23:08:00Z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dae9b809-5753-4c83-b013-dbaf5ca3c2de</vt:lpwstr>
  </property>
</Properties>
</file>