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CF8C5" w14:textId="77777777" w:rsidR="00C105D2" w:rsidRPr="00C105D2" w:rsidRDefault="00C105D2" w:rsidP="00C105D2">
      <w:pPr>
        <w:rPr>
          <w:rFonts w:ascii="Times New Roman" w:eastAsia="Times New Roman" w:hAnsi="Times New Roman" w:cs="Times New Roman"/>
          <w:b/>
          <w:sz w:val="24"/>
          <w:szCs w:val="24"/>
        </w:rPr>
      </w:pPr>
    </w:p>
    <w:p w14:paraId="7D7066FE" w14:textId="77777777" w:rsidR="00C105D2" w:rsidRDefault="00C105D2" w:rsidP="00C105D2">
      <w:pPr>
        <w:jc w:val="center"/>
        <w:rPr>
          <w:rFonts w:ascii="Times New Roman" w:eastAsia="Times New Roman" w:hAnsi="Times New Roman" w:cs="Times New Roman"/>
          <w:b/>
          <w:sz w:val="32"/>
          <w:szCs w:val="24"/>
          <w:lang w:val="en-GB"/>
        </w:rPr>
      </w:pPr>
    </w:p>
    <w:p w14:paraId="5C2C1EC6" w14:textId="77777777" w:rsidR="00C105D2" w:rsidRDefault="00C105D2" w:rsidP="00C105D2">
      <w:pPr>
        <w:jc w:val="center"/>
        <w:rPr>
          <w:rFonts w:ascii="Times New Roman" w:eastAsia="Times New Roman" w:hAnsi="Times New Roman" w:cs="Times New Roman"/>
          <w:b/>
          <w:sz w:val="32"/>
          <w:szCs w:val="24"/>
          <w:lang w:val="en-GB"/>
        </w:rPr>
      </w:pPr>
    </w:p>
    <w:p w14:paraId="23A57F8D" w14:textId="77777777" w:rsidR="00C105D2" w:rsidRDefault="00C105D2" w:rsidP="00C105D2">
      <w:pPr>
        <w:jc w:val="center"/>
        <w:rPr>
          <w:rFonts w:ascii="Times New Roman" w:eastAsia="Times New Roman" w:hAnsi="Times New Roman" w:cs="Times New Roman"/>
          <w:b/>
          <w:sz w:val="32"/>
          <w:szCs w:val="24"/>
          <w:lang w:val="en-GB"/>
        </w:rPr>
      </w:pPr>
    </w:p>
    <w:p w14:paraId="1F1B1419" w14:textId="77777777" w:rsidR="00C105D2" w:rsidRDefault="00C105D2" w:rsidP="00C105D2">
      <w:pPr>
        <w:jc w:val="center"/>
        <w:rPr>
          <w:rFonts w:ascii="Times New Roman" w:eastAsia="Times New Roman" w:hAnsi="Times New Roman" w:cs="Times New Roman"/>
          <w:b/>
          <w:sz w:val="32"/>
          <w:szCs w:val="24"/>
          <w:lang w:val="en-GB"/>
        </w:rPr>
      </w:pPr>
    </w:p>
    <w:p w14:paraId="6CDECEAF" w14:textId="77777777" w:rsidR="00C105D2" w:rsidRDefault="00C105D2" w:rsidP="00C105D2">
      <w:pPr>
        <w:jc w:val="center"/>
        <w:rPr>
          <w:rFonts w:ascii="Times New Roman" w:eastAsia="Times New Roman" w:hAnsi="Times New Roman" w:cs="Times New Roman"/>
          <w:b/>
          <w:sz w:val="32"/>
          <w:szCs w:val="24"/>
          <w:lang w:val="en-GB"/>
        </w:rPr>
      </w:pPr>
    </w:p>
    <w:p w14:paraId="3AABF3FB" w14:textId="77777777" w:rsidR="00C105D2" w:rsidRDefault="00C105D2" w:rsidP="00C105D2">
      <w:pPr>
        <w:jc w:val="center"/>
        <w:rPr>
          <w:rFonts w:ascii="Times New Roman" w:eastAsia="Times New Roman" w:hAnsi="Times New Roman" w:cs="Times New Roman"/>
          <w:b/>
          <w:sz w:val="32"/>
          <w:szCs w:val="24"/>
          <w:lang w:val="en-GB"/>
        </w:rPr>
      </w:pPr>
    </w:p>
    <w:p w14:paraId="71BBA6F1" w14:textId="77777777" w:rsidR="00C105D2" w:rsidRDefault="00C105D2" w:rsidP="00C105D2">
      <w:pPr>
        <w:jc w:val="center"/>
        <w:rPr>
          <w:rFonts w:ascii="Times New Roman" w:eastAsia="Times New Roman" w:hAnsi="Times New Roman" w:cs="Times New Roman"/>
          <w:b/>
          <w:sz w:val="32"/>
          <w:szCs w:val="24"/>
          <w:lang w:val="en-GB"/>
        </w:rPr>
      </w:pPr>
    </w:p>
    <w:p w14:paraId="470065AF" w14:textId="77777777" w:rsidR="00C105D2" w:rsidRDefault="00C105D2" w:rsidP="00C105D2">
      <w:pPr>
        <w:jc w:val="center"/>
        <w:rPr>
          <w:rFonts w:ascii="Times New Roman" w:eastAsia="Times New Roman" w:hAnsi="Times New Roman" w:cs="Times New Roman"/>
          <w:b/>
          <w:sz w:val="32"/>
          <w:szCs w:val="24"/>
          <w:lang w:val="en-GB"/>
        </w:rPr>
      </w:pPr>
    </w:p>
    <w:p w14:paraId="7549C768" w14:textId="77777777" w:rsidR="00C105D2" w:rsidRDefault="00C105D2" w:rsidP="00C105D2">
      <w:pPr>
        <w:jc w:val="center"/>
        <w:rPr>
          <w:rFonts w:ascii="Times New Roman" w:eastAsia="Times New Roman" w:hAnsi="Times New Roman" w:cs="Times New Roman"/>
          <w:b/>
          <w:sz w:val="32"/>
          <w:szCs w:val="24"/>
          <w:lang w:val="en-GB"/>
        </w:rPr>
      </w:pPr>
    </w:p>
    <w:p w14:paraId="2A73E302" w14:textId="77777777" w:rsidR="00C105D2" w:rsidRDefault="00C105D2" w:rsidP="00C105D2">
      <w:pPr>
        <w:jc w:val="center"/>
        <w:rPr>
          <w:rFonts w:ascii="Times New Roman" w:eastAsia="Times New Roman" w:hAnsi="Times New Roman" w:cs="Times New Roman"/>
          <w:b/>
          <w:sz w:val="32"/>
          <w:szCs w:val="24"/>
          <w:lang w:val="en-GB"/>
        </w:rPr>
      </w:pPr>
    </w:p>
    <w:p w14:paraId="3AD891E1" w14:textId="77777777" w:rsidR="00C105D2" w:rsidRDefault="00C105D2" w:rsidP="00C105D2">
      <w:pPr>
        <w:jc w:val="center"/>
        <w:rPr>
          <w:rFonts w:ascii="Times New Roman" w:eastAsia="Times New Roman" w:hAnsi="Times New Roman" w:cs="Times New Roman"/>
          <w:b/>
          <w:sz w:val="32"/>
          <w:szCs w:val="24"/>
          <w:lang w:val="en-GB"/>
        </w:rPr>
      </w:pPr>
    </w:p>
    <w:p w14:paraId="21612986" w14:textId="77777777" w:rsidR="00C105D2" w:rsidRDefault="00C105D2" w:rsidP="00C105D2">
      <w:pPr>
        <w:jc w:val="center"/>
        <w:rPr>
          <w:rFonts w:ascii="Times New Roman" w:eastAsia="Times New Roman" w:hAnsi="Times New Roman" w:cs="Times New Roman"/>
          <w:b/>
          <w:sz w:val="32"/>
          <w:szCs w:val="24"/>
          <w:lang w:val="en-GB"/>
        </w:rPr>
      </w:pPr>
    </w:p>
    <w:p w14:paraId="257E8B41" w14:textId="77777777" w:rsidR="00404BB8" w:rsidRDefault="00C105D2" w:rsidP="00C105D2">
      <w:pPr>
        <w:jc w:val="center"/>
        <w:rPr>
          <w:rFonts w:ascii="Times New Roman" w:eastAsia="Times New Roman" w:hAnsi="Times New Roman" w:cs="Times New Roman"/>
          <w:b/>
          <w:sz w:val="32"/>
          <w:szCs w:val="24"/>
          <w:lang w:val="en-GB"/>
        </w:rPr>
      </w:pPr>
      <w:r w:rsidRPr="00C105D2">
        <w:rPr>
          <w:rFonts w:ascii="Times New Roman" w:eastAsia="Times New Roman" w:hAnsi="Times New Roman" w:cs="Times New Roman"/>
          <w:b/>
          <w:sz w:val="32"/>
          <w:szCs w:val="24"/>
          <w:lang w:val="en-GB"/>
        </w:rPr>
        <w:t xml:space="preserve">COMMUNITY ENGAGEMENT </w:t>
      </w:r>
    </w:p>
    <w:p w14:paraId="6966751E" w14:textId="4667CF44" w:rsidR="00404BB8" w:rsidRDefault="00404BB8" w:rsidP="00C105D2">
      <w:pPr>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ASSESSMENT 1</w:t>
      </w:r>
    </w:p>
    <w:p w14:paraId="35EE4719" w14:textId="77777777" w:rsidR="00404BB8" w:rsidRDefault="00404BB8" w:rsidP="00C105D2">
      <w:pPr>
        <w:jc w:val="center"/>
        <w:rPr>
          <w:rFonts w:ascii="Times New Roman" w:eastAsia="Times New Roman" w:hAnsi="Times New Roman" w:cs="Times New Roman"/>
          <w:b/>
          <w:sz w:val="32"/>
          <w:szCs w:val="24"/>
          <w:lang w:val="en-GB"/>
        </w:rPr>
      </w:pPr>
    </w:p>
    <w:p w14:paraId="215F50E2" w14:textId="77777777" w:rsidR="00404BB8" w:rsidRDefault="00404BB8" w:rsidP="00C105D2">
      <w:pPr>
        <w:jc w:val="center"/>
        <w:rPr>
          <w:rFonts w:ascii="Times New Roman" w:eastAsia="Times New Roman" w:hAnsi="Times New Roman" w:cs="Times New Roman"/>
          <w:b/>
          <w:sz w:val="32"/>
          <w:szCs w:val="24"/>
          <w:lang w:val="en-GB"/>
        </w:rPr>
      </w:pPr>
    </w:p>
    <w:p w14:paraId="2A702EC9" w14:textId="77777777" w:rsidR="00404BB8" w:rsidRDefault="00404BB8" w:rsidP="00C105D2">
      <w:pPr>
        <w:jc w:val="center"/>
        <w:rPr>
          <w:rFonts w:ascii="Times New Roman" w:eastAsia="Times New Roman" w:hAnsi="Times New Roman" w:cs="Times New Roman"/>
          <w:b/>
          <w:sz w:val="32"/>
          <w:szCs w:val="24"/>
          <w:lang w:val="en-GB"/>
        </w:rPr>
      </w:pPr>
    </w:p>
    <w:p w14:paraId="5231BDC8" w14:textId="77777777" w:rsidR="00404BB8" w:rsidRDefault="00404BB8" w:rsidP="00404BB8">
      <w:pPr>
        <w:spacing w:line="480" w:lineRule="auto"/>
        <w:jc w:val="center"/>
        <w:rPr>
          <w:rFonts w:ascii="Times New Roman" w:hAnsi="Times New Roman" w:cs="Times New Roman"/>
          <w:b/>
          <w:bCs/>
          <w:lang w:val="nl-NL"/>
        </w:rPr>
      </w:pPr>
      <w:r w:rsidRPr="00ED00C5">
        <w:rPr>
          <w:rFonts w:ascii="Times New Roman" w:hAnsi="Times New Roman" w:cs="Times New Roman"/>
          <w:b/>
          <w:bCs/>
          <w:lang w:val="nl-NL"/>
        </w:rPr>
        <w:t>Student Name:</w:t>
      </w:r>
      <w:r>
        <w:rPr>
          <w:rFonts w:ascii="Times New Roman" w:hAnsi="Times New Roman" w:cs="Times New Roman"/>
          <w:b/>
          <w:bCs/>
          <w:lang w:val="nl-NL"/>
        </w:rPr>
        <w:t xml:space="preserve"> </w:t>
      </w:r>
      <w:r w:rsidRPr="00ED00C5">
        <w:rPr>
          <w:rFonts w:ascii="Times New Roman" w:hAnsi="Times New Roman" w:cs="Times New Roman"/>
          <w:b/>
          <w:bCs/>
          <w:lang w:val="nl-NL"/>
        </w:rPr>
        <w:t>NICOLETA-MADALIN</w:t>
      </w:r>
      <w:r>
        <w:rPr>
          <w:rFonts w:ascii="Times New Roman" w:hAnsi="Times New Roman" w:cs="Times New Roman"/>
          <w:b/>
          <w:bCs/>
          <w:lang w:val="nl-NL"/>
        </w:rPr>
        <w:t>A RUSU</w:t>
      </w:r>
      <w:r w:rsidRPr="00ED00C5">
        <w:rPr>
          <w:rFonts w:ascii="Times New Roman" w:hAnsi="Times New Roman" w:cs="Times New Roman"/>
          <w:b/>
          <w:bCs/>
          <w:lang w:val="nl-NL"/>
        </w:rPr>
        <w:br/>
        <w:t>Student ID:</w:t>
      </w:r>
      <w:r>
        <w:rPr>
          <w:rFonts w:ascii="Times New Roman" w:hAnsi="Times New Roman" w:cs="Times New Roman"/>
          <w:b/>
          <w:bCs/>
          <w:lang w:val="nl-NL"/>
        </w:rPr>
        <w:t>2121755</w:t>
      </w:r>
    </w:p>
    <w:p w14:paraId="594A7CFE" w14:textId="1150C7B6" w:rsidR="00404BB8" w:rsidRDefault="00404BB8" w:rsidP="00404BB8">
      <w:pPr>
        <w:spacing w:line="480" w:lineRule="auto"/>
        <w:jc w:val="center"/>
        <w:rPr>
          <w:rFonts w:ascii="Times New Roman" w:eastAsia="Times New Roman" w:hAnsi="Times New Roman" w:cs="Times New Roman"/>
          <w:b/>
          <w:bCs/>
          <w:lang w:eastAsia="en-GB"/>
        </w:rPr>
      </w:pPr>
      <w:r>
        <w:rPr>
          <w:rFonts w:ascii="Times New Roman" w:hAnsi="Times New Roman" w:cs="Times New Roman"/>
          <w:b/>
          <w:bCs/>
          <w:lang w:val="nl-NL"/>
        </w:rPr>
        <w:t>MODULE:</w:t>
      </w:r>
      <w:r w:rsidRPr="00ED00C5">
        <w:rPr>
          <w:rFonts w:ascii="Times New Roman" w:eastAsia="Times New Roman" w:hAnsi="Times New Roman" w:cs="Times New Roman"/>
          <w:b/>
          <w:bCs/>
          <w:lang w:eastAsia="en-GB"/>
        </w:rPr>
        <w:t xml:space="preserve"> </w:t>
      </w:r>
      <w:r w:rsidRPr="000D52FC">
        <w:rPr>
          <w:rFonts w:ascii="Times New Roman" w:eastAsia="Times New Roman" w:hAnsi="Times New Roman" w:cs="Times New Roman"/>
          <w:b/>
          <w:bCs/>
          <w:lang w:eastAsia="en-GB"/>
        </w:rPr>
        <w:t>LCCB400</w:t>
      </w:r>
      <w:r>
        <w:rPr>
          <w:rFonts w:ascii="Times New Roman" w:eastAsia="Times New Roman" w:hAnsi="Times New Roman" w:cs="Times New Roman"/>
          <w:b/>
          <w:bCs/>
          <w:lang w:eastAsia="en-GB"/>
        </w:rPr>
        <w:t>2</w:t>
      </w:r>
    </w:p>
    <w:p w14:paraId="630A4ABC" w14:textId="77777777" w:rsidR="00404BB8" w:rsidRPr="000D52FC" w:rsidRDefault="00404BB8" w:rsidP="00404BB8">
      <w:pPr>
        <w:spacing w:line="480" w:lineRule="auto"/>
        <w:jc w:val="center"/>
        <w:rPr>
          <w:rFonts w:ascii="Times New Roman" w:eastAsia="Times New Roman" w:hAnsi="Times New Roman" w:cs="Times New Roman"/>
          <w:b/>
          <w:bCs/>
          <w:lang w:eastAsia="en-GB"/>
        </w:rPr>
      </w:pPr>
    </w:p>
    <w:p w14:paraId="2782C9C8" w14:textId="51089B11" w:rsidR="00C105D2" w:rsidRDefault="00C105D2" w:rsidP="00C105D2">
      <w:pPr>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Times New Roman" w:eastAsia="Arial" w:hAnsi="Times New Roman" w:cs="Times New Roman"/>
          <w:b w:val="0"/>
          <w:bCs w:val="0"/>
          <w:color w:val="auto"/>
          <w:sz w:val="24"/>
          <w:szCs w:val="24"/>
          <w:lang w:val="en-IN"/>
        </w:rPr>
        <w:id w:val="-2040645434"/>
        <w:docPartObj>
          <w:docPartGallery w:val="Table of Contents"/>
          <w:docPartUnique/>
        </w:docPartObj>
      </w:sdtPr>
      <w:sdtContent>
        <w:p w14:paraId="5F83B7CD" w14:textId="77777777" w:rsidR="002D7D13" w:rsidRPr="00C65815" w:rsidRDefault="002D7D13" w:rsidP="00C65815">
          <w:pPr>
            <w:pStyle w:val="TOCHeading"/>
            <w:spacing w:line="360" w:lineRule="auto"/>
            <w:jc w:val="center"/>
            <w:rPr>
              <w:rFonts w:ascii="Times New Roman" w:hAnsi="Times New Roman" w:cs="Times New Roman"/>
              <w:sz w:val="24"/>
              <w:szCs w:val="24"/>
            </w:rPr>
          </w:pPr>
          <w:r w:rsidRPr="00C65815">
            <w:rPr>
              <w:rFonts w:ascii="Times New Roman" w:hAnsi="Times New Roman" w:cs="Times New Roman"/>
              <w:color w:val="000000" w:themeColor="text1"/>
              <w:szCs w:val="24"/>
            </w:rPr>
            <w:t>Table of Contents</w:t>
          </w:r>
        </w:p>
        <w:p w14:paraId="5B2F0B83" w14:textId="77777777" w:rsidR="002D7D13" w:rsidRPr="00C65815" w:rsidRDefault="002D7D13" w:rsidP="00C65815">
          <w:pPr>
            <w:pStyle w:val="TOC1"/>
            <w:tabs>
              <w:tab w:val="right" w:leader="dot" w:pos="9017"/>
            </w:tabs>
            <w:spacing w:line="360" w:lineRule="auto"/>
            <w:jc w:val="both"/>
            <w:rPr>
              <w:rFonts w:ascii="Times New Roman" w:hAnsi="Times New Roman" w:cs="Times New Roman"/>
              <w:noProof/>
              <w:sz w:val="24"/>
              <w:szCs w:val="24"/>
            </w:rPr>
          </w:pPr>
          <w:r w:rsidRPr="00C65815">
            <w:rPr>
              <w:rFonts w:ascii="Times New Roman" w:hAnsi="Times New Roman" w:cs="Times New Roman"/>
              <w:sz w:val="24"/>
              <w:szCs w:val="24"/>
            </w:rPr>
            <w:fldChar w:fldCharType="begin"/>
          </w:r>
          <w:r w:rsidRPr="00C65815">
            <w:rPr>
              <w:rFonts w:ascii="Times New Roman" w:hAnsi="Times New Roman" w:cs="Times New Roman"/>
              <w:sz w:val="24"/>
              <w:szCs w:val="24"/>
            </w:rPr>
            <w:instrText xml:space="preserve"> TOC \o "1-3" \h \z \u </w:instrText>
          </w:r>
          <w:r w:rsidRPr="00C65815">
            <w:rPr>
              <w:rFonts w:ascii="Times New Roman" w:hAnsi="Times New Roman" w:cs="Times New Roman"/>
              <w:sz w:val="24"/>
              <w:szCs w:val="24"/>
            </w:rPr>
            <w:fldChar w:fldCharType="separate"/>
          </w:r>
          <w:hyperlink w:anchor="_Toc112066849" w:history="1">
            <w:r w:rsidRPr="00C65815">
              <w:rPr>
                <w:rStyle w:val="Hyperlink"/>
                <w:rFonts w:ascii="Times New Roman" w:hAnsi="Times New Roman" w:cs="Times New Roman"/>
                <w:noProof/>
                <w:sz w:val="24"/>
                <w:szCs w:val="24"/>
                <w:lang w:val="en-GB"/>
              </w:rPr>
              <w:t xml:space="preserve">1. </w:t>
            </w:r>
            <w:r w:rsidRPr="00C65815">
              <w:rPr>
                <w:rStyle w:val="Hyperlink"/>
                <w:rFonts w:ascii="Times New Roman" w:hAnsi="Times New Roman" w:cs="Times New Roman"/>
                <w:noProof/>
                <w:sz w:val="24"/>
                <w:szCs w:val="24"/>
              </w:rPr>
              <w:t>Introduction</w:t>
            </w:r>
            <w:r w:rsidRPr="00C65815">
              <w:rPr>
                <w:rFonts w:ascii="Times New Roman" w:hAnsi="Times New Roman" w:cs="Times New Roman"/>
                <w:noProof/>
                <w:webHidden/>
                <w:sz w:val="24"/>
                <w:szCs w:val="24"/>
              </w:rPr>
              <w:tab/>
            </w:r>
            <w:r w:rsidRPr="00C65815">
              <w:rPr>
                <w:rFonts w:ascii="Times New Roman" w:hAnsi="Times New Roman" w:cs="Times New Roman"/>
                <w:noProof/>
                <w:webHidden/>
                <w:sz w:val="24"/>
                <w:szCs w:val="24"/>
              </w:rPr>
              <w:fldChar w:fldCharType="begin"/>
            </w:r>
            <w:r w:rsidRPr="00C65815">
              <w:rPr>
                <w:rFonts w:ascii="Times New Roman" w:hAnsi="Times New Roman" w:cs="Times New Roman"/>
                <w:noProof/>
                <w:webHidden/>
                <w:sz w:val="24"/>
                <w:szCs w:val="24"/>
              </w:rPr>
              <w:instrText xml:space="preserve"> PAGEREF _Toc112066849 \h </w:instrText>
            </w:r>
            <w:r w:rsidRPr="00C65815">
              <w:rPr>
                <w:rFonts w:ascii="Times New Roman" w:hAnsi="Times New Roman" w:cs="Times New Roman"/>
                <w:noProof/>
                <w:webHidden/>
                <w:sz w:val="24"/>
                <w:szCs w:val="24"/>
              </w:rPr>
            </w:r>
            <w:r w:rsidRPr="00C65815">
              <w:rPr>
                <w:rFonts w:ascii="Times New Roman" w:hAnsi="Times New Roman" w:cs="Times New Roman"/>
                <w:noProof/>
                <w:webHidden/>
                <w:sz w:val="24"/>
                <w:szCs w:val="24"/>
              </w:rPr>
              <w:fldChar w:fldCharType="separate"/>
            </w:r>
            <w:r w:rsidRPr="00C65815">
              <w:rPr>
                <w:rFonts w:ascii="Times New Roman" w:hAnsi="Times New Roman" w:cs="Times New Roman"/>
                <w:noProof/>
                <w:webHidden/>
                <w:sz w:val="24"/>
                <w:szCs w:val="24"/>
              </w:rPr>
              <w:t>3</w:t>
            </w:r>
            <w:r w:rsidRPr="00C65815">
              <w:rPr>
                <w:rFonts w:ascii="Times New Roman" w:hAnsi="Times New Roman" w:cs="Times New Roman"/>
                <w:noProof/>
                <w:webHidden/>
                <w:sz w:val="24"/>
                <w:szCs w:val="24"/>
              </w:rPr>
              <w:fldChar w:fldCharType="end"/>
            </w:r>
          </w:hyperlink>
        </w:p>
        <w:p w14:paraId="36D98AD7" w14:textId="77777777" w:rsidR="002D7D13" w:rsidRPr="00C65815" w:rsidRDefault="00000000" w:rsidP="00C65815">
          <w:pPr>
            <w:pStyle w:val="TOC1"/>
            <w:tabs>
              <w:tab w:val="right" w:leader="dot" w:pos="9017"/>
            </w:tabs>
            <w:spacing w:line="360" w:lineRule="auto"/>
            <w:jc w:val="both"/>
            <w:rPr>
              <w:rFonts w:ascii="Times New Roman" w:hAnsi="Times New Roman" w:cs="Times New Roman"/>
              <w:noProof/>
              <w:sz w:val="24"/>
              <w:szCs w:val="24"/>
            </w:rPr>
          </w:pPr>
          <w:hyperlink w:anchor="_Toc112066850" w:history="1">
            <w:r w:rsidR="002D7D13" w:rsidRPr="00C65815">
              <w:rPr>
                <w:rStyle w:val="Hyperlink"/>
                <w:rFonts w:ascii="Times New Roman" w:hAnsi="Times New Roman" w:cs="Times New Roman"/>
                <w:noProof/>
                <w:sz w:val="24"/>
                <w:szCs w:val="24"/>
                <w:lang w:val="en-GB"/>
              </w:rPr>
              <w:t>2. Main body</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_Toc112066850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3</w:t>
            </w:r>
            <w:r w:rsidR="002D7D13" w:rsidRPr="00C65815">
              <w:rPr>
                <w:rFonts w:ascii="Times New Roman" w:hAnsi="Times New Roman" w:cs="Times New Roman"/>
                <w:noProof/>
                <w:webHidden/>
                <w:sz w:val="24"/>
                <w:szCs w:val="24"/>
              </w:rPr>
              <w:fldChar w:fldCharType="end"/>
            </w:r>
          </w:hyperlink>
        </w:p>
        <w:p w14:paraId="52B0234F" w14:textId="77777777" w:rsidR="002D7D13" w:rsidRPr="00C65815" w:rsidRDefault="00000000" w:rsidP="00C65815">
          <w:pPr>
            <w:pStyle w:val="TOC2"/>
            <w:tabs>
              <w:tab w:val="right" w:leader="dot" w:pos="9017"/>
            </w:tabs>
            <w:spacing w:line="360" w:lineRule="auto"/>
            <w:jc w:val="both"/>
            <w:rPr>
              <w:rFonts w:ascii="Times New Roman" w:hAnsi="Times New Roman" w:cs="Times New Roman"/>
              <w:noProof/>
              <w:sz w:val="24"/>
              <w:szCs w:val="24"/>
            </w:rPr>
          </w:pPr>
          <w:hyperlink w:anchor="_Toc112066851" w:history="1">
            <w:r w:rsidR="002D7D13" w:rsidRPr="00C65815">
              <w:rPr>
                <w:rStyle w:val="Hyperlink"/>
                <w:rFonts w:ascii="Times New Roman" w:hAnsi="Times New Roman" w:cs="Times New Roman"/>
                <w:noProof/>
                <w:sz w:val="24"/>
                <w:szCs w:val="24"/>
                <w:lang w:val="en-GB"/>
              </w:rPr>
              <w:t>2.1 Identification and establishing the relationship between stakeholders and the suitable strategies for engaging them (social media platforms)</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_Toc112066851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3</w:t>
            </w:r>
            <w:r w:rsidR="002D7D13" w:rsidRPr="00C65815">
              <w:rPr>
                <w:rFonts w:ascii="Times New Roman" w:hAnsi="Times New Roman" w:cs="Times New Roman"/>
                <w:noProof/>
                <w:webHidden/>
                <w:sz w:val="24"/>
                <w:szCs w:val="24"/>
              </w:rPr>
              <w:fldChar w:fldCharType="end"/>
            </w:r>
          </w:hyperlink>
        </w:p>
        <w:p w14:paraId="4A47794C" w14:textId="77777777" w:rsidR="002D7D13" w:rsidRPr="00C65815" w:rsidRDefault="00000000" w:rsidP="00C65815">
          <w:pPr>
            <w:pStyle w:val="TOC2"/>
            <w:tabs>
              <w:tab w:val="right" w:leader="dot" w:pos="9017"/>
            </w:tabs>
            <w:spacing w:line="360" w:lineRule="auto"/>
            <w:jc w:val="both"/>
            <w:rPr>
              <w:rFonts w:ascii="Times New Roman" w:hAnsi="Times New Roman" w:cs="Times New Roman"/>
              <w:noProof/>
              <w:sz w:val="24"/>
              <w:szCs w:val="24"/>
            </w:rPr>
          </w:pPr>
          <w:hyperlink w:anchor="_Toc112066852" w:history="1">
            <w:r w:rsidR="002D7D13" w:rsidRPr="00C65815">
              <w:rPr>
                <w:rStyle w:val="Hyperlink"/>
                <w:rFonts w:ascii="Times New Roman" w:hAnsi="Times New Roman" w:cs="Times New Roman"/>
                <w:noProof/>
                <w:sz w:val="24"/>
                <w:szCs w:val="24"/>
                <w:lang w:val="en-GB"/>
              </w:rPr>
              <w:t>2.2 A detailed narrative of the different use of social media and its support for the project</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_Toc112066852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4</w:t>
            </w:r>
            <w:r w:rsidR="002D7D13" w:rsidRPr="00C65815">
              <w:rPr>
                <w:rFonts w:ascii="Times New Roman" w:hAnsi="Times New Roman" w:cs="Times New Roman"/>
                <w:noProof/>
                <w:webHidden/>
                <w:sz w:val="24"/>
                <w:szCs w:val="24"/>
              </w:rPr>
              <w:fldChar w:fldCharType="end"/>
            </w:r>
          </w:hyperlink>
        </w:p>
        <w:p w14:paraId="33052C28" w14:textId="77777777" w:rsidR="002D7D13" w:rsidRPr="00C65815" w:rsidRDefault="00000000" w:rsidP="00C65815">
          <w:pPr>
            <w:pStyle w:val="TOC2"/>
            <w:tabs>
              <w:tab w:val="right" w:leader="dot" w:pos="9017"/>
            </w:tabs>
            <w:spacing w:line="360" w:lineRule="auto"/>
            <w:jc w:val="both"/>
            <w:rPr>
              <w:rFonts w:ascii="Times New Roman" w:hAnsi="Times New Roman" w:cs="Times New Roman"/>
              <w:noProof/>
              <w:sz w:val="24"/>
              <w:szCs w:val="24"/>
            </w:rPr>
          </w:pPr>
          <w:hyperlink w:anchor="_Toc112066853" w:history="1">
            <w:r w:rsidR="002D7D13" w:rsidRPr="00C65815">
              <w:rPr>
                <w:rStyle w:val="Hyperlink"/>
                <w:rFonts w:ascii="Times New Roman" w:hAnsi="Times New Roman" w:cs="Times New Roman"/>
                <w:noProof/>
                <w:sz w:val="24"/>
                <w:szCs w:val="24"/>
                <w:lang w:val="en-GB"/>
              </w:rPr>
              <w:t>2.3 The primary interpersonal skills that can foster the level of success</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_Toc112066853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5</w:t>
            </w:r>
            <w:r w:rsidR="002D7D13" w:rsidRPr="00C65815">
              <w:rPr>
                <w:rFonts w:ascii="Times New Roman" w:hAnsi="Times New Roman" w:cs="Times New Roman"/>
                <w:noProof/>
                <w:webHidden/>
                <w:sz w:val="24"/>
                <w:szCs w:val="24"/>
              </w:rPr>
              <w:fldChar w:fldCharType="end"/>
            </w:r>
          </w:hyperlink>
        </w:p>
        <w:p w14:paraId="687BC24F" w14:textId="445F52AB" w:rsidR="002D7D13" w:rsidRPr="00C65815" w:rsidRDefault="00000000" w:rsidP="00C65815">
          <w:pPr>
            <w:pStyle w:val="TOC2"/>
            <w:tabs>
              <w:tab w:val="right" w:leader="dot" w:pos="9017"/>
            </w:tabs>
            <w:spacing w:line="360" w:lineRule="auto"/>
            <w:jc w:val="both"/>
            <w:rPr>
              <w:rFonts w:ascii="Times New Roman" w:hAnsi="Times New Roman" w:cs="Times New Roman"/>
              <w:noProof/>
              <w:sz w:val="24"/>
              <w:szCs w:val="24"/>
            </w:rPr>
          </w:pPr>
          <w:hyperlink w:anchor="_Toc112066854" w:history="1">
            <w:r w:rsidR="002D7D13" w:rsidRPr="00C65815">
              <w:rPr>
                <w:rStyle w:val="Hyperlink"/>
                <w:rFonts w:ascii="Times New Roman" w:hAnsi="Times New Roman" w:cs="Times New Roman"/>
                <w:noProof/>
                <w:sz w:val="24"/>
                <w:szCs w:val="24"/>
                <w:lang w:val="en-GB"/>
              </w:rPr>
              <w:t xml:space="preserve">2.4 Relevant avenues that can promote better community participation </w:t>
            </w:r>
            <w:r w:rsidR="00DE1BC3">
              <w:rPr>
                <w:rStyle w:val="Hyperlink"/>
                <w:rFonts w:ascii="Times New Roman" w:hAnsi="Times New Roman" w:cs="Times New Roman"/>
                <w:noProof/>
                <w:sz w:val="24"/>
                <w:szCs w:val="24"/>
                <w:lang w:val="en-GB"/>
              </w:rPr>
              <w:t>to</w:t>
            </w:r>
            <w:r w:rsidR="002D7D13" w:rsidRPr="00C65815">
              <w:rPr>
                <w:rStyle w:val="Hyperlink"/>
                <w:rFonts w:ascii="Times New Roman" w:hAnsi="Times New Roman" w:cs="Times New Roman"/>
                <w:noProof/>
                <w:sz w:val="24"/>
                <w:szCs w:val="24"/>
                <w:lang w:val="en-GB"/>
              </w:rPr>
              <w:t xml:space="preserve"> enable socio-cultural integration and multiculturalism</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_Toc112066854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5</w:t>
            </w:r>
            <w:r w:rsidR="002D7D13" w:rsidRPr="00C65815">
              <w:rPr>
                <w:rFonts w:ascii="Times New Roman" w:hAnsi="Times New Roman" w:cs="Times New Roman"/>
                <w:noProof/>
                <w:webHidden/>
                <w:sz w:val="24"/>
                <w:szCs w:val="24"/>
              </w:rPr>
              <w:fldChar w:fldCharType="end"/>
            </w:r>
          </w:hyperlink>
        </w:p>
        <w:p w14:paraId="6EDA5159" w14:textId="17F34623" w:rsidR="002D7D13" w:rsidRPr="00C65815" w:rsidRDefault="00000000" w:rsidP="00C65815">
          <w:pPr>
            <w:pStyle w:val="TOC2"/>
            <w:tabs>
              <w:tab w:val="right" w:leader="dot" w:pos="9017"/>
            </w:tabs>
            <w:spacing w:line="360" w:lineRule="auto"/>
            <w:jc w:val="both"/>
            <w:rPr>
              <w:rFonts w:ascii="Times New Roman" w:hAnsi="Times New Roman" w:cs="Times New Roman"/>
              <w:noProof/>
              <w:sz w:val="24"/>
              <w:szCs w:val="24"/>
            </w:rPr>
          </w:pPr>
          <w:hyperlink w:anchor="_Toc112066855" w:history="1">
            <w:r w:rsidR="002D7D13" w:rsidRPr="00C65815">
              <w:rPr>
                <w:rStyle w:val="Hyperlink"/>
                <w:rFonts w:ascii="Times New Roman" w:hAnsi="Times New Roman" w:cs="Times New Roman"/>
                <w:noProof/>
                <w:sz w:val="24"/>
                <w:szCs w:val="24"/>
                <w:lang w:val="en-GB"/>
              </w:rPr>
              <w:t>2.5 Fundamental theories and concepts based on study</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_Toc112066855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7</w:t>
            </w:r>
            <w:r w:rsidR="002D7D13" w:rsidRPr="00C65815">
              <w:rPr>
                <w:rFonts w:ascii="Times New Roman" w:hAnsi="Times New Roman" w:cs="Times New Roman"/>
                <w:noProof/>
                <w:webHidden/>
                <w:sz w:val="24"/>
                <w:szCs w:val="24"/>
              </w:rPr>
              <w:fldChar w:fldCharType="end"/>
            </w:r>
          </w:hyperlink>
        </w:p>
        <w:p w14:paraId="486FBED0" w14:textId="77777777" w:rsidR="002D7D13" w:rsidRPr="00C65815" w:rsidRDefault="00000000" w:rsidP="00C65815">
          <w:pPr>
            <w:pStyle w:val="TOC1"/>
            <w:tabs>
              <w:tab w:val="right" w:leader="dot" w:pos="9017"/>
            </w:tabs>
            <w:spacing w:line="360" w:lineRule="auto"/>
            <w:jc w:val="both"/>
            <w:rPr>
              <w:rFonts w:ascii="Times New Roman" w:hAnsi="Times New Roman" w:cs="Times New Roman"/>
              <w:noProof/>
              <w:sz w:val="24"/>
              <w:szCs w:val="24"/>
            </w:rPr>
          </w:pPr>
          <w:hyperlink w:anchor="_Toc112066856" w:history="1">
            <w:r w:rsidR="002D7D13" w:rsidRPr="00C65815">
              <w:rPr>
                <w:rStyle w:val="Hyperlink"/>
                <w:rFonts w:ascii="Times New Roman" w:hAnsi="Times New Roman" w:cs="Times New Roman"/>
                <w:noProof/>
                <w:sz w:val="24"/>
                <w:szCs w:val="24"/>
                <w:lang w:val="en-GB"/>
              </w:rPr>
              <w:t>3. Conclusion</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_Toc112066856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8</w:t>
            </w:r>
            <w:r w:rsidR="002D7D13" w:rsidRPr="00C65815">
              <w:rPr>
                <w:rFonts w:ascii="Times New Roman" w:hAnsi="Times New Roman" w:cs="Times New Roman"/>
                <w:noProof/>
                <w:webHidden/>
                <w:sz w:val="24"/>
                <w:szCs w:val="24"/>
              </w:rPr>
              <w:fldChar w:fldCharType="end"/>
            </w:r>
          </w:hyperlink>
        </w:p>
        <w:p w14:paraId="01F81898" w14:textId="77777777" w:rsidR="002D7D13" w:rsidRPr="00C65815" w:rsidRDefault="00000000" w:rsidP="00C65815">
          <w:pPr>
            <w:pStyle w:val="TOC1"/>
            <w:tabs>
              <w:tab w:val="right" w:leader="dot" w:pos="9017"/>
            </w:tabs>
            <w:spacing w:line="360" w:lineRule="auto"/>
            <w:jc w:val="both"/>
            <w:rPr>
              <w:rFonts w:ascii="Times New Roman" w:hAnsi="Times New Roman" w:cs="Times New Roman"/>
              <w:noProof/>
              <w:sz w:val="24"/>
              <w:szCs w:val="24"/>
            </w:rPr>
          </w:pPr>
          <w:hyperlink w:anchor="_Toc112066857" w:history="1">
            <w:r w:rsidR="002D7D13" w:rsidRPr="00C65815">
              <w:rPr>
                <w:rStyle w:val="Hyperlink"/>
                <w:rFonts w:ascii="Times New Roman" w:hAnsi="Times New Roman" w:cs="Times New Roman"/>
                <w:noProof/>
                <w:sz w:val="24"/>
                <w:szCs w:val="24"/>
              </w:rPr>
              <w:t>References</w:t>
            </w:r>
            <w:r w:rsidR="002D7D13" w:rsidRPr="00C65815">
              <w:rPr>
                <w:rFonts w:ascii="Times New Roman" w:hAnsi="Times New Roman" w:cs="Times New Roman"/>
                <w:noProof/>
                <w:webHidden/>
                <w:sz w:val="24"/>
                <w:szCs w:val="24"/>
              </w:rPr>
              <w:tab/>
            </w:r>
            <w:r w:rsidR="002D7D13" w:rsidRPr="00C65815">
              <w:rPr>
                <w:rFonts w:ascii="Times New Roman" w:hAnsi="Times New Roman" w:cs="Times New Roman"/>
                <w:noProof/>
                <w:webHidden/>
                <w:sz w:val="24"/>
                <w:szCs w:val="24"/>
              </w:rPr>
              <w:fldChar w:fldCharType="begin"/>
            </w:r>
            <w:r w:rsidR="002D7D13" w:rsidRPr="00C65815">
              <w:rPr>
                <w:rFonts w:ascii="Times New Roman" w:hAnsi="Times New Roman" w:cs="Times New Roman"/>
                <w:noProof/>
                <w:webHidden/>
                <w:sz w:val="24"/>
                <w:szCs w:val="24"/>
              </w:rPr>
              <w:instrText xml:space="preserve"> PAGEREF _Toc112066857 \h </w:instrText>
            </w:r>
            <w:r w:rsidR="002D7D13" w:rsidRPr="00C65815">
              <w:rPr>
                <w:rFonts w:ascii="Times New Roman" w:hAnsi="Times New Roman" w:cs="Times New Roman"/>
                <w:noProof/>
                <w:webHidden/>
                <w:sz w:val="24"/>
                <w:szCs w:val="24"/>
              </w:rPr>
            </w:r>
            <w:r w:rsidR="002D7D13" w:rsidRPr="00C65815">
              <w:rPr>
                <w:rFonts w:ascii="Times New Roman" w:hAnsi="Times New Roman" w:cs="Times New Roman"/>
                <w:noProof/>
                <w:webHidden/>
                <w:sz w:val="24"/>
                <w:szCs w:val="24"/>
              </w:rPr>
              <w:fldChar w:fldCharType="separate"/>
            </w:r>
            <w:r w:rsidR="002D7D13" w:rsidRPr="00C65815">
              <w:rPr>
                <w:rFonts w:ascii="Times New Roman" w:hAnsi="Times New Roman" w:cs="Times New Roman"/>
                <w:noProof/>
                <w:webHidden/>
                <w:sz w:val="24"/>
                <w:szCs w:val="24"/>
              </w:rPr>
              <w:t>9</w:t>
            </w:r>
            <w:r w:rsidR="002D7D13" w:rsidRPr="00C65815">
              <w:rPr>
                <w:rFonts w:ascii="Times New Roman" w:hAnsi="Times New Roman" w:cs="Times New Roman"/>
                <w:noProof/>
                <w:webHidden/>
                <w:sz w:val="24"/>
                <w:szCs w:val="24"/>
              </w:rPr>
              <w:fldChar w:fldCharType="end"/>
            </w:r>
          </w:hyperlink>
        </w:p>
        <w:p w14:paraId="25D42955" w14:textId="77777777" w:rsidR="002D7D13" w:rsidRDefault="002D7D13" w:rsidP="00C65815">
          <w:pPr>
            <w:spacing w:line="360" w:lineRule="auto"/>
            <w:jc w:val="both"/>
          </w:pPr>
          <w:r w:rsidRPr="00C65815">
            <w:rPr>
              <w:rFonts w:ascii="Times New Roman" w:hAnsi="Times New Roman" w:cs="Times New Roman"/>
              <w:sz w:val="24"/>
              <w:szCs w:val="24"/>
            </w:rPr>
            <w:fldChar w:fldCharType="end"/>
          </w:r>
        </w:p>
      </w:sdtContent>
    </w:sdt>
    <w:p w14:paraId="57425881" w14:textId="77777777" w:rsidR="00C105D2" w:rsidRDefault="00C105D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274A274E" w14:textId="77777777" w:rsidR="00733BDC" w:rsidRPr="00D62007" w:rsidRDefault="00C66F30" w:rsidP="002D7D13">
      <w:pPr>
        <w:pStyle w:val="Heading1"/>
        <w:rPr>
          <w:b w:val="0"/>
          <w:lang w:val="en-GB"/>
        </w:rPr>
      </w:pPr>
      <w:bookmarkStart w:id="0" w:name="_Toc112066849"/>
      <w:r w:rsidRPr="00D62007">
        <w:rPr>
          <w:lang w:val="en-GB"/>
        </w:rPr>
        <w:lastRenderedPageBreak/>
        <w:t xml:space="preserve">1. </w:t>
      </w:r>
      <w:r w:rsidRPr="002D7D13">
        <w:t>Introduction</w:t>
      </w:r>
      <w:bookmarkEnd w:id="0"/>
      <w:r w:rsidRPr="00D62007">
        <w:rPr>
          <w:lang w:val="en-GB"/>
        </w:rPr>
        <w:t xml:space="preserve"> </w:t>
      </w:r>
    </w:p>
    <w:p w14:paraId="62D29807" w14:textId="5844E9FA"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This study is conducted on the idea of community engagement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highlight the different perspective that is linked with community engagement. The benefits of community engagement and its different challenges are discussed in this study to critically analyse the role of stakeholders in community engagement programs. The impact of stakeholders in community engagement is analysed in this study to explore the </w:t>
      </w:r>
      <w:r w:rsidR="00DE1BC3">
        <w:rPr>
          <w:rFonts w:ascii="Times New Roman" w:eastAsia="Times New Roman" w:hAnsi="Times New Roman" w:cs="Times New Roman"/>
          <w:sz w:val="24"/>
          <w:szCs w:val="24"/>
          <w:lang w:val="en-GB"/>
        </w:rPr>
        <w:t>most suitable</w:t>
      </w:r>
      <w:r w:rsidRPr="00D62007">
        <w:rPr>
          <w:rFonts w:ascii="Times New Roman" w:eastAsia="Times New Roman" w:hAnsi="Times New Roman" w:cs="Times New Roman"/>
          <w:sz w:val="24"/>
          <w:szCs w:val="24"/>
          <w:lang w:val="en-GB"/>
        </w:rPr>
        <w:t xml:space="preserve"> ways for effective engagement with the community members in an effective manner. Fundamental theories and concepts related to community engagement are analysed in this study. Apart from this, the identification and establishment of the relationship between stakeholders and the suitable strategies for engaging them are detached in this study. </w:t>
      </w:r>
    </w:p>
    <w:p w14:paraId="441F2354" w14:textId="77777777" w:rsidR="00733BDC" w:rsidRPr="00D62007" w:rsidRDefault="00C66F30" w:rsidP="002D7D13">
      <w:pPr>
        <w:pStyle w:val="Heading1"/>
        <w:rPr>
          <w:lang w:val="en-GB"/>
        </w:rPr>
      </w:pPr>
      <w:bookmarkStart w:id="1" w:name="_Toc112066850"/>
      <w:r w:rsidRPr="00D62007">
        <w:rPr>
          <w:lang w:val="en-GB"/>
        </w:rPr>
        <w:t>2. Main body</w:t>
      </w:r>
      <w:bookmarkEnd w:id="1"/>
      <w:r w:rsidRPr="00D62007">
        <w:rPr>
          <w:lang w:val="en-GB"/>
        </w:rPr>
        <w:t xml:space="preserve"> </w:t>
      </w:r>
    </w:p>
    <w:p w14:paraId="799B1EBC" w14:textId="788CF027"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The role of the stakeholder is pivotal in the community engagement plan; they consist of the ability to navigate the complex culture of the community that is necessary for the significant development of the community. The appropriate stakeholder engagement strategies need to be implemented in the community engagement plan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increase the effective inclusion of science for getting the realistic result for development (</w:t>
      </w:r>
      <w:proofErr w:type="spellStart"/>
      <w:r w:rsidRPr="00D62007">
        <w:rPr>
          <w:rFonts w:ascii="Times New Roman" w:eastAsia="Times New Roman" w:hAnsi="Times New Roman" w:cs="Times New Roman"/>
          <w:sz w:val="24"/>
          <w:szCs w:val="24"/>
          <w:lang w:val="en-GB"/>
        </w:rPr>
        <w:t>Papagiannakis</w:t>
      </w:r>
      <w:proofErr w:type="spellEnd"/>
      <w:r w:rsidRPr="00D62007">
        <w:rPr>
          <w:rFonts w:ascii="Times New Roman" w:eastAsia="Times New Roman" w:hAnsi="Times New Roman" w:cs="Times New Roman"/>
          <w:sz w:val="24"/>
          <w:szCs w:val="24"/>
          <w:lang w:val="en-GB"/>
        </w:rPr>
        <w:t xml:space="preserve"> </w:t>
      </w:r>
      <w:r w:rsidRPr="00D62007">
        <w:rPr>
          <w:rFonts w:ascii="Times New Roman" w:eastAsia="Times New Roman" w:hAnsi="Times New Roman" w:cs="Times New Roman"/>
          <w:i/>
          <w:sz w:val="24"/>
          <w:szCs w:val="24"/>
          <w:lang w:val="en-GB"/>
        </w:rPr>
        <w:t>et al.</w:t>
      </w:r>
      <w:r w:rsidRPr="00D62007">
        <w:rPr>
          <w:rFonts w:ascii="Times New Roman" w:eastAsia="Times New Roman" w:hAnsi="Times New Roman" w:cs="Times New Roman"/>
          <w:sz w:val="24"/>
          <w:szCs w:val="24"/>
          <w:lang w:val="en-GB"/>
        </w:rPr>
        <w:t xml:space="preserve"> 2019). There are certain skills required to improve the stakeholder management process in a better way. The different strategies for community engagement are critically analysed below,    </w:t>
      </w:r>
    </w:p>
    <w:p w14:paraId="4EF70E9A" w14:textId="77777777" w:rsidR="00733BDC" w:rsidRPr="00D62007" w:rsidRDefault="00C66F30" w:rsidP="002D7D13">
      <w:pPr>
        <w:pStyle w:val="Heading2"/>
        <w:rPr>
          <w:b w:val="0"/>
          <w:lang w:val="en-GB"/>
        </w:rPr>
      </w:pPr>
      <w:bookmarkStart w:id="2" w:name="_Toc112066851"/>
      <w:r w:rsidRPr="00D62007">
        <w:rPr>
          <w:lang w:val="en-GB"/>
        </w:rPr>
        <w:t>2.1 Identification and establishing the relationship between stakeholders and the suitable strategies for engaging them (social media platforms)</w:t>
      </w:r>
      <w:bookmarkEnd w:id="2"/>
    </w:p>
    <w:p w14:paraId="76F810F8" w14:textId="77777777"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The stakeholder engagement process is becoming easier with the presence of social media usage in community engagement planning. The identification of the stakeholders through social media and engagement with them includes high interest and low influence that making the communication process effective to engage with them with the right management process. The use of social media is beneficial here to identify the stakeholders based on the interest of the community engagement program (</w:t>
      </w:r>
      <w:proofErr w:type="spellStart"/>
      <w:r w:rsidRPr="00D62007">
        <w:rPr>
          <w:rFonts w:ascii="Times New Roman" w:eastAsia="Times New Roman" w:hAnsi="Times New Roman" w:cs="Times New Roman"/>
          <w:sz w:val="24"/>
          <w:szCs w:val="24"/>
          <w:lang w:val="en-GB"/>
        </w:rPr>
        <w:t>Boulianne</w:t>
      </w:r>
      <w:proofErr w:type="spellEnd"/>
      <w:r w:rsidRPr="00D62007">
        <w:rPr>
          <w:rFonts w:ascii="Times New Roman" w:eastAsia="Times New Roman" w:hAnsi="Times New Roman" w:cs="Times New Roman"/>
          <w:sz w:val="24"/>
          <w:szCs w:val="24"/>
          <w:lang w:val="en-GB"/>
        </w:rPr>
        <w:t xml:space="preserve">, 2020). The major strategies </w:t>
      </w:r>
      <w:r w:rsidR="003E2623" w:rsidRPr="00D62007">
        <w:rPr>
          <w:rFonts w:ascii="Times New Roman" w:eastAsia="Times New Roman" w:hAnsi="Times New Roman" w:cs="Times New Roman"/>
          <w:sz w:val="24"/>
          <w:szCs w:val="24"/>
          <w:lang w:val="en-GB"/>
        </w:rPr>
        <w:t>that can</w:t>
      </w:r>
      <w:r w:rsidRPr="00D62007">
        <w:rPr>
          <w:rFonts w:ascii="Times New Roman" w:eastAsia="Times New Roman" w:hAnsi="Times New Roman" w:cs="Times New Roman"/>
          <w:sz w:val="24"/>
          <w:szCs w:val="24"/>
          <w:lang w:val="en-GB"/>
        </w:rPr>
        <w:t xml:space="preserve"> be used for the stakeholders' engagement are, </w:t>
      </w:r>
    </w:p>
    <w:p w14:paraId="25AFF0EF"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 xml:space="preserve">Community Formation </w:t>
      </w:r>
    </w:p>
    <w:p w14:paraId="69BAB798" w14:textId="77777777"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Community formation is one of the necessary parts of finding suitable stakeholder engagement strategies. Focusing on the </w:t>
      </w:r>
      <w:r w:rsidRPr="00D62007">
        <w:rPr>
          <w:rFonts w:ascii="Times New Roman" w:eastAsia="Times New Roman" w:hAnsi="Times New Roman" w:cs="Times New Roman"/>
          <w:i/>
          <w:sz w:val="24"/>
          <w:szCs w:val="24"/>
          <w:lang w:val="en-GB"/>
        </w:rPr>
        <w:t>low-tier interest</w:t>
      </w:r>
      <w:r w:rsidRPr="00D62007">
        <w:rPr>
          <w:rFonts w:ascii="Times New Roman" w:eastAsia="Times New Roman" w:hAnsi="Times New Roman" w:cs="Times New Roman"/>
          <w:sz w:val="24"/>
          <w:szCs w:val="24"/>
          <w:lang w:val="en-GB"/>
        </w:rPr>
        <w:t xml:space="preserve"> can influence the stakeholders. In this place, one communication process can be beneficial to engage them in a community </w:t>
      </w:r>
      <w:r w:rsidRPr="00D62007">
        <w:rPr>
          <w:rFonts w:ascii="Times New Roman" w:eastAsia="Times New Roman" w:hAnsi="Times New Roman" w:cs="Times New Roman"/>
          <w:sz w:val="24"/>
          <w:szCs w:val="24"/>
          <w:lang w:val="en-GB"/>
        </w:rPr>
        <w:lastRenderedPageBreak/>
        <w:t xml:space="preserve">engagement plan. The role of social media is pivotal to building </w:t>
      </w:r>
      <w:r w:rsidRPr="00D62007">
        <w:rPr>
          <w:rFonts w:ascii="Times New Roman" w:eastAsia="Times New Roman" w:hAnsi="Times New Roman" w:cs="Times New Roman"/>
          <w:i/>
          <w:sz w:val="24"/>
          <w:szCs w:val="24"/>
          <w:lang w:val="en-GB"/>
        </w:rPr>
        <w:t xml:space="preserve">a one-way communication plan </w:t>
      </w:r>
      <w:r w:rsidRPr="00D62007">
        <w:rPr>
          <w:rFonts w:ascii="Times New Roman" w:eastAsia="Times New Roman" w:hAnsi="Times New Roman" w:cs="Times New Roman"/>
          <w:sz w:val="24"/>
          <w:szCs w:val="24"/>
          <w:lang w:val="en-GB"/>
        </w:rPr>
        <w:t>(</w:t>
      </w:r>
      <w:proofErr w:type="spellStart"/>
      <w:r w:rsidRPr="00D62007">
        <w:rPr>
          <w:rFonts w:ascii="Times New Roman" w:eastAsia="Times New Roman" w:hAnsi="Times New Roman" w:cs="Times New Roman"/>
          <w:sz w:val="24"/>
          <w:szCs w:val="24"/>
          <w:lang w:val="en-GB"/>
        </w:rPr>
        <w:t>Lavery</w:t>
      </w:r>
      <w:proofErr w:type="spellEnd"/>
      <w:r w:rsidRPr="00D62007">
        <w:rPr>
          <w:rFonts w:ascii="Times New Roman" w:eastAsia="Times New Roman" w:hAnsi="Times New Roman" w:cs="Times New Roman"/>
          <w:sz w:val="24"/>
          <w:szCs w:val="24"/>
          <w:lang w:val="en-GB"/>
        </w:rPr>
        <w:t xml:space="preserve">, 2018). The community formation process can pull the stakeholders together based on the requirements of the project community and this process becomes easier with the use of social media. </w:t>
      </w:r>
    </w:p>
    <w:p w14:paraId="3B2239F4"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 xml:space="preserve">Development of the relationship </w:t>
      </w:r>
    </w:p>
    <w:p w14:paraId="2B162986" w14:textId="77777777" w:rsidR="00733BDC" w:rsidRPr="00D62007" w:rsidRDefault="00C66F30">
      <w:pPr>
        <w:spacing w:line="360" w:lineRule="auto"/>
        <w:jc w:val="both"/>
        <w:rPr>
          <w:rFonts w:ascii="Times New Roman" w:eastAsia="Times New Roman" w:hAnsi="Times New Roman" w:cs="Times New Roman"/>
          <w:sz w:val="24"/>
          <w:szCs w:val="24"/>
          <w:highlight w:val="white"/>
          <w:lang w:val="en-GB"/>
        </w:rPr>
      </w:pPr>
      <w:r w:rsidRPr="00D62007">
        <w:rPr>
          <w:rFonts w:ascii="Times New Roman" w:eastAsia="Times New Roman" w:hAnsi="Times New Roman" w:cs="Times New Roman"/>
          <w:sz w:val="24"/>
          <w:szCs w:val="24"/>
          <w:lang w:val="en-GB"/>
        </w:rPr>
        <w:t xml:space="preserve">The use of different social media platforms is highly beneficial to building good relationships with the stakeholders with the required </w:t>
      </w:r>
      <w:proofErr w:type="gramStart"/>
      <w:r w:rsidRPr="00D62007">
        <w:rPr>
          <w:rFonts w:ascii="Times New Roman" w:eastAsia="Times New Roman" w:hAnsi="Times New Roman" w:cs="Times New Roman"/>
          <w:sz w:val="24"/>
          <w:szCs w:val="24"/>
          <w:lang w:val="en-GB"/>
        </w:rPr>
        <w:t>amount</w:t>
      </w:r>
      <w:proofErr w:type="gramEnd"/>
      <w:r w:rsidRPr="00D62007">
        <w:rPr>
          <w:rFonts w:ascii="Times New Roman" w:eastAsia="Times New Roman" w:hAnsi="Times New Roman" w:cs="Times New Roman"/>
          <w:sz w:val="24"/>
          <w:szCs w:val="24"/>
          <w:lang w:val="en-GB"/>
        </w:rPr>
        <w:t xml:space="preserve"> of skills and strength. </w:t>
      </w:r>
      <w:r w:rsidRPr="00D62007">
        <w:rPr>
          <w:rFonts w:ascii="Times New Roman" w:eastAsia="Times New Roman" w:hAnsi="Times New Roman" w:cs="Times New Roman"/>
          <w:i/>
          <w:sz w:val="24"/>
          <w:szCs w:val="24"/>
          <w:highlight w:val="white"/>
          <w:lang w:val="en-GB"/>
        </w:rPr>
        <w:t xml:space="preserve"> </w:t>
      </w:r>
      <w:r w:rsidR="00C81D3B" w:rsidRPr="00D62007">
        <w:rPr>
          <w:rFonts w:ascii="Times New Roman" w:eastAsia="Times New Roman" w:hAnsi="Times New Roman" w:cs="Times New Roman"/>
          <w:i/>
          <w:sz w:val="24"/>
          <w:szCs w:val="24"/>
          <w:highlight w:val="white"/>
          <w:lang w:val="en-GB"/>
        </w:rPr>
        <w:t>Lower-tier</w:t>
      </w:r>
      <w:r w:rsidRPr="00D62007">
        <w:rPr>
          <w:rFonts w:ascii="Times New Roman" w:eastAsia="Times New Roman" w:hAnsi="Times New Roman" w:cs="Times New Roman"/>
          <w:i/>
          <w:sz w:val="24"/>
          <w:szCs w:val="24"/>
          <w:highlight w:val="white"/>
          <w:lang w:val="en-GB"/>
        </w:rPr>
        <w:t xml:space="preserve"> stakeholders </w:t>
      </w:r>
      <w:r w:rsidRPr="00D62007">
        <w:rPr>
          <w:rFonts w:ascii="Times New Roman" w:eastAsia="Times New Roman" w:hAnsi="Times New Roman" w:cs="Times New Roman"/>
          <w:sz w:val="24"/>
          <w:szCs w:val="24"/>
          <w:highlight w:val="white"/>
          <w:lang w:val="en-GB"/>
        </w:rPr>
        <w:t>to</w:t>
      </w:r>
      <w:r w:rsidRPr="00D62007">
        <w:rPr>
          <w:rFonts w:ascii="Times New Roman" w:eastAsia="Times New Roman" w:hAnsi="Times New Roman" w:cs="Times New Roman"/>
          <w:i/>
          <w:sz w:val="24"/>
          <w:szCs w:val="24"/>
          <w:highlight w:val="white"/>
          <w:lang w:val="en-GB"/>
        </w:rPr>
        <w:t xml:space="preserve"> higher interest stakeholders </w:t>
      </w:r>
      <w:r w:rsidRPr="00D62007">
        <w:rPr>
          <w:rFonts w:ascii="Times New Roman" w:eastAsia="Times New Roman" w:hAnsi="Times New Roman" w:cs="Times New Roman"/>
          <w:sz w:val="24"/>
          <w:szCs w:val="24"/>
          <w:highlight w:val="white"/>
          <w:lang w:val="en-GB"/>
        </w:rPr>
        <w:t>working with both can be easier by making relationships with them (</w:t>
      </w:r>
      <w:proofErr w:type="spellStart"/>
      <w:r w:rsidRPr="00D62007">
        <w:rPr>
          <w:rFonts w:ascii="Times New Roman" w:eastAsia="Times New Roman" w:hAnsi="Times New Roman" w:cs="Times New Roman"/>
          <w:sz w:val="24"/>
          <w:szCs w:val="24"/>
          <w:lang w:val="en-GB"/>
        </w:rPr>
        <w:t>Papagiannakis</w:t>
      </w:r>
      <w:proofErr w:type="spellEnd"/>
      <w:r w:rsidRPr="00D62007">
        <w:rPr>
          <w:rFonts w:ascii="Times New Roman" w:eastAsia="Times New Roman" w:hAnsi="Times New Roman" w:cs="Times New Roman"/>
          <w:sz w:val="24"/>
          <w:szCs w:val="24"/>
          <w:lang w:val="en-GB"/>
        </w:rPr>
        <w:t xml:space="preserve"> </w:t>
      </w:r>
      <w:r w:rsidRPr="00D62007">
        <w:rPr>
          <w:rFonts w:ascii="Times New Roman" w:eastAsia="Times New Roman" w:hAnsi="Times New Roman" w:cs="Times New Roman"/>
          <w:i/>
          <w:sz w:val="24"/>
          <w:szCs w:val="24"/>
          <w:lang w:val="en-GB"/>
        </w:rPr>
        <w:t>et al.</w:t>
      </w:r>
      <w:r w:rsidRPr="00D62007">
        <w:rPr>
          <w:rFonts w:ascii="Times New Roman" w:eastAsia="Times New Roman" w:hAnsi="Times New Roman" w:cs="Times New Roman"/>
          <w:sz w:val="24"/>
          <w:szCs w:val="24"/>
          <w:lang w:val="en-GB"/>
        </w:rPr>
        <w:t xml:space="preserve"> 2019</w:t>
      </w:r>
      <w:r w:rsidRPr="00D62007">
        <w:rPr>
          <w:rFonts w:ascii="Times New Roman" w:eastAsia="Times New Roman" w:hAnsi="Times New Roman" w:cs="Times New Roman"/>
          <w:sz w:val="24"/>
          <w:szCs w:val="24"/>
          <w:highlight w:val="white"/>
          <w:lang w:val="en-GB"/>
        </w:rPr>
        <w:t xml:space="preserve">). Building a good relationship with the stakeholders is crucial to getting enough support for the following project of building sustainability awareness under the community process. </w:t>
      </w:r>
    </w:p>
    <w:p w14:paraId="0C43B207"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Providing the necessary amount of values</w:t>
      </w:r>
    </w:p>
    <w:p w14:paraId="1C1180CD" w14:textId="7D38A028"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Every stakeholder needs an adequate amount of value that needs to be provided by every community engagement program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make their working process lucid and effective (Adhikari</w:t>
      </w:r>
      <w:r w:rsidRPr="00D62007">
        <w:rPr>
          <w:rFonts w:ascii="Times New Roman" w:eastAsia="Times New Roman" w:hAnsi="Times New Roman" w:cs="Times New Roman"/>
          <w:i/>
          <w:sz w:val="24"/>
          <w:szCs w:val="24"/>
          <w:lang w:val="en-GB"/>
        </w:rPr>
        <w:t xml:space="preserve"> et al.</w:t>
      </w:r>
      <w:r w:rsidRPr="00D62007">
        <w:rPr>
          <w:rFonts w:ascii="Times New Roman" w:eastAsia="Times New Roman" w:hAnsi="Times New Roman" w:cs="Times New Roman"/>
          <w:sz w:val="24"/>
          <w:szCs w:val="24"/>
          <w:lang w:val="en-GB"/>
        </w:rPr>
        <w:t xml:space="preserve"> 2020). In the social media platform, posting content related to the activities of the social media is necessary to provide them with the necessary amount of value and it is necessary to work with the real values of the other community members. </w:t>
      </w:r>
    </w:p>
    <w:p w14:paraId="6686EC2C" w14:textId="77777777" w:rsidR="00733BDC" w:rsidRPr="00D62007" w:rsidRDefault="00C66F30" w:rsidP="002D7D13">
      <w:pPr>
        <w:pStyle w:val="Heading2"/>
        <w:rPr>
          <w:lang w:val="en-GB"/>
        </w:rPr>
      </w:pPr>
      <w:bookmarkStart w:id="3" w:name="_Toc112066852"/>
      <w:r w:rsidRPr="00D62007">
        <w:rPr>
          <w:lang w:val="en-GB"/>
        </w:rPr>
        <w:t>2.2 A detailed narrative of the different use of social media and its support for the project</w:t>
      </w:r>
      <w:bookmarkEnd w:id="3"/>
      <w:r w:rsidRPr="00D62007">
        <w:rPr>
          <w:lang w:val="en-GB"/>
        </w:rPr>
        <w:t xml:space="preserve"> </w:t>
      </w:r>
    </w:p>
    <w:p w14:paraId="611F3A8F" w14:textId="090D6DE3"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Community engagement is an activity that includes effective interactions with the audiences and community members from different </w:t>
      </w:r>
      <w:r w:rsidR="00DE1BC3">
        <w:rPr>
          <w:rFonts w:ascii="Times New Roman" w:eastAsia="Times New Roman" w:hAnsi="Times New Roman" w:cs="Times New Roman"/>
          <w:sz w:val="24"/>
          <w:szCs w:val="24"/>
          <w:lang w:val="en-GB"/>
        </w:rPr>
        <w:t>levels</w:t>
      </w:r>
      <w:r w:rsidRPr="00D62007">
        <w:rPr>
          <w:rFonts w:ascii="Times New Roman" w:eastAsia="Times New Roman" w:hAnsi="Times New Roman" w:cs="Times New Roman"/>
          <w:sz w:val="24"/>
          <w:szCs w:val="24"/>
          <w:lang w:val="en-GB"/>
        </w:rPr>
        <w:t xml:space="preserve">. On the other hand, the presence of social media platforms has the potential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build </w:t>
      </w:r>
      <w:r w:rsidRPr="00D62007">
        <w:rPr>
          <w:rFonts w:ascii="Times New Roman" w:eastAsia="Times New Roman" w:hAnsi="Times New Roman" w:cs="Times New Roman"/>
          <w:i/>
          <w:sz w:val="24"/>
          <w:szCs w:val="24"/>
          <w:lang w:val="en-GB"/>
        </w:rPr>
        <w:t xml:space="preserve">trust, and a positive </w:t>
      </w:r>
      <w:r w:rsidRPr="00D62007">
        <w:rPr>
          <w:rFonts w:ascii="Times New Roman" w:eastAsia="Times New Roman" w:hAnsi="Times New Roman" w:cs="Times New Roman"/>
          <w:sz w:val="24"/>
          <w:szCs w:val="24"/>
          <w:lang w:val="en-GB"/>
        </w:rPr>
        <w:t xml:space="preserve">and </w:t>
      </w:r>
      <w:r w:rsidRPr="00D62007">
        <w:rPr>
          <w:rFonts w:ascii="Times New Roman" w:eastAsia="Times New Roman" w:hAnsi="Times New Roman" w:cs="Times New Roman"/>
          <w:i/>
          <w:sz w:val="24"/>
          <w:szCs w:val="24"/>
          <w:lang w:val="en-GB"/>
        </w:rPr>
        <w:t>loyal atmosphere</w:t>
      </w:r>
      <w:r w:rsidRPr="00D62007">
        <w:rPr>
          <w:rFonts w:ascii="Times New Roman" w:eastAsia="Times New Roman" w:hAnsi="Times New Roman" w:cs="Times New Roman"/>
          <w:sz w:val="24"/>
          <w:szCs w:val="24"/>
          <w:lang w:val="en-GB"/>
        </w:rPr>
        <w:t xml:space="preserve"> inside the community (</w:t>
      </w:r>
      <w:proofErr w:type="spellStart"/>
      <w:r w:rsidRPr="00D62007">
        <w:rPr>
          <w:rFonts w:ascii="Times New Roman" w:eastAsia="Times New Roman" w:hAnsi="Times New Roman" w:cs="Times New Roman"/>
          <w:sz w:val="24"/>
          <w:szCs w:val="24"/>
          <w:lang w:val="en-GB"/>
        </w:rPr>
        <w:t>Papagiannakis</w:t>
      </w:r>
      <w:proofErr w:type="spellEnd"/>
      <w:r w:rsidRPr="00D62007">
        <w:rPr>
          <w:rFonts w:ascii="Times New Roman" w:eastAsia="Times New Roman" w:hAnsi="Times New Roman" w:cs="Times New Roman"/>
          <w:sz w:val="24"/>
          <w:szCs w:val="24"/>
          <w:lang w:val="en-GB"/>
        </w:rPr>
        <w:t xml:space="preserve"> </w:t>
      </w:r>
      <w:r w:rsidRPr="00D62007">
        <w:rPr>
          <w:rFonts w:ascii="Times New Roman" w:eastAsia="Times New Roman" w:hAnsi="Times New Roman" w:cs="Times New Roman"/>
          <w:i/>
          <w:sz w:val="24"/>
          <w:szCs w:val="24"/>
          <w:lang w:val="en-GB"/>
        </w:rPr>
        <w:t>et al.</w:t>
      </w:r>
      <w:r w:rsidRPr="00D62007">
        <w:rPr>
          <w:rFonts w:ascii="Times New Roman" w:eastAsia="Times New Roman" w:hAnsi="Times New Roman" w:cs="Times New Roman"/>
          <w:sz w:val="24"/>
          <w:szCs w:val="24"/>
          <w:lang w:val="en-GB"/>
        </w:rPr>
        <w:t xml:space="preserve"> 2019). Community engagement nowadays is associated with better engagement in the social media platform that works </w:t>
      </w:r>
      <w:r w:rsidR="00DE1BC3">
        <w:rPr>
          <w:rFonts w:ascii="Times New Roman" w:eastAsia="Times New Roman" w:hAnsi="Times New Roman" w:cs="Times New Roman"/>
          <w:sz w:val="24"/>
          <w:szCs w:val="24"/>
          <w:lang w:val="en-GB"/>
        </w:rPr>
        <w:t>strategically</w:t>
      </w:r>
      <w:r w:rsidRPr="00D62007">
        <w:rPr>
          <w:rFonts w:ascii="Times New Roman" w:eastAsia="Times New Roman" w:hAnsi="Times New Roman" w:cs="Times New Roman"/>
          <w:sz w:val="24"/>
          <w:szCs w:val="24"/>
          <w:lang w:val="en-GB"/>
        </w:rPr>
        <w:t xml:space="preserve"> to interact with the members by ensuring their positive activities for the community. These days people are excessively engaged with social media hence, the different use of social media is </w:t>
      </w:r>
      <w:r w:rsidR="003E2623" w:rsidRPr="00D62007">
        <w:rPr>
          <w:rFonts w:ascii="Times New Roman" w:eastAsia="Times New Roman" w:hAnsi="Times New Roman" w:cs="Times New Roman"/>
          <w:sz w:val="24"/>
          <w:szCs w:val="24"/>
          <w:lang w:val="en-GB"/>
        </w:rPr>
        <w:t>supportive</w:t>
      </w:r>
      <w:r w:rsidRPr="00D62007">
        <w:rPr>
          <w:rFonts w:ascii="Times New Roman" w:eastAsia="Times New Roman" w:hAnsi="Times New Roman" w:cs="Times New Roman"/>
          <w:sz w:val="24"/>
          <w:szCs w:val="24"/>
          <w:lang w:val="en-GB"/>
        </w:rPr>
        <w:t xml:space="preserve"> </w:t>
      </w:r>
      <w:r w:rsidR="00DE1BC3">
        <w:rPr>
          <w:rFonts w:ascii="Times New Roman" w:eastAsia="Times New Roman" w:hAnsi="Times New Roman" w:cs="Times New Roman"/>
          <w:sz w:val="24"/>
          <w:szCs w:val="24"/>
          <w:lang w:val="en-GB"/>
        </w:rPr>
        <w:t>of</w:t>
      </w:r>
      <w:r w:rsidRPr="00D62007">
        <w:rPr>
          <w:rFonts w:ascii="Times New Roman" w:eastAsia="Times New Roman" w:hAnsi="Times New Roman" w:cs="Times New Roman"/>
          <w:sz w:val="24"/>
          <w:szCs w:val="24"/>
          <w:lang w:val="en-GB"/>
        </w:rPr>
        <w:t xml:space="preserve"> sustainability awareness </w:t>
      </w:r>
      <w:r w:rsidR="00DE1BC3">
        <w:rPr>
          <w:rFonts w:ascii="Times New Roman" w:eastAsia="Times New Roman" w:hAnsi="Times New Roman" w:cs="Times New Roman"/>
          <w:sz w:val="24"/>
          <w:szCs w:val="24"/>
          <w:lang w:val="en-GB"/>
        </w:rPr>
        <w:t>projects</w:t>
      </w:r>
      <w:r w:rsidRPr="00D62007">
        <w:rPr>
          <w:rFonts w:ascii="Times New Roman" w:eastAsia="Times New Roman" w:hAnsi="Times New Roman" w:cs="Times New Roman"/>
          <w:sz w:val="24"/>
          <w:szCs w:val="24"/>
          <w:lang w:val="en-GB"/>
        </w:rPr>
        <w:t xml:space="preserve"> and other different types of projects. </w:t>
      </w:r>
    </w:p>
    <w:p w14:paraId="06167358" w14:textId="4C982300"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The maximum amount of content that is present in the social media accounts majority of them is involved likes and deeds of the people. </w:t>
      </w:r>
      <w:r w:rsidR="003E2623" w:rsidRPr="00D62007">
        <w:rPr>
          <w:rFonts w:ascii="Times New Roman" w:eastAsia="Times New Roman" w:hAnsi="Times New Roman" w:cs="Times New Roman"/>
          <w:sz w:val="24"/>
          <w:szCs w:val="24"/>
          <w:lang w:val="en-GB"/>
        </w:rPr>
        <w:t>Therefore,</w:t>
      </w:r>
      <w:r w:rsidRPr="00D62007">
        <w:rPr>
          <w:rFonts w:ascii="Times New Roman" w:eastAsia="Times New Roman" w:hAnsi="Times New Roman" w:cs="Times New Roman"/>
          <w:sz w:val="24"/>
          <w:szCs w:val="24"/>
          <w:lang w:val="en-GB"/>
        </w:rPr>
        <w:t xml:space="preserve"> it works in a significant way to refer to the potential process for the following community engagement program. Community is the primary part that is referred to and linked with the favourites and found this is necessary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build </w:t>
      </w:r>
      <w:proofErr w:type="gramStart"/>
      <w:r w:rsidRPr="00D62007">
        <w:rPr>
          <w:rFonts w:ascii="Times New Roman" w:eastAsia="Times New Roman" w:hAnsi="Times New Roman" w:cs="Times New Roman"/>
          <w:i/>
          <w:sz w:val="24"/>
          <w:szCs w:val="24"/>
          <w:lang w:val="en-GB"/>
        </w:rPr>
        <w:t>a hand-in-hand</w:t>
      </w:r>
      <w:proofErr w:type="gramEnd"/>
      <w:r w:rsidRPr="00D62007">
        <w:rPr>
          <w:rFonts w:ascii="Times New Roman" w:eastAsia="Times New Roman" w:hAnsi="Times New Roman" w:cs="Times New Roman"/>
          <w:i/>
          <w:sz w:val="24"/>
          <w:szCs w:val="24"/>
          <w:lang w:val="en-GB"/>
        </w:rPr>
        <w:t xml:space="preserve"> community engagement process </w:t>
      </w:r>
      <w:r w:rsidRPr="00D62007">
        <w:rPr>
          <w:rFonts w:ascii="Times New Roman" w:eastAsia="Times New Roman" w:hAnsi="Times New Roman" w:cs="Times New Roman"/>
          <w:sz w:val="24"/>
          <w:szCs w:val="24"/>
          <w:lang w:val="en-GB"/>
        </w:rPr>
        <w:t>(</w:t>
      </w:r>
      <w:proofErr w:type="spellStart"/>
      <w:r w:rsidRPr="00D62007">
        <w:rPr>
          <w:rFonts w:ascii="Times New Roman" w:eastAsia="Times New Roman" w:hAnsi="Times New Roman" w:cs="Times New Roman"/>
          <w:sz w:val="24"/>
          <w:szCs w:val="24"/>
          <w:lang w:val="en-GB"/>
        </w:rPr>
        <w:t>Boulianne</w:t>
      </w:r>
      <w:proofErr w:type="spellEnd"/>
      <w:r w:rsidRPr="00D62007">
        <w:rPr>
          <w:rFonts w:ascii="Times New Roman" w:eastAsia="Times New Roman" w:hAnsi="Times New Roman" w:cs="Times New Roman"/>
          <w:sz w:val="24"/>
          <w:szCs w:val="24"/>
          <w:lang w:val="en-GB"/>
        </w:rPr>
        <w:t xml:space="preserve">, 2020). The </w:t>
      </w:r>
      <w:r w:rsidRPr="00D62007">
        <w:rPr>
          <w:rFonts w:ascii="Times New Roman" w:eastAsia="Times New Roman" w:hAnsi="Times New Roman" w:cs="Times New Roman"/>
          <w:sz w:val="24"/>
          <w:szCs w:val="24"/>
          <w:lang w:val="en-GB"/>
        </w:rPr>
        <w:lastRenderedPageBreak/>
        <w:t xml:space="preserve">presence of social media is one of the </w:t>
      </w:r>
      <w:r w:rsidR="00DE1BC3">
        <w:rPr>
          <w:rFonts w:ascii="Times New Roman" w:eastAsia="Times New Roman" w:hAnsi="Times New Roman" w:cs="Times New Roman"/>
          <w:sz w:val="24"/>
          <w:szCs w:val="24"/>
          <w:lang w:val="en-GB"/>
        </w:rPr>
        <w:t>graves</w:t>
      </w:r>
      <w:r w:rsidRPr="00D62007">
        <w:rPr>
          <w:rFonts w:ascii="Times New Roman" w:eastAsia="Times New Roman" w:hAnsi="Times New Roman" w:cs="Times New Roman"/>
          <w:sz w:val="24"/>
          <w:szCs w:val="24"/>
          <w:lang w:val="en-GB"/>
        </w:rPr>
        <w:t xml:space="preserve"> </w:t>
      </w:r>
      <w:r w:rsidR="00DE1BC3">
        <w:rPr>
          <w:rFonts w:ascii="Times New Roman" w:eastAsia="Times New Roman" w:hAnsi="Times New Roman" w:cs="Times New Roman"/>
          <w:sz w:val="24"/>
          <w:szCs w:val="24"/>
          <w:lang w:val="en-GB"/>
        </w:rPr>
        <w:t>of support</w:t>
      </w:r>
      <w:r w:rsidRPr="00D62007">
        <w:rPr>
          <w:rFonts w:ascii="Times New Roman" w:eastAsia="Times New Roman" w:hAnsi="Times New Roman" w:cs="Times New Roman"/>
          <w:sz w:val="24"/>
          <w:szCs w:val="24"/>
          <w:lang w:val="en-GB"/>
        </w:rPr>
        <w:t xml:space="preserve"> for the community engagement process that includes effective customer service based on societal needs. </w:t>
      </w:r>
    </w:p>
    <w:p w14:paraId="26539FF5" w14:textId="77777777" w:rsidR="00733BDC" w:rsidRPr="00D62007" w:rsidRDefault="00C66F30" w:rsidP="002D7D13">
      <w:pPr>
        <w:pStyle w:val="Heading2"/>
        <w:rPr>
          <w:lang w:val="en-GB"/>
        </w:rPr>
      </w:pPr>
      <w:bookmarkStart w:id="4" w:name="_Toc112066853"/>
      <w:r w:rsidRPr="00D62007">
        <w:rPr>
          <w:lang w:val="en-GB"/>
        </w:rPr>
        <w:t>2.3 The primary interpersonal skills that can foster the level of success</w:t>
      </w:r>
      <w:bookmarkEnd w:id="4"/>
      <w:r w:rsidRPr="00D62007">
        <w:rPr>
          <w:lang w:val="en-GB"/>
        </w:rPr>
        <w:t xml:space="preserve"> </w:t>
      </w:r>
    </w:p>
    <w:p w14:paraId="712C3B30"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 xml:space="preserve">Creative thinking </w:t>
      </w:r>
    </w:p>
    <w:p w14:paraId="48E7A1B0" w14:textId="08784FFD"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Creative thinking is one of the major parts of communication and exchanging information is one of the major tasks for a better community engagement process. </w:t>
      </w:r>
      <w:r w:rsidR="00DE1BC3">
        <w:rPr>
          <w:rFonts w:ascii="Times New Roman" w:eastAsia="Times New Roman" w:hAnsi="Times New Roman" w:cs="Times New Roman"/>
          <w:sz w:val="24"/>
          <w:szCs w:val="24"/>
          <w:lang w:val="en-GB"/>
        </w:rPr>
        <w:t>Creative</w:t>
      </w:r>
      <w:r w:rsidRPr="00D62007">
        <w:rPr>
          <w:rFonts w:ascii="Times New Roman" w:eastAsia="Times New Roman" w:hAnsi="Times New Roman" w:cs="Times New Roman"/>
          <w:sz w:val="24"/>
          <w:szCs w:val="24"/>
          <w:lang w:val="en-GB"/>
        </w:rPr>
        <w:t xml:space="preserve"> thinking skill is necessary for the exchange of information, ideas and thoughts that are necessary for expressing the core emotions of the members. This is highly effective to get success in an easier process with a professional level of communication that is only possible through </w:t>
      </w:r>
      <w:r w:rsidRPr="00D62007">
        <w:rPr>
          <w:rFonts w:ascii="Times New Roman" w:eastAsia="Times New Roman" w:hAnsi="Times New Roman" w:cs="Times New Roman"/>
          <w:i/>
          <w:sz w:val="24"/>
          <w:szCs w:val="24"/>
          <w:lang w:val="en-GB"/>
        </w:rPr>
        <w:t xml:space="preserve">creative thinking skills </w:t>
      </w:r>
      <w:r w:rsidRPr="00D62007">
        <w:rPr>
          <w:rFonts w:ascii="Times New Roman" w:eastAsia="Times New Roman" w:hAnsi="Times New Roman" w:cs="Times New Roman"/>
          <w:sz w:val="24"/>
          <w:szCs w:val="24"/>
          <w:lang w:val="en-GB"/>
        </w:rPr>
        <w:t xml:space="preserve">(Xu and Saxton, 2019). The conflicts that are related to isolation and insensitivity can be rectified through </w:t>
      </w:r>
      <w:r w:rsidR="003E2623" w:rsidRPr="00D62007">
        <w:rPr>
          <w:rFonts w:ascii="Times New Roman" w:eastAsia="Times New Roman" w:hAnsi="Times New Roman" w:cs="Times New Roman"/>
          <w:sz w:val="24"/>
          <w:szCs w:val="24"/>
          <w:lang w:val="en-GB"/>
        </w:rPr>
        <w:t>a</w:t>
      </w:r>
      <w:r w:rsidRPr="00D62007">
        <w:rPr>
          <w:rFonts w:ascii="Times New Roman" w:eastAsia="Times New Roman" w:hAnsi="Times New Roman" w:cs="Times New Roman"/>
          <w:sz w:val="24"/>
          <w:szCs w:val="24"/>
          <w:lang w:val="en-GB"/>
        </w:rPr>
        <w:t xml:space="preserve"> skill that builds better relationships in the business process with a direct impact on the </w:t>
      </w:r>
      <w:r w:rsidR="00DE1BC3">
        <w:rPr>
          <w:rFonts w:ascii="Times New Roman" w:eastAsia="Times New Roman" w:hAnsi="Times New Roman" w:cs="Times New Roman"/>
          <w:sz w:val="24"/>
          <w:szCs w:val="24"/>
          <w:lang w:val="en-GB"/>
        </w:rPr>
        <w:t>community's</w:t>
      </w:r>
      <w:r w:rsidRPr="00D62007">
        <w:rPr>
          <w:rFonts w:ascii="Times New Roman" w:eastAsia="Times New Roman" w:hAnsi="Times New Roman" w:cs="Times New Roman"/>
          <w:sz w:val="24"/>
          <w:szCs w:val="24"/>
          <w:lang w:val="en-GB"/>
        </w:rPr>
        <w:t xml:space="preserve"> productivity.   </w:t>
      </w:r>
    </w:p>
    <w:p w14:paraId="7932C383"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Professional skills</w:t>
      </w:r>
    </w:p>
    <w:p w14:paraId="2B836BFB" w14:textId="17C49D19"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Professional skill is one of the necessary interpersonal skills that can foster the level of the community engagement process. </w:t>
      </w:r>
      <w:r w:rsidR="00DE1BC3">
        <w:rPr>
          <w:rFonts w:ascii="Times New Roman" w:eastAsia="Times New Roman" w:hAnsi="Times New Roman" w:cs="Times New Roman"/>
          <w:sz w:val="24"/>
          <w:szCs w:val="24"/>
          <w:lang w:val="en-GB"/>
        </w:rPr>
        <w:t>During</w:t>
      </w:r>
      <w:r w:rsidRPr="00D62007">
        <w:rPr>
          <w:rFonts w:ascii="Times New Roman" w:eastAsia="Times New Roman" w:hAnsi="Times New Roman" w:cs="Times New Roman"/>
          <w:sz w:val="24"/>
          <w:szCs w:val="24"/>
          <w:lang w:val="en-GB"/>
        </w:rPr>
        <w:t xml:space="preserve"> a time of working </w:t>
      </w:r>
      <w:r w:rsidR="00DE1BC3">
        <w:rPr>
          <w:rFonts w:ascii="Times New Roman" w:eastAsia="Times New Roman" w:hAnsi="Times New Roman" w:cs="Times New Roman"/>
          <w:sz w:val="24"/>
          <w:szCs w:val="24"/>
          <w:lang w:val="en-GB"/>
        </w:rPr>
        <w:t>on</w:t>
      </w:r>
      <w:r w:rsidRPr="00D62007">
        <w:rPr>
          <w:rFonts w:ascii="Times New Roman" w:eastAsia="Times New Roman" w:hAnsi="Times New Roman" w:cs="Times New Roman"/>
          <w:sz w:val="24"/>
          <w:szCs w:val="24"/>
          <w:lang w:val="en-GB"/>
        </w:rPr>
        <w:t xml:space="preserve"> a group project, every person needs to be tended to </w:t>
      </w:r>
      <w:proofErr w:type="gramStart"/>
      <w:r w:rsidRPr="00D62007">
        <w:rPr>
          <w:rFonts w:ascii="Times New Roman" w:eastAsia="Times New Roman" w:hAnsi="Times New Roman" w:cs="Times New Roman"/>
          <w:sz w:val="24"/>
          <w:szCs w:val="24"/>
          <w:lang w:val="en-GB"/>
        </w:rPr>
        <w:t>working</w:t>
      </w:r>
      <w:proofErr w:type="gramEnd"/>
      <w:r w:rsidRPr="00D62007">
        <w:rPr>
          <w:rFonts w:ascii="Times New Roman" w:eastAsia="Times New Roman" w:hAnsi="Times New Roman" w:cs="Times New Roman"/>
          <w:sz w:val="24"/>
          <w:szCs w:val="24"/>
          <w:lang w:val="en-GB"/>
        </w:rPr>
        <w:t xml:space="preserve"> towards the common goal and it is effective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work together </w:t>
      </w:r>
      <w:r w:rsidR="00DE1BC3">
        <w:rPr>
          <w:rFonts w:ascii="Times New Roman" w:eastAsia="Times New Roman" w:hAnsi="Times New Roman" w:cs="Times New Roman"/>
          <w:sz w:val="24"/>
          <w:szCs w:val="24"/>
          <w:lang w:val="en-GB"/>
        </w:rPr>
        <w:t>most successfully</w:t>
      </w:r>
      <w:r w:rsidRPr="00D62007">
        <w:rPr>
          <w:rFonts w:ascii="Times New Roman" w:eastAsia="Times New Roman" w:hAnsi="Times New Roman" w:cs="Times New Roman"/>
          <w:sz w:val="24"/>
          <w:szCs w:val="24"/>
          <w:lang w:val="en-GB"/>
        </w:rPr>
        <w:t xml:space="preserve">. The more people are working together the success of the project will become easier come with a better collaboration process among the community members. Professional skills are one of the fundamental interpersonal skills that increase the rate of </w:t>
      </w:r>
      <w:r w:rsidR="003E2623" w:rsidRPr="00D62007">
        <w:rPr>
          <w:rFonts w:ascii="Times New Roman" w:eastAsia="Times New Roman" w:hAnsi="Times New Roman" w:cs="Times New Roman"/>
          <w:sz w:val="24"/>
          <w:szCs w:val="24"/>
          <w:lang w:val="en-GB"/>
        </w:rPr>
        <w:t>progress, which</w:t>
      </w:r>
      <w:r w:rsidRPr="00D62007">
        <w:rPr>
          <w:rFonts w:ascii="Times New Roman" w:eastAsia="Times New Roman" w:hAnsi="Times New Roman" w:cs="Times New Roman"/>
          <w:sz w:val="24"/>
          <w:szCs w:val="24"/>
          <w:lang w:val="en-GB"/>
        </w:rPr>
        <w:t xml:space="preserve"> is necessary for better community engagement (Konrad </w:t>
      </w:r>
      <w:r w:rsidRPr="00D62007">
        <w:rPr>
          <w:rFonts w:ascii="Times New Roman" w:eastAsia="Times New Roman" w:hAnsi="Times New Roman" w:cs="Times New Roman"/>
          <w:i/>
          <w:sz w:val="24"/>
          <w:szCs w:val="24"/>
          <w:lang w:val="en-GB"/>
        </w:rPr>
        <w:t>et al</w:t>
      </w:r>
      <w:r w:rsidRPr="00D62007">
        <w:rPr>
          <w:rFonts w:ascii="Times New Roman" w:eastAsia="Times New Roman" w:hAnsi="Times New Roman" w:cs="Times New Roman"/>
          <w:sz w:val="24"/>
          <w:szCs w:val="24"/>
          <w:lang w:val="en-GB"/>
        </w:rPr>
        <w:t>. 2019). As the major professional skill,</w:t>
      </w:r>
      <w:r w:rsidR="003E2623">
        <w:rPr>
          <w:rFonts w:ascii="Times New Roman" w:eastAsia="Times New Roman" w:hAnsi="Times New Roman" w:cs="Times New Roman"/>
          <w:sz w:val="24"/>
          <w:szCs w:val="24"/>
          <w:lang w:val="en-GB"/>
        </w:rPr>
        <w:t xml:space="preserve"> </w:t>
      </w:r>
      <w:r w:rsidRPr="00D62007">
        <w:rPr>
          <w:rFonts w:ascii="Times New Roman" w:eastAsia="Times New Roman" w:hAnsi="Times New Roman" w:cs="Times New Roman"/>
          <w:i/>
          <w:sz w:val="24"/>
          <w:szCs w:val="24"/>
          <w:highlight w:val="white"/>
          <w:lang w:val="en-GB"/>
        </w:rPr>
        <w:t xml:space="preserve">critical thinking, negotiation and trainability </w:t>
      </w:r>
      <w:r w:rsidRPr="00D62007">
        <w:rPr>
          <w:rFonts w:ascii="Times New Roman" w:eastAsia="Times New Roman" w:hAnsi="Times New Roman" w:cs="Times New Roman"/>
          <w:sz w:val="24"/>
          <w:szCs w:val="24"/>
          <w:highlight w:val="white"/>
          <w:lang w:val="en-GB"/>
        </w:rPr>
        <w:t xml:space="preserve">can work as significant skills to develop the most effective community engagement </w:t>
      </w:r>
      <w:r w:rsidR="003E2623" w:rsidRPr="00D62007">
        <w:rPr>
          <w:rFonts w:ascii="Times New Roman" w:eastAsia="Times New Roman" w:hAnsi="Times New Roman" w:cs="Times New Roman"/>
          <w:sz w:val="24"/>
          <w:szCs w:val="24"/>
          <w:highlight w:val="white"/>
          <w:lang w:val="en-GB"/>
        </w:rPr>
        <w:t>practices, which</w:t>
      </w:r>
      <w:r w:rsidRPr="00D62007">
        <w:rPr>
          <w:rFonts w:ascii="Times New Roman" w:eastAsia="Times New Roman" w:hAnsi="Times New Roman" w:cs="Times New Roman"/>
          <w:sz w:val="24"/>
          <w:szCs w:val="24"/>
          <w:highlight w:val="white"/>
          <w:lang w:val="en-GB"/>
        </w:rPr>
        <w:t xml:space="preserve"> are beneficial. </w:t>
      </w:r>
    </w:p>
    <w:p w14:paraId="6BD24B88" w14:textId="4CF8B716" w:rsidR="00733BDC" w:rsidRPr="00D62007" w:rsidRDefault="00C66F30" w:rsidP="002D7D13">
      <w:pPr>
        <w:pStyle w:val="Heading2"/>
        <w:rPr>
          <w:lang w:val="en-GB"/>
        </w:rPr>
      </w:pPr>
      <w:bookmarkStart w:id="5" w:name="_Toc112066854"/>
      <w:r w:rsidRPr="00D62007">
        <w:rPr>
          <w:lang w:val="en-GB"/>
        </w:rPr>
        <w:t xml:space="preserve">2.4 Relevant avenues that can promote better community participation </w:t>
      </w:r>
      <w:r w:rsidR="00DE1BC3">
        <w:rPr>
          <w:lang w:val="en-GB"/>
        </w:rPr>
        <w:t>to</w:t>
      </w:r>
      <w:r w:rsidRPr="00D62007">
        <w:rPr>
          <w:lang w:val="en-GB"/>
        </w:rPr>
        <w:t xml:space="preserve"> enable socio-cultural integration and multiculturalism</w:t>
      </w:r>
      <w:bookmarkEnd w:id="5"/>
    </w:p>
    <w:p w14:paraId="7DA887F4" w14:textId="448189D2"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The programs that are linked with the different spaces of education and cultural activities can work as relevant avenues that can promote better community participation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enable socio-cultural integration and multiculturalism. The role of effective and equal participation of every community member is pivotal.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build effective community engagement, these actions are essential to work in the public spaces with the right amount of knowledge and education about community development (Nazeer, 2020). The majority numbers of the cultural activities are done </w:t>
      </w:r>
      <w:r w:rsidR="00DE1BC3">
        <w:rPr>
          <w:rFonts w:ascii="Times New Roman" w:eastAsia="Times New Roman" w:hAnsi="Times New Roman" w:cs="Times New Roman"/>
          <w:sz w:val="24"/>
          <w:szCs w:val="24"/>
          <w:lang w:val="en-GB"/>
        </w:rPr>
        <w:t>in</w:t>
      </w:r>
      <w:r w:rsidRPr="00D62007">
        <w:rPr>
          <w:rFonts w:ascii="Times New Roman" w:eastAsia="Times New Roman" w:hAnsi="Times New Roman" w:cs="Times New Roman"/>
          <w:sz w:val="24"/>
          <w:szCs w:val="24"/>
          <w:lang w:val="en-GB"/>
        </w:rPr>
        <w:t xml:space="preserve"> diverse e cultures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increase the acceptance of the community </w:t>
      </w:r>
      <w:r w:rsidRPr="00D62007">
        <w:rPr>
          <w:rFonts w:ascii="Times New Roman" w:eastAsia="Times New Roman" w:hAnsi="Times New Roman" w:cs="Times New Roman"/>
          <w:sz w:val="24"/>
          <w:szCs w:val="24"/>
          <w:lang w:val="en-GB"/>
        </w:rPr>
        <w:lastRenderedPageBreak/>
        <w:t>members to take better participation in the community engagement program. The role of the stakeholders is effective here to monitor the concerns that can count all the primary interests of all community members. The decision-making process can promote better community participation; on the other side, the involvement process can contribute to positive outcomes that can recognise the major interdependence of the efforts with different necessary operations (</w:t>
      </w:r>
      <w:proofErr w:type="spellStart"/>
      <w:r w:rsidRPr="00D62007">
        <w:rPr>
          <w:rFonts w:ascii="Times New Roman" w:eastAsia="Times New Roman" w:hAnsi="Times New Roman" w:cs="Times New Roman"/>
          <w:sz w:val="24"/>
          <w:szCs w:val="24"/>
          <w:lang w:val="en-GB"/>
        </w:rPr>
        <w:t>Rajhans</w:t>
      </w:r>
      <w:proofErr w:type="spellEnd"/>
      <w:r w:rsidRPr="00D62007">
        <w:rPr>
          <w:rFonts w:ascii="Times New Roman" w:eastAsia="Times New Roman" w:hAnsi="Times New Roman" w:cs="Times New Roman"/>
          <w:sz w:val="24"/>
          <w:szCs w:val="24"/>
          <w:lang w:val="en-GB"/>
        </w:rPr>
        <w:t xml:space="preserve">, 2018). The actions that are needed to take for relevant avenues that can promote better community participation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enable socio-cultural integration and multiculturalism are discussed below,  </w:t>
      </w:r>
    </w:p>
    <w:p w14:paraId="45749D0B"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Collaboration</w:t>
      </w:r>
    </w:p>
    <w:p w14:paraId="25B97D26" w14:textId="389126A4"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Collaboration is one of the major processes that make all the necessary processes easier to reach in the most possible ways. This process is effective to achieve the goal of the community engagement program </w:t>
      </w:r>
      <w:r w:rsidR="00DE1BC3">
        <w:rPr>
          <w:rFonts w:ascii="Times New Roman" w:eastAsia="Times New Roman" w:hAnsi="Times New Roman" w:cs="Times New Roman"/>
          <w:sz w:val="24"/>
          <w:szCs w:val="24"/>
          <w:lang w:val="en-GB"/>
        </w:rPr>
        <w:t>beneficially</w:t>
      </w:r>
      <w:r w:rsidRPr="00D62007">
        <w:rPr>
          <w:rFonts w:ascii="Times New Roman" w:eastAsia="Times New Roman" w:hAnsi="Times New Roman" w:cs="Times New Roman"/>
          <w:sz w:val="24"/>
          <w:szCs w:val="24"/>
          <w:lang w:val="en-GB"/>
        </w:rPr>
        <w:t xml:space="preserve">. Collaboration works with three major activities such as </w:t>
      </w:r>
      <w:r w:rsidRPr="00D62007">
        <w:rPr>
          <w:rFonts w:ascii="Times New Roman" w:eastAsia="Times New Roman" w:hAnsi="Times New Roman" w:cs="Times New Roman"/>
          <w:i/>
          <w:sz w:val="24"/>
          <w:szCs w:val="24"/>
          <w:lang w:val="en-GB"/>
        </w:rPr>
        <w:t>time</w:t>
      </w:r>
      <w:r w:rsidRPr="00D62007">
        <w:rPr>
          <w:rFonts w:ascii="Times New Roman" w:eastAsia="Times New Roman" w:hAnsi="Times New Roman" w:cs="Times New Roman"/>
          <w:sz w:val="24"/>
          <w:szCs w:val="24"/>
          <w:lang w:val="en-GB"/>
        </w:rPr>
        <w:t xml:space="preserve">, </w:t>
      </w:r>
      <w:r w:rsidRPr="00D62007">
        <w:rPr>
          <w:rFonts w:ascii="Times New Roman" w:eastAsia="Times New Roman" w:hAnsi="Times New Roman" w:cs="Times New Roman"/>
          <w:i/>
          <w:sz w:val="24"/>
          <w:szCs w:val="24"/>
          <w:lang w:val="en-GB"/>
        </w:rPr>
        <w:t xml:space="preserve">trust </w:t>
      </w:r>
      <w:r w:rsidRPr="00D62007">
        <w:rPr>
          <w:rFonts w:ascii="Times New Roman" w:eastAsia="Times New Roman" w:hAnsi="Times New Roman" w:cs="Times New Roman"/>
          <w:sz w:val="24"/>
          <w:szCs w:val="24"/>
          <w:lang w:val="en-GB"/>
        </w:rPr>
        <w:t xml:space="preserve">and </w:t>
      </w:r>
      <w:r w:rsidRPr="00D62007">
        <w:rPr>
          <w:rFonts w:ascii="Times New Roman" w:eastAsia="Times New Roman" w:hAnsi="Times New Roman" w:cs="Times New Roman"/>
          <w:i/>
          <w:sz w:val="24"/>
          <w:szCs w:val="24"/>
          <w:lang w:val="en-GB"/>
        </w:rPr>
        <w:t xml:space="preserve">turf </w:t>
      </w:r>
      <w:r w:rsidRPr="00D62007">
        <w:rPr>
          <w:rFonts w:ascii="Times New Roman" w:eastAsia="Times New Roman" w:hAnsi="Times New Roman" w:cs="Times New Roman"/>
          <w:sz w:val="24"/>
          <w:szCs w:val="24"/>
          <w:lang w:val="en-GB"/>
        </w:rPr>
        <w:t xml:space="preserve">(Nazeer, 2020). Collaboration is one of the possible ways to reach the final goal of the program for effective negotiation that is linked with the strategies that are related to the agreement and strategies of the community engagement program.  The collaboration includes certain activities that link sharing expertise with the necessary </w:t>
      </w:r>
      <w:proofErr w:type="gramStart"/>
      <w:r w:rsidRPr="00D62007">
        <w:rPr>
          <w:rFonts w:ascii="Times New Roman" w:eastAsia="Times New Roman" w:hAnsi="Times New Roman" w:cs="Times New Roman"/>
          <w:sz w:val="24"/>
          <w:szCs w:val="24"/>
          <w:lang w:val="en-GB"/>
        </w:rPr>
        <w:t>amount</w:t>
      </w:r>
      <w:proofErr w:type="gramEnd"/>
      <w:r w:rsidRPr="00D62007">
        <w:rPr>
          <w:rFonts w:ascii="Times New Roman" w:eastAsia="Times New Roman" w:hAnsi="Times New Roman" w:cs="Times New Roman"/>
          <w:sz w:val="24"/>
          <w:szCs w:val="24"/>
          <w:lang w:val="en-GB"/>
        </w:rPr>
        <w:t xml:space="preserve"> of resources with an adequate amount of responsibility for achieving the future goal of the community development program. </w:t>
      </w:r>
    </w:p>
    <w:p w14:paraId="5802DF96"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Diversity</w:t>
      </w:r>
    </w:p>
    <w:p w14:paraId="014873F5" w14:textId="55595101"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In sustainable development, diversity is one of the major parts of the maximum number of nations working hard to increase the adequate amount of equality for the necessary amount of development for a global improvement of societal culture. The diversity in the community endgame planning focuses on the challenges and advantages of diversity in the community. The concept of diversity includes multiple numbers of benefits that work </w:t>
      </w:r>
      <w:r w:rsidR="00DE1BC3">
        <w:rPr>
          <w:rFonts w:ascii="Times New Roman" w:eastAsia="Times New Roman" w:hAnsi="Times New Roman" w:cs="Times New Roman"/>
          <w:sz w:val="24"/>
          <w:szCs w:val="24"/>
          <w:lang w:val="en-GB"/>
        </w:rPr>
        <w:t>most actively</w:t>
      </w:r>
      <w:r w:rsidRPr="00D62007">
        <w:rPr>
          <w:rFonts w:ascii="Times New Roman" w:eastAsia="Times New Roman" w:hAnsi="Times New Roman" w:cs="Times New Roman"/>
          <w:sz w:val="24"/>
          <w:szCs w:val="24"/>
          <w:lang w:val="en-GB"/>
        </w:rPr>
        <w:t xml:space="preserve"> for personal development (Warren and Jones, 2018).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increase the rate of acceptance for different cultures with the necessary amount of awareness that can destroy the previous stereotypes. Hence, diversity is one of the significant parts of the community engagement process that can smash out traditionalistic </w:t>
      </w:r>
      <w:r w:rsidR="003E2623" w:rsidRPr="00D62007">
        <w:rPr>
          <w:rFonts w:ascii="Times New Roman" w:eastAsia="Times New Roman" w:hAnsi="Times New Roman" w:cs="Times New Roman"/>
          <w:sz w:val="24"/>
          <w:szCs w:val="24"/>
          <w:lang w:val="en-GB"/>
        </w:rPr>
        <w:t>views, which</w:t>
      </w:r>
      <w:r w:rsidRPr="00D62007">
        <w:rPr>
          <w:rFonts w:ascii="Times New Roman" w:eastAsia="Times New Roman" w:hAnsi="Times New Roman" w:cs="Times New Roman"/>
          <w:sz w:val="24"/>
          <w:szCs w:val="24"/>
          <w:lang w:val="en-GB"/>
        </w:rPr>
        <w:t xml:space="preserve"> are </w:t>
      </w:r>
      <w:r w:rsidR="003E2623" w:rsidRPr="00D62007">
        <w:rPr>
          <w:rFonts w:ascii="Times New Roman" w:eastAsia="Times New Roman" w:hAnsi="Times New Roman" w:cs="Times New Roman"/>
          <w:sz w:val="24"/>
          <w:szCs w:val="24"/>
          <w:lang w:val="en-GB"/>
        </w:rPr>
        <w:t>unnecessary</w:t>
      </w:r>
      <w:r w:rsidRPr="00D62007">
        <w:rPr>
          <w:rFonts w:ascii="Times New Roman" w:eastAsia="Times New Roman" w:hAnsi="Times New Roman" w:cs="Times New Roman"/>
          <w:sz w:val="24"/>
          <w:szCs w:val="24"/>
          <w:lang w:val="en-GB"/>
        </w:rPr>
        <w:t xml:space="preserve"> for future development. </w:t>
      </w:r>
    </w:p>
    <w:p w14:paraId="53953826"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Inclusion</w:t>
      </w:r>
    </w:p>
    <w:p w14:paraId="1E97E1D9" w14:textId="6A2F9531"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Inclusion is one of the necessary parts of the community development process that ensures community engagement. Social inclusion is necessary to maintain the balance of a person’s life with an adequate amount of security, dignity and opportunity that is necessary to lead a better life all the time. The inclusion includes certain activities that support the individuals to </w:t>
      </w:r>
      <w:r w:rsidRPr="00D62007">
        <w:rPr>
          <w:rFonts w:ascii="Times New Roman" w:eastAsia="Times New Roman" w:hAnsi="Times New Roman" w:cs="Times New Roman"/>
          <w:sz w:val="24"/>
          <w:szCs w:val="24"/>
          <w:lang w:val="en-GB"/>
        </w:rPr>
        <w:lastRenderedPageBreak/>
        <w:t xml:space="preserve">feel free to stay connected to maintain the values that they deserve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stay in a community (Nazeer, 2020). Inclusion is highly necessary to promote better community participation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enable socio-cultural integration and multiculturalism for the innovative engagement of every individual. </w:t>
      </w:r>
    </w:p>
    <w:p w14:paraId="43C0112E" w14:textId="77777777" w:rsidR="00733BDC" w:rsidRPr="00D62007" w:rsidRDefault="00C66F30" w:rsidP="002D7D13">
      <w:pPr>
        <w:pStyle w:val="Heading2"/>
        <w:rPr>
          <w:lang w:val="en-GB"/>
        </w:rPr>
      </w:pPr>
      <w:bookmarkStart w:id="6" w:name="_Toc112066855"/>
      <w:r w:rsidRPr="00D62007">
        <w:rPr>
          <w:lang w:val="en-GB"/>
        </w:rPr>
        <w:t>2.5 Fundamental theories and concepts based on the study</w:t>
      </w:r>
      <w:bookmarkEnd w:id="6"/>
      <w:r w:rsidRPr="00D62007">
        <w:rPr>
          <w:lang w:val="en-GB"/>
        </w:rPr>
        <w:t xml:space="preserve"> </w:t>
      </w:r>
    </w:p>
    <w:p w14:paraId="3A5FF943"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Public participation models</w:t>
      </w:r>
    </w:p>
    <w:p w14:paraId="0EEA5A3B" w14:textId="4F4530C3" w:rsidR="00733BDC" w:rsidRPr="00D62007"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According to the public participation model, the public authorities include and elicit views that include different and wide ranges of perspectives that are linked with the needs of the community members. Maintaining the needs of the community members should be the major response of community engagement based on the </w:t>
      </w:r>
      <w:r w:rsidRPr="00D62007">
        <w:rPr>
          <w:rFonts w:ascii="Times New Roman" w:eastAsia="Times New Roman" w:hAnsi="Times New Roman" w:cs="Times New Roman"/>
          <w:i/>
          <w:sz w:val="24"/>
          <w:szCs w:val="24"/>
          <w:lang w:val="en-GB"/>
        </w:rPr>
        <w:t xml:space="preserve">public participation models. </w:t>
      </w:r>
      <w:r w:rsidRPr="00D62007">
        <w:rPr>
          <w:rFonts w:ascii="Times New Roman" w:eastAsia="Times New Roman" w:hAnsi="Times New Roman" w:cs="Times New Roman"/>
          <w:sz w:val="24"/>
          <w:szCs w:val="24"/>
          <w:lang w:val="en-GB"/>
        </w:rPr>
        <w:t xml:space="preserve">The needs, responses and focus of the opinions are effective under the community engagement process to build a plan for real-life activities that include a wide range of methods of development. According to this theory, different and wide ranges of methods need to be present in the community engagement process to form an effective response to the issues that are linked with the community development process (Ahmadi and </w:t>
      </w:r>
      <w:proofErr w:type="spellStart"/>
      <w:r w:rsidRPr="00D62007">
        <w:rPr>
          <w:rFonts w:ascii="Times New Roman" w:eastAsia="Times New Roman" w:hAnsi="Times New Roman" w:cs="Times New Roman"/>
          <w:sz w:val="24"/>
          <w:szCs w:val="24"/>
          <w:lang w:val="en-GB"/>
        </w:rPr>
        <w:t>Rachmiatie</w:t>
      </w:r>
      <w:proofErr w:type="spellEnd"/>
      <w:r w:rsidRPr="00D62007">
        <w:rPr>
          <w:rFonts w:ascii="Times New Roman" w:eastAsia="Times New Roman" w:hAnsi="Times New Roman" w:cs="Times New Roman"/>
          <w:sz w:val="24"/>
          <w:szCs w:val="24"/>
          <w:lang w:val="en-GB"/>
        </w:rPr>
        <w:t xml:space="preserve">, 2019). </w:t>
      </w:r>
      <w:r w:rsidR="00DE1BC3">
        <w:rPr>
          <w:rFonts w:ascii="Times New Roman" w:eastAsia="Times New Roman" w:hAnsi="Times New Roman" w:cs="Times New Roman"/>
          <w:sz w:val="24"/>
          <w:szCs w:val="24"/>
          <w:lang w:val="en-GB"/>
        </w:rPr>
        <w:t>Community</w:t>
      </w:r>
      <w:r w:rsidRPr="00D62007">
        <w:rPr>
          <w:rFonts w:ascii="Times New Roman" w:eastAsia="Times New Roman" w:hAnsi="Times New Roman" w:cs="Times New Roman"/>
          <w:sz w:val="24"/>
          <w:szCs w:val="24"/>
          <w:lang w:val="en-GB"/>
        </w:rPr>
        <w:t xml:space="preserve"> organisations can use this model as the leading process of the organisation's work culture </w:t>
      </w:r>
      <w:r w:rsidR="00DE1BC3">
        <w:rPr>
          <w:rFonts w:ascii="Times New Roman" w:eastAsia="Times New Roman" w:hAnsi="Times New Roman" w:cs="Times New Roman"/>
          <w:sz w:val="24"/>
          <w:szCs w:val="24"/>
          <w:lang w:val="en-GB"/>
        </w:rPr>
        <w:t>to</w:t>
      </w:r>
      <w:r w:rsidRPr="00D62007">
        <w:rPr>
          <w:rFonts w:ascii="Times New Roman" w:eastAsia="Times New Roman" w:hAnsi="Times New Roman" w:cs="Times New Roman"/>
          <w:sz w:val="24"/>
          <w:szCs w:val="24"/>
          <w:lang w:val="en-GB"/>
        </w:rPr>
        <w:t xml:space="preserve"> get an adequate amount of success through a better community engagement process. </w:t>
      </w:r>
    </w:p>
    <w:p w14:paraId="4F944992" w14:textId="77777777" w:rsidR="00733BDC" w:rsidRPr="00D62007" w:rsidRDefault="00C66F30">
      <w:pPr>
        <w:spacing w:line="360" w:lineRule="auto"/>
        <w:jc w:val="both"/>
        <w:rPr>
          <w:rFonts w:ascii="Times New Roman" w:eastAsia="Times New Roman" w:hAnsi="Times New Roman" w:cs="Times New Roman"/>
          <w:b/>
          <w:i/>
          <w:sz w:val="24"/>
          <w:szCs w:val="24"/>
          <w:lang w:val="en-GB"/>
        </w:rPr>
      </w:pPr>
      <w:r w:rsidRPr="00D62007">
        <w:rPr>
          <w:rFonts w:ascii="Times New Roman" w:eastAsia="Times New Roman" w:hAnsi="Times New Roman" w:cs="Times New Roman"/>
          <w:b/>
          <w:i/>
          <w:sz w:val="24"/>
          <w:szCs w:val="24"/>
          <w:lang w:val="en-GB"/>
        </w:rPr>
        <w:t>Community Democracy models</w:t>
      </w:r>
    </w:p>
    <w:p w14:paraId="06D75277" w14:textId="58B32C55" w:rsidR="00733BDC" w:rsidRPr="00D62007" w:rsidRDefault="00DE1BC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w:t>
      </w:r>
      <w:r w:rsidR="00C66F30" w:rsidRPr="00D62007">
        <w:rPr>
          <w:rFonts w:ascii="Times New Roman" w:eastAsia="Times New Roman" w:hAnsi="Times New Roman" w:cs="Times New Roman"/>
          <w:sz w:val="24"/>
          <w:szCs w:val="24"/>
          <w:lang w:val="en-GB"/>
        </w:rPr>
        <w:t xml:space="preserve"> understand the skills and knowledge of every individual, the use of the </w:t>
      </w:r>
      <w:r w:rsidR="00C66F30" w:rsidRPr="00D62007">
        <w:rPr>
          <w:rFonts w:ascii="Times New Roman" w:eastAsia="Times New Roman" w:hAnsi="Times New Roman" w:cs="Times New Roman"/>
          <w:i/>
          <w:sz w:val="24"/>
          <w:szCs w:val="24"/>
          <w:lang w:val="en-GB"/>
        </w:rPr>
        <w:t xml:space="preserve">Community Democracy model </w:t>
      </w:r>
      <w:r w:rsidR="00C66F30" w:rsidRPr="00D62007">
        <w:rPr>
          <w:rFonts w:ascii="Times New Roman" w:eastAsia="Times New Roman" w:hAnsi="Times New Roman" w:cs="Times New Roman"/>
          <w:sz w:val="24"/>
          <w:szCs w:val="24"/>
          <w:lang w:val="en-GB"/>
        </w:rPr>
        <w:t xml:space="preserve">is effective to extend the structure of local democracy that is necessary for community development. In the different tiers of community development establishing a democratic model for community engagement is necessary for better social inclusion that includes effective working strategies for community growth with engagement (ROTPRASOET </w:t>
      </w:r>
      <w:r w:rsidR="00C66F30" w:rsidRPr="00D62007">
        <w:rPr>
          <w:rFonts w:ascii="Times New Roman" w:eastAsia="Times New Roman" w:hAnsi="Times New Roman" w:cs="Times New Roman"/>
          <w:i/>
          <w:sz w:val="24"/>
          <w:szCs w:val="24"/>
          <w:lang w:val="en-GB"/>
        </w:rPr>
        <w:t>et al.</w:t>
      </w:r>
      <w:r w:rsidR="00C66F30" w:rsidRPr="00D62007">
        <w:rPr>
          <w:rFonts w:ascii="Times New Roman" w:eastAsia="Times New Roman" w:hAnsi="Times New Roman" w:cs="Times New Roman"/>
          <w:sz w:val="24"/>
          <w:szCs w:val="24"/>
          <w:lang w:val="en-GB"/>
        </w:rPr>
        <w:t xml:space="preserve"> 2022). The presence of necessary professional practices can become easier with the implementation of this model. Apart from this, different approaches to solving issues related to stakeholders' engagement can become easier. Most </w:t>
      </w:r>
      <w:r w:rsidR="003E2623" w:rsidRPr="00D62007">
        <w:rPr>
          <w:rFonts w:ascii="Times New Roman" w:eastAsia="Times New Roman" w:hAnsi="Times New Roman" w:cs="Times New Roman"/>
          <w:sz w:val="24"/>
          <w:szCs w:val="24"/>
          <w:lang w:val="en-GB"/>
        </w:rPr>
        <w:t>importantly,</w:t>
      </w:r>
      <w:r w:rsidR="00C66F30" w:rsidRPr="00D62007">
        <w:rPr>
          <w:rFonts w:ascii="Times New Roman" w:eastAsia="Times New Roman" w:hAnsi="Times New Roman" w:cs="Times New Roman"/>
          <w:sz w:val="24"/>
          <w:szCs w:val="24"/>
          <w:lang w:val="en-GB"/>
        </w:rPr>
        <w:t xml:space="preserve"> the alternative solutions and recommendations for the following issues that are included in the community engagement process can get necessary solutions with the benefits of this model. </w:t>
      </w:r>
    </w:p>
    <w:p w14:paraId="0D834C57" w14:textId="77777777" w:rsidR="00733BDC" w:rsidRPr="00D62007" w:rsidRDefault="00C66F30" w:rsidP="002D7D13">
      <w:pPr>
        <w:pStyle w:val="Heading1"/>
        <w:rPr>
          <w:lang w:val="en-GB"/>
        </w:rPr>
      </w:pPr>
      <w:bookmarkStart w:id="7" w:name="_Toc112066856"/>
      <w:r w:rsidRPr="00D62007">
        <w:rPr>
          <w:lang w:val="en-GB"/>
        </w:rPr>
        <w:t>3. Conclusion</w:t>
      </w:r>
      <w:bookmarkEnd w:id="7"/>
      <w:r w:rsidRPr="00D62007">
        <w:rPr>
          <w:lang w:val="en-GB"/>
        </w:rPr>
        <w:t xml:space="preserve"> </w:t>
      </w:r>
    </w:p>
    <w:p w14:paraId="0114666C" w14:textId="77777777" w:rsidR="002D7D13" w:rsidRDefault="00C66F30">
      <w:pPr>
        <w:spacing w:line="360" w:lineRule="auto"/>
        <w:jc w:val="both"/>
        <w:rPr>
          <w:rFonts w:ascii="Times New Roman" w:eastAsia="Times New Roman" w:hAnsi="Times New Roman" w:cs="Times New Roman"/>
          <w:sz w:val="24"/>
          <w:szCs w:val="24"/>
          <w:lang w:val="en-GB"/>
        </w:rPr>
      </w:pPr>
      <w:r w:rsidRPr="00D62007">
        <w:rPr>
          <w:rFonts w:ascii="Times New Roman" w:eastAsia="Times New Roman" w:hAnsi="Times New Roman" w:cs="Times New Roman"/>
          <w:sz w:val="24"/>
          <w:szCs w:val="24"/>
          <w:lang w:val="en-GB"/>
        </w:rPr>
        <w:t xml:space="preserve">After the analysis, it can be concluded that community engagement can highlight the different perspective that is linked with community development with the stakeholder engagement </w:t>
      </w:r>
      <w:r w:rsidRPr="00D62007">
        <w:rPr>
          <w:rFonts w:ascii="Times New Roman" w:eastAsia="Times New Roman" w:hAnsi="Times New Roman" w:cs="Times New Roman"/>
          <w:sz w:val="24"/>
          <w:szCs w:val="24"/>
          <w:lang w:val="en-GB"/>
        </w:rPr>
        <w:lastRenderedPageBreak/>
        <w:t xml:space="preserve">process. It has been found from the study that stakeholders have a pivotal role in the community engagement program to improve the performance of the program by breaking the traditional ways of success that increase the effective process of community development with a structured management process. Apart from this, it has been highlighted from the study that active participation of the community members is necessary for the community engagement process to make exchanges based on the changes in the process. </w:t>
      </w:r>
    </w:p>
    <w:p w14:paraId="06A9F549" w14:textId="77777777" w:rsidR="002D7D13" w:rsidRDefault="002D7D13">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41339FE7" w14:textId="77777777" w:rsidR="002D7D13" w:rsidRPr="008363FC" w:rsidRDefault="002D7D13" w:rsidP="002D7D13">
      <w:pPr>
        <w:pStyle w:val="Heading1"/>
      </w:pPr>
      <w:bookmarkStart w:id="8" w:name="_Toc112066857"/>
      <w:r w:rsidRPr="008363FC">
        <w:lastRenderedPageBreak/>
        <w:t>References</w:t>
      </w:r>
      <w:bookmarkEnd w:id="8"/>
      <w:r w:rsidRPr="008363FC">
        <w:t xml:space="preserve"> </w:t>
      </w:r>
    </w:p>
    <w:p w14:paraId="748A3099" w14:textId="77777777" w:rsidR="00891DFA" w:rsidRPr="008363FC" w:rsidRDefault="00891DFA" w:rsidP="002D7D13">
      <w:pPr>
        <w:spacing w:line="360" w:lineRule="auto"/>
        <w:jc w:val="both"/>
        <w:rPr>
          <w:rFonts w:ascii="Times New Roman" w:hAnsi="Times New Roman" w:cs="Times New Roman"/>
          <w:sz w:val="24"/>
        </w:rPr>
      </w:pPr>
      <w:r w:rsidRPr="000A2054">
        <w:rPr>
          <w:rFonts w:ascii="Times New Roman" w:hAnsi="Times New Roman" w:cs="Times New Roman"/>
          <w:sz w:val="24"/>
        </w:rPr>
        <w:t>Adhikari, B., Pell, C. and Cheah, P.Y., 2020. Community engagement and ethical global health research. </w:t>
      </w:r>
      <w:r w:rsidRPr="000A2054">
        <w:rPr>
          <w:rFonts w:ascii="Times New Roman" w:hAnsi="Times New Roman" w:cs="Times New Roman"/>
          <w:i/>
          <w:iCs/>
          <w:sz w:val="24"/>
        </w:rPr>
        <w:t>Global Bioethics</w:t>
      </w:r>
      <w:r w:rsidRPr="000A2054">
        <w:rPr>
          <w:rFonts w:ascii="Times New Roman" w:hAnsi="Times New Roman" w:cs="Times New Roman"/>
          <w:sz w:val="24"/>
        </w:rPr>
        <w:t>, </w:t>
      </w:r>
      <w:r w:rsidRPr="000A2054">
        <w:rPr>
          <w:rFonts w:ascii="Times New Roman" w:hAnsi="Times New Roman" w:cs="Times New Roman"/>
          <w:i/>
          <w:iCs/>
          <w:sz w:val="24"/>
        </w:rPr>
        <w:t>31</w:t>
      </w:r>
      <w:r w:rsidRPr="000A2054">
        <w:rPr>
          <w:rFonts w:ascii="Times New Roman" w:hAnsi="Times New Roman" w:cs="Times New Roman"/>
          <w:sz w:val="24"/>
        </w:rPr>
        <w:t>(1), pp.1-12.</w:t>
      </w:r>
      <w:r w:rsidRPr="008363FC">
        <w:rPr>
          <w:rFonts w:ascii="Times New Roman" w:hAnsi="Times New Roman" w:cs="Times New Roman"/>
          <w:sz w:val="24"/>
        </w:rPr>
        <w:t>Available at:</w:t>
      </w:r>
      <w:r w:rsidRPr="000A2054">
        <w:t xml:space="preserve"> </w:t>
      </w:r>
      <w:r w:rsidRPr="000A2054">
        <w:rPr>
          <w:rFonts w:ascii="Times New Roman" w:hAnsi="Times New Roman" w:cs="Times New Roman"/>
          <w:sz w:val="24"/>
        </w:rPr>
        <w:t>https://www.tandfonline.com/doi/pdf/10.1080/11287462.2019.1703504</w:t>
      </w:r>
      <w:r w:rsidRPr="008363FC">
        <w:rPr>
          <w:rFonts w:ascii="Times New Roman" w:hAnsi="Times New Roman" w:cs="Times New Roman"/>
          <w:sz w:val="24"/>
        </w:rPr>
        <w:t xml:space="preserve"> [accessed on 22 August 2022]</w:t>
      </w:r>
    </w:p>
    <w:p w14:paraId="747749B3" w14:textId="77777777" w:rsidR="00891DFA" w:rsidRDefault="00891DFA" w:rsidP="002D7D13">
      <w:pPr>
        <w:spacing w:line="360" w:lineRule="auto"/>
        <w:jc w:val="both"/>
        <w:rPr>
          <w:rFonts w:ascii="Times New Roman" w:hAnsi="Times New Roman" w:cs="Times New Roman"/>
          <w:sz w:val="24"/>
        </w:rPr>
      </w:pPr>
      <w:r w:rsidRPr="001005C6">
        <w:rPr>
          <w:rFonts w:ascii="Times New Roman" w:hAnsi="Times New Roman" w:cs="Times New Roman"/>
          <w:sz w:val="24"/>
        </w:rPr>
        <w:t xml:space="preserve">Ahmadi, D. and </w:t>
      </w:r>
      <w:proofErr w:type="spellStart"/>
      <w:r w:rsidRPr="001005C6">
        <w:rPr>
          <w:rFonts w:ascii="Times New Roman" w:hAnsi="Times New Roman" w:cs="Times New Roman"/>
          <w:sz w:val="24"/>
        </w:rPr>
        <w:t>Rachmiatie</w:t>
      </w:r>
      <w:proofErr w:type="spellEnd"/>
      <w:r w:rsidRPr="001005C6">
        <w:rPr>
          <w:rFonts w:ascii="Times New Roman" w:hAnsi="Times New Roman" w:cs="Times New Roman"/>
          <w:sz w:val="24"/>
        </w:rPr>
        <w:t>, A.T.I.E., 2019. Public Participation Model for Public Information Disclosure. </w:t>
      </w:r>
      <w:proofErr w:type="spellStart"/>
      <w:r w:rsidRPr="001005C6">
        <w:rPr>
          <w:rFonts w:ascii="Times New Roman" w:hAnsi="Times New Roman" w:cs="Times New Roman"/>
          <w:i/>
          <w:iCs/>
          <w:sz w:val="24"/>
        </w:rPr>
        <w:t>Jurnal</w:t>
      </w:r>
      <w:proofErr w:type="spellEnd"/>
      <w:r w:rsidRPr="001005C6">
        <w:rPr>
          <w:rFonts w:ascii="Times New Roman" w:hAnsi="Times New Roman" w:cs="Times New Roman"/>
          <w:i/>
          <w:iCs/>
          <w:sz w:val="24"/>
        </w:rPr>
        <w:t xml:space="preserve"> </w:t>
      </w:r>
      <w:proofErr w:type="spellStart"/>
      <w:r w:rsidRPr="001005C6">
        <w:rPr>
          <w:rFonts w:ascii="Times New Roman" w:hAnsi="Times New Roman" w:cs="Times New Roman"/>
          <w:i/>
          <w:iCs/>
          <w:sz w:val="24"/>
        </w:rPr>
        <w:t>Komunikasi</w:t>
      </w:r>
      <w:proofErr w:type="spellEnd"/>
      <w:r w:rsidRPr="001005C6">
        <w:rPr>
          <w:rFonts w:ascii="Times New Roman" w:hAnsi="Times New Roman" w:cs="Times New Roman"/>
          <w:i/>
          <w:iCs/>
          <w:sz w:val="24"/>
        </w:rPr>
        <w:t>: Malaysian Journal of Communication</w:t>
      </w:r>
      <w:r w:rsidRPr="001005C6">
        <w:rPr>
          <w:rFonts w:ascii="Times New Roman" w:hAnsi="Times New Roman" w:cs="Times New Roman"/>
          <w:sz w:val="24"/>
        </w:rPr>
        <w:t>, </w:t>
      </w:r>
      <w:r w:rsidRPr="001005C6">
        <w:rPr>
          <w:rFonts w:ascii="Times New Roman" w:hAnsi="Times New Roman" w:cs="Times New Roman"/>
          <w:i/>
          <w:iCs/>
          <w:sz w:val="24"/>
        </w:rPr>
        <w:t>35</w:t>
      </w:r>
      <w:r w:rsidRPr="001005C6">
        <w:rPr>
          <w:rFonts w:ascii="Times New Roman" w:hAnsi="Times New Roman" w:cs="Times New Roman"/>
          <w:sz w:val="24"/>
        </w:rPr>
        <w:t>(4).</w:t>
      </w:r>
      <w:r w:rsidRPr="008363FC">
        <w:rPr>
          <w:rFonts w:ascii="Times New Roman" w:hAnsi="Times New Roman" w:cs="Times New Roman"/>
          <w:sz w:val="24"/>
        </w:rPr>
        <w:t>Available at:</w:t>
      </w:r>
      <w:r w:rsidRPr="001005C6">
        <w:t xml:space="preserve"> </w:t>
      </w:r>
      <w:r w:rsidRPr="001005C6">
        <w:rPr>
          <w:rFonts w:ascii="Times New Roman" w:hAnsi="Times New Roman" w:cs="Times New Roman"/>
          <w:sz w:val="24"/>
        </w:rPr>
        <w:t>https://www.researchgate.net/profile/Atie-Rachmiatie/publication/338588941_Public_Participation_Model_for_Public_Information_Disclosure/links/5f880c12a6fdccfd7b627447/Public-Participation-Model-for-Public-Information-Disclosure.pdf</w:t>
      </w:r>
      <w:r w:rsidRPr="008363FC">
        <w:rPr>
          <w:rFonts w:ascii="Times New Roman" w:hAnsi="Times New Roman" w:cs="Times New Roman"/>
          <w:sz w:val="24"/>
        </w:rPr>
        <w:t xml:space="preserve"> [accessed on 22 August 2022]</w:t>
      </w:r>
    </w:p>
    <w:p w14:paraId="1F535C6E" w14:textId="00CD23EA" w:rsidR="00891DFA" w:rsidRPr="008363FC" w:rsidRDefault="00891DFA" w:rsidP="002D7D13">
      <w:pPr>
        <w:spacing w:line="360" w:lineRule="auto"/>
        <w:jc w:val="both"/>
        <w:rPr>
          <w:rFonts w:ascii="Times New Roman" w:hAnsi="Times New Roman" w:cs="Times New Roman"/>
          <w:sz w:val="24"/>
        </w:rPr>
      </w:pPr>
      <w:proofErr w:type="spellStart"/>
      <w:r w:rsidRPr="000A2054">
        <w:rPr>
          <w:rFonts w:ascii="Times New Roman" w:hAnsi="Times New Roman" w:cs="Times New Roman"/>
          <w:sz w:val="24"/>
        </w:rPr>
        <w:t>Boulianne</w:t>
      </w:r>
      <w:proofErr w:type="spellEnd"/>
      <w:r w:rsidRPr="000A2054">
        <w:rPr>
          <w:rFonts w:ascii="Times New Roman" w:hAnsi="Times New Roman" w:cs="Times New Roman"/>
          <w:sz w:val="24"/>
        </w:rPr>
        <w:t>, S., 2020. Twenty years of digital media effects on civic and political participation. </w:t>
      </w:r>
      <w:r w:rsidRPr="000A2054">
        <w:rPr>
          <w:rFonts w:ascii="Times New Roman" w:hAnsi="Times New Roman" w:cs="Times New Roman"/>
          <w:i/>
          <w:iCs/>
          <w:sz w:val="24"/>
        </w:rPr>
        <w:t xml:space="preserve">Communication </w:t>
      </w:r>
      <w:r w:rsidR="00DE1BC3">
        <w:rPr>
          <w:rFonts w:ascii="Times New Roman" w:hAnsi="Times New Roman" w:cs="Times New Roman"/>
          <w:i/>
          <w:iCs/>
          <w:sz w:val="24"/>
        </w:rPr>
        <w:t>Research</w:t>
      </w:r>
      <w:r w:rsidRPr="000A2054">
        <w:rPr>
          <w:rFonts w:ascii="Times New Roman" w:hAnsi="Times New Roman" w:cs="Times New Roman"/>
          <w:sz w:val="24"/>
        </w:rPr>
        <w:t>, </w:t>
      </w:r>
      <w:r w:rsidRPr="000A2054">
        <w:rPr>
          <w:rFonts w:ascii="Times New Roman" w:hAnsi="Times New Roman" w:cs="Times New Roman"/>
          <w:i/>
          <w:iCs/>
          <w:sz w:val="24"/>
        </w:rPr>
        <w:t>47</w:t>
      </w:r>
      <w:r w:rsidRPr="000A2054">
        <w:rPr>
          <w:rFonts w:ascii="Times New Roman" w:hAnsi="Times New Roman" w:cs="Times New Roman"/>
          <w:sz w:val="24"/>
        </w:rPr>
        <w:t>(7), pp.947-966.</w:t>
      </w:r>
      <w:r w:rsidRPr="008363FC">
        <w:rPr>
          <w:rFonts w:ascii="Times New Roman" w:hAnsi="Times New Roman" w:cs="Times New Roman"/>
          <w:sz w:val="24"/>
        </w:rPr>
        <w:t>Available at:</w:t>
      </w:r>
      <w:r w:rsidRPr="000A2054">
        <w:t xml:space="preserve"> </w:t>
      </w:r>
      <w:r w:rsidRPr="000A2054">
        <w:rPr>
          <w:rFonts w:ascii="Times New Roman" w:hAnsi="Times New Roman" w:cs="Times New Roman"/>
          <w:sz w:val="24"/>
        </w:rPr>
        <w:t>https://roam.macewan.ca/islandora/object/gm%3A1644/datastream/OBJ/view</w:t>
      </w:r>
      <w:r w:rsidRPr="008363FC">
        <w:rPr>
          <w:rFonts w:ascii="Times New Roman" w:hAnsi="Times New Roman" w:cs="Times New Roman"/>
          <w:sz w:val="24"/>
        </w:rPr>
        <w:t xml:space="preserve"> [accessed on 22 August 2022]</w:t>
      </w:r>
    </w:p>
    <w:p w14:paraId="5C0D99F0" w14:textId="77777777" w:rsidR="00891DFA" w:rsidRPr="008363FC" w:rsidRDefault="00891DFA" w:rsidP="002D7D13">
      <w:pPr>
        <w:spacing w:line="360" w:lineRule="auto"/>
        <w:jc w:val="both"/>
        <w:rPr>
          <w:rFonts w:ascii="Times New Roman" w:hAnsi="Times New Roman" w:cs="Times New Roman"/>
          <w:sz w:val="24"/>
        </w:rPr>
      </w:pPr>
      <w:r w:rsidRPr="001005C6">
        <w:rPr>
          <w:rFonts w:ascii="Times New Roman" w:hAnsi="Times New Roman" w:cs="Times New Roman"/>
          <w:sz w:val="24"/>
        </w:rPr>
        <w:t xml:space="preserve">Konrad, T., </w:t>
      </w:r>
      <w:proofErr w:type="spellStart"/>
      <w:r w:rsidRPr="001005C6">
        <w:rPr>
          <w:rFonts w:ascii="Times New Roman" w:hAnsi="Times New Roman" w:cs="Times New Roman"/>
          <w:sz w:val="24"/>
        </w:rPr>
        <w:t>Wiek</w:t>
      </w:r>
      <w:proofErr w:type="spellEnd"/>
      <w:r w:rsidRPr="001005C6">
        <w:rPr>
          <w:rFonts w:ascii="Times New Roman" w:hAnsi="Times New Roman" w:cs="Times New Roman"/>
          <w:sz w:val="24"/>
        </w:rPr>
        <w:t>, A. and Barth, M., 2019. Embracing conflicts for interpersonal competence development in project-based sustainability courses. </w:t>
      </w:r>
      <w:r w:rsidRPr="001005C6">
        <w:rPr>
          <w:rFonts w:ascii="Times New Roman" w:hAnsi="Times New Roman" w:cs="Times New Roman"/>
          <w:i/>
          <w:iCs/>
          <w:sz w:val="24"/>
        </w:rPr>
        <w:t>International Journal of Sustainability in Higher Education</w:t>
      </w:r>
      <w:r w:rsidRPr="001005C6">
        <w:rPr>
          <w:rFonts w:ascii="Times New Roman" w:hAnsi="Times New Roman" w:cs="Times New Roman"/>
          <w:sz w:val="24"/>
        </w:rPr>
        <w:t>.</w:t>
      </w:r>
      <w:r>
        <w:rPr>
          <w:rFonts w:ascii="Times New Roman" w:hAnsi="Times New Roman" w:cs="Times New Roman"/>
          <w:sz w:val="24"/>
        </w:rPr>
        <w:t xml:space="preserve"> </w:t>
      </w:r>
      <w:r w:rsidRPr="008363FC">
        <w:rPr>
          <w:rFonts w:ascii="Times New Roman" w:hAnsi="Times New Roman" w:cs="Times New Roman"/>
          <w:sz w:val="24"/>
        </w:rPr>
        <w:t>Available at:</w:t>
      </w:r>
      <w:r w:rsidRPr="001005C6">
        <w:t xml:space="preserve"> </w:t>
      </w:r>
      <w:r w:rsidRPr="001005C6">
        <w:rPr>
          <w:rFonts w:ascii="Times New Roman" w:hAnsi="Times New Roman" w:cs="Times New Roman"/>
          <w:sz w:val="24"/>
        </w:rPr>
        <w:t>https://www.researchgate.net/profile/Theres-Konrad-2/publication/337685937_Embracing_conflicts_for_interpersonal_competence_development_in_project-based_sustainability_courses/links/5defdfb34585159aa473e2da/Embracing-conflicts-for-interpersonal-competence-development-in-project-based-sustainability-courses.pdf</w:t>
      </w:r>
      <w:r w:rsidRPr="008363FC">
        <w:rPr>
          <w:rFonts w:ascii="Times New Roman" w:hAnsi="Times New Roman" w:cs="Times New Roman"/>
          <w:sz w:val="24"/>
        </w:rPr>
        <w:t xml:space="preserve"> [accessed on 22 August 2022]</w:t>
      </w:r>
    </w:p>
    <w:p w14:paraId="10D76BF3" w14:textId="77777777" w:rsidR="00891DFA" w:rsidRPr="008363FC" w:rsidRDefault="00891DFA" w:rsidP="002D7D13">
      <w:pPr>
        <w:spacing w:line="360" w:lineRule="auto"/>
        <w:jc w:val="both"/>
        <w:rPr>
          <w:rFonts w:ascii="Times New Roman" w:hAnsi="Times New Roman" w:cs="Times New Roman"/>
          <w:sz w:val="24"/>
        </w:rPr>
      </w:pPr>
      <w:proofErr w:type="spellStart"/>
      <w:r w:rsidRPr="000A2054">
        <w:rPr>
          <w:rFonts w:ascii="Times New Roman" w:hAnsi="Times New Roman" w:cs="Times New Roman"/>
          <w:sz w:val="24"/>
        </w:rPr>
        <w:t>Lavery</w:t>
      </w:r>
      <w:proofErr w:type="spellEnd"/>
      <w:r w:rsidRPr="000A2054">
        <w:rPr>
          <w:rFonts w:ascii="Times New Roman" w:hAnsi="Times New Roman" w:cs="Times New Roman"/>
          <w:sz w:val="24"/>
        </w:rPr>
        <w:t>, J.V., 2018. Building an evidence base for stakeholder engagement. </w:t>
      </w:r>
      <w:r w:rsidRPr="000A2054">
        <w:rPr>
          <w:rFonts w:ascii="Times New Roman" w:hAnsi="Times New Roman" w:cs="Times New Roman"/>
          <w:i/>
          <w:iCs/>
          <w:sz w:val="24"/>
        </w:rPr>
        <w:t>Science</w:t>
      </w:r>
      <w:r w:rsidRPr="000A2054">
        <w:rPr>
          <w:rFonts w:ascii="Times New Roman" w:hAnsi="Times New Roman" w:cs="Times New Roman"/>
          <w:sz w:val="24"/>
        </w:rPr>
        <w:t>, </w:t>
      </w:r>
      <w:r w:rsidRPr="000A2054">
        <w:rPr>
          <w:rFonts w:ascii="Times New Roman" w:hAnsi="Times New Roman" w:cs="Times New Roman"/>
          <w:i/>
          <w:iCs/>
          <w:sz w:val="24"/>
        </w:rPr>
        <w:t>361</w:t>
      </w:r>
      <w:r w:rsidRPr="000A2054">
        <w:rPr>
          <w:rFonts w:ascii="Times New Roman" w:hAnsi="Times New Roman" w:cs="Times New Roman"/>
          <w:sz w:val="24"/>
        </w:rPr>
        <w:t>(6402), pp.554-556.</w:t>
      </w:r>
      <w:r w:rsidRPr="008363FC">
        <w:rPr>
          <w:rFonts w:ascii="Times New Roman" w:hAnsi="Times New Roman" w:cs="Times New Roman"/>
          <w:sz w:val="24"/>
        </w:rPr>
        <w:t>Available at:</w:t>
      </w:r>
      <w:r w:rsidRPr="000A2054">
        <w:t xml:space="preserve"> </w:t>
      </w:r>
      <w:r w:rsidRPr="000A2054">
        <w:rPr>
          <w:rFonts w:ascii="Times New Roman" w:hAnsi="Times New Roman" w:cs="Times New Roman"/>
          <w:sz w:val="24"/>
        </w:rPr>
        <w:t>https://www.science.org/doi/full/10.1126/science.aat8429</w:t>
      </w:r>
      <w:r w:rsidRPr="008363FC">
        <w:rPr>
          <w:rFonts w:ascii="Times New Roman" w:hAnsi="Times New Roman" w:cs="Times New Roman"/>
          <w:sz w:val="24"/>
        </w:rPr>
        <w:t xml:space="preserve"> [accessed on 22 August 2022]</w:t>
      </w:r>
    </w:p>
    <w:p w14:paraId="33550200" w14:textId="77777777" w:rsidR="00891DFA" w:rsidRDefault="00891DFA" w:rsidP="002D7D13">
      <w:pPr>
        <w:spacing w:line="360" w:lineRule="auto"/>
        <w:jc w:val="both"/>
        <w:rPr>
          <w:rFonts w:ascii="Times New Roman" w:hAnsi="Times New Roman" w:cs="Times New Roman"/>
          <w:sz w:val="24"/>
        </w:rPr>
      </w:pPr>
      <w:r w:rsidRPr="001005C6">
        <w:rPr>
          <w:rFonts w:ascii="Times New Roman" w:hAnsi="Times New Roman" w:cs="Times New Roman"/>
          <w:sz w:val="24"/>
        </w:rPr>
        <w:t>Nazeer, A., 2020. Cultural Perspectives on Peace and Social Harmony in South Asia.</w:t>
      </w:r>
      <w:r>
        <w:rPr>
          <w:rFonts w:ascii="Times New Roman" w:hAnsi="Times New Roman" w:cs="Times New Roman"/>
          <w:sz w:val="24"/>
        </w:rPr>
        <w:t xml:space="preserve"> </w:t>
      </w:r>
      <w:r w:rsidRPr="008363FC">
        <w:rPr>
          <w:rFonts w:ascii="Times New Roman" w:hAnsi="Times New Roman" w:cs="Times New Roman"/>
          <w:sz w:val="24"/>
        </w:rPr>
        <w:t>Available at:</w:t>
      </w:r>
      <w:r w:rsidRPr="001005C6">
        <w:t xml:space="preserve"> </w:t>
      </w:r>
      <w:r w:rsidRPr="001005C6">
        <w:rPr>
          <w:rFonts w:ascii="Times New Roman" w:hAnsi="Times New Roman" w:cs="Times New Roman"/>
          <w:sz w:val="24"/>
        </w:rPr>
        <w:t>https://www.academia.edu/download/62377922/Article_Cultural_Perspectives_on_Peace___S_Harmony20200316-73121-c2uwr9.pdf</w:t>
      </w:r>
      <w:r w:rsidRPr="008363FC">
        <w:rPr>
          <w:rFonts w:ascii="Times New Roman" w:hAnsi="Times New Roman" w:cs="Times New Roman"/>
          <w:sz w:val="24"/>
        </w:rPr>
        <w:t xml:space="preserve"> [accessed on 22 August 2022]</w:t>
      </w:r>
    </w:p>
    <w:p w14:paraId="5F3A80BB" w14:textId="77777777" w:rsidR="00891DFA" w:rsidRDefault="00891DFA" w:rsidP="002D7D13">
      <w:pPr>
        <w:spacing w:line="360" w:lineRule="auto"/>
        <w:jc w:val="both"/>
        <w:rPr>
          <w:rFonts w:ascii="Times New Roman" w:hAnsi="Times New Roman" w:cs="Times New Roman"/>
          <w:sz w:val="24"/>
        </w:rPr>
      </w:pPr>
      <w:proofErr w:type="spellStart"/>
      <w:r w:rsidRPr="00404BB8">
        <w:rPr>
          <w:rFonts w:ascii="Times New Roman" w:hAnsi="Times New Roman" w:cs="Times New Roman"/>
          <w:sz w:val="24"/>
          <w:lang w:val="fi-FI"/>
        </w:rPr>
        <w:t>Papagiannakis</w:t>
      </w:r>
      <w:proofErr w:type="spellEnd"/>
      <w:r w:rsidRPr="00404BB8">
        <w:rPr>
          <w:rFonts w:ascii="Times New Roman" w:hAnsi="Times New Roman" w:cs="Times New Roman"/>
          <w:sz w:val="24"/>
          <w:lang w:val="fi-FI"/>
        </w:rPr>
        <w:t xml:space="preserve">, G., </w:t>
      </w:r>
      <w:proofErr w:type="spellStart"/>
      <w:r w:rsidRPr="00404BB8">
        <w:rPr>
          <w:rFonts w:ascii="Times New Roman" w:hAnsi="Times New Roman" w:cs="Times New Roman"/>
          <w:sz w:val="24"/>
          <w:lang w:val="fi-FI"/>
        </w:rPr>
        <w:t>Voudouris</w:t>
      </w:r>
      <w:proofErr w:type="spellEnd"/>
      <w:r w:rsidRPr="00404BB8">
        <w:rPr>
          <w:rFonts w:ascii="Times New Roman" w:hAnsi="Times New Roman" w:cs="Times New Roman"/>
          <w:sz w:val="24"/>
          <w:lang w:val="fi-FI"/>
        </w:rPr>
        <w:t xml:space="preserve">, I., </w:t>
      </w:r>
      <w:proofErr w:type="spellStart"/>
      <w:r w:rsidRPr="00404BB8">
        <w:rPr>
          <w:rFonts w:ascii="Times New Roman" w:hAnsi="Times New Roman" w:cs="Times New Roman"/>
          <w:sz w:val="24"/>
          <w:lang w:val="fi-FI"/>
        </w:rPr>
        <w:t>Lioukas</w:t>
      </w:r>
      <w:proofErr w:type="spellEnd"/>
      <w:r w:rsidRPr="00404BB8">
        <w:rPr>
          <w:rFonts w:ascii="Times New Roman" w:hAnsi="Times New Roman" w:cs="Times New Roman"/>
          <w:sz w:val="24"/>
          <w:lang w:val="fi-FI"/>
        </w:rPr>
        <w:t xml:space="preserve">, S. and </w:t>
      </w:r>
      <w:proofErr w:type="spellStart"/>
      <w:r w:rsidRPr="00404BB8">
        <w:rPr>
          <w:rFonts w:ascii="Times New Roman" w:hAnsi="Times New Roman" w:cs="Times New Roman"/>
          <w:sz w:val="24"/>
          <w:lang w:val="fi-FI"/>
        </w:rPr>
        <w:t>Kassinis</w:t>
      </w:r>
      <w:proofErr w:type="spellEnd"/>
      <w:r w:rsidRPr="00404BB8">
        <w:rPr>
          <w:rFonts w:ascii="Times New Roman" w:hAnsi="Times New Roman" w:cs="Times New Roman"/>
          <w:sz w:val="24"/>
          <w:lang w:val="fi-FI"/>
        </w:rPr>
        <w:t xml:space="preserve">, G., 2019. </w:t>
      </w:r>
      <w:r w:rsidRPr="000A2054">
        <w:rPr>
          <w:rFonts w:ascii="Times New Roman" w:hAnsi="Times New Roman" w:cs="Times New Roman"/>
          <w:sz w:val="24"/>
        </w:rPr>
        <w:t>Environmental management systems and environmental product innovation: The role of stakeholder engagement. </w:t>
      </w:r>
      <w:r w:rsidRPr="000A2054">
        <w:rPr>
          <w:rFonts w:ascii="Times New Roman" w:hAnsi="Times New Roman" w:cs="Times New Roman"/>
          <w:i/>
          <w:iCs/>
          <w:sz w:val="24"/>
        </w:rPr>
        <w:t>Business strategy and the environment</w:t>
      </w:r>
      <w:r w:rsidRPr="000A2054">
        <w:rPr>
          <w:rFonts w:ascii="Times New Roman" w:hAnsi="Times New Roman" w:cs="Times New Roman"/>
          <w:sz w:val="24"/>
        </w:rPr>
        <w:t>, </w:t>
      </w:r>
      <w:r w:rsidRPr="000A2054">
        <w:rPr>
          <w:rFonts w:ascii="Times New Roman" w:hAnsi="Times New Roman" w:cs="Times New Roman"/>
          <w:i/>
          <w:iCs/>
          <w:sz w:val="24"/>
        </w:rPr>
        <w:t>28</w:t>
      </w:r>
      <w:r w:rsidRPr="000A2054">
        <w:rPr>
          <w:rFonts w:ascii="Times New Roman" w:hAnsi="Times New Roman" w:cs="Times New Roman"/>
          <w:sz w:val="24"/>
        </w:rPr>
        <w:t>(6), pp.939-950.</w:t>
      </w:r>
      <w:r w:rsidRPr="008363FC">
        <w:rPr>
          <w:rFonts w:ascii="Times New Roman" w:hAnsi="Times New Roman" w:cs="Times New Roman"/>
          <w:sz w:val="24"/>
        </w:rPr>
        <w:t>Available at:</w:t>
      </w:r>
      <w:r w:rsidRPr="000A2054">
        <w:t xml:space="preserve"> </w:t>
      </w:r>
      <w:r w:rsidRPr="000A2054">
        <w:rPr>
          <w:rFonts w:ascii="Times New Roman" w:hAnsi="Times New Roman" w:cs="Times New Roman"/>
          <w:sz w:val="24"/>
        </w:rPr>
        <w:t>https://www.academia.edu/download/58312438/BSE2.pdf</w:t>
      </w:r>
      <w:r w:rsidRPr="008363FC">
        <w:rPr>
          <w:rFonts w:ascii="Times New Roman" w:hAnsi="Times New Roman" w:cs="Times New Roman"/>
          <w:sz w:val="24"/>
        </w:rPr>
        <w:t xml:space="preserve"> [accessed on 22 August 2022]</w:t>
      </w:r>
    </w:p>
    <w:p w14:paraId="626971C1" w14:textId="77777777" w:rsidR="00891DFA" w:rsidRPr="008363FC" w:rsidRDefault="00891DFA" w:rsidP="002D7D13">
      <w:pPr>
        <w:spacing w:line="360" w:lineRule="auto"/>
        <w:jc w:val="both"/>
        <w:rPr>
          <w:rFonts w:ascii="Times New Roman" w:hAnsi="Times New Roman" w:cs="Times New Roman"/>
          <w:sz w:val="24"/>
        </w:rPr>
      </w:pPr>
      <w:proofErr w:type="spellStart"/>
      <w:r w:rsidRPr="001005C6">
        <w:rPr>
          <w:rFonts w:ascii="Times New Roman" w:hAnsi="Times New Roman" w:cs="Times New Roman"/>
          <w:sz w:val="24"/>
        </w:rPr>
        <w:lastRenderedPageBreak/>
        <w:t>Rajhans</w:t>
      </w:r>
      <w:proofErr w:type="spellEnd"/>
      <w:r w:rsidRPr="001005C6">
        <w:rPr>
          <w:rFonts w:ascii="Times New Roman" w:hAnsi="Times New Roman" w:cs="Times New Roman"/>
          <w:sz w:val="24"/>
        </w:rPr>
        <w:t>, K., 2018. Effective communication management: A key to stakeholder relationship management in project-based organizations. </w:t>
      </w:r>
      <w:r w:rsidRPr="001005C6">
        <w:rPr>
          <w:rFonts w:ascii="Times New Roman" w:hAnsi="Times New Roman" w:cs="Times New Roman"/>
          <w:i/>
          <w:iCs/>
          <w:sz w:val="24"/>
        </w:rPr>
        <w:t>IUP Journal of Soft Skills</w:t>
      </w:r>
      <w:r w:rsidRPr="001005C6">
        <w:rPr>
          <w:rFonts w:ascii="Times New Roman" w:hAnsi="Times New Roman" w:cs="Times New Roman"/>
          <w:sz w:val="24"/>
        </w:rPr>
        <w:t>, </w:t>
      </w:r>
      <w:r w:rsidRPr="001005C6">
        <w:rPr>
          <w:rFonts w:ascii="Times New Roman" w:hAnsi="Times New Roman" w:cs="Times New Roman"/>
          <w:i/>
          <w:iCs/>
          <w:sz w:val="24"/>
        </w:rPr>
        <w:t>12</w:t>
      </w:r>
      <w:r w:rsidRPr="001005C6">
        <w:rPr>
          <w:rFonts w:ascii="Times New Roman" w:hAnsi="Times New Roman" w:cs="Times New Roman"/>
          <w:sz w:val="24"/>
        </w:rPr>
        <w:t>(4), pp.47-66.</w:t>
      </w:r>
      <w:r w:rsidRPr="008363FC">
        <w:rPr>
          <w:rFonts w:ascii="Times New Roman" w:hAnsi="Times New Roman" w:cs="Times New Roman"/>
          <w:sz w:val="24"/>
        </w:rPr>
        <w:t>Available at:</w:t>
      </w:r>
      <w:r w:rsidRPr="001005C6">
        <w:t xml:space="preserve"> </w:t>
      </w:r>
      <w:r w:rsidRPr="001005C6">
        <w:rPr>
          <w:rFonts w:ascii="Times New Roman" w:hAnsi="Times New Roman" w:cs="Times New Roman"/>
          <w:sz w:val="24"/>
        </w:rPr>
        <w:t>https://www.projektassistenz-blog.de/wp-content/uploads/2020/02/Effective_Communication_with_Stakeholders.pdf</w:t>
      </w:r>
      <w:r w:rsidRPr="008363FC">
        <w:rPr>
          <w:rFonts w:ascii="Times New Roman" w:hAnsi="Times New Roman" w:cs="Times New Roman"/>
          <w:sz w:val="24"/>
        </w:rPr>
        <w:t xml:space="preserve"> [accessed on 22 August 2022]</w:t>
      </w:r>
    </w:p>
    <w:p w14:paraId="023DE191" w14:textId="77777777" w:rsidR="00891DFA" w:rsidRPr="008363FC" w:rsidRDefault="00891DFA" w:rsidP="002D7D13">
      <w:pPr>
        <w:spacing w:line="360" w:lineRule="auto"/>
        <w:jc w:val="both"/>
        <w:rPr>
          <w:rFonts w:ascii="Times New Roman" w:hAnsi="Times New Roman" w:cs="Times New Roman"/>
          <w:sz w:val="24"/>
        </w:rPr>
      </w:pPr>
      <w:r w:rsidRPr="001005C6">
        <w:rPr>
          <w:rFonts w:ascii="Times New Roman" w:hAnsi="Times New Roman" w:cs="Times New Roman"/>
          <w:sz w:val="24"/>
        </w:rPr>
        <w:t xml:space="preserve">ROTPRASOET, P., DONGJIT, J. and </w:t>
      </w:r>
      <w:proofErr w:type="spellStart"/>
      <w:r w:rsidRPr="001005C6">
        <w:rPr>
          <w:rFonts w:ascii="Times New Roman" w:hAnsi="Times New Roman" w:cs="Times New Roman"/>
          <w:sz w:val="24"/>
        </w:rPr>
        <w:t>Pennapa</w:t>
      </w:r>
      <w:proofErr w:type="spellEnd"/>
      <w:r w:rsidRPr="001005C6">
        <w:rPr>
          <w:rFonts w:ascii="Times New Roman" w:hAnsi="Times New Roman" w:cs="Times New Roman"/>
          <w:sz w:val="24"/>
        </w:rPr>
        <w:t>, W.E.B.B., 2022. Community Democracy and the Promotion of Local Development. </w:t>
      </w:r>
      <w:r w:rsidRPr="001005C6">
        <w:rPr>
          <w:rFonts w:ascii="Times New Roman" w:hAnsi="Times New Roman" w:cs="Times New Roman"/>
          <w:i/>
          <w:iCs/>
          <w:sz w:val="24"/>
        </w:rPr>
        <w:t>PSAKU International Journal of Interdisciplinary Research</w:t>
      </w:r>
      <w:r w:rsidRPr="001005C6">
        <w:rPr>
          <w:rFonts w:ascii="Times New Roman" w:hAnsi="Times New Roman" w:cs="Times New Roman"/>
          <w:sz w:val="24"/>
        </w:rPr>
        <w:t>, </w:t>
      </w:r>
      <w:r w:rsidRPr="001005C6">
        <w:rPr>
          <w:rFonts w:ascii="Times New Roman" w:hAnsi="Times New Roman" w:cs="Times New Roman"/>
          <w:i/>
          <w:iCs/>
          <w:sz w:val="24"/>
        </w:rPr>
        <w:t>11</w:t>
      </w:r>
      <w:r w:rsidRPr="001005C6">
        <w:rPr>
          <w:rFonts w:ascii="Times New Roman" w:hAnsi="Times New Roman" w:cs="Times New Roman"/>
          <w:sz w:val="24"/>
        </w:rPr>
        <w:t>(2), pp.60-71.</w:t>
      </w:r>
      <w:r w:rsidRPr="008363FC">
        <w:rPr>
          <w:rFonts w:ascii="Times New Roman" w:hAnsi="Times New Roman" w:cs="Times New Roman"/>
          <w:sz w:val="24"/>
        </w:rPr>
        <w:t>Available at:</w:t>
      </w:r>
      <w:r w:rsidRPr="001005C6">
        <w:t xml:space="preserve"> </w:t>
      </w:r>
      <w:r w:rsidRPr="001005C6">
        <w:rPr>
          <w:rFonts w:ascii="Times New Roman" w:hAnsi="Times New Roman" w:cs="Times New Roman"/>
          <w:sz w:val="24"/>
        </w:rPr>
        <w:t>https://so05.tci-thaijo.org/index.php/PSAKUIJIR/article/download/259407/175354</w:t>
      </w:r>
      <w:r w:rsidRPr="008363FC">
        <w:rPr>
          <w:rFonts w:ascii="Times New Roman" w:hAnsi="Times New Roman" w:cs="Times New Roman"/>
          <w:sz w:val="24"/>
        </w:rPr>
        <w:t xml:space="preserve"> [accessed on 22 August 2022]</w:t>
      </w:r>
    </w:p>
    <w:p w14:paraId="1B033319" w14:textId="77777777" w:rsidR="00891DFA" w:rsidRPr="00404BB8" w:rsidRDefault="00891DFA" w:rsidP="002D7D13">
      <w:pPr>
        <w:spacing w:line="360" w:lineRule="auto"/>
        <w:jc w:val="both"/>
        <w:rPr>
          <w:rFonts w:ascii="Times New Roman" w:hAnsi="Times New Roman" w:cs="Times New Roman"/>
          <w:sz w:val="24"/>
          <w:lang w:val="nl-NL"/>
        </w:rPr>
      </w:pPr>
      <w:r w:rsidRPr="001005C6">
        <w:rPr>
          <w:rFonts w:ascii="Times New Roman" w:hAnsi="Times New Roman" w:cs="Times New Roman"/>
          <w:sz w:val="24"/>
        </w:rPr>
        <w:t>Warren, S. and Jones, P., 2018. Cultural policy, governance and urban diversity: Resident perspectives from Birmingham, UK. </w:t>
      </w:r>
      <w:r w:rsidRPr="00404BB8">
        <w:rPr>
          <w:rFonts w:ascii="Times New Roman" w:hAnsi="Times New Roman" w:cs="Times New Roman"/>
          <w:i/>
          <w:iCs/>
          <w:sz w:val="24"/>
          <w:lang w:val="nl-NL"/>
        </w:rPr>
        <w:t>Tijdschrift voor economische en sociale geografie</w:t>
      </w:r>
      <w:r w:rsidRPr="00404BB8">
        <w:rPr>
          <w:rFonts w:ascii="Times New Roman" w:hAnsi="Times New Roman" w:cs="Times New Roman"/>
          <w:sz w:val="24"/>
          <w:lang w:val="nl-NL"/>
        </w:rPr>
        <w:t>, </w:t>
      </w:r>
      <w:r w:rsidRPr="00404BB8">
        <w:rPr>
          <w:rFonts w:ascii="Times New Roman" w:hAnsi="Times New Roman" w:cs="Times New Roman"/>
          <w:i/>
          <w:iCs/>
          <w:sz w:val="24"/>
          <w:lang w:val="nl-NL"/>
        </w:rPr>
        <w:t>109</w:t>
      </w:r>
      <w:r w:rsidRPr="00404BB8">
        <w:rPr>
          <w:rFonts w:ascii="Times New Roman" w:hAnsi="Times New Roman" w:cs="Times New Roman"/>
          <w:sz w:val="24"/>
          <w:lang w:val="nl-NL"/>
        </w:rPr>
        <w:t>(1), pp.22-</w:t>
      </w:r>
      <w:proofErr w:type="gramStart"/>
      <w:r w:rsidRPr="00404BB8">
        <w:rPr>
          <w:rFonts w:ascii="Times New Roman" w:hAnsi="Times New Roman" w:cs="Times New Roman"/>
          <w:sz w:val="24"/>
          <w:lang w:val="nl-NL"/>
        </w:rPr>
        <w:t>35.Available</w:t>
      </w:r>
      <w:proofErr w:type="gramEnd"/>
      <w:r w:rsidRPr="00404BB8">
        <w:rPr>
          <w:rFonts w:ascii="Times New Roman" w:hAnsi="Times New Roman" w:cs="Times New Roman"/>
          <w:sz w:val="24"/>
          <w:lang w:val="nl-NL"/>
        </w:rPr>
        <w:t xml:space="preserve"> at:</w:t>
      </w:r>
      <w:r w:rsidRPr="00404BB8">
        <w:rPr>
          <w:lang w:val="nl-NL"/>
        </w:rPr>
        <w:t xml:space="preserve"> </w:t>
      </w:r>
      <w:r w:rsidRPr="00404BB8">
        <w:rPr>
          <w:rFonts w:ascii="Times New Roman" w:hAnsi="Times New Roman" w:cs="Times New Roman"/>
          <w:sz w:val="24"/>
          <w:lang w:val="nl-NL"/>
        </w:rPr>
        <w:t>https://onlinelibrary.wiley.com/doi/pdfdirect/10.1111/tesg.12296 [</w:t>
      </w:r>
      <w:proofErr w:type="spellStart"/>
      <w:r w:rsidRPr="00404BB8">
        <w:rPr>
          <w:rFonts w:ascii="Times New Roman" w:hAnsi="Times New Roman" w:cs="Times New Roman"/>
          <w:sz w:val="24"/>
          <w:lang w:val="nl-NL"/>
        </w:rPr>
        <w:t>accessed</w:t>
      </w:r>
      <w:proofErr w:type="spellEnd"/>
      <w:r w:rsidRPr="00404BB8">
        <w:rPr>
          <w:rFonts w:ascii="Times New Roman" w:hAnsi="Times New Roman" w:cs="Times New Roman"/>
          <w:sz w:val="24"/>
          <w:lang w:val="nl-NL"/>
        </w:rPr>
        <w:t xml:space="preserve"> on 22 August 2022]</w:t>
      </w:r>
    </w:p>
    <w:p w14:paraId="64CBFB22" w14:textId="77777777" w:rsidR="00891DFA" w:rsidRDefault="00891DFA" w:rsidP="002D7D13">
      <w:pPr>
        <w:spacing w:line="360" w:lineRule="auto"/>
        <w:jc w:val="both"/>
        <w:rPr>
          <w:rFonts w:ascii="Times New Roman" w:hAnsi="Times New Roman" w:cs="Times New Roman"/>
          <w:sz w:val="24"/>
        </w:rPr>
      </w:pPr>
      <w:r w:rsidRPr="001005C6">
        <w:rPr>
          <w:rFonts w:ascii="Times New Roman" w:hAnsi="Times New Roman" w:cs="Times New Roman"/>
          <w:sz w:val="24"/>
        </w:rPr>
        <w:t>Xu, W. and Saxton, G.D., 2019. Does stakeholder engagement pay off on social media? A social capital perspective. </w:t>
      </w:r>
      <w:proofErr w:type="spellStart"/>
      <w:r w:rsidRPr="001005C6">
        <w:rPr>
          <w:rFonts w:ascii="Times New Roman" w:hAnsi="Times New Roman" w:cs="Times New Roman"/>
          <w:i/>
          <w:iCs/>
          <w:sz w:val="24"/>
        </w:rPr>
        <w:t>Nonprofit</w:t>
      </w:r>
      <w:proofErr w:type="spellEnd"/>
      <w:r w:rsidRPr="001005C6">
        <w:rPr>
          <w:rFonts w:ascii="Times New Roman" w:hAnsi="Times New Roman" w:cs="Times New Roman"/>
          <w:i/>
          <w:iCs/>
          <w:sz w:val="24"/>
        </w:rPr>
        <w:t xml:space="preserve"> and Voluntary Sector Quarterly</w:t>
      </w:r>
      <w:r w:rsidRPr="001005C6">
        <w:rPr>
          <w:rFonts w:ascii="Times New Roman" w:hAnsi="Times New Roman" w:cs="Times New Roman"/>
          <w:sz w:val="24"/>
        </w:rPr>
        <w:t>, </w:t>
      </w:r>
      <w:r w:rsidRPr="001005C6">
        <w:rPr>
          <w:rFonts w:ascii="Times New Roman" w:hAnsi="Times New Roman" w:cs="Times New Roman"/>
          <w:i/>
          <w:iCs/>
          <w:sz w:val="24"/>
        </w:rPr>
        <w:t>48</w:t>
      </w:r>
      <w:r w:rsidRPr="001005C6">
        <w:rPr>
          <w:rFonts w:ascii="Times New Roman" w:hAnsi="Times New Roman" w:cs="Times New Roman"/>
          <w:sz w:val="24"/>
        </w:rPr>
        <w:t>(1), pp.28-49.</w:t>
      </w:r>
      <w:r w:rsidRPr="008363FC">
        <w:rPr>
          <w:rFonts w:ascii="Times New Roman" w:hAnsi="Times New Roman" w:cs="Times New Roman"/>
          <w:sz w:val="24"/>
        </w:rPr>
        <w:t>Available at:</w:t>
      </w:r>
      <w:r w:rsidRPr="001005C6">
        <w:t xml:space="preserve"> </w:t>
      </w:r>
      <w:r w:rsidRPr="001005C6">
        <w:rPr>
          <w:rFonts w:ascii="Times New Roman" w:hAnsi="Times New Roman" w:cs="Times New Roman"/>
          <w:sz w:val="24"/>
        </w:rPr>
        <w:t>https://journals.sagepub.com/doi/pdf/10.1177/0899764018791267</w:t>
      </w:r>
      <w:r w:rsidRPr="008363FC">
        <w:rPr>
          <w:rFonts w:ascii="Times New Roman" w:hAnsi="Times New Roman" w:cs="Times New Roman"/>
          <w:sz w:val="24"/>
        </w:rPr>
        <w:t xml:space="preserve"> [accessed on 22 August 2022]</w:t>
      </w:r>
    </w:p>
    <w:p w14:paraId="006E28EA" w14:textId="77777777" w:rsidR="002D7D13" w:rsidRPr="008363FC" w:rsidRDefault="002D7D13" w:rsidP="002D7D13">
      <w:pPr>
        <w:spacing w:line="360" w:lineRule="auto"/>
        <w:jc w:val="both"/>
        <w:rPr>
          <w:rFonts w:ascii="Times New Roman" w:hAnsi="Times New Roman" w:cs="Times New Roman"/>
          <w:sz w:val="24"/>
        </w:rPr>
      </w:pPr>
    </w:p>
    <w:p w14:paraId="1D243928" w14:textId="77777777" w:rsidR="00733BDC" w:rsidRPr="00D62007" w:rsidRDefault="00733BDC">
      <w:pPr>
        <w:spacing w:line="360" w:lineRule="auto"/>
        <w:jc w:val="both"/>
        <w:rPr>
          <w:rFonts w:ascii="Times New Roman" w:eastAsia="Times New Roman" w:hAnsi="Times New Roman" w:cs="Times New Roman"/>
          <w:sz w:val="24"/>
          <w:szCs w:val="24"/>
          <w:lang w:val="en-GB"/>
        </w:rPr>
      </w:pPr>
    </w:p>
    <w:p w14:paraId="11B16417" w14:textId="77777777" w:rsidR="00733BDC" w:rsidRPr="00D62007" w:rsidRDefault="00733BDC">
      <w:pPr>
        <w:spacing w:line="360" w:lineRule="auto"/>
        <w:jc w:val="both"/>
        <w:rPr>
          <w:rFonts w:ascii="Times New Roman" w:eastAsia="Times New Roman" w:hAnsi="Times New Roman" w:cs="Times New Roman"/>
          <w:b/>
          <w:sz w:val="24"/>
          <w:szCs w:val="24"/>
          <w:lang w:val="en-GB"/>
        </w:rPr>
      </w:pPr>
    </w:p>
    <w:sectPr w:rsidR="00733BDC" w:rsidRPr="00D62007" w:rsidSect="00CB229D">
      <w:footerReference w:type="default" r:id="rId7"/>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96C67" w14:textId="77777777" w:rsidR="009F7099" w:rsidRDefault="009F7099" w:rsidP="00A145B1">
      <w:pPr>
        <w:spacing w:line="240" w:lineRule="auto"/>
      </w:pPr>
      <w:r>
        <w:separator/>
      </w:r>
    </w:p>
  </w:endnote>
  <w:endnote w:type="continuationSeparator" w:id="0">
    <w:p w14:paraId="19AEAB53" w14:textId="77777777" w:rsidR="009F7099" w:rsidRDefault="009F7099" w:rsidP="00A145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0645436"/>
      <w:docPartObj>
        <w:docPartGallery w:val="Page Numbers (Bottom of Page)"/>
        <w:docPartUnique/>
      </w:docPartObj>
    </w:sdtPr>
    <w:sdtEndPr>
      <w:rPr>
        <w:rFonts w:ascii="Times New Roman" w:hAnsi="Times New Roman" w:cs="Times New Roman"/>
        <w:sz w:val="20"/>
      </w:rPr>
    </w:sdtEndPr>
    <w:sdtContent>
      <w:p w14:paraId="2F2A1401" w14:textId="77777777" w:rsidR="00A145B1" w:rsidRPr="00A145B1" w:rsidRDefault="00A145B1">
        <w:pPr>
          <w:pStyle w:val="Footer"/>
          <w:jc w:val="right"/>
          <w:rPr>
            <w:rFonts w:ascii="Times New Roman" w:hAnsi="Times New Roman" w:cs="Times New Roman"/>
            <w:sz w:val="20"/>
          </w:rPr>
        </w:pPr>
        <w:r w:rsidRPr="00A145B1">
          <w:rPr>
            <w:rFonts w:ascii="Times New Roman" w:hAnsi="Times New Roman" w:cs="Times New Roman"/>
            <w:sz w:val="20"/>
          </w:rPr>
          <w:fldChar w:fldCharType="begin"/>
        </w:r>
        <w:r w:rsidRPr="00A145B1">
          <w:rPr>
            <w:rFonts w:ascii="Times New Roman" w:hAnsi="Times New Roman" w:cs="Times New Roman"/>
            <w:sz w:val="20"/>
          </w:rPr>
          <w:instrText xml:space="preserve"> PAGE   \* MERGEFORMAT </w:instrText>
        </w:r>
        <w:r w:rsidRPr="00A145B1">
          <w:rPr>
            <w:rFonts w:ascii="Times New Roman" w:hAnsi="Times New Roman" w:cs="Times New Roman"/>
            <w:sz w:val="20"/>
          </w:rPr>
          <w:fldChar w:fldCharType="separate"/>
        </w:r>
        <w:r w:rsidR="004D1CDE">
          <w:rPr>
            <w:rFonts w:ascii="Times New Roman" w:hAnsi="Times New Roman" w:cs="Times New Roman"/>
            <w:noProof/>
            <w:sz w:val="20"/>
          </w:rPr>
          <w:t>10</w:t>
        </w:r>
        <w:r w:rsidRPr="00A145B1">
          <w:rPr>
            <w:rFonts w:ascii="Times New Roman" w:hAnsi="Times New Roman" w:cs="Times New Roman"/>
            <w:sz w:val="20"/>
          </w:rPr>
          <w:fldChar w:fldCharType="end"/>
        </w:r>
      </w:p>
    </w:sdtContent>
  </w:sdt>
  <w:p w14:paraId="7C4E25EE" w14:textId="77777777" w:rsidR="00A145B1" w:rsidRDefault="00A14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23634" w14:textId="77777777" w:rsidR="009F7099" w:rsidRDefault="009F7099" w:rsidP="00A145B1">
      <w:pPr>
        <w:spacing w:line="240" w:lineRule="auto"/>
      </w:pPr>
      <w:r>
        <w:separator/>
      </w:r>
    </w:p>
  </w:footnote>
  <w:footnote w:type="continuationSeparator" w:id="0">
    <w:p w14:paraId="00323C7A" w14:textId="77777777" w:rsidR="009F7099" w:rsidRDefault="009F7099" w:rsidP="00A145B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33BDC"/>
    <w:rsid w:val="002D7D13"/>
    <w:rsid w:val="003C2C3C"/>
    <w:rsid w:val="003E2623"/>
    <w:rsid w:val="00404BB8"/>
    <w:rsid w:val="004D1CDE"/>
    <w:rsid w:val="00733BDC"/>
    <w:rsid w:val="00891DFA"/>
    <w:rsid w:val="009F7099"/>
    <w:rsid w:val="00A145B1"/>
    <w:rsid w:val="00C105D2"/>
    <w:rsid w:val="00C65815"/>
    <w:rsid w:val="00C66F30"/>
    <w:rsid w:val="00C81D3B"/>
    <w:rsid w:val="00CB229D"/>
    <w:rsid w:val="00D62007"/>
    <w:rsid w:val="00DE1BC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3DBDD"/>
  <w15:docId w15:val="{4EB15889-2EAC-B143-A8C9-75A28C34A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33BDC"/>
  </w:style>
  <w:style w:type="paragraph" w:styleId="Heading1">
    <w:name w:val="heading 1"/>
    <w:basedOn w:val="Normal"/>
    <w:next w:val="Normal"/>
    <w:rsid w:val="002D7D1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2D7D13"/>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733BDC"/>
    <w:pPr>
      <w:keepNext/>
      <w:keepLines/>
      <w:spacing w:before="320" w:after="80"/>
      <w:outlineLvl w:val="2"/>
    </w:pPr>
    <w:rPr>
      <w:color w:val="434343"/>
      <w:sz w:val="28"/>
      <w:szCs w:val="28"/>
    </w:rPr>
  </w:style>
  <w:style w:type="paragraph" w:styleId="Heading4">
    <w:name w:val="heading 4"/>
    <w:basedOn w:val="Normal"/>
    <w:next w:val="Normal"/>
    <w:rsid w:val="00733BDC"/>
    <w:pPr>
      <w:keepNext/>
      <w:keepLines/>
      <w:spacing w:before="280" w:after="80"/>
      <w:outlineLvl w:val="3"/>
    </w:pPr>
    <w:rPr>
      <w:color w:val="666666"/>
      <w:sz w:val="24"/>
      <w:szCs w:val="24"/>
    </w:rPr>
  </w:style>
  <w:style w:type="paragraph" w:styleId="Heading5">
    <w:name w:val="heading 5"/>
    <w:basedOn w:val="Normal"/>
    <w:next w:val="Normal"/>
    <w:rsid w:val="00733BDC"/>
    <w:pPr>
      <w:keepNext/>
      <w:keepLines/>
      <w:spacing w:before="240" w:after="80"/>
      <w:outlineLvl w:val="4"/>
    </w:pPr>
    <w:rPr>
      <w:color w:val="666666"/>
    </w:rPr>
  </w:style>
  <w:style w:type="paragraph" w:styleId="Heading6">
    <w:name w:val="heading 6"/>
    <w:basedOn w:val="Normal"/>
    <w:next w:val="Normal"/>
    <w:rsid w:val="00733B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33BDC"/>
    <w:pPr>
      <w:keepNext/>
      <w:keepLines/>
      <w:spacing w:after="60"/>
    </w:pPr>
    <w:rPr>
      <w:sz w:val="52"/>
      <w:szCs w:val="52"/>
    </w:rPr>
  </w:style>
  <w:style w:type="paragraph" w:styleId="Subtitle">
    <w:name w:val="Subtitle"/>
    <w:basedOn w:val="Normal"/>
    <w:next w:val="Normal"/>
    <w:rsid w:val="00733BDC"/>
    <w:pPr>
      <w:keepNext/>
      <w:keepLines/>
      <w:spacing w:after="320"/>
    </w:pPr>
    <w:rPr>
      <w:color w:val="666666"/>
      <w:sz w:val="30"/>
      <w:szCs w:val="30"/>
    </w:rPr>
  </w:style>
  <w:style w:type="paragraph" w:styleId="Header">
    <w:name w:val="header"/>
    <w:basedOn w:val="Normal"/>
    <w:link w:val="HeaderChar"/>
    <w:uiPriority w:val="99"/>
    <w:semiHidden/>
    <w:unhideWhenUsed/>
    <w:rsid w:val="00A145B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145B1"/>
  </w:style>
  <w:style w:type="paragraph" w:styleId="Footer">
    <w:name w:val="footer"/>
    <w:basedOn w:val="Normal"/>
    <w:link w:val="FooterChar"/>
    <w:uiPriority w:val="99"/>
    <w:unhideWhenUsed/>
    <w:rsid w:val="00A145B1"/>
    <w:pPr>
      <w:tabs>
        <w:tab w:val="center" w:pos="4513"/>
        <w:tab w:val="right" w:pos="9026"/>
      </w:tabs>
      <w:spacing w:line="240" w:lineRule="auto"/>
    </w:pPr>
  </w:style>
  <w:style w:type="character" w:customStyle="1" w:styleId="FooterChar">
    <w:name w:val="Footer Char"/>
    <w:basedOn w:val="DefaultParagraphFont"/>
    <w:link w:val="Footer"/>
    <w:uiPriority w:val="99"/>
    <w:rsid w:val="00A145B1"/>
  </w:style>
  <w:style w:type="paragraph" w:styleId="TOCHeading">
    <w:name w:val="TOC Heading"/>
    <w:basedOn w:val="Heading1"/>
    <w:next w:val="Normal"/>
    <w:uiPriority w:val="39"/>
    <w:semiHidden/>
    <w:unhideWhenUsed/>
    <w:qFormat/>
    <w:rsid w:val="002D7D13"/>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2D7D13"/>
    <w:pPr>
      <w:spacing w:after="100"/>
    </w:pPr>
  </w:style>
  <w:style w:type="paragraph" w:styleId="TOC2">
    <w:name w:val="toc 2"/>
    <w:basedOn w:val="Normal"/>
    <w:next w:val="Normal"/>
    <w:autoRedefine/>
    <w:uiPriority w:val="39"/>
    <w:unhideWhenUsed/>
    <w:rsid w:val="002D7D13"/>
    <w:pPr>
      <w:spacing w:after="100"/>
      <w:ind w:left="220"/>
    </w:pPr>
  </w:style>
  <w:style w:type="character" w:styleId="Hyperlink">
    <w:name w:val="Hyperlink"/>
    <w:basedOn w:val="DefaultParagraphFont"/>
    <w:uiPriority w:val="99"/>
    <w:unhideWhenUsed/>
    <w:rsid w:val="002D7D13"/>
    <w:rPr>
      <w:color w:val="0000FF" w:themeColor="hyperlink"/>
      <w:u w:val="single"/>
    </w:rPr>
  </w:style>
  <w:style w:type="paragraph" w:styleId="BalloonText">
    <w:name w:val="Balloon Text"/>
    <w:basedOn w:val="Normal"/>
    <w:link w:val="BalloonTextChar"/>
    <w:uiPriority w:val="99"/>
    <w:semiHidden/>
    <w:unhideWhenUsed/>
    <w:rsid w:val="002D7D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D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C88A33-27AA-4D13-8ECC-A8B07296E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10</Pages>
  <Words>2682</Words>
  <Characters>15292</Characters>
  <Application>Microsoft Office Word</Application>
  <DocSecurity>0</DocSecurity>
  <Lines>127</Lines>
  <Paragraphs>35</Paragraphs>
  <ScaleCrop>false</ScaleCrop>
  <Company/>
  <LinksUpToDate>false</LinksUpToDate>
  <CharactersWithSpaces>17939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 Jerca (2123373)</cp:lastModifiedBy>
  <cp:revision>13</cp:revision>
  <dcterms:created xsi:type="dcterms:W3CDTF">2022-08-22T07:38:00Z</dcterms:created>
  <dcterms:modified xsi:type="dcterms:W3CDTF">2022-09-01T19:42:00Z</dcterms:modified>
</cp:coreProperties>
</file>