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F4AA4" w14:textId="77777777" w:rsidR="00014024" w:rsidRDefault="00820F92">
      <w:pPr>
        <w:jc w:val="center"/>
        <w:rPr>
          <w:rFonts w:ascii="Arial" w:hAnsi="Arial" w:cs="Arial"/>
          <w:b/>
          <w:bCs/>
          <w:sz w:val="96"/>
          <w:szCs w:val="96"/>
          <w:u w:val="single"/>
        </w:rPr>
      </w:pPr>
      <w:r>
        <w:rPr>
          <w:rFonts w:ascii="Arial" w:hAnsi="Arial" w:cs="Arial"/>
          <w:b/>
          <w:bCs/>
          <w:sz w:val="96"/>
          <w:szCs w:val="96"/>
          <w:u w:val="single"/>
        </w:rPr>
        <w:t>PSYCHOLOGY IN HEALTH AND SOCIAL CARE</w:t>
      </w:r>
    </w:p>
    <w:p w14:paraId="197F4AA5" w14:textId="77777777" w:rsidR="00014024" w:rsidRDefault="00014024">
      <w:pPr>
        <w:jc w:val="center"/>
        <w:rPr>
          <w:rFonts w:ascii="Arial" w:hAnsi="Arial" w:cs="Arial"/>
          <w:b/>
          <w:bCs/>
          <w:sz w:val="96"/>
          <w:szCs w:val="96"/>
          <w:u w:val="single"/>
        </w:rPr>
      </w:pPr>
    </w:p>
    <w:p w14:paraId="197F4AA6" w14:textId="77777777" w:rsidR="00014024" w:rsidRDefault="00014024">
      <w:pPr>
        <w:rPr>
          <w:rFonts w:ascii="Arial" w:hAnsi="Arial" w:cs="Arial"/>
        </w:rPr>
      </w:pPr>
    </w:p>
    <w:p w14:paraId="197F4AA7" w14:textId="77777777" w:rsidR="00014024" w:rsidRDefault="00014024">
      <w:pPr>
        <w:rPr>
          <w:rFonts w:ascii="Arial" w:hAnsi="Arial" w:cs="Arial"/>
        </w:rPr>
      </w:pPr>
    </w:p>
    <w:p w14:paraId="197F4AA8" w14:textId="77777777" w:rsidR="00014024" w:rsidRDefault="00014024">
      <w:pPr>
        <w:rPr>
          <w:rFonts w:ascii="Arial" w:hAnsi="Arial" w:cs="Arial"/>
        </w:rPr>
      </w:pPr>
    </w:p>
    <w:p w14:paraId="197F4AA9" w14:textId="77777777" w:rsidR="00014024" w:rsidRDefault="00014024">
      <w:pPr>
        <w:rPr>
          <w:rFonts w:ascii="Arial" w:hAnsi="Arial" w:cs="Arial"/>
        </w:rPr>
      </w:pPr>
    </w:p>
    <w:p w14:paraId="197F4AAA" w14:textId="77777777" w:rsidR="00014024" w:rsidRDefault="00014024">
      <w:pPr>
        <w:rPr>
          <w:rFonts w:ascii="Arial" w:hAnsi="Arial" w:cs="Arial"/>
        </w:rPr>
      </w:pPr>
    </w:p>
    <w:p w14:paraId="197F4AAB" w14:textId="77777777" w:rsidR="00014024" w:rsidRDefault="00014024">
      <w:pPr>
        <w:rPr>
          <w:rFonts w:ascii="Arial" w:hAnsi="Arial" w:cs="Arial"/>
        </w:rPr>
      </w:pPr>
    </w:p>
    <w:p w14:paraId="197F4AAC" w14:textId="77777777" w:rsidR="00014024" w:rsidRDefault="00014024">
      <w:pPr>
        <w:rPr>
          <w:rFonts w:ascii="Arial" w:hAnsi="Arial" w:cs="Arial"/>
        </w:rPr>
      </w:pPr>
    </w:p>
    <w:p w14:paraId="197F4AAD" w14:textId="77777777" w:rsidR="00014024" w:rsidRDefault="00014024">
      <w:pPr>
        <w:rPr>
          <w:rFonts w:ascii="Arial" w:hAnsi="Arial" w:cs="Arial"/>
        </w:rPr>
      </w:pPr>
    </w:p>
    <w:p w14:paraId="197F4AAE" w14:textId="77777777" w:rsidR="00014024" w:rsidRDefault="00014024">
      <w:pPr>
        <w:rPr>
          <w:rFonts w:ascii="Arial" w:hAnsi="Arial" w:cs="Arial"/>
        </w:rPr>
      </w:pPr>
    </w:p>
    <w:p w14:paraId="197F4AAF" w14:textId="77777777" w:rsidR="00014024" w:rsidRDefault="00014024">
      <w:pPr>
        <w:rPr>
          <w:rFonts w:ascii="Arial" w:hAnsi="Arial" w:cs="Arial"/>
        </w:rPr>
      </w:pPr>
    </w:p>
    <w:p w14:paraId="197F4AB0" w14:textId="77777777" w:rsidR="00014024" w:rsidRDefault="00014024">
      <w:pPr>
        <w:rPr>
          <w:rFonts w:ascii="Arial" w:hAnsi="Arial" w:cs="Arial"/>
        </w:rPr>
      </w:pPr>
    </w:p>
    <w:p w14:paraId="197F4AB1" w14:textId="77777777" w:rsidR="00014024" w:rsidRDefault="00820F92">
      <w:pPr>
        <w:rPr>
          <w:rFonts w:ascii="Arial" w:hAnsi="Arial" w:cs="Arial"/>
          <w:b/>
          <w:bCs/>
          <w:sz w:val="28"/>
          <w:szCs w:val="28"/>
        </w:rPr>
      </w:pPr>
      <w:r>
        <w:rPr>
          <w:rFonts w:ascii="Arial" w:hAnsi="Arial" w:cs="Arial"/>
          <w:b/>
          <w:bCs/>
          <w:sz w:val="28"/>
          <w:szCs w:val="28"/>
        </w:rPr>
        <w:t>MODULE CODE:  LCHS4010</w:t>
      </w:r>
    </w:p>
    <w:p w14:paraId="197F4AB2" w14:textId="77777777" w:rsidR="00014024" w:rsidRDefault="00820F92">
      <w:pPr>
        <w:rPr>
          <w:rFonts w:ascii="Arial" w:hAnsi="Arial" w:cs="Arial"/>
          <w:b/>
          <w:bCs/>
          <w:sz w:val="28"/>
          <w:szCs w:val="28"/>
        </w:rPr>
      </w:pPr>
      <w:r>
        <w:rPr>
          <w:rFonts w:ascii="Arial" w:hAnsi="Arial" w:cs="Arial"/>
          <w:b/>
          <w:bCs/>
          <w:sz w:val="28"/>
          <w:szCs w:val="28"/>
        </w:rPr>
        <w:t>LECTURER:  RIZWAN NADEEM</w:t>
      </w:r>
    </w:p>
    <w:p w14:paraId="197F4AB3" w14:textId="7D7B90FA" w:rsidR="00014024" w:rsidRDefault="00820F92">
      <w:pPr>
        <w:rPr>
          <w:rFonts w:ascii="Arial" w:hAnsi="Arial" w:cs="Arial"/>
          <w:b/>
          <w:bCs/>
          <w:sz w:val="28"/>
          <w:szCs w:val="28"/>
        </w:rPr>
      </w:pPr>
      <w:r>
        <w:rPr>
          <w:rFonts w:ascii="Arial" w:hAnsi="Arial" w:cs="Arial"/>
          <w:b/>
          <w:bCs/>
          <w:sz w:val="28"/>
          <w:szCs w:val="28"/>
        </w:rPr>
        <w:t>ASSIGNM</w:t>
      </w:r>
      <w:r w:rsidR="006E3F43">
        <w:rPr>
          <w:rFonts w:ascii="Arial" w:hAnsi="Arial" w:cs="Arial"/>
          <w:b/>
          <w:bCs/>
          <w:sz w:val="28"/>
          <w:szCs w:val="28"/>
        </w:rPr>
        <w:t>EN</w:t>
      </w:r>
      <w:r>
        <w:rPr>
          <w:rFonts w:ascii="Arial" w:hAnsi="Arial" w:cs="Arial"/>
          <w:b/>
          <w:bCs/>
          <w:sz w:val="28"/>
          <w:szCs w:val="28"/>
        </w:rPr>
        <w:t>T TITLE:  BIBLIOGRAPHY AND REPORT</w:t>
      </w:r>
    </w:p>
    <w:p w14:paraId="197F4AB4" w14:textId="77777777" w:rsidR="00014024" w:rsidRDefault="00820F92">
      <w:pPr>
        <w:rPr>
          <w:rFonts w:ascii="Arial" w:hAnsi="Arial" w:cs="Arial"/>
          <w:b/>
          <w:bCs/>
          <w:sz w:val="28"/>
          <w:szCs w:val="28"/>
        </w:rPr>
      </w:pPr>
      <w:r>
        <w:rPr>
          <w:rFonts w:ascii="Arial" w:hAnsi="Arial" w:cs="Arial"/>
          <w:b/>
          <w:bCs/>
          <w:sz w:val="28"/>
          <w:szCs w:val="28"/>
        </w:rPr>
        <w:t>STUDENT NAME:  NARGOS HUSSAIN</w:t>
      </w:r>
    </w:p>
    <w:p w14:paraId="453FCFC9" w14:textId="77777777" w:rsidR="0028691B" w:rsidRDefault="00820F92" w:rsidP="0028691B">
      <w:pPr>
        <w:rPr>
          <w:rFonts w:ascii="Arial" w:hAnsi="Arial" w:cs="Arial"/>
          <w:b/>
          <w:bCs/>
          <w:sz w:val="28"/>
          <w:szCs w:val="28"/>
        </w:rPr>
      </w:pPr>
      <w:r>
        <w:rPr>
          <w:rFonts w:ascii="Arial" w:hAnsi="Arial" w:cs="Arial"/>
          <w:b/>
          <w:bCs/>
          <w:sz w:val="28"/>
          <w:szCs w:val="28"/>
        </w:rPr>
        <w:t>STUDENT NUMBER:  2432693</w:t>
      </w:r>
    </w:p>
    <w:p w14:paraId="48A89006" w14:textId="77777777" w:rsidR="0028691B" w:rsidRDefault="0028691B" w:rsidP="0028691B">
      <w:pPr>
        <w:rPr>
          <w:rFonts w:ascii="Arial" w:hAnsi="Arial" w:cs="Arial"/>
          <w:b/>
          <w:bCs/>
        </w:rPr>
      </w:pPr>
    </w:p>
    <w:p w14:paraId="197F4AB8" w14:textId="3C133A18" w:rsidR="00014024" w:rsidRPr="0028691B" w:rsidRDefault="00820F92" w:rsidP="00D13DDB">
      <w:pPr>
        <w:jc w:val="both"/>
        <w:rPr>
          <w:rFonts w:ascii="Arial" w:hAnsi="Arial" w:cs="Arial"/>
          <w:b/>
          <w:bCs/>
          <w:sz w:val="28"/>
          <w:szCs w:val="28"/>
        </w:rPr>
      </w:pPr>
      <w:r w:rsidRPr="00047714">
        <w:rPr>
          <w:rFonts w:ascii="Arial" w:hAnsi="Arial" w:cs="Arial"/>
          <w:b/>
          <w:bCs/>
        </w:rPr>
        <w:lastRenderedPageBreak/>
        <w:t>PART A</w:t>
      </w:r>
      <w:r w:rsidR="000172CB" w:rsidRPr="00047714">
        <w:rPr>
          <w:rFonts w:ascii="Arial" w:hAnsi="Arial" w:cs="Arial"/>
          <w:b/>
          <w:bCs/>
        </w:rPr>
        <w:t xml:space="preserve"> - </w:t>
      </w:r>
      <w:r w:rsidRPr="00047714">
        <w:rPr>
          <w:rFonts w:ascii="Arial" w:hAnsi="Arial" w:cs="Arial"/>
          <w:b/>
          <w:bCs/>
        </w:rPr>
        <w:t>ANNOTATED BIBLIOGRAPHY:  PSYCHOLOGICAL THEORIES IN ADULT</w:t>
      </w:r>
      <w:r w:rsidR="007C1F09">
        <w:rPr>
          <w:rFonts w:ascii="Arial" w:hAnsi="Arial" w:cs="Arial"/>
          <w:b/>
          <w:bCs/>
        </w:rPr>
        <w:t xml:space="preserve"> </w:t>
      </w:r>
      <w:r w:rsidRPr="00047714">
        <w:rPr>
          <w:rFonts w:ascii="Arial" w:hAnsi="Arial" w:cs="Arial"/>
          <w:b/>
          <w:bCs/>
        </w:rPr>
        <w:t>DEVELOPMENT AND WELLBEING</w:t>
      </w:r>
    </w:p>
    <w:p w14:paraId="70E20EF7" w14:textId="260ACC17" w:rsidR="00127DEA" w:rsidRPr="00FA7EA0" w:rsidRDefault="00127DEA" w:rsidP="00894F9C">
      <w:pPr>
        <w:spacing w:line="360" w:lineRule="auto"/>
        <w:jc w:val="both"/>
        <w:rPr>
          <w:rFonts w:ascii="Arial" w:hAnsi="Arial" w:cs="Arial"/>
          <w:b/>
          <w:bCs/>
        </w:rPr>
      </w:pPr>
      <w:r w:rsidRPr="00FA7EA0">
        <w:rPr>
          <w:rFonts w:ascii="Arial" w:hAnsi="Arial" w:cs="Arial"/>
          <w:b/>
          <w:bCs/>
        </w:rPr>
        <w:t>INTRODUCTION</w:t>
      </w:r>
    </w:p>
    <w:p w14:paraId="443FD614" w14:textId="77777777" w:rsidR="00CC1F86" w:rsidRDefault="00C75872" w:rsidP="00894F9C">
      <w:pPr>
        <w:spacing w:line="360" w:lineRule="auto"/>
        <w:jc w:val="both"/>
        <w:rPr>
          <w:rFonts w:ascii="Arial" w:hAnsi="Arial" w:cs="Arial"/>
          <w:b/>
          <w:bCs/>
        </w:rPr>
      </w:pPr>
      <w:r w:rsidRPr="00C75872">
        <w:rPr>
          <w:rFonts w:ascii="Arial" w:hAnsi="Arial" w:cs="Arial"/>
          <w:color w:val="000000"/>
          <w:sz w:val="22"/>
        </w:rPr>
        <w:t xml:space="preserve">Gaining an understanding of psychological theories is crucial for those working with older adults in health and social care environments. </w:t>
      </w:r>
      <w:r w:rsidR="000B1A51">
        <w:rPr>
          <w:rFonts w:ascii="Arial" w:hAnsi="Arial" w:cs="Arial"/>
          <w:color w:val="000000"/>
          <w:sz w:val="22"/>
        </w:rPr>
        <w:t xml:space="preserve"> </w:t>
      </w:r>
      <w:r w:rsidRPr="00C75872">
        <w:rPr>
          <w:rFonts w:ascii="Arial" w:hAnsi="Arial" w:cs="Arial"/>
          <w:color w:val="000000"/>
          <w:sz w:val="22"/>
        </w:rPr>
        <w:t>These theories shed light on how relationships, emotional health, and life experiences shape development throughout a person’s lifetime.</w:t>
      </w:r>
      <w:r w:rsidR="00FD1DF0">
        <w:rPr>
          <w:rFonts w:ascii="Arial" w:hAnsi="Arial" w:cs="Arial"/>
          <w:color w:val="000000"/>
          <w:sz w:val="22"/>
        </w:rPr>
        <w:t xml:space="preserve"> </w:t>
      </w:r>
      <w:r w:rsidRPr="00C75872">
        <w:rPr>
          <w:rFonts w:ascii="Arial" w:hAnsi="Arial" w:cs="Arial"/>
          <w:color w:val="000000"/>
          <w:sz w:val="22"/>
        </w:rPr>
        <w:t xml:space="preserve"> This annotated bibliography examines two major psychological perspectives relevant to adult development and ageing: John Bowlby’s attachment theory and Martin Seligman’s positive psychology framework for wellbeing. </w:t>
      </w:r>
      <w:r w:rsidR="00FD1DF0">
        <w:rPr>
          <w:rFonts w:ascii="Arial" w:hAnsi="Arial" w:cs="Arial"/>
          <w:color w:val="000000"/>
          <w:sz w:val="22"/>
        </w:rPr>
        <w:t xml:space="preserve"> </w:t>
      </w:r>
      <w:r w:rsidR="004A553E" w:rsidRPr="004A553E">
        <w:rPr>
          <w:rFonts w:ascii="Arial" w:hAnsi="Arial" w:cs="Arial"/>
          <w:color w:val="000000"/>
          <w:sz w:val="22"/>
        </w:rPr>
        <w:t>The selected academic sources provide important insights into how these ideas enable professionals to better meet the emotional and psychological needs of older adults.</w:t>
      </w:r>
    </w:p>
    <w:p w14:paraId="197F4AB9" w14:textId="595D0295" w:rsidR="00014024" w:rsidRPr="00CC1F86" w:rsidRDefault="00CC1F86" w:rsidP="00894F9C">
      <w:pPr>
        <w:spacing w:line="360" w:lineRule="auto"/>
        <w:jc w:val="both"/>
      </w:pPr>
      <w:r>
        <w:rPr>
          <w:rFonts w:ascii="Arial" w:hAnsi="Arial" w:cs="Arial"/>
          <w:b/>
          <w:bCs/>
        </w:rPr>
        <w:t>Annotated Source</w:t>
      </w:r>
      <w:r w:rsidR="006C7B9A">
        <w:rPr>
          <w:rFonts w:ascii="Arial" w:hAnsi="Arial" w:cs="Arial"/>
          <w:b/>
          <w:bCs/>
        </w:rPr>
        <w:t xml:space="preserve">: </w:t>
      </w:r>
      <w:r w:rsidR="00DC3657">
        <w:rPr>
          <w:rFonts w:ascii="Arial" w:hAnsi="Arial" w:cs="Arial"/>
          <w:b/>
          <w:bCs/>
        </w:rPr>
        <w:t xml:space="preserve"> </w:t>
      </w:r>
      <w:r w:rsidR="00820F92" w:rsidRPr="00991787">
        <w:rPr>
          <w:rFonts w:ascii="Arial" w:hAnsi="Arial" w:cs="Arial"/>
          <w:b/>
          <w:bCs/>
        </w:rPr>
        <w:t>Bowlby, J. (1988) A Secure Base: Parent-Child Attachment and Healthy Human Development. London: Routledge.</w:t>
      </w:r>
    </w:p>
    <w:p w14:paraId="06D0150B" w14:textId="77777777" w:rsidR="00F6093C" w:rsidRDefault="00820F92" w:rsidP="00894F9C">
      <w:pPr>
        <w:spacing w:line="360" w:lineRule="auto"/>
        <w:jc w:val="both"/>
        <w:rPr>
          <w:rFonts w:ascii="Arial" w:hAnsi="Arial" w:cs="Arial"/>
          <w:b/>
          <w:bCs/>
        </w:rPr>
      </w:pPr>
      <w:r w:rsidRPr="00991787">
        <w:rPr>
          <w:rFonts w:ascii="Arial" w:hAnsi="Arial" w:cs="Arial"/>
          <w:b/>
          <w:bCs/>
        </w:rPr>
        <w:t>Summar</w:t>
      </w:r>
      <w:r w:rsidR="009B7FD3">
        <w:rPr>
          <w:rFonts w:ascii="Arial" w:hAnsi="Arial" w:cs="Arial"/>
          <w:b/>
          <w:bCs/>
        </w:rPr>
        <w:t>y</w:t>
      </w:r>
      <w:r w:rsidR="0051162B">
        <w:rPr>
          <w:rFonts w:ascii="Arial" w:hAnsi="Arial" w:cs="Arial"/>
          <w:b/>
          <w:bCs/>
        </w:rPr>
        <w:t xml:space="preserve">:  </w:t>
      </w:r>
      <w:r w:rsidR="000858A4" w:rsidRPr="000858A4">
        <w:rPr>
          <w:rFonts w:ascii="Arial" w:hAnsi="Arial" w:cs="Arial"/>
          <w:color w:val="000000"/>
          <w:sz w:val="22"/>
        </w:rPr>
        <w:t xml:space="preserve">John Bowlby created attachment theory to describe how children's early interactions with their caregivers impact emotional and social development over their lives. </w:t>
      </w:r>
      <w:r w:rsidR="007D6AF0">
        <w:rPr>
          <w:rFonts w:ascii="Arial" w:hAnsi="Arial" w:cs="Arial"/>
          <w:color w:val="000000"/>
          <w:sz w:val="22"/>
        </w:rPr>
        <w:t xml:space="preserve"> </w:t>
      </w:r>
      <w:r w:rsidR="000858A4" w:rsidRPr="000858A4">
        <w:rPr>
          <w:rFonts w:ascii="Arial" w:hAnsi="Arial" w:cs="Arial"/>
          <w:color w:val="000000"/>
          <w:sz w:val="22"/>
        </w:rPr>
        <w:t xml:space="preserve">In this work, Bowlby notes that children who form secure attachments experience safety and trust, enabling them to confidently explore their surroundings and build positive relationships. </w:t>
      </w:r>
      <w:r w:rsidR="007D6AF0">
        <w:rPr>
          <w:rFonts w:ascii="Arial" w:hAnsi="Arial" w:cs="Arial"/>
          <w:color w:val="000000"/>
          <w:sz w:val="22"/>
        </w:rPr>
        <w:t xml:space="preserve"> </w:t>
      </w:r>
      <w:r w:rsidR="000858A4" w:rsidRPr="000858A4">
        <w:rPr>
          <w:rFonts w:ascii="Arial" w:hAnsi="Arial" w:cs="Arial"/>
          <w:color w:val="000000"/>
          <w:sz w:val="22"/>
        </w:rPr>
        <w:t xml:space="preserve">He asserts that these patterns established in childhood influence behaviour, emotional health, and relationships well into adulthood. </w:t>
      </w:r>
      <w:r w:rsidR="007D6AF0">
        <w:rPr>
          <w:rFonts w:ascii="Arial" w:hAnsi="Arial" w:cs="Arial"/>
          <w:color w:val="000000"/>
          <w:sz w:val="22"/>
        </w:rPr>
        <w:t xml:space="preserve"> </w:t>
      </w:r>
      <w:r w:rsidR="000858A4" w:rsidRPr="000858A4">
        <w:rPr>
          <w:rFonts w:ascii="Arial" w:hAnsi="Arial" w:cs="Arial"/>
          <w:color w:val="000000"/>
          <w:sz w:val="22"/>
        </w:rPr>
        <w:t>People with secure attachment often handle stress effectively and nurture healthier connections, whereas those with insecure attachments may face challenges related to trust, anxiety, or emotional struggles</w:t>
      </w:r>
      <w:r w:rsidR="006B795D">
        <w:rPr>
          <w:rFonts w:ascii="Arial" w:hAnsi="Arial" w:cs="Arial"/>
          <w:color w:val="000000"/>
          <w:sz w:val="22"/>
        </w:rPr>
        <w:t xml:space="preserve"> </w:t>
      </w:r>
      <w:r w:rsidR="00F4682F">
        <w:rPr>
          <w:rFonts w:ascii="Arial" w:hAnsi="Arial" w:cs="Arial"/>
          <w:color w:val="000000"/>
          <w:sz w:val="22"/>
        </w:rPr>
        <w:t>(Bowlby, 1988</w:t>
      </w:r>
      <w:r w:rsidR="00E367CA">
        <w:rPr>
          <w:rFonts w:ascii="Arial" w:hAnsi="Arial" w:cs="Arial"/>
          <w:color w:val="000000"/>
          <w:sz w:val="22"/>
        </w:rPr>
        <w:t>).</w:t>
      </w:r>
      <w:r w:rsidR="000858A4" w:rsidRPr="000858A4">
        <w:rPr>
          <w:rFonts w:ascii="Arial" w:hAnsi="Arial" w:cs="Arial"/>
          <w:color w:val="000000"/>
          <w:sz w:val="22"/>
        </w:rPr>
        <w:t xml:space="preserve"> </w:t>
      </w:r>
      <w:r w:rsidR="00E367CA">
        <w:rPr>
          <w:rFonts w:ascii="Arial" w:hAnsi="Arial" w:cs="Arial"/>
          <w:color w:val="000000"/>
          <w:sz w:val="22"/>
        </w:rPr>
        <w:t xml:space="preserve"> </w:t>
      </w:r>
      <w:r w:rsidR="000858A4" w:rsidRPr="000858A4">
        <w:rPr>
          <w:rFonts w:ascii="Arial" w:hAnsi="Arial" w:cs="Arial"/>
          <w:color w:val="000000"/>
          <w:sz w:val="22"/>
        </w:rPr>
        <w:t>The theory emphasises the lasting effects of early experiences on how individuals respond to support, relationships, and stress throughout life.</w:t>
      </w:r>
    </w:p>
    <w:p w14:paraId="5DB1B136" w14:textId="3586C04E" w:rsidR="0029427A" w:rsidRPr="00F6093C" w:rsidRDefault="00820F92" w:rsidP="00AA16EA">
      <w:pPr>
        <w:spacing w:line="360" w:lineRule="auto"/>
        <w:jc w:val="both"/>
        <w:rPr>
          <w:rFonts w:ascii="Arial" w:hAnsi="Arial" w:cs="Arial"/>
          <w:b/>
          <w:bCs/>
        </w:rPr>
      </w:pPr>
      <w:r w:rsidRPr="00991787">
        <w:rPr>
          <w:rFonts w:ascii="Arial" w:hAnsi="Arial" w:cs="Arial"/>
          <w:b/>
          <w:bCs/>
        </w:rPr>
        <w:t>Critical Comments</w:t>
      </w:r>
      <w:r w:rsidR="00F6093C">
        <w:rPr>
          <w:rFonts w:ascii="Arial" w:hAnsi="Arial" w:cs="Arial"/>
          <w:b/>
          <w:bCs/>
        </w:rPr>
        <w:t xml:space="preserve">:  </w:t>
      </w:r>
      <w:r w:rsidR="00102A0B" w:rsidRPr="00102A0B">
        <w:rPr>
          <w:rFonts w:ascii="Arial" w:hAnsi="Arial" w:cs="Arial"/>
          <w:color w:val="000000"/>
          <w:sz w:val="22"/>
        </w:rPr>
        <w:t>Bowlby’s attachment theory plays an important role in supporting older adults within health and social care environments.</w:t>
      </w:r>
      <w:r w:rsidR="0023397A">
        <w:rPr>
          <w:rFonts w:ascii="Arial" w:hAnsi="Arial" w:cs="Arial"/>
          <w:color w:val="000000"/>
          <w:sz w:val="22"/>
        </w:rPr>
        <w:t xml:space="preserve"> </w:t>
      </w:r>
      <w:r w:rsidR="00102A0B" w:rsidRPr="00102A0B">
        <w:rPr>
          <w:rFonts w:ascii="Arial" w:hAnsi="Arial" w:cs="Arial"/>
          <w:color w:val="000000"/>
          <w:sz w:val="22"/>
        </w:rPr>
        <w:t xml:space="preserve"> Many rely on carers or healthcare professionals to meet both their emotional and practical needs.</w:t>
      </w:r>
      <w:r w:rsidR="0023397A">
        <w:rPr>
          <w:rFonts w:ascii="Arial" w:hAnsi="Arial" w:cs="Arial"/>
          <w:color w:val="000000"/>
          <w:sz w:val="22"/>
        </w:rPr>
        <w:t xml:space="preserve"> </w:t>
      </w:r>
      <w:r w:rsidR="00102A0B" w:rsidRPr="00102A0B">
        <w:rPr>
          <w:rFonts w:ascii="Arial" w:hAnsi="Arial" w:cs="Arial"/>
          <w:color w:val="000000"/>
          <w:sz w:val="22"/>
        </w:rPr>
        <w:t xml:space="preserve"> By recognising different attachment styles, staff can better understand why individuals may react in varying ways to care. </w:t>
      </w:r>
      <w:r w:rsidR="0023397A">
        <w:rPr>
          <w:rFonts w:ascii="Arial" w:hAnsi="Arial" w:cs="Arial"/>
          <w:color w:val="000000"/>
          <w:sz w:val="22"/>
        </w:rPr>
        <w:t xml:space="preserve"> </w:t>
      </w:r>
      <w:r w:rsidR="00102A0B" w:rsidRPr="00102A0B">
        <w:rPr>
          <w:rFonts w:ascii="Arial" w:hAnsi="Arial" w:cs="Arial"/>
          <w:color w:val="000000"/>
          <w:sz w:val="22"/>
        </w:rPr>
        <w:t>For instance, someone with a secure attachment might feel at ease receiving assistance and building trust with caregivers, while another with an insecure attachment could seem anxious or withdrawn</w:t>
      </w:r>
      <w:r w:rsidR="00235A73">
        <w:rPr>
          <w:rFonts w:ascii="Arial" w:hAnsi="Arial" w:cs="Arial"/>
          <w:color w:val="000000"/>
          <w:sz w:val="22"/>
        </w:rPr>
        <w:t>.</w:t>
      </w:r>
      <w:r w:rsidR="005837D5">
        <w:rPr>
          <w:rFonts w:ascii="Arial" w:hAnsi="Arial" w:cs="Arial"/>
          <w:color w:val="000000"/>
          <w:sz w:val="22"/>
        </w:rPr>
        <w:t xml:space="preserve">  </w:t>
      </w:r>
      <w:r w:rsidR="00102A0B" w:rsidRPr="00102A0B">
        <w:rPr>
          <w:rFonts w:ascii="Arial" w:hAnsi="Arial" w:cs="Arial"/>
          <w:color w:val="000000"/>
          <w:sz w:val="22"/>
        </w:rPr>
        <w:t>Understanding these behaviours enables professionals to offer consistent, respectful, and supportive care that helps clients feel safe</w:t>
      </w:r>
      <w:r w:rsidR="0084752F">
        <w:rPr>
          <w:rFonts w:ascii="Arial" w:hAnsi="Arial" w:cs="Arial"/>
          <w:color w:val="000000"/>
          <w:sz w:val="22"/>
        </w:rPr>
        <w:t xml:space="preserve"> (Bowlby</w:t>
      </w:r>
      <w:r w:rsidR="00CF4119">
        <w:rPr>
          <w:rFonts w:ascii="Arial" w:hAnsi="Arial" w:cs="Arial"/>
          <w:color w:val="000000"/>
          <w:sz w:val="22"/>
        </w:rPr>
        <w:t>, 1988)</w:t>
      </w:r>
      <w:r w:rsidR="00102A0B" w:rsidRPr="00102A0B">
        <w:rPr>
          <w:rFonts w:ascii="Arial" w:hAnsi="Arial" w:cs="Arial"/>
          <w:color w:val="000000"/>
          <w:sz w:val="22"/>
        </w:rPr>
        <w:t>.</w:t>
      </w:r>
      <w:r w:rsidR="00BC12D9">
        <w:rPr>
          <w:rFonts w:ascii="Arial" w:hAnsi="Arial" w:cs="Arial"/>
          <w:color w:val="000000"/>
          <w:sz w:val="22"/>
        </w:rPr>
        <w:t xml:space="preserve">  This source is particularly reliable </w:t>
      </w:r>
      <w:r w:rsidR="00D0305A">
        <w:rPr>
          <w:rFonts w:ascii="Arial" w:hAnsi="Arial" w:cs="Arial"/>
          <w:color w:val="000000"/>
          <w:sz w:val="22"/>
        </w:rPr>
        <w:t xml:space="preserve">because it was written by John Bowlby, who is widely </w:t>
      </w:r>
      <w:r w:rsidR="00DC69CA">
        <w:rPr>
          <w:rFonts w:ascii="Arial" w:hAnsi="Arial" w:cs="Arial"/>
          <w:color w:val="000000"/>
          <w:sz w:val="22"/>
        </w:rPr>
        <w:t xml:space="preserve">recognised as the founder of attachment </w:t>
      </w:r>
      <w:r w:rsidR="00274483">
        <w:rPr>
          <w:rFonts w:ascii="Arial" w:hAnsi="Arial" w:cs="Arial"/>
          <w:color w:val="000000"/>
          <w:sz w:val="22"/>
        </w:rPr>
        <w:t>theory and whose work has had a major influence on psychology and health research.</w:t>
      </w:r>
    </w:p>
    <w:p w14:paraId="197F4ABE" w14:textId="576E93BB" w:rsidR="00014024" w:rsidRPr="0029427A" w:rsidRDefault="00427476" w:rsidP="00894F9C">
      <w:pPr>
        <w:spacing w:line="360" w:lineRule="auto"/>
        <w:jc w:val="both"/>
        <w:rPr>
          <w:rFonts w:ascii="Arial" w:hAnsi="Arial" w:cs="Arial"/>
          <w:color w:val="000000"/>
          <w:sz w:val="22"/>
        </w:rPr>
      </w:pPr>
      <w:r>
        <w:rPr>
          <w:rFonts w:ascii="Arial" w:hAnsi="Arial" w:cs="Arial"/>
          <w:b/>
          <w:bCs/>
        </w:rPr>
        <w:lastRenderedPageBreak/>
        <w:t>Annot</w:t>
      </w:r>
      <w:r w:rsidR="004B70C2">
        <w:rPr>
          <w:rFonts w:ascii="Arial" w:hAnsi="Arial" w:cs="Arial"/>
          <w:b/>
          <w:bCs/>
        </w:rPr>
        <w:t xml:space="preserve">ated Source:  </w:t>
      </w:r>
      <w:r w:rsidR="00820F92" w:rsidRPr="00991787">
        <w:rPr>
          <w:rFonts w:ascii="Arial" w:hAnsi="Arial" w:cs="Arial"/>
          <w:b/>
          <w:bCs/>
        </w:rPr>
        <w:t>Miku</w:t>
      </w:r>
      <w:r w:rsidR="00114B88" w:rsidRPr="00991787">
        <w:rPr>
          <w:rFonts w:ascii="Arial" w:hAnsi="Arial" w:cs="Arial"/>
          <w:b/>
          <w:bCs/>
        </w:rPr>
        <w:t>lincer</w:t>
      </w:r>
      <w:r w:rsidR="00820F92" w:rsidRPr="00991787">
        <w:rPr>
          <w:rFonts w:ascii="Arial" w:hAnsi="Arial" w:cs="Arial"/>
          <w:b/>
          <w:bCs/>
        </w:rPr>
        <w:t>, M. and Shaver</w:t>
      </w:r>
      <w:r w:rsidR="00114B88" w:rsidRPr="00991787">
        <w:rPr>
          <w:rFonts w:ascii="Arial" w:hAnsi="Arial" w:cs="Arial"/>
          <w:b/>
          <w:bCs/>
        </w:rPr>
        <w:t>, P. (2016) Attachment in adulthood: Structure, Dynamics and Change. 2</w:t>
      </w:r>
      <w:r w:rsidR="00114B88" w:rsidRPr="00991787">
        <w:rPr>
          <w:rFonts w:ascii="Arial" w:hAnsi="Arial" w:cs="Arial"/>
          <w:b/>
          <w:bCs/>
          <w:vertAlign w:val="superscript"/>
        </w:rPr>
        <w:t>nd</w:t>
      </w:r>
      <w:r w:rsidR="00114B88" w:rsidRPr="00991787">
        <w:rPr>
          <w:rFonts w:ascii="Arial" w:hAnsi="Arial" w:cs="Arial"/>
          <w:b/>
          <w:bCs/>
        </w:rPr>
        <w:t xml:space="preserve"> edn. New York: Guilford Press.</w:t>
      </w:r>
    </w:p>
    <w:p w14:paraId="17F6BC5E" w14:textId="3CB35447" w:rsidR="00114B88" w:rsidRPr="00F6093C" w:rsidRDefault="00114B88" w:rsidP="0023397A">
      <w:pPr>
        <w:spacing w:line="360" w:lineRule="auto"/>
        <w:jc w:val="both"/>
        <w:rPr>
          <w:rFonts w:ascii="Arial" w:hAnsi="Arial" w:cs="Arial"/>
          <w:b/>
          <w:bCs/>
        </w:rPr>
      </w:pPr>
      <w:r w:rsidRPr="00991787">
        <w:rPr>
          <w:rFonts w:ascii="Arial" w:hAnsi="Arial" w:cs="Arial"/>
          <w:b/>
          <w:bCs/>
        </w:rPr>
        <w:t>Summary</w:t>
      </w:r>
      <w:r w:rsidR="00F6093C">
        <w:rPr>
          <w:rFonts w:ascii="Arial" w:hAnsi="Arial" w:cs="Arial"/>
          <w:b/>
          <w:bCs/>
        </w:rPr>
        <w:t xml:space="preserve">:  </w:t>
      </w:r>
      <w:r w:rsidR="009F2C08" w:rsidRPr="009F2C08">
        <w:rPr>
          <w:rFonts w:ascii="Arial" w:hAnsi="Arial" w:cs="Arial"/>
          <w:color w:val="000000"/>
          <w:sz w:val="22"/>
        </w:rPr>
        <w:t>Mario Mikulincer and Philip Shaver expanded Bowlby’s work by showing that attachment styles affect adult relationships, emotional health, and coping.</w:t>
      </w:r>
      <w:r w:rsidR="0023397A">
        <w:rPr>
          <w:rFonts w:ascii="Arial" w:hAnsi="Arial" w:cs="Arial"/>
          <w:color w:val="000000"/>
          <w:sz w:val="22"/>
        </w:rPr>
        <w:t xml:space="preserve"> </w:t>
      </w:r>
      <w:r w:rsidR="009F2C08" w:rsidRPr="009F2C08">
        <w:rPr>
          <w:rFonts w:ascii="Arial" w:hAnsi="Arial" w:cs="Arial"/>
          <w:color w:val="000000"/>
          <w:sz w:val="22"/>
        </w:rPr>
        <w:t xml:space="preserve"> Securely attached adults have stronger relationships and better emotional wellbeing, while anxious or avoidant individuals may struggle with trust and stress.</w:t>
      </w:r>
      <w:r w:rsidR="0023397A">
        <w:rPr>
          <w:rFonts w:ascii="Arial" w:hAnsi="Arial" w:cs="Arial"/>
          <w:color w:val="000000"/>
          <w:sz w:val="22"/>
        </w:rPr>
        <w:t xml:space="preserve"> </w:t>
      </w:r>
      <w:r w:rsidR="009F2C08" w:rsidRPr="009F2C08">
        <w:rPr>
          <w:rFonts w:ascii="Arial" w:hAnsi="Arial" w:cs="Arial"/>
          <w:color w:val="000000"/>
          <w:sz w:val="22"/>
        </w:rPr>
        <w:t xml:space="preserve"> Importantly, attachment patterns can improve through positive and supportive environments, allowing even those with insecure backgrounds to form secure connections</w:t>
      </w:r>
      <w:r w:rsidR="00EA759B">
        <w:rPr>
          <w:rFonts w:ascii="Arial" w:hAnsi="Arial" w:cs="Arial"/>
          <w:color w:val="000000"/>
          <w:sz w:val="22"/>
        </w:rPr>
        <w:t xml:space="preserve"> (Mi</w:t>
      </w:r>
      <w:r w:rsidR="00463D63">
        <w:rPr>
          <w:rFonts w:ascii="Arial" w:hAnsi="Arial" w:cs="Arial"/>
          <w:color w:val="000000"/>
          <w:sz w:val="22"/>
        </w:rPr>
        <w:t>kul</w:t>
      </w:r>
      <w:r w:rsidR="0045676E">
        <w:rPr>
          <w:rFonts w:ascii="Arial" w:hAnsi="Arial" w:cs="Arial"/>
          <w:color w:val="000000"/>
          <w:sz w:val="22"/>
        </w:rPr>
        <w:t>incer</w:t>
      </w:r>
      <w:r w:rsidR="00463D63">
        <w:rPr>
          <w:rFonts w:ascii="Arial" w:hAnsi="Arial" w:cs="Arial"/>
          <w:color w:val="000000"/>
          <w:sz w:val="22"/>
        </w:rPr>
        <w:t xml:space="preserve"> </w:t>
      </w:r>
      <w:r w:rsidR="00EF2634">
        <w:rPr>
          <w:rFonts w:ascii="Arial" w:hAnsi="Arial" w:cs="Arial"/>
          <w:color w:val="000000"/>
          <w:sz w:val="22"/>
        </w:rPr>
        <w:t>and Shaver, 2016).</w:t>
      </w:r>
    </w:p>
    <w:p w14:paraId="197F4ABF" w14:textId="7C194086" w:rsidR="00014024" w:rsidRPr="00F6093C" w:rsidRDefault="00FD2DED" w:rsidP="00125B58">
      <w:pPr>
        <w:spacing w:line="360" w:lineRule="auto"/>
        <w:jc w:val="both"/>
        <w:rPr>
          <w:rFonts w:ascii="Arial" w:hAnsi="Arial" w:cs="Arial"/>
          <w:b/>
          <w:bCs/>
        </w:rPr>
      </w:pPr>
      <w:r w:rsidRPr="00991787">
        <w:rPr>
          <w:rFonts w:ascii="Arial" w:hAnsi="Arial" w:cs="Arial"/>
          <w:b/>
          <w:bCs/>
        </w:rPr>
        <w:t>Critical Comment</w:t>
      </w:r>
      <w:r w:rsidR="00F6093C">
        <w:rPr>
          <w:rFonts w:ascii="Arial" w:hAnsi="Arial" w:cs="Arial"/>
          <w:b/>
          <w:bCs/>
        </w:rPr>
        <w:t xml:space="preserve">:  </w:t>
      </w:r>
      <w:r w:rsidR="007C6145" w:rsidRPr="007C6145">
        <w:rPr>
          <w:rFonts w:ascii="Arial" w:hAnsi="Arial" w:cs="Arial"/>
          <w:color w:val="000000"/>
          <w:sz w:val="22"/>
        </w:rPr>
        <w:t>This research offers significant insights for professionals working with older adults by emphasizing the crucial role of supportive and trusting relationships within care environments.</w:t>
      </w:r>
      <w:r w:rsidR="00125B58">
        <w:rPr>
          <w:rFonts w:ascii="Arial" w:hAnsi="Arial" w:cs="Arial"/>
          <w:color w:val="000000"/>
          <w:sz w:val="22"/>
        </w:rPr>
        <w:t xml:space="preserve">  </w:t>
      </w:r>
      <w:r w:rsidR="007C6145" w:rsidRPr="007C6145">
        <w:rPr>
          <w:rFonts w:ascii="Arial" w:hAnsi="Arial" w:cs="Arial"/>
          <w:color w:val="000000"/>
          <w:sz w:val="22"/>
        </w:rPr>
        <w:t xml:space="preserve">Older adults often encounter challenges such as loneliness, illness, or bereavement, which may heighten emotional vulnerability. </w:t>
      </w:r>
      <w:r w:rsidR="00125B58">
        <w:rPr>
          <w:rFonts w:ascii="Arial" w:hAnsi="Arial" w:cs="Arial"/>
          <w:color w:val="000000"/>
          <w:sz w:val="22"/>
        </w:rPr>
        <w:t xml:space="preserve"> </w:t>
      </w:r>
      <w:r w:rsidR="007C6145" w:rsidRPr="007C6145">
        <w:rPr>
          <w:rFonts w:ascii="Arial" w:hAnsi="Arial" w:cs="Arial"/>
          <w:color w:val="000000"/>
          <w:sz w:val="22"/>
        </w:rPr>
        <w:t xml:space="preserve">Healthcare practitioners who deliver consistent, respectful, and empathetic support can foster a greater sense of security and value among older individuals. </w:t>
      </w:r>
      <w:r w:rsidR="00125B58">
        <w:rPr>
          <w:rFonts w:ascii="Arial" w:hAnsi="Arial" w:cs="Arial"/>
          <w:color w:val="000000"/>
          <w:sz w:val="22"/>
        </w:rPr>
        <w:t xml:space="preserve"> </w:t>
      </w:r>
      <w:r w:rsidR="007C6145" w:rsidRPr="007C6145">
        <w:rPr>
          <w:rFonts w:ascii="Arial" w:hAnsi="Arial" w:cs="Arial"/>
          <w:color w:val="000000"/>
          <w:sz w:val="22"/>
        </w:rPr>
        <w:t>Through the development of positive relationships, care professionals are equipped to enhance emotional wellbeing and facilitate increased comfort with receiving assistance</w:t>
      </w:r>
      <w:r w:rsidR="003E148E">
        <w:rPr>
          <w:rFonts w:ascii="Arial" w:hAnsi="Arial" w:cs="Arial"/>
          <w:color w:val="000000"/>
          <w:sz w:val="22"/>
        </w:rPr>
        <w:t xml:space="preserve"> </w:t>
      </w:r>
      <w:r w:rsidR="006431D1">
        <w:rPr>
          <w:rFonts w:ascii="Arial" w:hAnsi="Arial" w:cs="Arial"/>
          <w:color w:val="000000"/>
          <w:sz w:val="22"/>
        </w:rPr>
        <w:t>(Mikulincer and Shaver, 2016)</w:t>
      </w:r>
      <w:r w:rsidR="007C6145" w:rsidRPr="007C6145">
        <w:rPr>
          <w:rFonts w:ascii="Arial" w:hAnsi="Arial" w:cs="Arial"/>
          <w:color w:val="000000"/>
          <w:sz w:val="22"/>
        </w:rPr>
        <w:t>.</w:t>
      </w:r>
      <w:r w:rsidR="003E4E5E">
        <w:rPr>
          <w:rFonts w:ascii="Arial" w:hAnsi="Arial" w:cs="Arial"/>
          <w:color w:val="000000"/>
          <w:sz w:val="22"/>
        </w:rPr>
        <w:t xml:space="preserve">  This book is considered </w:t>
      </w:r>
      <w:r w:rsidR="000B7744">
        <w:rPr>
          <w:rFonts w:ascii="Arial" w:hAnsi="Arial" w:cs="Arial"/>
          <w:color w:val="000000"/>
          <w:sz w:val="22"/>
        </w:rPr>
        <w:t xml:space="preserve">a credible </w:t>
      </w:r>
      <w:r w:rsidR="00832768">
        <w:rPr>
          <w:rFonts w:ascii="Arial" w:hAnsi="Arial" w:cs="Arial"/>
          <w:color w:val="000000"/>
          <w:sz w:val="22"/>
        </w:rPr>
        <w:t>sou</w:t>
      </w:r>
      <w:r w:rsidR="00846424">
        <w:rPr>
          <w:rFonts w:ascii="Arial" w:hAnsi="Arial" w:cs="Arial"/>
          <w:color w:val="000000"/>
          <w:sz w:val="22"/>
        </w:rPr>
        <w:t>rc</w:t>
      </w:r>
      <w:r w:rsidR="00832768">
        <w:rPr>
          <w:rFonts w:ascii="Arial" w:hAnsi="Arial" w:cs="Arial"/>
          <w:color w:val="000000"/>
          <w:sz w:val="22"/>
        </w:rPr>
        <w:t>e</w:t>
      </w:r>
      <w:r w:rsidR="000B7744">
        <w:rPr>
          <w:rFonts w:ascii="Arial" w:hAnsi="Arial" w:cs="Arial"/>
          <w:color w:val="000000"/>
          <w:sz w:val="22"/>
        </w:rPr>
        <w:t xml:space="preserve"> because it is based on extensive psycholo</w:t>
      </w:r>
      <w:r w:rsidR="00832768">
        <w:rPr>
          <w:rFonts w:ascii="Arial" w:hAnsi="Arial" w:cs="Arial"/>
          <w:color w:val="000000"/>
          <w:sz w:val="22"/>
        </w:rPr>
        <w:t>gical research and builds on the original attachment theory developed by John Bowlby.</w:t>
      </w:r>
    </w:p>
    <w:p w14:paraId="69B68A9D" w14:textId="0002C545" w:rsidR="00F727C0" w:rsidRPr="00991787" w:rsidRDefault="004B70C2" w:rsidP="00894F9C">
      <w:pPr>
        <w:spacing w:line="360" w:lineRule="auto"/>
        <w:jc w:val="both"/>
        <w:rPr>
          <w:rFonts w:ascii="Arial" w:hAnsi="Arial" w:cs="Arial"/>
          <w:b/>
          <w:bCs/>
        </w:rPr>
      </w:pPr>
      <w:r>
        <w:rPr>
          <w:rFonts w:ascii="Arial" w:hAnsi="Arial" w:cs="Arial"/>
          <w:b/>
          <w:bCs/>
        </w:rPr>
        <w:t>Ann</w:t>
      </w:r>
      <w:r w:rsidR="00040C21">
        <w:rPr>
          <w:rFonts w:ascii="Arial" w:hAnsi="Arial" w:cs="Arial"/>
          <w:b/>
          <w:bCs/>
        </w:rPr>
        <w:t xml:space="preserve">otated Source:  </w:t>
      </w:r>
      <w:r w:rsidR="00307740" w:rsidRPr="00991787">
        <w:rPr>
          <w:rFonts w:ascii="Arial" w:hAnsi="Arial" w:cs="Arial"/>
          <w:b/>
          <w:bCs/>
        </w:rPr>
        <w:t>Seligman, M. (2011) Flourish: A Visionary New Understanding of Happiness and Wee-Being. New York: Free Press.</w:t>
      </w:r>
    </w:p>
    <w:p w14:paraId="477D7650" w14:textId="4FD1D591" w:rsidR="00307740" w:rsidRPr="00F6093C" w:rsidRDefault="00307740" w:rsidP="009D4D40">
      <w:pPr>
        <w:spacing w:line="360" w:lineRule="auto"/>
        <w:jc w:val="both"/>
        <w:rPr>
          <w:rFonts w:ascii="Arial" w:hAnsi="Arial" w:cs="Arial"/>
          <w:b/>
          <w:bCs/>
        </w:rPr>
      </w:pPr>
      <w:r w:rsidRPr="00991787">
        <w:rPr>
          <w:rFonts w:ascii="Arial" w:hAnsi="Arial" w:cs="Arial"/>
          <w:b/>
          <w:bCs/>
        </w:rPr>
        <w:t>Summary</w:t>
      </w:r>
      <w:r w:rsidR="00F6093C">
        <w:rPr>
          <w:rFonts w:ascii="Arial" w:hAnsi="Arial" w:cs="Arial"/>
          <w:b/>
          <w:bCs/>
        </w:rPr>
        <w:t xml:space="preserve">:  </w:t>
      </w:r>
      <w:r w:rsidR="002769C5" w:rsidRPr="002769C5">
        <w:rPr>
          <w:rFonts w:ascii="Arial" w:hAnsi="Arial" w:cs="Arial"/>
          <w:color w:val="000000"/>
          <w:sz w:val="22"/>
        </w:rPr>
        <w:t>Martin Seligman developed positive psychology, a field aimed at discovering what enables people to lead meaningful and satisfying lives.</w:t>
      </w:r>
      <w:r w:rsidR="009D4D40">
        <w:rPr>
          <w:rFonts w:ascii="Arial" w:hAnsi="Arial" w:cs="Arial"/>
          <w:color w:val="000000"/>
          <w:sz w:val="22"/>
        </w:rPr>
        <w:t xml:space="preserve"> </w:t>
      </w:r>
      <w:r w:rsidR="002769C5" w:rsidRPr="002769C5">
        <w:rPr>
          <w:rFonts w:ascii="Arial" w:hAnsi="Arial" w:cs="Arial"/>
          <w:color w:val="000000"/>
          <w:sz w:val="22"/>
        </w:rPr>
        <w:t xml:space="preserve"> In his book </w:t>
      </w:r>
      <w:r w:rsidR="002769C5" w:rsidRPr="002769C5">
        <w:rPr>
          <w:rFonts w:ascii="Arial" w:hAnsi="Arial" w:cs="Arial"/>
          <w:i/>
          <w:color w:val="000000"/>
          <w:sz w:val="22"/>
        </w:rPr>
        <w:t>Flourish</w:t>
      </w:r>
      <w:r w:rsidR="002769C5" w:rsidRPr="002769C5">
        <w:rPr>
          <w:rFonts w:ascii="Arial" w:hAnsi="Arial" w:cs="Arial"/>
          <w:color w:val="000000"/>
          <w:sz w:val="22"/>
        </w:rPr>
        <w:t xml:space="preserve">, he introduces the </w:t>
      </w:r>
      <w:r w:rsidR="002769C5" w:rsidRPr="002769C5">
        <w:rPr>
          <w:rFonts w:ascii="Arial" w:hAnsi="Arial" w:cs="Arial"/>
          <w:b/>
          <w:color w:val="000000"/>
          <w:sz w:val="22"/>
        </w:rPr>
        <w:t xml:space="preserve">PERMA </w:t>
      </w:r>
      <w:r w:rsidR="00D2775C">
        <w:rPr>
          <w:rFonts w:ascii="Arial" w:hAnsi="Arial" w:cs="Arial"/>
          <w:b/>
          <w:color w:val="000000"/>
          <w:sz w:val="22"/>
        </w:rPr>
        <w:t>MODEL</w:t>
      </w:r>
      <w:r w:rsidR="009D4D40">
        <w:rPr>
          <w:rFonts w:ascii="Arial" w:hAnsi="Arial" w:cs="Arial"/>
          <w:color w:val="000000"/>
          <w:sz w:val="22"/>
        </w:rPr>
        <w:t xml:space="preserve"> </w:t>
      </w:r>
      <w:r w:rsidR="002769C5" w:rsidRPr="002769C5">
        <w:rPr>
          <w:rFonts w:ascii="Arial" w:hAnsi="Arial" w:cs="Arial"/>
          <w:color w:val="000000"/>
          <w:sz w:val="22"/>
        </w:rPr>
        <w:t xml:space="preserve">comprising Positive </w:t>
      </w:r>
      <w:r w:rsidR="00086D07">
        <w:rPr>
          <w:rFonts w:ascii="Arial" w:hAnsi="Arial" w:cs="Arial"/>
          <w:color w:val="000000"/>
          <w:sz w:val="22"/>
        </w:rPr>
        <w:t>e</w:t>
      </w:r>
      <w:r w:rsidR="002769C5" w:rsidRPr="002769C5">
        <w:rPr>
          <w:rFonts w:ascii="Arial" w:hAnsi="Arial" w:cs="Arial"/>
          <w:color w:val="000000"/>
          <w:sz w:val="22"/>
        </w:rPr>
        <w:t xml:space="preserve">motions, Engagement, Relationships, Meaning, and Accomplishment. </w:t>
      </w:r>
      <w:r w:rsidR="00D2775C">
        <w:rPr>
          <w:rFonts w:ascii="Arial" w:hAnsi="Arial" w:cs="Arial"/>
          <w:color w:val="000000"/>
          <w:sz w:val="22"/>
        </w:rPr>
        <w:t xml:space="preserve"> </w:t>
      </w:r>
      <w:r w:rsidR="002769C5" w:rsidRPr="002769C5">
        <w:rPr>
          <w:rFonts w:ascii="Arial" w:hAnsi="Arial" w:cs="Arial"/>
          <w:color w:val="000000"/>
          <w:sz w:val="22"/>
        </w:rPr>
        <w:t>This theory suggests that wellbeing involves not just the absence of illness, but the presence of uplifting feelings, valuable connections with others, and a sense of purpose</w:t>
      </w:r>
      <w:r w:rsidR="00B27212">
        <w:rPr>
          <w:rFonts w:ascii="Arial" w:hAnsi="Arial" w:cs="Arial"/>
          <w:color w:val="000000"/>
          <w:sz w:val="22"/>
        </w:rPr>
        <w:t xml:space="preserve"> </w:t>
      </w:r>
      <w:r w:rsidR="00F72A17">
        <w:rPr>
          <w:rFonts w:ascii="Arial" w:hAnsi="Arial" w:cs="Arial"/>
          <w:color w:val="000000"/>
          <w:sz w:val="22"/>
        </w:rPr>
        <w:t>(Seligman, 2011)</w:t>
      </w:r>
      <w:r w:rsidR="002769C5" w:rsidRPr="002769C5">
        <w:rPr>
          <w:rFonts w:ascii="Arial" w:hAnsi="Arial" w:cs="Arial"/>
          <w:color w:val="000000"/>
          <w:sz w:val="22"/>
        </w:rPr>
        <w:t>.</w:t>
      </w:r>
      <w:r w:rsidR="00D2775C">
        <w:rPr>
          <w:rFonts w:ascii="Arial" w:hAnsi="Arial" w:cs="Arial"/>
          <w:color w:val="000000"/>
          <w:sz w:val="22"/>
        </w:rPr>
        <w:t xml:space="preserve"> </w:t>
      </w:r>
      <w:r w:rsidR="002769C5" w:rsidRPr="002769C5">
        <w:rPr>
          <w:rFonts w:ascii="Arial" w:hAnsi="Arial" w:cs="Arial"/>
          <w:color w:val="000000"/>
          <w:sz w:val="22"/>
        </w:rPr>
        <w:t xml:space="preserve"> Rather than emphasizing only struggles or challenges, positive psychology highlights personal strengths and capabilities.</w:t>
      </w:r>
    </w:p>
    <w:p w14:paraId="51636A8A" w14:textId="01505D64" w:rsidR="00172A48" w:rsidRPr="003A22F3" w:rsidRDefault="00172A48" w:rsidP="009D4D40">
      <w:pPr>
        <w:spacing w:line="360" w:lineRule="auto"/>
        <w:jc w:val="both"/>
        <w:rPr>
          <w:rFonts w:ascii="Arial" w:hAnsi="Arial" w:cs="Arial"/>
          <w:b/>
          <w:bCs/>
        </w:rPr>
      </w:pPr>
      <w:r w:rsidRPr="00991787">
        <w:rPr>
          <w:rFonts w:ascii="Arial" w:hAnsi="Arial" w:cs="Arial"/>
          <w:b/>
          <w:bCs/>
        </w:rPr>
        <w:t xml:space="preserve">Critical </w:t>
      </w:r>
      <w:r w:rsidR="00131481" w:rsidRPr="00991787">
        <w:rPr>
          <w:rFonts w:ascii="Arial" w:hAnsi="Arial" w:cs="Arial"/>
          <w:b/>
          <w:bCs/>
        </w:rPr>
        <w:t>Comment:</w:t>
      </w:r>
      <w:r w:rsidR="003A22F3">
        <w:rPr>
          <w:rFonts w:ascii="Arial" w:hAnsi="Arial" w:cs="Arial"/>
          <w:b/>
          <w:bCs/>
        </w:rPr>
        <w:t xml:space="preserve">  </w:t>
      </w:r>
      <w:r w:rsidR="00A35691" w:rsidRPr="00A35691">
        <w:rPr>
          <w:rFonts w:ascii="Arial" w:hAnsi="Arial" w:cs="Arial"/>
          <w:color w:val="000000"/>
          <w:sz w:val="22"/>
        </w:rPr>
        <w:t xml:space="preserve">Positive psychology holds </w:t>
      </w:r>
      <w:r w:rsidR="009D4D40" w:rsidRPr="00A35691">
        <w:rPr>
          <w:rFonts w:ascii="Arial" w:hAnsi="Arial" w:cs="Arial"/>
          <w:color w:val="000000"/>
          <w:sz w:val="22"/>
        </w:rPr>
        <w:t>relevance</w:t>
      </w:r>
      <w:r w:rsidR="00A35691" w:rsidRPr="00A35691">
        <w:rPr>
          <w:rFonts w:ascii="Arial" w:hAnsi="Arial" w:cs="Arial"/>
          <w:color w:val="000000"/>
          <w:sz w:val="22"/>
        </w:rPr>
        <w:t xml:space="preserve"> in the care of older adults, as it fosters a strength-based approach. </w:t>
      </w:r>
      <w:r w:rsidR="009D4D40">
        <w:rPr>
          <w:rFonts w:ascii="Arial" w:hAnsi="Arial" w:cs="Arial"/>
          <w:color w:val="000000"/>
          <w:sz w:val="22"/>
        </w:rPr>
        <w:t xml:space="preserve"> </w:t>
      </w:r>
      <w:r w:rsidR="00A35691" w:rsidRPr="00A35691">
        <w:rPr>
          <w:rFonts w:ascii="Arial" w:hAnsi="Arial" w:cs="Arial"/>
          <w:color w:val="000000"/>
          <w:sz w:val="22"/>
        </w:rPr>
        <w:t>Rather than concentrating solely on illnesses or functional limitations commonly associated with ageing, practitioners can enhance wellbeing by promoting social engagement, pursuit of hobbies, and participation in meaningful activities.</w:t>
      </w:r>
      <w:r w:rsidR="009D4D40">
        <w:rPr>
          <w:rFonts w:ascii="Arial" w:hAnsi="Arial" w:cs="Arial"/>
          <w:color w:val="000000"/>
          <w:sz w:val="22"/>
        </w:rPr>
        <w:t xml:space="preserve"> </w:t>
      </w:r>
      <w:r w:rsidR="00A35691" w:rsidRPr="00A35691">
        <w:rPr>
          <w:rFonts w:ascii="Arial" w:hAnsi="Arial" w:cs="Arial"/>
          <w:color w:val="000000"/>
          <w:sz w:val="22"/>
        </w:rPr>
        <w:t xml:space="preserve"> Facilitating independence and a sense of purpose among older adults contributes to improved mental health and greater life satisfaction</w:t>
      </w:r>
      <w:r w:rsidR="001F79E4">
        <w:rPr>
          <w:rFonts w:ascii="Arial" w:hAnsi="Arial" w:cs="Arial"/>
          <w:color w:val="000000"/>
          <w:sz w:val="22"/>
        </w:rPr>
        <w:t xml:space="preserve"> (Seligman, 2011)</w:t>
      </w:r>
      <w:r w:rsidR="00A35691" w:rsidRPr="00A35691">
        <w:rPr>
          <w:rFonts w:ascii="Arial" w:hAnsi="Arial" w:cs="Arial"/>
          <w:color w:val="000000"/>
          <w:sz w:val="22"/>
        </w:rPr>
        <w:t>.</w:t>
      </w:r>
      <w:r w:rsidR="00D2676A">
        <w:rPr>
          <w:rFonts w:ascii="Arial" w:hAnsi="Arial" w:cs="Arial"/>
          <w:color w:val="000000"/>
          <w:sz w:val="22"/>
        </w:rPr>
        <w:t xml:space="preserve">  This source is valuable because </w:t>
      </w:r>
      <w:r w:rsidR="00D2676A">
        <w:rPr>
          <w:rFonts w:ascii="Arial" w:hAnsi="Arial" w:cs="Arial"/>
          <w:color w:val="000000"/>
          <w:sz w:val="22"/>
        </w:rPr>
        <w:lastRenderedPageBreak/>
        <w:t xml:space="preserve">it was written by Martin </w:t>
      </w:r>
      <w:r w:rsidR="00A82501">
        <w:rPr>
          <w:rFonts w:ascii="Arial" w:hAnsi="Arial" w:cs="Arial"/>
          <w:color w:val="000000"/>
          <w:sz w:val="22"/>
        </w:rPr>
        <w:t xml:space="preserve">Seligman, a leading psychologist who </w:t>
      </w:r>
      <w:r w:rsidR="00B07E36">
        <w:rPr>
          <w:rFonts w:ascii="Arial" w:hAnsi="Arial" w:cs="Arial"/>
          <w:color w:val="000000"/>
          <w:sz w:val="22"/>
        </w:rPr>
        <w:t>played</w:t>
      </w:r>
      <w:r w:rsidR="00A82501">
        <w:rPr>
          <w:rFonts w:ascii="Arial" w:hAnsi="Arial" w:cs="Arial"/>
          <w:color w:val="000000"/>
          <w:sz w:val="22"/>
        </w:rPr>
        <w:t xml:space="preserve"> a key role in developing the field of positive psychology.</w:t>
      </w:r>
    </w:p>
    <w:p w14:paraId="52514925" w14:textId="7800F69D" w:rsidR="00307740" w:rsidRPr="00991787" w:rsidRDefault="00040C21" w:rsidP="00894F9C">
      <w:pPr>
        <w:spacing w:line="360" w:lineRule="auto"/>
        <w:jc w:val="both"/>
        <w:rPr>
          <w:rFonts w:ascii="Arial" w:hAnsi="Arial" w:cs="Arial"/>
          <w:b/>
          <w:bCs/>
        </w:rPr>
      </w:pPr>
      <w:r>
        <w:rPr>
          <w:rFonts w:ascii="Arial" w:hAnsi="Arial" w:cs="Arial"/>
          <w:b/>
          <w:bCs/>
        </w:rPr>
        <w:t>Anno</w:t>
      </w:r>
      <w:r w:rsidR="00DC01D1">
        <w:rPr>
          <w:rFonts w:ascii="Arial" w:hAnsi="Arial" w:cs="Arial"/>
          <w:b/>
          <w:bCs/>
        </w:rPr>
        <w:t xml:space="preserve">tated Source:  </w:t>
      </w:r>
      <w:r w:rsidR="00172A48" w:rsidRPr="00991787">
        <w:rPr>
          <w:rFonts w:ascii="Arial" w:hAnsi="Arial" w:cs="Arial"/>
          <w:b/>
          <w:bCs/>
        </w:rPr>
        <w:t>Steptoe. A</w:t>
      </w:r>
      <w:r w:rsidR="000172CB" w:rsidRPr="00991787">
        <w:rPr>
          <w:rFonts w:ascii="Arial" w:hAnsi="Arial" w:cs="Arial"/>
          <w:b/>
          <w:bCs/>
        </w:rPr>
        <w:t>.</w:t>
      </w:r>
      <w:r w:rsidR="00172A48" w:rsidRPr="00991787">
        <w:rPr>
          <w:rFonts w:ascii="Arial" w:hAnsi="Arial" w:cs="Arial"/>
          <w:b/>
          <w:bCs/>
        </w:rPr>
        <w:t>, Deaton, A</w:t>
      </w:r>
      <w:r w:rsidR="000172CB" w:rsidRPr="00991787">
        <w:rPr>
          <w:rFonts w:ascii="Arial" w:hAnsi="Arial" w:cs="Arial"/>
          <w:b/>
          <w:bCs/>
        </w:rPr>
        <w:t xml:space="preserve">. and Stone, A. (2015) ‘Subjective wellbeing, health, and ageing’, </w:t>
      </w:r>
      <w:r w:rsidR="000172CB" w:rsidRPr="00991787">
        <w:rPr>
          <w:rFonts w:ascii="Arial" w:hAnsi="Arial" w:cs="Arial"/>
          <w:b/>
          <w:bCs/>
          <w:i/>
          <w:iCs/>
        </w:rPr>
        <w:t>The Lancet,</w:t>
      </w:r>
      <w:r w:rsidR="000172CB" w:rsidRPr="00991787">
        <w:rPr>
          <w:rFonts w:ascii="Arial" w:hAnsi="Arial" w:cs="Arial"/>
          <w:b/>
          <w:bCs/>
        </w:rPr>
        <w:t xml:space="preserve"> 385(9968), pp. 640-648.</w:t>
      </w:r>
    </w:p>
    <w:p w14:paraId="595DB1EC" w14:textId="6B5C7922" w:rsidR="000172CB" w:rsidRPr="00131481" w:rsidRDefault="000172CB" w:rsidP="00513163">
      <w:pPr>
        <w:spacing w:line="360" w:lineRule="auto"/>
        <w:jc w:val="both"/>
        <w:rPr>
          <w:rFonts w:ascii="Arial" w:hAnsi="Arial" w:cs="Arial"/>
          <w:b/>
          <w:bCs/>
        </w:rPr>
      </w:pPr>
      <w:r w:rsidRPr="00991787">
        <w:rPr>
          <w:rFonts w:ascii="Arial" w:hAnsi="Arial" w:cs="Arial"/>
          <w:b/>
          <w:bCs/>
        </w:rPr>
        <w:t>Summary</w:t>
      </w:r>
      <w:r w:rsidR="00131481">
        <w:rPr>
          <w:rFonts w:ascii="Arial" w:hAnsi="Arial" w:cs="Arial"/>
          <w:b/>
          <w:bCs/>
        </w:rPr>
        <w:t xml:space="preserve">:  </w:t>
      </w:r>
      <w:r w:rsidR="00C97528" w:rsidRPr="00C97528">
        <w:rPr>
          <w:rFonts w:ascii="Arial" w:hAnsi="Arial" w:cs="Arial"/>
          <w:color w:val="000000"/>
          <w:sz w:val="22"/>
        </w:rPr>
        <w:t>Andrew Steptoe and his team explore how wellbeing, health, and aging are interconnected.</w:t>
      </w:r>
      <w:r w:rsidR="00A70D51">
        <w:rPr>
          <w:rFonts w:ascii="Arial" w:hAnsi="Arial" w:cs="Arial"/>
          <w:color w:val="000000"/>
          <w:sz w:val="22"/>
        </w:rPr>
        <w:t xml:space="preserve">  </w:t>
      </w:r>
      <w:r w:rsidR="00C97528" w:rsidRPr="00C97528">
        <w:rPr>
          <w:rFonts w:ascii="Arial" w:hAnsi="Arial" w:cs="Arial"/>
          <w:color w:val="000000"/>
          <w:sz w:val="22"/>
        </w:rPr>
        <w:t>Their findings indicate that people who feel more satisfied with life and enjoy greater emotional wellbeing generally have better physical health and often live longer.</w:t>
      </w:r>
      <w:r w:rsidR="00A70D51">
        <w:rPr>
          <w:rFonts w:ascii="Arial" w:hAnsi="Arial" w:cs="Arial"/>
          <w:color w:val="000000"/>
          <w:sz w:val="22"/>
        </w:rPr>
        <w:t xml:space="preserve"> </w:t>
      </w:r>
      <w:r w:rsidR="00C97528" w:rsidRPr="00C97528">
        <w:rPr>
          <w:rFonts w:ascii="Arial" w:hAnsi="Arial" w:cs="Arial"/>
          <w:color w:val="000000"/>
          <w:sz w:val="22"/>
        </w:rPr>
        <w:t xml:space="preserve"> The research shows that being socially engaged, having supportive relationships, and experiencing positive emotions are key factors in sustaining wellbeing in later years.</w:t>
      </w:r>
      <w:r w:rsidR="00A70D51">
        <w:rPr>
          <w:rFonts w:ascii="Arial" w:hAnsi="Arial" w:cs="Arial"/>
          <w:color w:val="000000"/>
          <w:sz w:val="22"/>
        </w:rPr>
        <w:t xml:space="preserve"> </w:t>
      </w:r>
      <w:r w:rsidR="00C97528" w:rsidRPr="00C97528">
        <w:rPr>
          <w:rFonts w:ascii="Arial" w:hAnsi="Arial" w:cs="Arial"/>
          <w:color w:val="000000"/>
          <w:sz w:val="22"/>
        </w:rPr>
        <w:t xml:space="preserve"> Additionally, psychological wellbeing can impact physical health results and aid recovery from illnesses</w:t>
      </w:r>
      <w:r w:rsidR="00793EBF">
        <w:rPr>
          <w:rFonts w:ascii="Arial" w:hAnsi="Arial" w:cs="Arial"/>
          <w:color w:val="000000"/>
          <w:sz w:val="22"/>
        </w:rPr>
        <w:t xml:space="preserve"> (Steptoe, Deaton and Stone,</w:t>
      </w:r>
      <w:r w:rsidR="00487736">
        <w:rPr>
          <w:rFonts w:ascii="Arial" w:hAnsi="Arial" w:cs="Arial"/>
          <w:color w:val="000000"/>
          <w:sz w:val="22"/>
        </w:rPr>
        <w:t xml:space="preserve"> 2015).</w:t>
      </w:r>
    </w:p>
    <w:p w14:paraId="42AEB45F" w14:textId="6C0FF235" w:rsidR="000172CB" w:rsidRPr="00131481" w:rsidRDefault="000172CB" w:rsidP="00513163">
      <w:pPr>
        <w:spacing w:line="360" w:lineRule="auto"/>
        <w:jc w:val="both"/>
        <w:rPr>
          <w:rFonts w:ascii="Arial" w:hAnsi="Arial" w:cs="Arial"/>
          <w:b/>
          <w:bCs/>
        </w:rPr>
      </w:pPr>
      <w:r w:rsidRPr="00991787">
        <w:rPr>
          <w:rFonts w:ascii="Arial" w:hAnsi="Arial" w:cs="Arial"/>
          <w:b/>
          <w:bCs/>
        </w:rPr>
        <w:t>Critical Comment</w:t>
      </w:r>
      <w:r w:rsidR="00131481">
        <w:rPr>
          <w:rFonts w:ascii="Arial" w:hAnsi="Arial" w:cs="Arial"/>
          <w:b/>
          <w:bCs/>
        </w:rPr>
        <w:t xml:space="preserve">:  </w:t>
      </w:r>
      <w:r w:rsidR="00923335" w:rsidRPr="00923335">
        <w:rPr>
          <w:rFonts w:ascii="Arial" w:hAnsi="Arial" w:cs="Arial"/>
          <w:color w:val="000000"/>
          <w:sz w:val="22"/>
        </w:rPr>
        <w:t>Studies indicate that positive psychology methods are beneficial in health and social care.</w:t>
      </w:r>
      <w:r w:rsidR="00A70D51">
        <w:rPr>
          <w:rFonts w:ascii="Arial" w:hAnsi="Arial" w:cs="Arial"/>
          <w:color w:val="000000"/>
          <w:sz w:val="22"/>
        </w:rPr>
        <w:t xml:space="preserve">  </w:t>
      </w:r>
      <w:r w:rsidR="00923335" w:rsidRPr="00923335">
        <w:rPr>
          <w:rFonts w:ascii="Arial" w:hAnsi="Arial" w:cs="Arial"/>
          <w:color w:val="000000"/>
          <w:sz w:val="22"/>
        </w:rPr>
        <w:t xml:space="preserve">Encouraging social connections, emotional support, and engaging activities helps boost mental and physical health among older adults. </w:t>
      </w:r>
      <w:r w:rsidR="00A70D51">
        <w:rPr>
          <w:rFonts w:ascii="Arial" w:hAnsi="Arial" w:cs="Arial"/>
          <w:color w:val="000000"/>
          <w:sz w:val="22"/>
        </w:rPr>
        <w:t xml:space="preserve"> </w:t>
      </w:r>
      <w:r w:rsidR="00923335" w:rsidRPr="00923335">
        <w:rPr>
          <w:rFonts w:ascii="Arial" w:hAnsi="Arial" w:cs="Arial"/>
          <w:color w:val="000000"/>
          <w:sz w:val="22"/>
        </w:rPr>
        <w:t>For those in care facilities, chances for social interaction and enjoyable experiences can lower feelings of loneliness and enhance their quality of life</w:t>
      </w:r>
      <w:r w:rsidR="00487736">
        <w:rPr>
          <w:rFonts w:ascii="Arial" w:hAnsi="Arial" w:cs="Arial"/>
          <w:color w:val="000000"/>
          <w:sz w:val="22"/>
        </w:rPr>
        <w:t xml:space="preserve"> (</w:t>
      </w:r>
      <w:r w:rsidR="003855A6">
        <w:rPr>
          <w:rFonts w:ascii="Arial" w:hAnsi="Arial" w:cs="Arial"/>
          <w:color w:val="000000"/>
          <w:sz w:val="22"/>
        </w:rPr>
        <w:t>Steptoe, Deaton and Stone, 2015)</w:t>
      </w:r>
      <w:r w:rsidR="00923335" w:rsidRPr="00923335">
        <w:rPr>
          <w:rFonts w:ascii="Arial" w:hAnsi="Arial" w:cs="Arial"/>
          <w:color w:val="000000"/>
          <w:sz w:val="22"/>
        </w:rPr>
        <w:t>.</w:t>
      </w:r>
      <w:r w:rsidR="00E105FA">
        <w:rPr>
          <w:rFonts w:ascii="Arial" w:hAnsi="Arial" w:cs="Arial"/>
          <w:color w:val="000000"/>
          <w:sz w:val="22"/>
        </w:rPr>
        <w:t xml:space="preserve">  </w:t>
      </w:r>
      <w:r w:rsidR="00BF1407">
        <w:rPr>
          <w:rFonts w:ascii="Arial" w:hAnsi="Arial" w:cs="Arial"/>
          <w:color w:val="000000"/>
          <w:sz w:val="22"/>
        </w:rPr>
        <w:t xml:space="preserve">This article is also a reliable </w:t>
      </w:r>
      <w:r w:rsidR="00A030AE">
        <w:rPr>
          <w:rFonts w:ascii="Arial" w:hAnsi="Arial" w:cs="Arial"/>
          <w:color w:val="000000"/>
          <w:sz w:val="22"/>
        </w:rPr>
        <w:t xml:space="preserve">source because it was published in </w:t>
      </w:r>
      <w:r w:rsidR="00A030AE" w:rsidRPr="0015369B">
        <w:rPr>
          <w:rFonts w:ascii="Arial" w:hAnsi="Arial" w:cs="Arial"/>
          <w:i/>
          <w:iCs/>
          <w:color w:val="000000"/>
          <w:sz w:val="22"/>
        </w:rPr>
        <w:t>The Lancet</w:t>
      </w:r>
      <w:r w:rsidR="002D365E">
        <w:rPr>
          <w:rFonts w:ascii="Arial" w:hAnsi="Arial" w:cs="Arial"/>
          <w:color w:val="000000"/>
          <w:sz w:val="22"/>
        </w:rPr>
        <w:t xml:space="preserve">, a </w:t>
      </w:r>
      <w:r w:rsidR="0029427A">
        <w:rPr>
          <w:rFonts w:ascii="Arial" w:hAnsi="Arial" w:cs="Arial"/>
          <w:color w:val="000000"/>
          <w:sz w:val="22"/>
        </w:rPr>
        <w:t>well-known</w:t>
      </w:r>
      <w:r w:rsidR="002D365E">
        <w:rPr>
          <w:rFonts w:ascii="Arial" w:hAnsi="Arial" w:cs="Arial"/>
          <w:color w:val="000000"/>
          <w:sz w:val="22"/>
        </w:rPr>
        <w:t xml:space="preserve"> </w:t>
      </w:r>
      <w:r w:rsidR="004C043D">
        <w:rPr>
          <w:rFonts w:ascii="Arial" w:hAnsi="Arial" w:cs="Arial"/>
          <w:color w:val="000000"/>
          <w:sz w:val="22"/>
        </w:rPr>
        <w:t>peer-reviewed academic journal, and was written by experienced researchers</w:t>
      </w:r>
      <w:r w:rsidR="00A5677A">
        <w:rPr>
          <w:rFonts w:ascii="Arial" w:hAnsi="Arial" w:cs="Arial"/>
          <w:color w:val="000000"/>
          <w:sz w:val="22"/>
        </w:rPr>
        <w:t xml:space="preserve"> including Andrew Steptoe who special</w:t>
      </w:r>
      <w:r w:rsidR="0015369B">
        <w:rPr>
          <w:rFonts w:ascii="Arial" w:hAnsi="Arial" w:cs="Arial"/>
          <w:color w:val="000000"/>
          <w:sz w:val="22"/>
        </w:rPr>
        <w:t xml:space="preserve">ised in health and ageing research. </w:t>
      </w:r>
    </w:p>
    <w:p w14:paraId="23A4B5A6" w14:textId="77777777" w:rsidR="00131481" w:rsidRDefault="00131481" w:rsidP="00894F9C">
      <w:pPr>
        <w:spacing w:line="360" w:lineRule="auto"/>
        <w:jc w:val="both"/>
        <w:rPr>
          <w:rFonts w:ascii="Arial" w:hAnsi="Arial" w:cs="Arial"/>
          <w:b/>
          <w:bCs/>
        </w:rPr>
      </w:pPr>
    </w:p>
    <w:p w14:paraId="418AF424" w14:textId="0DF24DF0" w:rsidR="00155317" w:rsidRPr="00991787" w:rsidRDefault="00155317" w:rsidP="00894F9C">
      <w:pPr>
        <w:spacing w:line="360" w:lineRule="auto"/>
        <w:jc w:val="both"/>
        <w:rPr>
          <w:rFonts w:ascii="Arial" w:hAnsi="Arial" w:cs="Arial"/>
          <w:b/>
          <w:bCs/>
        </w:rPr>
      </w:pPr>
      <w:r w:rsidRPr="00991787">
        <w:rPr>
          <w:rFonts w:ascii="Arial" w:hAnsi="Arial" w:cs="Arial"/>
          <w:b/>
          <w:bCs/>
        </w:rPr>
        <w:t>CONCLUSION</w:t>
      </w:r>
    </w:p>
    <w:p w14:paraId="21DAA6FA" w14:textId="36D691BB" w:rsidR="00923335" w:rsidRPr="00BA4F0E" w:rsidRDefault="00C3698C" w:rsidP="00894F9C">
      <w:pPr>
        <w:spacing w:line="360" w:lineRule="auto"/>
        <w:jc w:val="both"/>
      </w:pPr>
      <w:r w:rsidRPr="00C3698C">
        <w:rPr>
          <w:rFonts w:ascii="Arial" w:hAnsi="Arial" w:cs="Arial"/>
          <w:color w:val="000000"/>
          <w:sz w:val="22"/>
        </w:rPr>
        <w:t>Attachment theory and positive psychology both offer important perspectives for understanding adult development and well-being in later life.</w:t>
      </w:r>
      <w:r w:rsidR="003563E4">
        <w:rPr>
          <w:rFonts w:ascii="Arial" w:hAnsi="Arial" w:cs="Arial"/>
          <w:color w:val="000000"/>
          <w:sz w:val="22"/>
        </w:rPr>
        <w:t xml:space="preserve"> </w:t>
      </w:r>
      <w:r w:rsidRPr="00C3698C">
        <w:rPr>
          <w:rFonts w:ascii="Arial" w:hAnsi="Arial" w:cs="Arial"/>
          <w:color w:val="000000"/>
          <w:sz w:val="22"/>
        </w:rPr>
        <w:t xml:space="preserve"> While attachment theory emphasises supportive relationships and emotional security, positive psychology centres on strengths, well-being, and meaningful experiences.</w:t>
      </w:r>
      <w:r w:rsidR="000B1A51">
        <w:rPr>
          <w:rFonts w:ascii="Arial" w:hAnsi="Arial" w:cs="Arial"/>
          <w:color w:val="000000"/>
          <w:sz w:val="22"/>
        </w:rPr>
        <w:t xml:space="preserve"> </w:t>
      </w:r>
      <w:r w:rsidRPr="00C3698C">
        <w:rPr>
          <w:rFonts w:ascii="Arial" w:hAnsi="Arial" w:cs="Arial"/>
          <w:color w:val="000000"/>
          <w:sz w:val="22"/>
        </w:rPr>
        <w:t xml:space="preserve"> Combined, these frameworks enable health and social care professionals to deliver more compassionate, person-centred care to older adults.</w:t>
      </w:r>
    </w:p>
    <w:p w14:paraId="3847997E" w14:textId="77777777" w:rsidR="00131481" w:rsidRDefault="00131481" w:rsidP="00FA7EA0">
      <w:pPr>
        <w:spacing w:line="360" w:lineRule="auto"/>
        <w:jc w:val="both"/>
        <w:rPr>
          <w:rFonts w:ascii="Arial" w:hAnsi="Arial" w:cs="Arial"/>
          <w:b/>
          <w:bCs/>
        </w:rPr>
      </w:pPr>
    </w:p>
    <w:p w14:paraId="5D549752" w14:textId="77777777" w:rsidR="00131481" w:rsidRDefault="00131481" w:rsidP="00FA7EA0">
      <w:pPr>
        <w:spacing w:line="360" w:lineRule="auto"/>
        <w:jc w:val="both"/>
        <w:rPr>
          <w:rFonts w:ascii="Arial" w:hAnsi="Arial" w:cs="Arial"/>
          <w:b/>
          <w:bCs/>
        </w:rPr>
      </w:pPr>
    </w:p>
    <w:p w14:paraId="13190FC2" w14:textId="77777777" w:rsidR="00131481" w:rsidRDefault="00131481" w:rsidP="00FA7EA0">
      <w:pPr>
        <w:spacing w:line="360" w:lineRule="auto"/>
        <w:jc w:val="both"/>
        <w:rPr>
          <w:rFonts w:ascii="Arial" w:hAnsi="Arial" w:cs="Arial"/>
          <w:b/>
          <w:bCs/>
        </w:rPr>
      </w:pPr>
    </w:p>
    <w:p w14:paraId="7DA0693D" w14:textId="77777777" w:rsidR="00131481" w:rsidRDefault="00131481" w:rsidP="00FA7EA0">
      <w:pPr>
        <w:spacing w:line="360" w:lineRule="auto"/>
        <w:jc w:val="both"/>
        <w:rPr>
          <w:rFonts w:ascii="Arial" w:hAnsi="Arial" w:cs="Arial"/>
          <w:b/>
          <w:bCs/>
        </w:rPr>
      </w:pPr>
    </w:p>
    <w:p w14:paraId="197F4AD6" w14:textId="02652746" w:rsidR="00014024" w:rsidRPr="00991787" w:rsidRDefault="00820F92" w:rsidP="00FA7EA0">
      <w:pPr>
        <w:spacing w:line="360" w:lineRule="auto"/>
        <w:jc w:val="both"/>
        <w:rPr>
          <w:rFonts w:ascii="Arial" w:hAnsi="Arial" w:cs="Arial"/>
          <w:b/>
          <w:bCs/>
        </w:rPr>
      </w:pPr>
      <w:r w:rsidRPr="00991787">
        <w:rPr>
          <w:rFonts w:ascii="Arial" w:hAnsi="Arial" w:cs="Arial"/>
          <w:b/>
          <w:bCs/>
        </w:rPr>
        <w:lastRenderedPageBreak/>
        <w:t>PART B – A REPORT APPLYING POSITIVE PSYCHOLOGY APPROACHES TO AGEING IN RESIDENTIAL CARE</w:t>
      </w:r>
    </w:p>
    <w:p w14:paraId="197F4AD8" w14:textId="295A764F" w:rsidR="00014024" w:rsidRPr="00991787" w:rsidRDefault="00820F92" w:rsidP="00FA7EA0">
      <w:pPr>
        <w:spacing w:line="360" w:lineRule="auto"/>
        <w:jc w:val="both"/>
        <w:rPr>
          <w:rFonts w:ascii="Arial" w:hAnsi="Arial" w:cs="Arial"/>
          <w:b/>
          <w:bCs/>
        </w:rPr>
      </w:pPr>
      <w:r w:rsidRPr="00991787">
        <w:rPr>
          <w:rFonts w:ascii="Arial" w:hAnsi="Arial" w:cs="Arial"/>
          <w:b/>
          <w:bCs/>
        </w:rPr>
        <w:t>INTRODUCTION</w:t>
      </w:r>
    </w:p>
    <w:p w14:paraId="197F4AD9" w14:textId="749C949D"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Positive psychology centres on strengths, resilience, and wellbeing instead of focusing solely on illness.  Applied to ageing, it counters the idea that later life is mainly about decline, recognising that older adults can still find purpose and enjoyment.  This perspective is vital in residential care, where changes like reduced independence and social isolation can affect wellbeing (Age UK, 2022).  This report examines how positive psychology can enhance wellbeing in care settings, featuring a case scenario and addressing a key implementation challenge with a proposed solution.</w:t>
      </w:r>
    </w:p>
    <w:p w14:paraId="6CD458AA" w14:textId="77777777" w:rsidR="004960D4" w:rsidRDefault="004960D4" w:rsidP="00FA7EA0">
      <w:pPr>
        <w:spacing w:line="360" w:lineRule="auto"/>
        <w:jc w:val="both"/>
        <w:rPr>
          <w:rFonts w:ascii="Arial" w:hAnsi="Arial" w:cs="Arial"/>
          <w:b/>
          <w:bCs/>
        </w:rPr>
      </w:pPr>
    </w:p>
    <w:p w14:paraId="197F4ADB" w14:textId="7DEF9FDA" w:rsidR="00014024" w:rsidRPr="00C202FF" w:rsidRDefault="00820F92" w:rsidP="00FA7EA0">
      <w:pPr>
        <w:spacing w:line="360" w:lineRule="auto"/>
        <w:jc w:val="both"/>
        <w:rPr>
          <w:rFonts w:ascii="Arial" w:hAnsi="Arial" w:cs="Arial"/>
          <w:b/>
          <w:bCs/>
        </w:rPr>
      </w:pPr>
      <w:r w:rsidRPr="00C202FF">
        <w:rPr>
          <w:rFonts w:ascii="Arial" w:hAnsi="Arial" w:cs="Arial"/>
          <w:b/>
          <w:bCs/>
        </w:rPr>
        <w:t>APPLYING POSITIVE PSYCHOLOGY IN RESIDENTIAL CARE</w:t>
      </w:r>
    </w:p>
    <w:p w14:paraId="197F4ADC" w14:textId="6CE9A4E4"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 xml:space="preserve">Seligman (2022) presented the PERMA model, which describes five key aspects of wellbeing: positive emotion, engagement, relationships, meaning, and accomplishment.  These factors are relevant throughout life, including later years. </w:t>
      </w:r>
      <w:r w:rsidR="00010712">
        <w:rPr>
          <w:rFonts w:ascii="Arial" w:hAnsi="Arial" w:cs="Arial"/>
          <w:color w:val="000000"/>
          <w:sz w:val="22"/>
          <w:szCs w:val="22"/>
        </w:rPr>
        <w:t xml:space="preserve"> </w:t>
      </w:r>
      <w:r w:rsidRPr="00FA7EA0">
        <w:rPr>
          <w:rFonts w:ascii="Arial" w:hAnsi="Arial" w:cs="Arial"/>
          <w:color w:val="000000"/>
          <w:sz w:val="22"/>
          <w:szCs w:val="22"/>
        </w:rPr>
        <w:t>In residential care, however, practices often focus more on physical health and risk management.  Although these areas are crucial, emotional wellbeing may sometimes be overlooked.</w:t>
      </w:r>
    </w:p>
    <w:p w14:paraId="197F4ADD"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Adopting a positive psychology framework instructs staff to consider not only the care requirements of residents, but also to identify their strengths, sources of life meaning, and remaining abilities or interests.  This strengths-based approach underpins person-centred care and promotes dignity.</w:t>
      </w:r>
    </w:p>
    <w:p w14:paraId="197F4ADE"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Transitioning to a care home may be associated with diminished identity and autonomy (Age UK, 2022).  Engaging residents in decision-making processes and facilitating activities that reflect their previous roles can support the restoration of purpose.  Evidence suggests that interventions rooted in positive psychology, such as gratitude exercises and strength-based initiatives, enhance life satisfaction and reduce depressive symptoms (Sin and Lyubomirsky, 2009).  Such findings align with Ryff’s (1989) assertion that purpose, autonomy, and positive relationships are fundamental components of psychological wellbeing.</w:t>
      </w:r>
    </w:p>
    <w:p w14:paraId="197F4ADF" w14:textId="77777777"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Positive psychology addresses ageing realistically and complements physical care to support overall wellbeing.</w:t>
      </w:r>
    </w:p>
    <w:p w14:paraId="1A7CBF9F" w14:textId="77777777" w:rsidR="00C65E3F" w:rsidRPr="00FA7EA0" w:rsidRDefault="00C65E3F" w:rsidP="00FA7EA0">
      <w:pPr>
        <w:spacing w:line="360" w:lineRule="auto"/>
        <w:jc w:val="both"/>
        <w:rPr>
          <w:rFonts w:ascii="Arial" w:hAnsi="Arial" w:cs="Arial"/>
          <w:b/>
          <w:bCs/>
          <w:sz w:val="22"/>
          <w:szCs w:val="22"/>
        </w:rPr>
      </w:pPr>
    </w:p>
    <w:p w14:paraId="3C1BCA68" w14:textId="77777777" w:rsidR="00BD57B4" w:rsidRDefault="00BD57B4" w:rsidP="00FA7EA0">
      <w:pPr>
        <w:spacing w:line="360" w:lineRule="auto"/>
        <w:jc w:val="both"/>
        <w:rPr>
          <w:rFonts w:ascii="Arial" w:hAnsi="Arial" w:cs="Arial"/>
          <w:b/>
          <w:bCs/>
        </w:rPr>
      </w:pPr>
    </w:p>
    <w:p w14:paraId="197F4AE0" w14:textId="665A953A" w:rsidR="00014024" w:rsidRPr="00C202FF" w:rsidRDefault="00820F92" w:rsidP="00FA7EA0">
      <w:pPr>
        <w:spacing w:line="360" w:lineRule="auto"/>
        <w:jc w:val="both"/>
        <w:rPr>
          <w:rFonts w:ascii="Arial" w:hAnsi="Arial" w:cs="Arial"/>
          <w:b/>
          <w:bCs/>
        </w:rPr>
      </w:pPr>
      <w:r w:rsidRPr="00C202FF">
        <w:rPr>
          <w:rFonts w:ascii="Arial" w:hAnsi="Arial" w:cs="Arial"/>
          <w:b/>
          <w:bCs/>
        </w:rPr>
        <w:lastRenderedPageBreak/>
        <w:t>PRACTICE-BASED CASE SCENARIO</w:t>
      </w:r>
    </w:p>
    <w:p w14:paraId="197F4AE2" w14:textId="467A15DF"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 xml:space="preserve">Mr </w:t>
      </w:r>
      <w:r w:rsidR="00E66CBB">
        <w:rPr>
          <w:rFonts w:ascii="Arial" w:hAnsi="Arial" w:cs="Arial"/>
          <w:color w:val="000000"/>
          <w:sz w:val="22"/>
          <w:szCs w:val="22"/>
        </w:rPr>
        <w:t>Hussain</w:t>
      </w:r>
      <w:r w:rsidRPr="00FA7EA0">
        <w:rPr>
          <w:rFonts w:ascii="Arial" w:hAnsi="Arial" w:cs="Arial"/>
          <w:color w:val="000000"/>
          <w:sz w:val="22"/>
          <w:szCs w:val="22"/>
        </w:rPr>
        <w:t>, 7</w:t>
      </w:r>
      <w:r w:rsidR="00D87127">
        <w:rPr>
          <w:rFonts w:ascii="Arial" w:hAnsi="Arial" w:cs="Arial"/>
          <w:color w:val="000000"/>
          <w:sz w:val="22"/>
          <w:szCs w:val="22"/>
        </w:rPr>
        <w:t>5</w:t>
      </w:r>
      <w:r w:rsidRPr="00FA7EA0">
        <w:rPr>
          <w:rFonts w:ascii="Arial" w:hAnsi="Arial" w:cs="Arial"/>
          <w:color w:val="000000"/>
          <w:sz w:val="22"/>
          <w:szCs w:val="22"/>
        </w:rPr>
        <w:t>, relocated to a care home after his wife's death.  Staff observed that he isolated himself and rarely participated in group activities, expressing feelings of having "nothing left to give”.  Such emotional withdrawal during the transition into care is common and can increase the risk of depression (Age UK, 2022).</w:t>
      </w:r>
    </w:p>
    <w:p w14:paraId="197F4AE3" w14:textId="4E5DCC0F"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To address this, a key worker used a strengths-based conversation guided by principles from positive psychology to learn about Mr</w:t>
      </w:r>
      <w:r w:rsidR="00AB2232">
        <w:rPr>
          <w:rFonts w:ascii="Arial" w:hAnsi="Arial" w:cs="Arial"/>
          <w:color w:val="000000"/>
          <w:sz w:val="22"/>
          <w:szCs w:val="22"/>
        </w:rPr>
        <w:t xml:space="preserve"> Hussain</w:t>
      </w:r>
      <w:r w:rsidRPr="00FA7EA0">
        <w:rPr>
          <w:rFonts w:ascii="Arial" w:hAnsi="Arial" w:cs="Arial"/>
          <w:color w:val="000000"/>
          <w:sz w:val="22"/>
          <w:szCs w:val="22"/>
        </w:rPr>
        <w:t>’</w:t>
      </w:r>
      <w:r w:rsidR="00AB2232">
        <w:rPr>
          <w:rFonts w:ascii="Arial" w:hAnsi="Arial" w:cs="Arial"/>
          <w:color w:val="000000"/>
          <w:sz w:val="22"/>
          <w:szCs w:val="22"/>
        </w:rPr>
        <w:t>s</w:t>
      </w:r>
      <w:r w:rsidRPr="00FA7EA0">
        <w:rPr>
          <w:rFonts w:ascii="Arial" w:hAnsi="Arial" w:cs="Arial"/>
          <w:color w:val="000000"/>
          <w:sz w:val="22"/>
          <w:szCs w:val="22"/>
        </w:rPr>
        <w:t xml:space="preserve"> past interests and roles.  He revealed a lifelong passion for gardening.  Recognising this, staff encouraged him to help maintain a small garden within the care home.</w:t>
      </w:r>
    </w:p>
    <w:p w14:paraId="197F4AE4" w14:textId="03CC1BD5"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 xml:space="preserve">Gradually, Mr </w:t>
      </w:r>
      <w:r w:rsidR="00AB2232">
        <w:rPr>
          <w:rFonts w:ascii="Arial" w:hAnsi="Arial" w:cs="Arial"/>
          <w:color w:val="000000"/>
          <w:sz w:val="22"/>
          <w:szCs w:val="22"/>
        </w:rPr>
        <w:t>Hussain</w:t>
      </w:r>
      <w:r w:rsidRPr="00FA7EA0">
        <w:rPr>
          <w:rFonts w:ascii="Arial" w:hAnsi="Arial" w:cs="Arial"/>
          <w:color w:val="000000"/>
          <w:sz w:val="22"/>
          <w:szCs w:val="22"/>
        </w:rPr>
        <w:t xml:space="preserve"> became more involved socially and began to feel useful again.  This approach fostered engagement, meaning, and achievement central aspects of Seligman’s (2011) PERMA framework.  It also supports Ryff’s (1989) concept that having a sense of purpose is vital for psychological wellbeing.  Overall, this case shows how thoughtful, person-centred interventions can have a meaningful impact.</w:t>
      </w:r>
    </w:p>
    <w:p w14:paraId="197F4AE6" w14:textId="1A2D94E1" w:rsidR="00014024" w:rsidRPr="00C202FF" w:rsidRDefault="00820F92" w:rsidP="00FA7EA0">
      <w:pPr>
        <w:spacing w:line="360" w:lineRule="auto"/>
        <w:jc w:val="both"/>
        <w:rPr>
          <w:rFonts w:ascii="Arial" w:hAnsi="Arial" w:cs="Arial"/>
          <w:b/>
          <w:bCs/>
        </w:rPr>
      </w:pPr>
      <w:r w:rsidRPr="00C202FF">
        <w:rPr>
          <w:rFonts w:ascii="Arial" w:hAnsi="Arial" w:cs="Arial"/>
          <w:b/>
          <w:bCs/>
        </w:rPr>
        <w:t>CHALLENGE IN IMPLEMENTATION</w:t>
      </w:r>
    </w:p>
    <w:p w14:paraId="197F4AE7" w14:textId="39BBD485"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While positive psychology offers clear advantages, putting it into practice can be difficult.  Adult social care often faces staff shortages and heavy workloads (Care Quality Commissions, 2023).</w:t>
      </w:r>
      <w:r w:rsidR="000F3984">
        <w:rPr>
          <w:rFonts w:ascii="Arial" w:hAnsi="Arial" w:cs="Arial"/>
          <w:color w:val="000000"/>
          <w:sz w:val="22"/>
          <w:szCs w:val="22"/>
        </w:rPr>
        <w:t xml:space="preserve"> </w:t>
      </w:r>
      <w:r w:rsidRPr="00FA7EA0">
        <w:rPr>
          <w:rFonts w:ascii="Arial" w:hAnsi="Arial" w:cs="Arial"/>
          <w:color w:val="000000"/>
          <w:sz w:val="22"/>
          <w:szCs w:val="22"/>
        </w:rPr>
        <w:t xml:space="preserve"> In busy settings, carers may focus on tasks like medication administration and personal care, leaving little time for emotional support.</w:t>
      </w:r>
    </w:p>
    <w:p w14:paraId="197F4AE8" w14:textId="77777777" w:rsidR="00014024" w:rsidRPr="00FA7EA0" w:rsidRDefault="00820F92" w:rsidP="00FA7EA0">
      <w:pPr>
        <w:spacing w:line="360" w:lineRule="auto"/>
        <w:jc w:val="both"/>
        <w:rPr>
          <w:rFonts w:ascii="Arial" w:hAnsi="Arial" w:cs="Arial"/>
          <w:color w:val="000000"/>
          <w:sz w:val="22"/>
          <w:szCs w:val="22"/>
        </w:rPr>
      </w:pPr>
      <w:r w:rsidRPr="00FA7EA0">
        <w:rPr>
          <w:rFonts w:ascii="Arial" w:hAnsi="Arial" w:cs="Arial"/>
          <w:color w:val="000000"/>
          <w:sz w:val="22"/>
          <w:szCs w:val="22"/>
        </w:rPr>
        <w:t>Additionally, there are sometimes assumptions about ageing that suggest older adults are less able to change or grow.  These beliefs can unintentionally restrict opportunities for residents to get involved or find meaningful roles.  However, positive psychology research demonstrates that wellbeing can improve at any stage in life (Seligman, 2011).</w:t>
      </w:r>
    </w:p>
    <w:p w14:paraId="197F4AED" w14:textId="75A75A10" w:rsidR="00014024" w:rsidRPr="00C202FF" w:rsidRDefault="00820F92" w:rsidP="00FA7EA0">
      <w:pPr>
        <w:spacing w:line="360" w:lineRule="auto"/>
        <w:jc w:val="both"/>
        <w:rPr>
          <w:rFonts w:ascii="Arial" w:hAnsi="Arial" w:cs="Arial"/>
          <w:b/>
          <w:bCs/>
        </w:rPr>
      </w:pPr>
      <w:r w:rsidRPr="00C202FF">
        <w:rPr>
          <w:rFonts w:ascii="Arial" w:hAnsi="Arial" w:cs="Arial"/>
          <w:b/>
          <w:bCs/>
        </w:rPr>
        <w:t>STRATEGY TO OVERCOME THE CHALLENGE</w:t>
      </w:r>
    </w:p>
    <w:p w14:paraId="4A3AEE27" w14:textId="4AC3EE96" w:rsidR="00BD57B4"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 xml:space="preserve">Positive psychology should be part of routine care, not an added task. </w:t>
      </w:r>
      <w:r w:rsidR="0096681F">
        <w:rPr>
          <w:rFonts w:ascii="Arial" w:hAnsi="Arial" w:cs="Arial"/>
          <w:color w:val="000000"/>
          <w:sz w:val="22"/>
          <w:szCs w:val="22"/>
        </w:rPr>
        <w:t xml:space="preserve"> </w:t>
      </w:r>
      <w:r w:rsidRPr="00FA7EA0">
        <w:rPr>
          <w:rFonts w:ascii="Arial" w:hAnsi="Arial" w:cs="Arial"/>
          <w:color w:val="000000"/>
          <w:sz w:val="22"/>
          <w:szCs w:val="22"/>
        </w:rPr>
        <w:t>Including strength-based questions in assessments and care plans, as well as small actions like offering choices or acknowledging achievements, can boost autonomy and wellbeing (Ryff, 1989).  Staff training is vital; educating teams about positive ageing helps challenge stereotypes and supports strength-based methods.  Leadership is crucial for fostering a culture that prioritizes psychological wellbeing alongside physical health (Care Quality Commission, 2023).  Integrating positive psychology into daily practice makes it more sustainable under time constraints.</w:t>
      </w:r>
    </w:p>
    <w:p w14:paraId="197F4AF0" w14:textId="3044609B" w:rsidR="00014024" w:rsidRPr="00BD57B4" w:rsidRDefault="00820F92" w:rsidP="00FA7EA0">
      <w:pPr>
        <w:spacing w:line="360" w:lineRule="auto"/>
        <w:jc w:val="both"/>
        <w:rPr>
          <w:rFonts w:ascii="Arial" w:hAnsi="Arial" w:cs="Arial"/>
          <w:sz w:val="22"/>
          <w:szCs w:val="22"/>
        </w:rPr>
      </w:pPr>
      <w:r w:rsidRPr="00C202FF">
        <w:rPr>
          <w:rFonts w:ascii="Arial" w:hAnsi="Arial" w:cs="Arial"/>
          <w:b/>
          <w:bCs/>
        </w:rPr>
        <w:lastRenderedPageBreak/>
        <w:t>CONCLUSION</w:t>
      </w:r>
    </w:p>
    <w:p w14:paraId="197F4AF1" w14:textId="4ECCBC8E" w:rsidR="00014024" w:rsidRPr="00FA7EA0" w:rsidRDefault="00820F92" w:rsidP="00FA7EA0">
      <w:pPr>
        <w:spacing w:line="360" w:lineRule="auto"/>
        <w:jc w:val="both"/>
        <w:rPr>
          <w:rFonts w:ascii="Arial" w:hAnsi="Arial" w:cs="Arial"/>
          <w:sz w:val="22"/>
          <w:szCs w:val="22"/>
        </w:rPr>
      </w:pPr>
      <w:r w:rsidRPr="00FA7EA0">
        <w:rPr>
          <w:rFonts w:ascii="Arial" w:hAnsi="Arial" w:cs="Arial"/>
          <w:color w:val="000000"/>
          <w:sz w:val="22"/>
          <w:szCs w:val="22"/>
        </w:rPr>
        <w:t>Positive psychology provides an effective approach for supporting older adults in residential care by emphasizing strengths, meaning, relationships, and achievements.  Professionals can help residents preserve identity and dignity, as seen in Mr</w:t>
      </w:r>
      <w:r w:rsidR="00EB2B43">
        <w:rPr>
          <w:rFonts w:ascii="Arial" w:hAnsi="Arial" w:cs="Arial"/>
          <w:color w:val="000000"/>
          <w:sz w:val="22"/>
          <w:szCs w:val="22"/>
        </w:rPr>
        <w:t xml:space="preserve"> Hussain’s</w:t>
      </w:r>
      <w:r w:rsidRPr="00FA7EA0">
        <w:rPr>
          <w:rFonts w:ascii="Arial" w:hAnsi="Arial" w:cs="Arial"/>
          <w:color w:val="000000"/>
          <w:sz w:val="22"/>
          <w:szCs w:val="22"/>
        </w:rPr>
        <w:t xml:space="preserve"> case, where acknowledging his interests and past roles enhanced his emotional wellbeing.  While staffing challenges may arise, integrating positive psychology into care planning and staff development enables better outcomes.  A strengths-based approach fosters resilience, self-worth, and an improved quality of life for older adults.</w:t>
      </w:r>
    </w:p>
    <w:p w14:paraId="197F4AF2" w14:textId="77777777" w:rsidR="00014024" w:rsidRPr="00FA7EA0" w:rsidRDefault="00014024" w:rsidP="00FA7EA0">
      <w:pPr>
        <w:spacing w:line="360" w:lineRule="auto"/>
        <w:jc w:val="right"/>
        <w:rPr>
          <w:rFonts w:ascii="Arial" w:hAnsi="Arial" w:cs="Arial"/>
          <w:b/>
          <w:bCs/>
          <w:sz w:val="22"/>
          <w:szCs w:val="22"/>
        </w:rPr>
      </w:pPr>
    </w:p>
    <w:p w14:paraId="197F4AF3" w14:textId="740A251D" w:rsidR="00014024" w:rsidRPr="00C202FF" w:rsidRDefault="00820F92" w:rsidP="00FA7EA0">
      <w:pPr>
        <w:spacing w:line="360" w:lineRule="auto"/>
        <w:jc w:val="both"/>
        <w:rPr>
          <w:rFonts w:ascii="Arial" w:hAnsi="Arial" w:cs="Arial"/>
          <w:b/>
          <w:bCs/>
        </w:rPr>
      </w:pPr>
      <w:r w:rsidRPr="00C202FF">
        <w:rPr>
          <w:rFonts w:ascii="Arial" w:hAnsi="Arial" w:cs="Arial"/>
          <w:b/>
          <w:bCs/>
        </w:rPr>
        <w:t>REFERENCES</w:t>
      </w:r>
    </w:p>
    <w:p w14:paraId="197F4AF4" w14:textId="77777777"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Age UK (2022) </w:t>
      </w:r>
      <w:r w:rsidRPr="00FA7EA0">
        <w:rPr>
          <w:rFonts w:ascii="Arial" w:hAnsi="Arial" w:cs="Arial"/>
          <w:i/>
          <w:iCs/>
          <w:sz w:val="22"/>
          <w:szCs w:val="22"/>
        </w:rPr>
        <w:t>Later life in the United Kingdom 2022</w:t>
      </w:r>
      <w:r w:rsidRPr="00FA7EA0">
        <w:rPr>
          <w:rFonts w:ascii="Arial" w:hAnsi="Arial" w:cs="Arial"/>
          <w:sz w:val="22"/>
          <w:szCs w:val="22"/>
        </w:rPr>
        <w:t>. London: Age UK.</w:t>
      </w:r>
    </w:p>
    <w:p w14:paraId="16229354" w14:textId="77777777" w:rsidR="00C369C5" w:rsidRDefault="00C369C5" w:rsidP="00C369C5">
      <w:pPr>
        <w:spacing w:line="360" w:lineRule="auto"/>
        <w:jc w:val="both"/>
        <w:rPr>
          <w:rFonts w:ascii="Arial" w:hAnsi="Arial" w:cs="Arial"/>
          <w:sz w:val="22"/>
          <w:szCs w:val="22"/>
        </w:rPr>
      </w:pPr>
      <w:r>
        <w:rPr>
          <w:rFonts w:ascii="Arial" w:hAnsi="Arial" w:cs="Arial"/>
          <w:sz w:val="22"/>
          <w:szCs w:val="22"/>
        </w:rPr>
        <w:t>Bowlby, J. (1988</w:t>
      </w:r>
      <w:r w:rsidRPr="00717EAD">
        <w:rPr>
          <w:rFonts w:ascii="Arial" w:hAnsi="Arial" w:cs="Arial"/>
          <w:i/>
          <w:iCs/>
          <w:sz w:val="22"/>
          <w:szCs w:val="22"/>
        </w:rPr>
        <w:t xml:space="preserve">) A Secure Base: Parent-Child Attachment and Healthy Human Development. </w:t>
      </w:r>
      <w:r>
        <w:rPr>
          <w:rFonts w:ascii="Arial" w:hAnsi="Arial" w:cs="Arial"/>
          <w:sz w:val="22"/>
          <w:szCs w:val="22"/>
        </w:rPr>
        <w:t>London: Routledge.</w:t>
      </w:r>
    </w:p>
    <w:p w14:paraId="197F4AF5" w14:textId="7171EE60"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Care Quality Commission (2023) </w:t>
      </w:r>
      <w:r w:rsidRPr="00FA7EA0">
        <w:rPr>
          <w:rFonts w:ascii="Arial" w:hAnsi="Arial" w:cs="Arial"/>
          <w:i/>
          <w:iCs/>
          <w:sz w:val="22"/>
          <w:szCs w:val="22"/>
        </w:rPr>
        <w:t>State of care 2022/23.</w:t>
      </w:r>
      <w:r w:rsidRPr="00FA7EA0">
        <w:rPr>
          <w:rFonts w:ascii="Arial" w:hAnsi="Arial" w:cs="Arial"/>
          <w:sz w:val="22"/>
          <w:szCs w:val="22"/>
        </w:rPr>
        <w:t xml:space="preserve"> London: CQC.</w:t>
      </w:r>
    </w:p>
    <w:p w14:paraId="7CCAD569" w14:textId="0AC3C506" w:rsidR="00717EAD" w:rsidRDefault="00C72739" w:rsidP="00FA7EA0">
      <w:pPr>
        <w:spacing w:line="360" w:lineRule="auto"/>
        <w:jc w:val="both"/>
        <w:rPr>
          <w:rFonts w:ascii="Arial" w:hAnsi="Arial" w:cs="Arial"/>
          <w:sz w:val="22"/>
          <w:szCs w:val="22"/>
        </w:rPr>
      </w:pPr>
      <w:r>
        <w:rPr>
          <w:rFonts w:ascii="Arial" w:hAnsi="Arial" w:cs="Arial"/>
          <w:sz w:val="22"/>
          <w:szCs w:val="22"/>
        </w:rPr>
        <w:t>Mikulincer, M. and Shaver</w:t>
      </w:r>
      <w:r w:rsidR="00C533FD">
        <w:rPr>
          <w:rFonts w:ascii="Arial" w:hAnsi="Arial" w:cs="Arial"/>
          <w:sz w:val="22"/>
          <w:szCs w:val="22"/>
        </w:rPr>
        <w:t xml:space="preserve">, P. (2016) </w:t>
      </w:r>
      <w:r w:rsidR="00C533FD" w:rsidRPr="0020416A">
        <w:rPr>
          <w:rFonts w:ascii="Arial" w:hAnsi="Arial" w:cs="Arial"/>
          <w:i/>
          <w:iCs/>
          <w:sz w:val="22"/>
          <w:szCs w:val="22"/>
        </w:rPr>
        <w:t xml:space="preserve">Attachment in Adulthood: </w:t>
      </w:r>
      <w:r w:rsidR="001358AF" w:rsidRPr="0020416A">
        <w:rPr>
          <w:rFonts w:ascii="Arial" w:hAnsi="Arial" w:cs="Arial"/>
          <w:i/>
          <w:iCs/>
          <w:sz w:val="22"/>
          <w:szCs w:val="22"/>
        </w:rPr>
        <w:t>Structure, Dynamics and Change</w:t>
      </w:r>
      <w:r w:rsidR="001358AF">
        <w:rPr>
          <w:rFonts w:ascii="Arial" w:hAnsi="Arial" w:cs="Arial"/>
          <w:sz w:val="22"/>
          <w:szCs w:val="22"/>
        </w:rPr>
        <w:t>. 2</w:t>
      </w:r>
      <w:r w:rsidR="001358AF" w:rsidRPr="001358AF">
        <w:rPr>
          <w:rFonts w:ascii="Arial" w:hAnsi="Arial" w:cs="Arial"/>
          <w:sz w:val="22"/>
          <w:szCs w:val="22"/>
          <w:vertAlign w:val="superscript"/>
        </w:rPr>
        <w:t>nd</w:t>
      </w:r>
      <w:r w:rsidR="001358AF">
        <w:rPr>
          <w:rFonts w:ascii="Arial" w:hAnsi="Arial" w:cs="Arial"/>
          <w:sz w:val="22"/>
          <w:szCs w:val="22"/>
        </w:rPr>
        <w:t xml:space="preserve"> </w:t>
      </w:r>
      <w:r w:rsidR="00D14A7E">
        <w:rPr>
          <w:rFonts w:ascii="Arial" w:hAnsi="Arial" w:cs="Arial"/>
          <w:sz w:val="22"/>
          <w:szCs w:val="22"/>
        </w:rPr>
        <w:t>edn. New York: Guilford Press.</w:t>
      </w:r>
    </w:p>
    <w:p w14:paraId="197F4AF6" w14:textId="10820DA2"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Ryff, C.D. (1989) ‘Happiness is everything, or is it? Explorations on the meaning of psychological well-being’</w:t>
      </w:r>
      <w:r w:rsidRPr="00FA7EA0">
        <w:rPr>
          <w:rFonts w:ascii="Arial" w:hAnsi="Arial" w:cs="Arial"/>
          <w:i/>
          <w:iCs/>
          <w:sz w:val="22"/>
          <w:szCs w:val="22"/>
        </w:rPr>
        <w:t>, Journal of Personality and Social Psychology,</w:t>
      </w:r>
      <w:r w:rsidRPr="00FA7EA0">
        <w:rPr>
          <w:rFonts w:ascii="Arial" w:hAnsi="Arial" w:cs="Arial"/>
          <w:sz w:val="22"/>
          <w:szCs w:val="22"/>
        </w:rPr>
        <w:t xml:space="preserve"> 57(6), pp. 1069-1081.</w:t>
      </w:r>
    </w:p>
    <w:p w14:paraId="197F4AF7" w14:textId="0CE9344B" w:rsidR="00014024" w:rsidRPr="00FA7EA0"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Seligman, M.E.P. (2011) </w:t>
      </w:r>
      <w:r w:rsidRPr="00FA7EA0">
        <w:rPr>
          <w:rFonts w:ascii="Arial" w:hAnsi="Arial" w:cs="Arial"/>
          <w:i/>
          <w:iCs/>
          <w:sz w:val="22"/>
          <w:szCs w:val="22"/>
        </w:rPr>
        <w:t xml:space="preserve">Flourish: A </w:t>
      </w:r>
      <w:r w:rsidR="00C7366C">
        <w:rPr>
          <w:rFonts w:ascii="Arial" w:hAnsi="Arial" w:cs="Arial"/>
          <w:i/>
          <w:iCs/>
          <w:sz w:val="22"/>
          <w:szCs w:val="22"/>
        </w:rPr>
        <w:t>V</w:t>
      </w:r>
      <w:r w:rsidRPr="00FA7EA0">
        <w:rPr>
          <w:rFonts w:ascii="Arial" w:hAnsi="Arial" w:cs="Arial"/>
          <w:i/>
          <w:iCs/>
          <w:sz w:val="22"/>
          <w:szCs w:val="22"/>
        </w:rPr>
        <w:t xml:space="preserve">isionary </w:t>
      </w:r>
      <w:r w:rsidR="00C7366C">
        <w:rPr>
          <w:rFonts w:ascii="Arial" w:hAnsi="Arial" w:cs="Arial"/>
          <w:i/>
          <w:iCs/>
          <w:sz w:val="22"/>
          <w:szCs w:val="22"/>
        </w:rPr>
        <w:t>N</w:t>
      </w:r>
      <w:r w:rsidRPr="00FA7EA0">
        <w:rPr>
          <w:rFonts w:ascii="Arial" w:hAnsi="Arial" w:cs="Arial"/>
          <w:i/>
          <w:iCs/>
          <w:sz w:val="22"/>
          <w:szCs w:val="22"/>
        </w:rPr>
        <w:t xml:space="preserve">ew </w:t>
      </w:r>
      <w:r w:rsidR="00C7366C">
        <w:rPr>
          <w:rFonts w:ascii="Arial" w:hAnsi="Arial" w:cs="Arial"/>
          <w:i/>
          <w:iCs/>
          <w:sz w:val="22"/>
          <w:szCs w:val="22"/>
        </w:rPr>
        <w:t>U</w:t>
      </w:r>
      <w:r w:rsidRPr="00FA7EA0">
        <w:rPr>
          <w:rFonts w:ascii="Arial" w:hAnsi="Arial" w:cs="Arial"/>
          <w:i/>
          <w:iCs/>
          <w:sz w:val="22"/>
          <w:szCs w:val="22"/>
        </w:rPr>
        <w:t>nderstanding of</w:t>
      </w:r>
      <w:r w:rsidR="00B40AC1">
        <w:rPr>
          <w:rFonts w:ascii="Arial" w:hAnsi="Arial" w:cs="Arial"/>
          <w:i/>
          <w:iCs/>
          <w:sz w:val="22"/>
          <w:szCs w:val="22"/>
        </w:rPr>
        <w:t xml:space="preserve"> H</w:t>
      </w:r>
      <w:r w:rsidRPr="00FA7EA0">
        <w:rPr>
          <w:rFonts w:ascii="Arial" w:hAnsi="Arial" w:cs="Arial"/>
          <w:i/>
          <w:iCs/>
          <w:sz w:val="22"/>
          <w:szCs w:val="22"/>
        </w:rPr>
        <w:t xml:space="preserve">appiness and </w:t>
      </w:r>
      <w:r w:rsidR="00B40AC1">
        <w:rPr>
          <w:rFonts w:ascii="Arial" w:hAnsi="Arial" w:cs="Arial"/>
          <w:i/>
          <w:iCs/>
          <w:sz w:val="22"/>
          <w:szCs w:val="22"/>
        </w:rPr>
        <w:t>W</w:t>
      </w:r>
      <w:r w:rsidRPr="00FA7EA0">
        <w:rPr>
          <w:rFonts w:ascii="Arial" w:hAnsi="Arial" w:cs="Arial"/>
          <w:i/>
          <w:iCs/>
          <w:sz w:val="22"/>
          <w:szCs w:val="22"/>
        </w:rPr>
        <w:t>ellbeing.</w:t>
      </w:r>
      <w:r w:rsidRPr="00FA7EA0">
        <w:rPr>
          <w:rFonts w:ascii="Arial" w:hAnsi="Arial" w:cs="Arial"/>
          <w:sz w:val="22"/>
          <w:szCs w:val="22"/>
        </w:rPr>
        <w:t xml:space="preserve"> New York: Free Press.</w:t>
      </w:r>
    </w:p>
    <w:p w14:paraId="197F4AF8" w14:textId="77777777" w:rsidR="00014024" w:rsidRDefault="00820F92" w:rsidP="00FA7EA0">
      <w:pPr>
        <w:spacing w:line="360" w:lineRule="auto"/>
        <w:jc w:val="both"/>
        <w:rPr>
          <w:rFonts w:ascii="Arial" w:hAnsi="Arial" w:cs="Arial"/>
          <w:sz w:val="22"/>
          <w:szCs w:val="22"/>
        </w:rPr>
      </w:pPr>
      <w:r w:rsidRPr="00FA7EA0">
        <w:rPr>
          <w:rFonts w:ascii="Arial" w:hAnsi="Arial" w:cs="Arial"/>
          <w:sz w:val="22"/>
          <w:szCs w:val="22"/>
        </w:rPr>
        <w:t xml:space="preserve">Sin, N.L. and Lyubomirsky, S. (2009) ‘Enhancing well-being and alleviating depressive symptoms with positive psychology interventions: A practice-friendly meta-analysis’, </w:t>
      </w:r>
      <w:r w:rsidRPr="00FA7EA0">
        <w:rPr>
          <w:rFonts w:ascii="Arial" w:hAnsi="Arial" w:cs="Arial"/>
          <w:i/>
          <w:iCs/>
          <w:sz w:val="22"/>
          <w:szCs w:val="22"/>
        </w:rPr>
        <w:t>Journal of Clinical Psychology,</w:t>
      </w:r>
      <w:r w:rsidRPr="00FA7EA0">
        <w:rPr>
          <w:rFonts w:ascii="Arial" w:hAnsi="Arial" w:cs="Arial"/>
          <w:sz w:val="22"/>
          <w:szCs w:val="22"/>
        </w:rPr>
        <w:t xml:space="preserve"> 65(5),</w:t>
      </w:r>
      <w:r>
        <w:rPr>
          <w:rFonts w:ascii="Arial" w:hAnsi="Arial" w:cs="Arial"/>
          <w:sz w:val="22"/>
          <w:szCs w:val="22"/>
        </w:rPr>
        <w:t xml:space="preserve"> pp. 467-487.</w:t>
      </w:r>
    </w:p>
    <w:p w14:paraId="06A56C01" w14:textId="4DF9F6DB" w:rsidR="00133C7F" w:rsidRDefault="00B059C1" w:rsidP="00FA7EA0">
      <w:pPr>
        <w:spacing w:line="360" w:lineRule="auto"/>
        <w:jc w:val="both"/>
      </w:pPr>
      <w:r>
        <w:t>Steptoe</w:t>
      </w:r>
      <w:r w:rsidR="003E2451">
        <w:t>, A., Deaton, A.</w:t>
      </w:r>
      <w:r w:rsidR="00E376E9">
        <w:t xml:space="preserve"> and Stone, A. (2015) ‘Subjective</w:t>
      </w:r>
      <w:r w:rsidR="00BA6347">
        <w:t xml:space="preserve"> wellbeing, health, and a </w:t>
      </w:r>
      <w:r w:rsidR="00C802A0">
        <w:t>a</w:t>
      </w:r>
      <w:r w:rsidR="00BA6347">
        <w:t xml:space="preserve">geing’, </w:t>
      </w:r>
      <w:r w:rsidR="00BA6347" w:rsidRPr="00652AE2">
        <w:rPr>
          <w:i/>
          <w:iCs/>
        </w:rPr>
        <w:t xml:space="preserve">The </w:t>
      </w:r>
      <w:r w:rsidR="00207F8C" w:rsidRPr="00652AE2">
        <w:rPr>
          <w:i/>
          <w:iCs/>
        </w:rPr>
        <w:t>Lancet</w:t>
      </w:r>
      <w:r w:rsidR="00207F8C">
        <w:t>, 385(9968), pp. 640</w:t>
      </w:r>
      <w:r w:rsidR="00C802A0">
        <w:t>-648.</w:t>
      </w:r>
    </w:p>
    <w:sectPr w:rsidR="00133C7F">
      <w:footerReference w:type="default" r:id="rId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D47AA" w14:textId="77777777" w:rsidR="00AF4573" w:rsidRDefault="00AF4573">
      <w:pPr>
        <w:spacing w:after="0" w:line="240" w:lineRule="auto"/>
      </w:pPr>
      <w:r>
        <w:separator/>
      </w:r>
    </w:p>
  </w:endnote>
  <w:endnote w:type="continuationSeparator" w:id="0">
    <w:p w14:paraId="3391EDD9" w14:textId="77777777" w:rsidR="00AF4573" w:rsidRDefault="00AF4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F4AAC" w14:textId="77777777" w:rsidR="00820F92" w:rsidRDefault="00820F92">
    <w:pPr>
      <w:pStyle w:val="Footer"/>
    </w:pPr>
    <w:r>
      <w:fldChar w:fldCharType="begin"/>
    </w:r>
    <w:r>
      <w:instrText xml:space="preserve"> PAGE </w:instrText>
    </w:r>
    <w:r>
      <w:fldChar w:fldCharType="separate"/>
    </w:r>
    <w:r>
      <w:t>2</w:t>
    </w:r>
    <w:r>
      <w:fldChar w:fldCharType="end"/>
    </w:r>
  </w:p>
  <w:p w14:paraId="197F4AAD" w14:textId="77777777" w:rsidR="00820F92" w:rsidRDefault="00820F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C2D51" w14:textId="77777777" w:rsidR="00AF4573" w:rsidRDefault="00AF4573">
      <w:pPr>
        <w:spacing w:after="0" w:line="240" w:lineRule="auto"/>
      </w:pPr>
      <w:r>
        <w:rPr>
          <w:color w:val="000000"/>
        </w:rPr>
        <w:separator/>
      </w:r>
    </w:p>
  </w:footnote>
  <w:footnote w:type="continuationSeparator" w:id="0">
    <w:p w14:paraId="59802CA9" w14:textId="77777777" w:rsidR="00AF4573" w:rsidRDefault="00AF45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024"/>
    <w:rsid w:val="00010712"/>
    <w:rsid w:val="00014024"/>
    <w:rsid w:val="000172CB"/>
    <w:rsid w:val="00040C21"/>
    <w:rsid w:val="00047714"/>
    <w:rsid w:val="000760BA"/>
    <w:rsid w:val="000858A4"/>
    <w:rsid w:val="00086D07"/>
    <w:rsid w:val="000A1E5D"/>
    <w:rsid w:val="000B1A51"/>
    <w:rsid w:val="000B7744"/>
    <w:rsid w:val="000E2B52"/>
    <w:rsid w:val="000F2AA9"/>
    <w:rsid w:val="000F3984"/>
    <w:rsid w:val="00102A0B"/>
    <w:rsid w:val="00114B88"/>
    <w:rsid w:val="00125B58"/>
    <w:rsid w:val="00127DEA"/>
    <w:rsid w:val="00131481"/>
    <w:rsid w:val="00133C7F"/>
    <w:rsid w:val="001358AF"/>
    <w:rsid w:val="00147A42"/>
    <w:rsid w:val="0015256B"/>
    <w:rsid w:val="0015369B"/>
    <w:rsid w:val="00155317"/>
    <w:rsid w:val="00166AC6"/>
    <w:rsid w:val="00172A48"/>
    <w:rsid w:val="001C42F6"/>
    <w:rsid w:val="001D0ECF"/>
    <w:rsid w:val="001D5D3B"/>
    <w:rsid w:val="001F79E4"/>
    <w:rsid w:val="002021FF"/>
    <w:rsid w:val="0020416A"/>
    <w:rsid w:val="00207F8C"/>
    <w:rsid w:val="00231D9B"/>
    <w:rsid w:val="0023397A"/>
    <w:rsid w:val="00235A73"/>
    <w:rsid w:val="002538F7"/>
    <w:rsid w:val="0026342F"/>
    <w:rsid w:val="0026556E"/>
    <w:rsid w:val="00274483"/>
    <w:rsid w:val="002769C5"/>
    <w:rsid w:val="0028691B"/>
    <w:rsid w:val="00290F19"/>
    <w:rsid w:val="00292856"/>
    <w:rsid w:val="0029427A"/>
    <w:rsid w:val="002C60B5"/>
    <w:rsid w:val="002D365E"/>
    <w:rsid w:val="00307740"/>
    <w:rsid w:val="003563E4"/>
    <w:rsid w:val="003855A6"/>
    <w:rsid w:val="003A22F3"/>
    <w:rsid w:val="003E148E"/>
    <w:rsid w:val="003E2451"/>
    <w:rsid w:val="003E4E5E"/>
    <w:rsid w:val="00426090"/>
    <w:rsid w:val="00427476"/>
    <w:rsid w:val="0045676E"/>
    <w:rsid w:val="00463D63"/>
    <w:rsid w:val="00487736"/>
    <w:rsid w:val="004960D4"/>
    <w:rsid w:val="004A553E"/>
    <w:rsid w:val="004B0107"/>
    <w:rsid w:val="004B4B9F"/>
    <w:rsid w:val="004B70C2"/>
    <w:rsid w:val="004C043D"/>
    <w:rsid w:val="004F4BD7"/>
    <w:rsid w:val="0051162B"/>
    <w:rsid w:val="00513163"/>
    <w:rsid w:val="00513395"/>
    <w:rsid w:val="00517164"/>
    <w:rsid w:val="0054507C"/>
    <w:rsid w:val="005820AA"/>
    <w:rsid w:val="005837D5"/>
    <w:rsid w:val="005D065E"/>
    <w:rsid w:val="005D0850"/>
    <w:rsid w:val="006431D1"/>
    <w:rsid w:val="00652AE2"/>
    <w:rsid w:val="00663B52"/>
    <w:rsid w:val="006656AC"/>
    <w:rsid w:val="006A0355"/>
    <w:rsid w:val="006A0ABF"/>
    <w:rsid w:val="006B795D"/>
    <w:rsid w:val="006C1089"/>
    <w:rsid w:val="006C24DE"/>
    <w:rsid w:val="006C7B9A"/>
    <w:rsid w:val="006E3F43"/>
    <w:rsid w:val="006F72FF"/>
    <w:rsid w:val="0071319F"/>
    <w:rsid w:val="00717EAD"/>
    <w:rsid w:val="00721953"/>
    <w:rsid w:val="00767983"/>
    <w:rsid w:val="00776273"/>
    <w:rsid w:val="00793EBF"/>
    <w:rsid w:val="007C1F09"/>
    <w:rsid w:val="007C6145"/>
    <w:rsid w:val="007D6AF0"/>
    <w:rsid w:val="007E3868"/>
    <w:rsid w:val="00820F92"/>
    <w:rsid w:val="00827174"/>
    <w:rsid w:val="008323BA"/>
    <w:rsid w:val="00832768"/>
    <w:rsid w:val="00846424"/>
    <w:rsid w:val="0084752F"/>
    <w:rsid w:val="00894F9C"/>
    <w:rsid w:val="008A0AF8"/>
    <w:rsid w:val="008C5244"/>
    <w:rsid w:val="008E0021"/>
    <w:rsid w:val="008F5DD9"/>
    <w:rsid w:val="009221F3"/>
    <w:rsid w:val="00923335"/>
    <w:rsid w:val="0095627C"/>
    <w:rsid w:val="0096681F"/>
    <w:rsid w:val="009768B2"/>
    <w:rsid w:val="00980873"/>
    <w:rsid w:val="00982FB1"/>
    <w:rsid w:val="00991787"/>
    <w:rsid w:val="009B0F75"/>
    <w:rsid w:val="009B2303"/>
    <w:rsid w:val="009B7FD3"/>
    <w:rsid w:val="009C6F77"/>
    <w:rsid w:val="009D4D40"/>
    <w:rsid w:val="009F2C08"/>
    <w:rsid w:val="00A030AE"/>
    <w:rsid w:val="00A16A70"/>
    <w:rsid w:val="00A2671A"/>
    <w:rsid w:val="00A35691"/>
    <w:rsid w:val="00A50A1E"/>
    <w:rsid w:val="00A52AFC"/>
    <w:rsid w:val="00A5677A"/>
    <w:rsid w:val="00A70D51"/>
    <w:rsid w:val="00A82501"/>
    <w:rsid w:val="00A9188B"/>
    <w:rsid w:val="00AA16EA"/>
    <w:rsid w:val="00AB2232"/>
    <w:rsid w:val="00AE6DD1"/>
    <w:rsid w:val="00AF4573"/>
    <w:rsid w:val="00B059C1"/>
    <w:rsid w:val="00B07E36"/>
    <w:rsid w:val="00B27212"/>
    <w:rsid w:val="00B3591B"/>
    <w:rsid w:val="00B40AC1"/>
    <w:rsid w:val="00B529DD"/>
    <w:rsid w:val="00B56F0F"/>
    <w:rsid w:val="00B66276"/>
    <w:rsid w:val="00B87C4A"/>
    <w:rsid w:val="00BA4F0E"/>
    <w:rsid w:val="00BA6347"/>
    <w:rsid w:val="00BC12D9"/>
    <w:rsid w:val="00BD57B4"/>
    <w:rsid w:val="00BF1407"/>
    <w:rsid w:val="00C202FF"/>
    <w:rsid w:val="00C3026D"/>
    <w:rsid w:val="00C3698C"/>
    <w:rsid w:val="00C369C5"/>
    <w:rsid w:val="00C52E50"/>
    <w:rsid w:val="00C533FD"/>
    <w:rsid w:val="00C65E3F"/>
    <w:rsid w:val="00C72739"/>
    <w:rsid w:val="00C7366C"/>
    <w:rsid w:val="00C75872"/>
    <w:rsid w:val="00C802A0"/>
    <w:rsid w:val="00C834A8"/>
    <w:rsid w:val="00C83A28"/>
    <w:rsid w:val="00C86595"/>
    <w:rsid w:val="00C97528"/>
    <w:rsid w:val="00CC1F86"/>
    <w:rsid w:val="00CD0973"/>
    <w:rsid w:val="00CD5DE7"/>
    <w:rsid w:val="00CE039D"/>
    <w:rsid w:val="00CE4730"/>
    <w:rsid w:val="00CF4119"/>
    <w:rsid w:val="00D02E29"/>
    <w:rsid w:val="00D0305A"/>
    <w:rsid w:val="00D13DDB"/>
    <w:rsid w:val="00D14A7E"/>
    <w:rsid w:val="00D2676A"/>
    <w:rsid w:val="00D2775C"/>
    <w:rsid w:val="00D87127"/>
    <w:rsid w:val="00DC01D1"/>
    <w:rsid w:val="00DC3657"/>
    <w:rsid w:val="00DC69CA"/>
    <w:rsid w:val="00DD1C12"/>
    <w:rsid w:val="00DF2499"/>
    <w:rsid w:val="00E105FA"/>
    <w:rsid w:val="00E1645D"/>
    <w:rsid w:val="00E32BE1"/>
    <w:rsid w:val="00E367CA"/>
    <w:rsid w:val="00E376E9"/>
    <w:rsid w:val="00E54A9F"/>
    <w:rsid w:val="00E5582B"/>
    <w:rsid w:val="00E66CBB"/>
    <w:rsid w:val="00EA2149"/>
    <w:rsid w:val="00EA759B"/>
    <w:rsid w:val="00EB2B43"/>
    <w:rsid w:val="00EF24D1"/>
    <w:rsid w:val="00EF2634"/>
    <w:rsid w:val="00F047C6"/>
    <w:rsid w:val="00F4682F"/>
    <w:rsid w:val="00F6093C"/>
    <w:rsid w:val="00F727C0"/>
    <w:rsid w:val="00F72A17"/>
    <w:rsid w:val="00F95493"/>
    <w:rsid w:val="00F963DF"/>
    <w:rsid w:val="00FA7EA0"/>
    <w:rsid w:val="00FD1DF0"/>
    <w:rsid w:val="00FD2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F4AA4"/>
  <w15:docId w15:val="{E56B5998-7676-4055-BC06-2D329794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2086</Words>
  <Characters>11892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Nargos Hussain</dc:creator>
  <dc:description/>
  <cp:lastModifiedBy>Nargos Hussain</cp:lastModifiedBy>
  <cp:revision>7</cp:revision>
  <dcterms:created xsi:type="dcterms:W3CDTF">2026-03-23T04:53:00Z</dcterms:created>
  <dcterms:modified xsi:type="dcterms:W3CDTF">2026-03-23T05:11:00Z</dcterms:modified>
</cp:coreProperties>
</file>