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64DE" w:rsidRPr="00FB64DE" w:rsidRDefault="00FB64DE" w:rsidP="00FB64DE">
      <w:pPr>
        <w:spacing w:after="0" w:line="240" w:lineRule="auto"/>
        <w:textAlignment w:val="baseline"/>
        <w:rPr>
          <w:rFonts w:ascii="Segoe UI" w:eastAsia="Times New Roman" w:hAnsi="Segoe UI" w:cs="Segoe UI"/>
          <w:sz w:val="18"/>
          <w:szCs w:val="18"/>
          <w:lang w:eastAsia="en-GB"/>
        </w:rPr>
      </w:pPr>
      <w:r w:rsidRPr="00FB64DE">
        <w:rPr>
          <w:noProof/>
        </w:rPr>
        <w:drawing>
          <wp:inline distT="0" distB="0" distL="0" distR="0">
            <wp:extent cx="3315970" cy="1116965"/>
            <wp:effectExtent l="0" t="0" r="0" b="6985"/>
            <wp:docPr id="1" name="Picture 1" descr="C:\Users\scott.morgan\AppData\Local\Microsoft\Windows\INetCache\Content.MSO\CE09E4C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ott.morgan\AppData\Local\Microsoft\Windows\INetCache\Content.MSO\CE09E4CC.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5970" cy="1116965"/>
                    </a:xfrm>
                    <a:prstGeom prst="rect">
                      <a:avLst/>
                    </a:prstGeom>
                    <a:noFill/>
                    <a:ln>
                      <a:noFill/>
                    </a:ln>
                  </pic:spPr>
                </pic:pic>
              </a:graphicData>
            </a:graphic>
          </wp:inline>
        </w:drawing>
      </w:r>
      <w:r w:rsidRPr="00FB64DE">
        <w:rPr>
          <w:rFonts w:ascii="Tahoma" w:eastAsia="Times New Roman" w:hAnsi="Tahoma" w:cs="Tahoma"/>
          <w:color w:val="000000"/>
          <w:sz w:val="40"/>
          <w:szCs w:val="40"/>
          <w:lang w:eastAsia="en-GB"/>
        </w:rPr>
        <w:t> </w:t>
      </w:r>
    </w:p>
    <w:p w:rsidR="00FB64DE" w:rsidRPr="00FB64DE" w:rsidRDefault="00FB64DE" w:rsidP="00FB64DE">
      <w:pPr>
        <w:spacing w:after="0" w:line="240" w:lineRule="auto"/>
        <w:jc w:val="center"/>
        <w:textAlignment w:val="baseline"/>
        <w:rPr>
          <w:rFonts w:ascii="Segoe UI" w:eastAsia="Times New Roman" w:hAnsi="Segoe UI" w:cs="Segoe UI"/>
          <w:sz w:val="18"/>
          <w:szCs w:val="18"/>
          <w:lang w:eastAsia="en-GB"/>
        </w:rPr>
      </w:pPr>
      <w:r w:rsidRPr="00FB64DE">
        <w:rPr>
          <w:rFonts w:ascii="Tahoma" w:eastAsia="Times New Roman" w:hAnsi="Tahoma" w:cs="Tahoma"/>
          <w:color w:val="000000"/>
          <w:sz w:val="40"/>
          <w:szCs w:val="40"/>
          <w:lang w:eastAsia="en-GB"/>
        </w:rPr>
        <w:t>Applied Leadership and Management in the Workplace </w:t>
      </w:r>
      <w:r w:rsidRPr="00FB64DE">
        <w:rPr>
          <w:rFonts w:ascii="Tahoma" w:eastAsia="Times New Roman" w:hAnsi="Tahoma" w:cs="Tahoma"/>
          <w:color w:val="000000"/>
          <w:sz w:val="40"/>
          <w:szCs w:val="40"/>
          <w:lang w:eastAsia="en-GB"/>
        </w:rPr>
        <w:br/>
        <w:t>Module Assignment Submission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73"/>
        <w:gridCol w:w="5737"/>
      </w:tblGrid>
      <w:tr w:rsidR="00FB64DE" w:rsidRPr="00FB64DE" w:rsidTr="00FB64DE">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rsidR="00FB64DE" w:rsidRPr="00FB64DE" w:rsidRDefault="00FB64DE" w:rsidP="00FB64DE">
            <w:pPr>
              <w:spacing w:after="0" w:line="240" w:lineRule="auto"/>
              <w:textAlignment w:val="baseline"/>
              <w:rPr>
                <w:rFonts w:ascii="Times New Roman" w:eastAsia="Times New Roman" w:hAnsi="Times New Roman" w:cs="Times New Roman"/>
                <w:sz w:val="24"/>
                <w:szCs w:val="24"/>
                <w:lang w:eastAsia="en-GB"/>
              </w:rPr>
            </w:pPr>
            <w:r w:rsidRPr="00FB64DE">
              <w:rPr>
                <w:rFonts w:ascii="Tahoma" w:eastAsia="Times New Roman" w:hAnsi="Tahoma" w:cs="Tahoma"/>
                <w:sz w:val="32"/>
                <w:szCs w:val="32"/>
                <w:lang w:eastAsia="en-GB"/>
              </w:rPr>
              <w:t>Student Name: </w:t>
            </w:r>
          </w:p>
        </w:tc>
        <w:tc>
          <w:tcPr>
            <w:tcW w:w="60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rsidR="00FB64DE" w:rsidRPr="00FB64DE" w:rsidRDefault="00FB64DE" w:rsidP="00FB64DE">
            <w:pPr>
              <w:spacing w:after="0" w:line="240" w:lineRule="auto"/>
              <w:textAlignment w:val="baseline"/>
              <w:rPr>
                <w:rFonts w:ascii="Times New Roman" w:eastAsia="Times New Roman" w:hAnsi="Times New Roman" w:cs="Times New Roman"/>
                <w:sz w:val="24"/>
                <w:szCs w:val="24"/>
                <w:lang w:eastAsia="en-GB"/>
              </w:rPr>
            </w:pPr>
            <w:r w:rsidRPr="00FB64DE">
              <w:rPr>
                <w:rFonts w:ascii="Tahoma" w:eastAsia="Times New Roman" w:hAnsi="Tahoma" w:cs="Tahoma"/>
                <w:sz w:val="32"/>
                <w:szCs w:val="32"/>
                <w:lang w:eastAsia="en-GB"/>
              </w:rPr>
              <w:t>Scott Morgan </w:t>
            </w:r>
          </w:p>
        </w:tc>
      </w:tr>
      <w:tr w:rsidR="00FB64DE" w:rsidRPr="00FB64DE" w:rsidTr="00FB64DE">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rsidR="00FB64DE" w:rsidRPr="00FB64DE" w:rsidRDefault="00FB64DE" w:rsidP="00FB64DE">
            <w:pPr>
              <w:spacing w:after="0" w:line="240" w:lineRule="auto"/>
              <w:textAlignment w:val="baseline"/>
              <w:rPr>
                <w:rFonts w:ascii="Times New Roman" w:eastAsia="Times New Roman" w:hAnsi="Times New Roman" w:cs="Times New Roman"/>
                <w:sz w:val="24"/>
                <w:szCs w:val="24"/>
                <w:lang w:eastAsia="en-GB"/>
              </w:rPr>
            </w:pPr>
            <w:r w:rsidRPr="00FB64DE">
              <w:rPr>
                <w:rFonts w:ascii="Tahoma" w:eastAsia="Times New Roman" w:hAnsi="Tahoma" w:cs="Tahoma"/>
                <w:sz w:val="32"/>
                <w:szCs w:val="32"/>
                <w:lang w:eastAsia="en-GB"/>
              </w:rPr>
              <w:t>Student Number: </w:t>
            </w:r>
          </w:p>
        </w:tc>
        <w:tc>
          <w:tcPr>
            <w:tcW w:w="60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rsidR="00FB64DE" w:rsidRPr="00FB64DE" w:rsidRDefault="00FB64DE" w:rsidP="00FB64DE">
            <w:pPr>
              <w:spacing w:after="0" w:line="240" w:lineRule="auto"/>
              <w:textAlignment w:val="baseline"/>
              <w:rPr>
                <w:rFonts w:ascii="Times New Roman" w:eastAsia="Times New Roman" w:hAnsi="Times New Roman" w:cs="Times New Roman"/>
                <w:sz w:val="24"/>
                <w:szCs w:val="24"/>
                <w:lang w:eastAsia="en-GB"/>
              </w:rPr>
            </w:pPr>
            <w:r w:rsidRPr="00FB64DE">
              <w:rPr>
                <w:rFonts w:ascii="Tahoma" w:eastAsia="Times New Roman" w:hAnsi="Tahoma" w:cs="Tahoma"/>
                <w:sz w:val="32"/>
                <w:szCs w:val="32"/>
                <w:lang w:eastAsia="en-GB"/>
              </w:rPr>
              <w:t>2319551 </w:t>
            </w:r>
          </w:p>
        </w:tc>
      </w:tr>
      <w:tr w:rsidR="00FB64DE" w:rsidRPr="00FB64DE" w:rsidTr="00FB64DE">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rsidR="00FB64DE" w:rsidRPr="00FB64DE" w:rsidRDefault="00FB64DE" w:rsidP="00FB64DE">
            <w:pPr>
              <w:spacing w:after="0" w:line="240" w:lineRule="auto"/>
              <w:textAlignment w:val="baseline"/>
              <w:rPr>
                <w:rFonts w:ascii="Times New Roman" w:eastAsia="Times New Roman" w:hAnsi="Times New Roman" w:cs="Times New Roman"/>
                <w:sz w:val="24"/>
                <w:szCs w:val="24"/>
                <w:lang w:eastAsia="en-GB"/>
              </w:rPr>
            </w:pPr>
            <w:r w:rsidRPr="00FB64DE">
              <w:rPr>
                <w:rFonts w:ascii="Tahoma" w:eastAsia="Times New Roman" w:hAnsi="Tahoma" w:cs="Tahoma"/>
                <w:sz w:val="32"/>
                <w:szCs w:val="32"/>
                <w:lang w:eastAsia="en-GB"/>
              </w:rPr>
              <w:t>Module No: </w:t>
            </w:r>
          </w:p>
        </w:tc>
        <w:tc>
          <w:tcPr>
            <w:tcW w:w="60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rsidR="00FB64DE" w:rsidRPr="00FB64DE" w:rsidRDefault="00FB64DE" w:rsidP="00FB64DE">
            <w:pPr>
              <w:spacing w:after="0" w:line="240" w:lineRule="auto"/>
              <w:textAlignment w:val="baseline"/>
              <w:rPr>
                <w:rFonts w:eastAsia="Times New Roman" w:cs="Times New Roman"/>
                <w:sz w:val="36"/>
                <w:szCs w:val="24"/>
                <w:lang w:eastAsia="en-GB"/>
              </w:rPr>
            </w:pPr>
            <w:r w:rsidRPr="00262DFE">
              <w:rPr>
                <w:rFonts w:eastAsia="Times New Roman" w:cs="Tahoma"/>
                <w:sz w:val="36"/>
                <w:szCs w:val="32"/>
                <w:lang w:eastAsia="en-GB"/>
              </w:rPr>
              <w:t>BMSK5010 </w:t>
            </w:r>
          </w:p>
        </w:tc>
      </w:tr>
      <w:tr w:rsidR="00FB64DE" w:rsidRPr="00FB64DE" w:rsidTr="00FB64DE">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vAlign w:val="center"/>
            <w:hideMark/>
          </w:tcPr>
          <w:p w:rsidR="00FB64DE" w:rsidRPr="00FB64DE" w:rsidRDefault="00FB64DE" w:rsidP="00FB64DE">
            <w:pPr>
              <w:spacing w:after="0" w:line="240" w:lineRule="auto"/>
              <w:textAlignment w:val="baseline"/>
              <w:rPr>
                <w:rFonts w:ascii="Times New Roman" w:eastAsia="Times New Roman" w:hAnsi="Times New Roman" w:cs="Times New Roman"/>
                <w:sz w:val="24"/>
                <w:szCs w:val="24"/>
                <w:lang w:eastAsia="en-GB"/>
              </w:rPr>
            </w:pPr>
            <w:r w:rsidRPr="00FB64DE">
              <w:rPr>
                <w:rFonts w:ascii="Tahoma" w:eastAsia="Times New Roman" w:hAnsi="Tahoma" w:cs="Tahoma"/>
                <w:sz w:val="32"/>
                <w:szCs w:val="32"/>
                <w:lang w:eastAsia="en-GB"/>
              </w:rPr>
              <w:t>Module Title: </w:t>
            </w:r>
          </w:p>
        </w:tc>
        <w:tc>
          <w:tcPr>
            <w:tcW w:w="606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rsidR="00FB64DE" w:rsidRPr="00FB64DE" w:rsidRDefault="00262DFE" w:rsidP="00FB64DE">
            <w:pPr>
              <w:spacing w:after="0" w:line="240" w:lineRule="auto"/>
              <w:textAlignment w:val="baseline"/>
              <w:rPr>
                <w:rFonts w:eastAsia="Times New Roman" w:cs="Times New Roman"/>
                <w:sz w:val="36"/>
                <w:szCs w:val="24"/>
                <w:lang w:eastAsia="en-GB"/>
              </w:rPr>
            </w:pPr>
            <w:r w:rsidRPr="00262DFE">
              <w:rPr>
                <w:rFonts w:eastAsia="Times New Roman" w:cs="Times New Roman"/>
                <w:sz w:val="36"/>
                <w:szCs w:val="24"/>
                <w:lang w:eastAsia="en-GB"/>
              </w:rPr>
              <w:t>Develop Learning in the Organisation</w:t>
            </w:r>
          </w:p>
        </w:tc>
      </w:tr>
    </w:tbl>
    <w:p w:rsidR="00FB64DE" w:rsidRPr="00FB64DE" w:rsidRDefault="00FB64DE" w:rsidP="00FB64DE">
      <w:pPr>
        <w:spacing w:after="0" w:line="240" w:lineRule="auto"/>
        <w:textAlignment w:val="baseline"/>
        <w:rPr>
          <w:rFonts w:ascii="Segoe UI" w:eastAsia="Times New Roman" w:hAnsi="Segoe UI" w:cs="Segoe UI"/>
          <w:sz w:val="18"/>
          <w:szCs w:val="18"/>
          <w:lang w:eastAsia="en-GB"/>
        </w:rPr>
      </w:pPr>
      <w:r w:rsidRPr="00FB64DE">
        <w:rPr>
          <w:rFonts w:ascii="Calibri" w:eastAsia="Times New Roman" w:hAnsi="Calibri" w:cs="Calibri"/>
          <w:lang w:eastAsia="en-GB"/>
        </w:rPr>
        <w:t xml:space="preserve">I acknowledge the use of Gemini </w:t>
      </w:r>
      <w:hyperlink r:id="rId9" w:tgtFrame="_blank" w:history="1">
        <w:r w:rsidRPr="00FB64DE">
          <w:rPr>
            <w:rFonts w:ascii="Calibri" w:eastAsia="Times New Roman" w:hAnsi="Calibri" w:cs="Calibri"/>
            <w:color w:val="467886"/>
            <w:u w:val="single"/>
            <w:lang w:eastAsia="en-GB"/>
          </w:rPr>
          <w:t>https://gemini.google.com/app/763f34c7f9491774</w:t>
        </w:r>
      </w:hyperlink>
      <w:r w:rsidRPr="00FB64DE">
        <w:rPr>
          <w:rFonts w:ascii="Calibri" w:eastAsia="Times New Roman" w:hAnsi="Calibri" w:cs="Calibri"/>
          <w:lang w:eastAsia="en-GB"/>
        </w:rPr>
        <w:t xml:space="preserve"> to support my research using the following prompts: </w:t>
      </w:r>
    </w:p>
    <w:p w:rsidR="00FB64DE" w:rsidRPr="00FB64DE" w:rsidRDefault="00FB64DE" w:rsidP="00FB64DE">
      <w:pPr>
        <w:numPr>
          <w:ilvl w:val="0"/>
          <w:numId w:val="1"/>
        </w:numPr>
        <w:spacing w:after="0" w:line="240" w:lineRule="auto"/>
        <w:ind w:left="360" w:firstLine="0"/>
        <w:textAlignment w:val="baseline"/>
        <w:rPr>
          <w:rFonts w:ascii="Calibri" w:eastAsia="Times New Roman" w:hAnsi="Calibri" w:cs="Calibri"/>
          <w:lang w:eastAsia="en-GB"/>
        </w:rPr>
      </w:pPr>
      <w:r w:rsidRPr="00FB64DE">
        <w:rPr>
          <w:rFonts w:ascii="Calibri" w:eastAsia="Times New Roman" w:hAnsi="Calibri" w:cs="Calibri"/>
          <w:lang w:eastAsia="en-GB"/>
        </w:rPr>
        <w:t>Please provide me with a template following the criteria provided in order to create a report on Critical Thinking and Decision Making. </w:t>
      </w:r>
    </w:p>
    <w:p w:rsidR="00FB64DE" w:rsidRPr="00FB64DE" w:rsidRDefault="00FB64DE" w:rsidP="00FB64DE">
      <w:pPr>
        <w:numPr>
          <w:ilvl w:val="0"/>
          <w:numId w:val="2"/>
        </w:numPr>
        <w:spacing w:after="0" w:line="240" w:lineRule="auto"/>
        <w:ind w:left="360" w:firstLine="0"/>
        <w:textAlignment w:val="baseline"/>
        <w:rPr>
          <w:rFonts w:ascii="Calibri" w:eastAsia="Times New Roman" w:hAnsi="Calibri" w:cs="Calibri"/>
          <w:sz w:val="24"/>
          <w:szCs w:val="24"/>
          <w:lang w:eastAsia="en-GB"/>
        </w:rPr>
      </w:pPr>
      <w:r w:rsidRPr="00FB64DE">
        <w:rPr>
          <w:rFonts w:ascii="Calibri" w:eastAsia="Times New Roman" w:hAnsi="Calibri" w:cs="Calibri"/>
          <w:lang w:eastAsia="en-GB"/>
        </w:rPr>
        <w:t>Please help me to APA 7 reference my references. </w:t>
      </w:r>
    </w:p>
    <w:p w:rsidR="00602351" w:rsidRPr="00602351" w:rsidRDefault="00FB64DE" w:rsidP="00602351">
      <w:pPr>
        <w:numPr>
          <w:ilvl w:val="0"/>
          <w:numId w:val="3"/>
        </w:numPr>
        <w:spacing w:after="0" w:line="240" w:lineRule="auto"/>
        <w:ind w:left="360" w:firstLine="0"/>
        <w:textAlignment w:val="baseline"/>
        <w:rPr>
          <w:rFonts w:ascii="Calibri" w:eastAsia="Times New Roman" w:hAnsi="Calibri" w:cs="Calibri"/>
          <w:lang w:eastAsia="en-GB"/>
        </w:rPr>
      </w:pPr>
      <w:r w:rsidRPr="00FB64DE">
        <w:rPr>
          <w:rFonts w:ascii="Calibri" w:eastAsia="Times New Roman" w:hAnsi="Calibri" w:cs="Calibri"/>
          <w:color w:val="000000"/>
          <w:lang w:eastAsia="en-GB"/>
        </w:rPr>
        <w:t>Please review the attached report and check for grammar, spelling, formatting and general structure. Please highlight areas where I can improve the flow, write more concisely, contextualise and add in critical elements. Please, could you look to identify any gaps where I need to add a source to support the writing? Please, can you also check citations are included within the reference list and vice versa? additionally, please highlight any errors with my citations and reference lis</w:t>
      </w:r>
      <w:r w:rsidRPr="00602351">
        <w:rPr>
          <w:rFonts w:ascii="Calibri" w:eastAsia="Times New Roman" w:hAnsi="Calibri" w:cs="Calibri"/>
          <w:color w:val="000000"/>
          <w:lang w:eastAsia="en-GB"/>
        </w:rPr>
        <w:t>t in accordance with APA 7. </w:t>
      </w:r>
    </w:p>
    <w:p w:rsidR="00602351" w:rsidRPr="00602351" w:rsidRDefault="00602351" w:rsidP="00602351">
      <w:pPr>
        <w:spacing w:after="0" w:line="240" w:lineRule="auto"/>
        <w:textAlignment w:val="baseline"/>
        <w:rPr>
          <w:rFonts w:ascii="Calibri" w:eastAsia="Times New Roman" w:hAnsi="Calibri" w:cs="Calibri"/>
          <w:lang w:eastAsia="en-GB"/>
        </w:rPr>
      </w:pPr>
      <w:r w:rsidRPr="00602351">
        <w:rPr>
          <w:rFonts w:ascii="Calibri" w:eastAsia="Times New Roman" w:hAnsi="Calibri" w:cs="Calibri"/>
          <w:lang w:eastAsia="en-GB"/>
        </w:rPr>
        <w:t>I also acknowledge that I have used Quillbot</w:t>
      </w:r>
      <w:bookmarkStart w:id="0" w:name="_GoBack"/>
      <w:bookmarkEnd w:id="0"/>
      <w:r>
        <w:rPr>
          <w:rFonts w:ascii="Calibri" w:eastAsia="Times New Roman" w:hAnsi="Calibri" w:cs="Calibri"/>
          <w:lang w:eastAsia="en-GB"/>
        </w:rPr>
        <w:t xml:space="preserve"> </w:t>
      </w:r>
      <w:hyperlink r:id="rId10" w:history="1">
        <w:r w:rsidRPr="00615E84">
          <w:rPr>
            <w:rStyle w:val="Hyperlink"/>
            <w:rFonts w:ascii="Calibri" w:eastAsia="Times New Roman" w:hAnsi="Calibri" w:cs="Calibri"/>
            <w:lang w:eastAsia="en-GB"/>
          </w:rPr>
          <w:t>https://quillbot.com/grammar-check/d/21abfb4a-9ce4-46bc-bfda-0cb2368f0cfb</w:t>
        </w:r>
      </w:hyperlink>
      <w:r w:rsidRPr="00602351">
        <w:rPr>
          <w:rFonts w:ascii="Calibri" w:eastAsia="Times New Roman" w:hAnsi="Calibri" w:cs="Calibri"/>
          <w:lang w:eastAsia="en-GB"/>
        </w:rPr>
        <w:t xml:space="preserve"> in order to aide me with my spelling, punctuation and grammar.</w:t>
      </w:r>
    </w:p>
    <w:p w:rsidR="00FB64DE" w:rsidRPr="00FB64DE" w:rsidRDefault="00FB64DE" w:rsidP="00FB64DE">
      <w:pPr>
        <w:spacing w:after="0" w:line="240" w:lineRule="auto"/>
        <w:textAlignment w:val="baseline"/>
        <w:rPr>
          <w:rFonts w:ascii="Segoe UI" w:eastAsia="Times New Roman" w:hAnsi="Segoe UI" w:cs="Segoe UI"/>
          <w:sz w:val="18"/>
          <w:szCs w:val="18"/>
          <w:lang w:eastAsia="en-GB"/>
        </w:rPr>
      </w:pPr>
      <w:r w:rsidRPr="00FB64DE">
        <w:rPr>
          <w:rFonts w:ascii="Calibri" w:eastAsia="Times New Roman" w:hAnsi="Calibri" w:cs="Calibri"/>
          <w:lang w:eastAsia="en-GB"/>
        </w:rPr>
        <w:t>I confirm that I have not presented any AI generated text as my own work. I confirm that I have copies of my own drafts, notes and other resources I have used before and after the use of AI tools, which I may be asked to produce in evidence. </w:t>
      </w:r>
    </w:p>
    <w:p w:rsidR="00FB64DE" w:rsidRPr="00FB64DE" w:rsidRDefault="00FB64DE" w:rsidP="00FB64DE">
      <w:pPr>
        <w:spacing w:after="0" w:line="240" w:lineRule="auto"/>
        <w:textAlignment w:val="baseline"/>
        <w:rPr>
          <w:rFonts w:ascii="Segoe UI" w:eastAsia="Times New Roman" w:hAnsi="Segoe UI" w:cs="Segoe UI"/>
          <w:sz w:val="18"/>
          <w:szCs w:val="18"/>
          <w:lang w:eastAsia="en-GB"/>
        </w:rPr>
      </w:pPr>
      <w:r w:rsidRPr="00FB64DE">
        <w:rPr>
          <w:rFonts w:ascii="Calibri" w:eastAsia="Times New Roman" w:hAnsi="Calibri" w:cs="Calibri"/>
          <w:lang w:eastAsia="en-GB"/>
        </w:rPr>
        <w:t>   </w:t>
      </w:r>
    </w:p>
    <w:p w:rsidR="00FB64DE" w:rsidRPr="00FB64DE" w:rsidRDefault="00FB64DE" w:rsidP="00FB64DE">
      <w:pPr>
        <w:spacing w:after="0" w:line="240" w:lineRule="auto"/>
        <w:textAlignment w:val="baseline"/>
        <w:rPr>
          <w:rFonts w:ascii="Segoe UI" w:eastAsia="Times New Roman" w:hAnsi="Segoe UI" w:cs="Segoe UI"/>
          <w:sz w:val="18"/>
          <w:szCs w:val="18"/>
          <w:lang w:eastAsia="en-GB"/>
        </w:rPr>
      </w:pPr>
      <w:r w:rsidRPr="00FB64DE">
        <w:rPr>
          <w:rFonts w:ascii="Calibri" w:eastAsia="Times New Roman" w:hAnsi="Calibri" w:cs="Calibri"/>
          <w:lang w:eastAsia="en-GB"/>
        </w:rPr>
        <w:t>   </w:t>
      </w:r>
    </w:p>
    <w:p w:rsidR="00FB64DE" w:rsidRDefault="00FB64DE" w:rsidP="00FB64DE">
      <w:pPr>
        <w:spacing w:after="0" w:line="240" w:lineRule="auto"/>
        <w:textAlignment w:val="baseline"/>
        <w:rPr>
          <w:rFonts w:ascii="Calibri" w:eastAsia="Times New Roman" w:hAnsi="Calibri" w:cs="Calibri"/>
          <w:sz w:val="32"/>
          <w:szCs w:val="32"/>
          <w:lang w:eastAsia="en-GB"/>
        </w:rPr>
      </w:pPr>
      <w:r w:rsidRPr="00FB64DE">
        <w:rPr>
          <w:rFonts w:ascii="Calibri" w:eastAsia="Times New Roman" w:hAnsi="Calibri" w:cs="Calibri"/>
          <w:sz w:val="32"/>
          <w:szCs w:val="32"/>
          <w:lang w:eastAsia="en-GB"/>
        </w:rPr>
        <w:t> </w:t>
      </w: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Pr="00FB64DE" w:rsidRDefault="000C26F3" w:rsidP="00FB64DE">
      <w:pPr>
        <w:spacing w:after="0" w:line="240" w:lineRule="auto"/>
        <w:textAlignment w:val="baseline"/>
        <w:rPr>
          <w:rFonts w:ascii="Segoe UI" w:eastAsia="Times New Roman" w:hAnsi="Segoe UI" w:cs="Segoe UI"/>
          <w:color w:val="0F4761"/>
          <w:sz w:val="18"/>
          <w:szCs w:val="18"/>
          <w:lang w:eastAsia="en-GB"/>
        </w:rPr>
      </w:pPr>
    </w:p>
    <w:p w:rsidR="000C26F3" w:rsidRPr="000C26F3" w:rsidRDefault="00FB64DE" w:rsidP="000C26F3">
      <w:pPr>
        <w:spacing w:after="0" w:line="240" w:lineRule="auto"/>
        <w:textAlignment w:val="baseline"/>
        <w:rPr>
          <w:rFonts w:eastAsia="Times New Roman" w:cstheme="minorHAnsi"/>
          <w:sz w:val="28"/>
          <w:szCs w:val="28"/>
          <w:lang w:eastAsia="en-GB"/>
        </w:rPr>
      </w:pPr>
      <w:r w:rsidRPr="000C26F3">
        <w:rPr>
          <w:rFonts w:eastAsia="Times New Roman" w:cstheme="minorHAnsi"/>
          <w:sz w:val="28"/>
          <w:szCs w:val="28"/>
          <w:lang w:eastAsia="en-GB"/>
        </w:rPr>
        <w:t>Table of Contents </w:t>
      </w:r>
    </w:p>
    <w:sdt>
      <w:sdtPr>
        <w:rPr>
          <w:rFonts w:asciiTheme="minorHAnsi" w:eastAsiaTheme="minorHAnsi" w:hAnsiTheme="minorHAnsi" w:cstheme="minorBidi"/>
          <w:color w:val="auto"/>
          <w:sz w:val="22"/>
          <w:szCs w:val="22"/>
          <w:lang w:val="en-GB"/>
        </w:rPr>
        <w:id w:val="2001305918"/>
        <w:docPartObj>
          <w:docPartGallery w:val="Table of Contents"/>
          <w:docPartUnique/>
        </w:docPartObj>
      </w:sdtPr>
      <w:sdtEndPr>
        <w:rPr>
          <w:b/>
          <w:bCs/>
          <w:noProof/>
        </w:rPr>
      </w:sdtEndPr>
      <w:sdtContent>
        <w:p w:rsidR="000C26F3" w:rsidRDefault="000C26F3">
          <w:pPr>
            <w:pStyle w:val="TOCHeading"/>
          </w:pPr>
          <w:r>
            <w:t>Contents</w:t>
          </w:r>
        </w:p>
        <w:p w:rsidR="00C32EA1" w:rsidRDefault="000C26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170040" w:history="1">
            <w:r w:rsidR="00C32EA1" w:rsidRPr="00E032F6">
              <w:rPr>
                <w:rStyle w:val="Hyperlink"/>
                <w:rFonts w:cstheme="minorHAnsi"/>
                <w:noProof/>
              </w:rPr>
              <w:t>1. Introduction</w:t>
            </w:r>
            <w:r w:rsidR="00C32EA1">
              <w:rPr>
                <w:noProof/>
                <w:webHidden/>
              </w:rPr>
              <w:tab/>
            </w:r>
            <w:r w:rsidR="00C32EA1">
              <w:rPr>
                <w:noProof/>
                <w:webHidden/>
              </w:rPr>
              <w:fldChar w:fldCharType="begin"/>
            </w:r>
            <w:r w:rsidR="00C32EA1">
              <w:rPr>
                <w:noProof/>
                <w:webHidden/>
              </w:rPr>
              <w:instrText xml:space="preserve"> PAGEREF _Toc211170040 \h </w:instrText>
            </w:r>
            <w:r w:rsidR="00C32EA1">
              <w:rPr>
                <w:noProof/>
                <w:webHidden/>
              </w:rPr>
            </w:r>
            <w:r w:rsidR="00C32EA1">
              <w:rPr>
                <w:noProof/>
                <w:webHidden/>
              </w:rPr>
              <w:fldChar w:fldCharType="separate"/>
            </w:r>
            <w:r w:rsidR="00C32EA1">
              <w:rPr>
                <w:noProof/>
                <w:webHidden/>
              </w:rPr>
              <w:t>3</w:t>
            </w:r>
            <w:r w:rsidR="00C32EA1">
              <w:rPr>
                <w:noProof/>
                <w:webHidden/>
              </w:rPr>
              <w:fldChar w:fldCharType="end"/>
            </w:r>
          </w:hyperlink>
        </w:p>
        <w:p w:rsidR="00C32EA1" w:rsidRDefault="00C32EA1">
          <w:pPr>
            <w:pStyle w:val="TOC1"/>
            <w:tabs>
              <w:tab w:val="right" w:leader="dot" w:pos="9016"/>
            </w:tabs>
            <w:rPr>
              <w:rFonts w:eastAsiaTheme="minorEastAsia"/>
              <w:noProof/>
              <w:lang w:eastAsia="en-GB"/>
            </w:rPr>
          </w:pPr>
          <w:hyperlink w:anchor="_Toc211170041" w:history="1">
            <w:r w:rsidRPr="00E032F6">
              <w:rPr>
                <w:rStyle w:val="Hyperlink"/>
                <w:rFonts w:cstheme="minorHAnsi"/>
                <w:noProof/>
              </w:rPr>
              <w:t>2. The benefits of individual developments</w:t>
            </w:r>
            <w:r>
              <w:rPr>
                <w:noProof/>
                <w:webHidden/>
              </w:rPr>
              <w:tab/>
            </w:r>
            <w:r>
              <w:rPr>
                <w:noProof/>
                <w:webHidden/>
              </w:rPr>
              <w:fldChar w:fldCharType="begin"/>
            </w:r>
            <w:r>
              <w:rPr>
                <w:noProof/>
                <w:webHidden/>
              </w:rPr>
              <w:instrText xml:space="preserve"> PAGEREF _Toc211170041 \h </w:instrText>
            </w:r>
            <w:r>
              <w:rPr>
                <w:noProof/>
                <w:webHidden/>
              </w:rPr>
            </w:r>
            <w:r>
              <w:rPr>
                <w:noProof/>
                <w:webHidden/>
              </w:rPr>
              <w:fldChar w:fldCharType="separate"/>
            </w:r>
            <w:r>
              <w:rPr>
                <w:noProof/>
                <w:webHidden/>
              </w:rPr>
              <w:t>4</w:t>
            </w:r>
            <w:r>
              <w:rPr>
                <w:noProof/>
                <w:webHidden/>
              </w:rPr>
              <w:fldChar w:fldCharType="end"/>
            </w:r>
          </w:hyperlink>
        </w:p>
        <w:p w:rsidR="00C32EA1" w:rsidRDefault="00C32EA1">
          <w:pPr>
            <w:pStyle w:val="TOC1"/>
            <w:tabs>
              <w:tab w:val="right" w:leader="dot" w:pos="9016"/>
            </w:tabs>
            <w:rPr>
              <w:rFonts w:eastAsiaTheme="minorEastAsia"/>
              <w:noProof/>
              <w:lang w:eastAsia="en-GB"/>
            </w:rPr>
          </w:pPr>
          <w:hyperlink w:anchor="_Toc211170042" w:history="1">
            <w:r w:rsidRPr="00E032F6">
              <w:rPr>
                <w:rStyle w:val="Hyperlink"/>
                <w:rFonts w:cstheme="minorHAnsi"/>
                <w:noProof/>
              </w:rPr>
              <w:t>3. Managing expectations in personal development</w:t>
            </w:r>
            <w:r>
              <w:rPr>
                <w:noProof/>
                <w:webHidden/>
              </w:rPr>
              <w:tab/>
            </w:r>
            <w:r>
              <w:rPr>
                <w:noProof/>
                <w:webHidden/>
              </w:rPr>
              <w:fldChar w:fldCharType="begin"/>
            </w:r>
            <w:r>
              <w:rPr>
                <w:noProof/>
                <w:webHidden/>
              </w:rPr>
              <w:instrText xml:space="preserve"> PAGEREF _Toc211170042 \h </w:instrText>
            </w:r>
            <w:r>
              <w:rPr>
                <w:noProof/>
                <w:webHidden/>
              </w:rPr>
            </w:r>
            <w:r>
              <w:rPr>
                <w:noProof/>
                <w:webHidden/>
              </w:rPr>
              <w:fldChar w:fldCharType="separate"/>
            </w:r>
            <w:r>
              <w:rPr>
                <w:noProof/>
                <w:webHidden/>
              </w:rPr>
              <w:t>5</w:t>
            </w:r>
            <w:r>
              <w:rPr>
                <w:noProof/>
                <w:webHidden/>
              </w:rPr>
              <w:fldChar w:fldCharType="end"/>
            </w:r>
          </w:hyperlink>
        </w:p>
        <w:p w:rsidR="00C32EA1" w:rsidRDefault="00C32EA1">
          <w:pPr>
            <w:pStyle w:val="TOC1"/>
            <w:tabs>
              <w:tab w:val="right" w:leader="dot" w:pos="9016"/>
            </w:tabs>
            <w:rPr>
              <w:rFonts w:eastAsiaTheme="minorEastAsia"/>
              <w:noProof/>
              <w:lang w:eastAsia="en-GB"/>
            </w:rPr>
          </w:pPr>
          <w:hyperlink w:anchor="_Toc211170043" w:history="1">
            <w:r w:rsidRPr="00E032F6">
              <w:rPr>
                <w:rStyle w:val="Hyperlink"/>
                <w:rFonts w:cstheme="minorHAnsi"/>
                <w:noProof/>
              </w:rPr>
              <w:t>4. Evaluating development vehicles and planning for need</w:t>
            </w:r>
            <w:r>
              <w:rPr>
                <w:noProof/>
                <w:webHidden/>
              </w:rPr>
              <w:tab/>
            </w:r>
            <w:r>
              <w:rPr>
                <w:noProof/>
                <w:webHidden/>
              </w:rPr>
              <w:fldChar w:fldCharType="begin"/>
            </w:r>
            <w:r>
              <w:rPr>
                <w:noProof/>
                <w:webHidden/>
              </w:rPr>
              <w:instrText xml:space="preserve"> PAGEREF _Toc211170043 \h </w:instrText>
            </w:r>
            <w:r>
              <w:rPr>
                <w:noProof/>
                <w:webHidden/>
              </w:rPr>
            </w:r>
            <w:r>
              <w:rPr>
                <w:noProof/>
                <w:webHidden/>
              </w:rPr>
              <w:fldChar w:fldCharType="separate"/>
            </w:r>
            <w:r>
              <w:rPr>
                <w:noProof/>
                <w:webHidden/>
              </w:rPr>
              <w:t>7</w:t>
            </w:r>
            <w:r>
              <w:rPr>
                <w:noProof/>
                <w:webHidden/>
              </w:rPr>
              <w:fldChar w:fldCharType="end"/>
            </w:r>
          </w:hyperlink>
        </w:p>
        <w:p w:rsidR="00C32EA1" w:rsidRDefault="00C32EA1">
          <w:pPr>
            <w:pStyle w:val="TOC1"/>
            <w:tabs>
              <w:tab w:val="right" w:leader="dot" w:pos="9016"/>
            </w:tabs>
            <w:rPr>
              <w:rFonts w:eastAsiaTheme="minorEastAsia"/>
              <w:noProof/>
              <w:lang w:eastAsia="en-GB"/>
            </w:rPr>
          </w:pPr>
          <w:hyperlink w:anchor="_Toc211170044" w:history="1">
            <w:r w:rsidRPr="00E032F6">
              <w:rPr>
                <w:rStyle w:val="Hyperlink"/>
                <w:rFonts w:cstheme="minorHAnsi"/>
                <w:noProof/>
              </w:rPr>
              <w:t>5. Conclusion</w:t>
            </w:r>
            <w:r>
              <w:rPr>
                <w:noProof/>
                <w:webHidden/>
              </w:rPr>
              <w:tab/>
            </w:r>
            <w:r>
              <w:rPr>
                <w:noProof/>
                <w:webHidden/>
              </w:rPr>
              <w:fldChar w:fldCharType="begin"/>
            </w:r>
            <w:r>
              <w:rPr>
                <w:noProof/>
                <w:webHidden/>
              </w:rPr>
              <w:instrText xml:space="preserve"> PAGEREF _Toc211170044 \h </w:instrText>
            </w:r>
            <w:r>
              <w:rPr>
                <w:noProof/>
                <w:webHidden/>
              </w:rPr>
            </w:r>
            <w:r>
              <w:rPr>
                <w:noProof/>
                <w:webHidden/>
              </w:rPr>
              <w:fldChar w:fldCharType="separate"/>
            </w:r>
            <w:r>
              <w:rPr>
                <w:noProof/>
                <w:webHidden/>
              </w:rPr>
              <w:t>9</w:t>
            </w:r>
            <w:r>
              <w:rPr>
                <w:noProof/>
                <w:webHidden/>
              </w:rPr>
              <w:fldChar w:fldCharType="end"/>
            </w:r>
          </w:hyperlink>
        </w:p>
        <w:p w:rsidR="00C32EA1" w:rsidRDefault="00C32EA1">
          <w:pPr>
            <w:pStyle w:val="TOC1"/>
            <w:tabs>
              <w:tab w:val="right" w:leader="dot" w:pos="9016"/>
            </w:tabs>
            <w:rPr>
              <w:rFonts w:eastAsiaTheme="minorEastAsia"/>
              <w:noProof/>
              <w:lang w:eastAsia="en-GB"/>
            </w:rPr>
          </w:pPr>
          <w:hyperlink w:anchor="_Toc211170045" w:history="1">
            <w:r w:rsidRPr="00E032F6">
              <w:rPr>
                <w:rStyle w:val="Hyperlink"/>
                <w:rFonts w:cstheme="minorHAnsi"/>
                <w:noProof/>
              </w:rPr>
              <w:t>6. References</w:t>
            </w:r>
            <w:r>
              <w:rPr>
                <w:noProof/>
                <w:webHidden/>
              </w:rPr>
              <w:tab/>
            </w:r>
            <w:r>
              <w:rPr>
                <w:noProof/>
                <w:webHidden/>
              </w:rPr>
              <w:fldChar w:fldCharType="begin"/>
            </w:r>
            <w:r>
              <w:rPr>
                <w:noProof/>
                <w:webHidden/>
              </w:rPr>
              <w:instrText xml:space="preserve"> PAGEREF _Toc211170045 \h </w:instrText>
            </w:r>
            <w:r>
              <w:rPr>
                <w:noProof/>
                <w:webHidden/>
              </w:rPr>
            </w:r>
            <w:r>
              <w:rPr>
                <w:noProof/>
                <w:webHidden/>
              </w:rPr>
              <w:fldChar w:fldCharType="separate"/>
            </w:r>
            <w:r>
              <w:rPr>
                <w:noProof/>
                <w:webHidden/>
              </w:rPr>
              <w:t>11</w:t>
            </w:r>
            <w:r>
              <w:rPr>
                <w:noProof/>
                <w:webHidden/>
              </w:rPr>
              <w:fldChar w:fldCharType="end"/>
            </w:r>
          </w:hyperlink>
        </w:p>
        <w:p w:rsidR="00C32EA1" w:rsidRDefault="00C32EA1">
          <w:pPr>
            <w:pStyle w:val="TOC1"/>
            <w:tabs>
              <w:tab w:val="right" w:leader="dot" w:pos="9016"/>
            </w:tabs>
            <w:rPr>
              <w:rFonts w:eastAsiaTheme="minorEastAsia"/>
              <w:noProof/>
              <w:lang w:eastAsia="en-GB"/>
            </w:rPr>
          </w:pPr>
          <w:hyperlink w:anchor="_Toc211170046" w:history="1">
            <w:r w:rsidRPr="00E032F6">
              <w:rPr>
                <w:rStyle w:val="Hyperlink"/>
                <w:rFonts w:cstheme="minorHAnsi"/>
                <w:noProof/>
              </w:rPr>
              <w:t>7. Appendix 1</w:t>
            </w:r>
            <w:r>
              <w:rPr>
                <w:noProof/>
                <w:webHidden/>
              </w:rPr>
              <w:tab/>
            </w:r>
            <w:r>
              <w:rPr>
                <w:noProof/>
                <w:webHidden/>
              </w:rPr>
              <w:fldChar w:fldCharType="begin"/>
            </w:r>
            <w:r>
              <w:rPr>
                <w:noProof/>
                <w:webHidden/>
              </w:rPr>
              <w:instrText xml:space="preserve"> PAGEREF _Toc211170046 \h </w:instrText>
            </w:r>
            <w:r>
              <w:rPr>
                <w:noProof/>
                <w:webHidden/>
              </w:rPr>
            </w:r>
            <w:r>
              <w:rPr>
                <w:noProof/>
                <w:webHidden/>
              </w:rPr>
              <w:fldChar w:fldCharType="separate"/>
            </w:r>
            <w:r>
              <w:rPr>
                <w:noProof/>
                <w:webHidden/>
              </w:rPr>
              <w:t>13</w:t>
            </w:r>
            <w:r>
              <w:rPr>
                <w:noProof/>
                <w:webHidden/>
              </w:rPr>
              <w:fldChar w:fldCharType="end"/>
            </w:r>
          </w:hyperlink>
        </w:p>
        <w:p w:rsidR="00C32EA1" w:rsidRDefault="00C32EA1">
          <w:pPr>
            <w:pStyle w:val="TOC1"/>
            <w:tabs>
              <w:tab w:val="right" w:leader="dot" w:pos="9016"/>
            </w:tabs>
            <w:rPr>
              <w:rFonts w:eastAsiaTheme="minorEastAsia"/>
              <w:noProof/>
              <w:lang w:eastAsia="en-GB"/>
            </w:rPr>
          </w:pPr>
          <w:hyperlink w:anchor="_Toc211170047" w:history="1">
            <w:r w:rsidRPr="00E032F6">
              <w:rPr>
                <w:rStyle w:val="Hyperlink"/>
                <w:rFonts w:cstheme="minorHAnsi"/>
                <w:noProof/>
              </w:rPr>
              <w:t>8. Appendix 2</w:t>
            </w:r>
            <w:r>
              <w:rPr>
                <w:noProof/>
                <w:webHidden/>
              </w:rPr>
              <w:tab/>
            </w:r>
            <w:r>
              <w:rPr>
                <w:noProof/>
                <w:webHidden/>
              </w:rPr>
              <w:fldChar w:fldCharType="begin"/>
            </w:r>
            <w:r>
              <w:rPr>
                <w:noProof/>
                <w:webHidden/>
              </w:rPr>
              <w:instrText xml:space="preserve"> PAGEREF _Toc211170047 \h </w:instrText>
            </w:r>
            <w:r>
              <w:rPr>
                <w:noProof/>
                <w:webHidden/>
              </w:rPr>
            </w:r>
            <w:r>
              <w:rPr>
                <w:noProof/>
                <w:webHidden/>
              </w:rPr>
              <w:fldChar w:fldCharType="separate"/>
            </w:r>
            <w:r>
              <w:rPr>
                <w:noProof/>
                <w:webHidden/>
              </w:rPr>
              <w:t>14</w:t>
            </w:r>
            <w:r>
              <w:rPr>
                <w:noProof/>
                <w:webHidden/>
              </w:rPr>
              <w:fldChar w:fldCharType="end"/>
            </w:r>
          </w:hyperlink>
        </w:p>
        <w:p w:rsidR="000C26F3" w:rsidRDefault="000C26F3">
          <w:r>
            <w:rPr>
              <w:b/>
              <w:bCs/>
              <w:noProof/>
            </w:rPr>
            <w:fldChar w:fldCharType="end"/>
          </w:r>
        </w:p>
      </w:sdtContent>
    </w:sdt>
    <w:p w:rsidR="00FB64DE" w:rsidRPr="000C26F3" w:rsidRDefault="00FB64DE" w:rsidP="000C26F3">
      <w:pPr>
        <w:pStyle w:val="NoSpacing"/>
        <w:rPr>
          <w:rFonts w:cstheme="minorHAnsi"/>
          <w:sz w:val="28"/>
          <w:szCs w:val="28"/>
          <w:lang w:eastAsia="en-GB"/>
        </w:rPr>
      </w:pPr>
    </w:p>
    <w:p w:rsidR="00FB64DE" w:rsidRPr="00FB64DE" w:rsidRDefault="00FB64DE" w:rsidP="000C26F3">
      <w:pPr>
        <w:pStyle w:val="NoSpacing"/>
        <w:rPr>
          <w:lang w:eastAsia="en-GB"/>
        </w:rPr>
      </w:pPr>
      <w:r w:rsidRPr="000C26F3">
        <w:rPr>
          <w:u w:val="single"/>
          <w:lang w:val="en-US" w:eastAsia="en-GB"/>
        </w:rPr>
        <w:t>​</w:t>
      </w:r>
      <w:r w:rsidRPr="000C26F3">
        <w:rPr>
          <w:lang w:eastAsia="en-GB"/>
        </w:rPr>
        <w:t> </w:t>
      </w:r>
    </w:p>
    <w:p w:rsidR="00FB64DE" w:rsidRPr="00FB64DE" w:rsidRDefault="00FB64DE" w:rsidP="000C26F3">
      <w:pPr>
        <w:pStyle w:val="NoSpacing"/>
        <w:rPr>
          <w:lang w:eastAsia="en-GB"/>
        </w:rPr>
      </w:pPr>
      <w:r w:rsidRPr="000C26F3">
        <w:rPr>
          <w:u w:val="single"/>
          <w:lang w:val="en-US" w:eastAsia="en-GB"/>
        </w:rPr>
        <w:t>​</w:t>
      </w:r>
      <w:r w:rsidRPr="000C26F3">
        <w:rPr>
          <w:lang w:eastAsia="en-GB"/>
        </w:rPr>
        <w:t> </w:t>
      </w:r>
    </w:p>
    <w:p w:rsidR="00FB64DE" w:rsidRPr="00FB64DE" w:rsidRDefault="00FB64DE" w:rsidP="000C26F3">
      <w:pPr>
        <w:pStyle w:val="NoSpacing"/>
        <w:rPr>
          <w:lang w:eastAsia="en-GB"/>
        </w:rPr>
      </w:pPr>
      <w:r w:rsidRPr="000C26F3">
        <w:rPr>
          <w:u w:val="single"/>
          <w:lang w:val="en-US" w:eastAsia="en-GB"/>
        </w:rPr>
        <w:t>​</w:t>
      </w:r>
      <w:r w:rsidRPr="000C26F3">
        <w:rPr>
          <w:lang w:eastAsia="en-GB"/>
        </w:rPr>
        <w:t> </w:t>
      </w:r>
    </w:p>
    <w:p w:rsidR="00FB64DE" w:rsidRPr="00FB64DE" w:rsidRDefault="00FB64DE" w:rsidP="000C26F3">
      <w:pPr>
        <w:pStyle w:val="NoSpacing"/>
        <w:rPr>
          <w:lang w:eastAsia="en-GB"/>
        </w:rPr>
      </w:pPr>
      <w:r w:rsidRPr="000C26F3">
        <w:rPr>
          <w:u w:val="single"/>
          <w:lang w:val="en-US" w:eastAsia="en-GB"/>
        </w:rPr>
        <w:t>​</w:t>
      </w:r>
      <w:r w:rsidRPr="000C26F3">
        <w:rPr>
          <w:lang w:eastAsia="en-GB"/>
        </w:rPr>
        <w:t> </w:t>
      </w:r>
    </w:p>
    <w:p w:rsidR="00FB64DE" w:rsidRPr="00FB64DE" w:rsidRDefault="00FB64DE" w:rsidP="000C26F3">
      <w:pPr>
        <w:pStyle w:val="NoSpacing"/>
        <w:rPr>
          <w:lang w:eastAsia="en-GB"/>
        </w:rPr>
      </w:pPr>
      <w:r w:rsidRPr="000C26F3">
        <w:rPr>
          <w:u w:val="single"/>
          <w:lang w:val="en-US" w:eastAsia="en-GB"/>
        </w:rPr>
        <w:t>​</w:t>
      </w:r>
      <w:r w:rsidRPr="000C26F3">
        <w:rPr>
          <w:lang w:val="en-US" w:eastAsia="en-GB"/>
        </w:rPr>
        <w:t>​</w:t>
      </w:r>
      <w:r w:rsidRPr="000C26F3">
        <w:rPr>
          <w:lang w:eastAsia="en-GB"/>
        </w:rPr>
        <w:t> </w:t>
      </w:r>
    </w:p>
    <w:p w:rsidR="00FB64DE" w:rsidRPr="00FB64DE" w:rsidRDefault="00FB64DE" w:rsidP="000C26F3">
      <w:pPr>
        <w:pStyle w:val="NoSpacing"/>
        <w:rPr>
          <w:lang w:eastAsia="en-GB"/>
        </w:rPr>
      </w:pPr>
      <w:r w:rsidRPr="000C26F3">
        <w:rPr>
          <w:lang w:eastAsia="en-GB"/>
        </w:rPr>
        <w:t> </w:t>
      </w:r>
    </w:p>
    <w:p w:rsidR="000C26F3" w:rsidRDefault="000C26F3" w:rsidP="000C26F3">
      <w:pPr>
        <w:pStyle w:val="NoSpacing"/>
      </w:pPr>
    </w:p>
    <w:p w:rsidR="000C26F3" w:rsidRDefault="000C26F3" w:rsidP="000C26F3">
      <w:pPr>
        <w:pStyle w:val="NoSpacing"/>
      </w:pPr>
    </w:p>
    <w:p w:rsidR="000C26F3" w:rsidRDefault="000C26F3" w:rsidP="000C26F3">
      <w:pPr>
        <w:pStyle w:val="Heading1"/>
        <w:rPr>
          <w:rFonts w:asciiTheme="minorHAnsi" w:hAnsiTheme="minorHAnsi" w:cstheme="minorHAnsi"/>
          <w:color w:val="auto"/>
          <w:sz w:val="28"/>
          <w:szCs w:val="28"/>
        </w:rPr>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0C26F3" w:rsidRDefault="000C26F3" w:rsidP="000C26F3">
      <w:pPr>
        <w:pStyle w:val="NoSpacing"/>
      </w:pPr>
    </w:p>
    <w:p w:rsidR="00FB64DE" w:rsidRPr="000C26F3" w:rsidRDefault="00FB64DE" w:rsidP="006B1C92">
      <w:pPr>
        <w:pStyle w:val="Heading1"/>
        <w:spacing w:before="0"/>
        <w:rPr>
          <w:rFonts w:asciiTheme="minorHAnsi" w:hAnsiTheme="minorHAnsi" w:cstheme="minorHAnsi"/>
          <w:color w:val="auto"/>
          <w:sz w:val="28"/>
          <w:szCs w:val="28"/>
        </w:rPr>
      </w:pPr>
      <w:bookmarkStart w:id="1" w:name="_Toc211170040"/>
      <w:r w:rsidRPr="000C26F3">
        <w:rPr>
          <w:rFonts w:asciiTheme="minorHAnsi" w:hAnsiTheme="minorHAnsi" w:cstheme="minorHAnsi"/>
          <w:color w:val="auto"/>
          <w:sz w:val="28"/>
          <w:szCs w:val="28"/>
        </w:rPr>
        <w:t>1. Introduction</w:t>
      </w:r>
      <w:bookmarkEnd w:id="1"/>
      <w:r w:rsidRPr="000C26F3">
        <w:rPr>
          <w:rFonts w:asciiTheme="minorHAnsi" w:hAnsiTheme="minorHAnsi" w:cstheme="minorHAnsi"/>
          <w:color w:val="auto"/>
          <w:sz w:val="28"/>
          <w:szCs w:val="28"/>
        </w:rPr>
        <w:t>  </w:t>
      </w:r>
    </w:p>
    <w:p w:rsidR="00FB64DE" w:rsidRPr="00C23F7E" w:rsidRDefault="00FB64DE" w:rsidP="00C23F7E">
      <w:pPr>
        <w:pStyle w:val="NoSpacing"/>
        <w:spacing w:line="360" w:lineRule="auto"/>
        <w:jc w:val="both"/>
      </w:pPr>
      <w:r w:rsidRPr="00543312">
        <w:t> </w:t>
      </w:r>
      <w:r w:rsidR="00543312">
        <w:t>A learning organisation</w:t>
      </w:r>
      <w:r w:rsidR="00D3792B">
        <w:t xml:space="preserve"> is a workplace environment where employees and employers acquire the skills, confidence and knowledge of their role (Dopson, 2023). A learning organisation c</w:t>
      </w:r>
      <w:r w:rsidR="00543312">
        <w:t>an benefit both the employee and the employer</w:t>
      </w:r>
      <w:r w:rsidR="00E226FE">
        <w:t xml:space="preserve"> (Dopson, 2023)</w:t>
      </w:r>
      <w:r w:rsidR="00543312">
        <w:t xml:space="preserve">. </w:t>
      </w:r>
      <w:r w:rsidR="00EC376C">
        <w:t>A learning organisation</w:t>
      </w:r>
      <w:r w:rsidR="00543312">
        <w:t xml:space="preserve"> is beneficial to the employee because they are acquiring new knowledge and skills </w:t>
      </w:r>
      <w:r w:rsidR="00EC376C">
        <w:t>that</w:t>
      </w:r>
      <w:r w:rsidR="00543312">
        <w:t xml:space="preserve"> can</w:t>
      </w:r>
      <w:r w:rsidR="00EC376C">
        <w:t xml:space="preserve"> be</w:t>
      </w:r>
      <w:r w:rsidR="00543312">
        <w:t xml:space="preserve"> adapt</w:t>
      </w:r>
      <w:r w:rsidR="00EC376C">
        <w:t>ed</w:t>
      </w:r>
      <w:r w:rsidR="00543312">
        <w:t xml:space="preserve"> to many different challenges and opportunities</w:t>
      </w:r>
      <w:r w:rsidR="00EC376C">
        <w:t xml:space="preserve"> put in front of them</w:t>
      </w:r>
      <w:r w:rsidR="00543312">
        <w:t>.</w:t>
      </w:r>
      <w:r w:rsidR="004C58C0">
        <w:t xml:space="preserve"> From an </w:t>
      </w:r>
      <w:r w:rsidR="00422945">
        <w:t>employer’s</w:t>
      </w:r>
      <w:r w:rsidR="004C58C0">
        <w:t xml:space="preserve"> perspective, having a trained and qualified team ensures the services provided are up to the standard expected. This will be explored further throughout this report.</w:t>
      </w:r>
    </w:p>
    <w:p w:rsidR="004C58C0" w:rsidRDefault="00C23F7E" w:rsidP="00C23F7E">
      <w:pPr>
        <w:pStyle w:val="NoSpacing"/>
        <w:spacing w:line="360" w:lineRule="auto"/>
        <w:jc w:val="both"/>
      </w:pPr>
      <w:r w:rsidRPr="00C23F7E">
        <w:t>In teaching and learning, assessment is defined as a procedure applied by instructors and students during instruction through which teachers provide necessary feedbacks to modify ongoing learning and teaching to develop learners’ attainment of planned instructional aims (</w:t>
      </w:r>
      <w:r>
        <w:t>Wilson &amp; Sloane</w:t>
      </w:r>
      <w:r w:rsidRPr="00C23F7E">
        <w:t>, </w:t>
      </w:r>
      <w:hyperlink r:id="rId11" w:anchor="CR56" w:history="1">
        <w:r w:rsidRPr="00C23F7E">
          <w:rPr>
            <w:rStyle w:val="Hyperlink"/>
            <w:color w:val="auto"/>
            <w:u w:val="none"/>
          </w:rPr>
          <w:t>20</w:t>
        </w:r>
        <w:r>
          <w:rPr>
            <w:rStyle w:val="Hyperlink"/>
            <w:color w:val="auto"/>
            <w:u w:val="none"/>
          </w:rPr>
          <w:t>0</w:t>
        </w:r>
        <w:r w:rsidRPr="00C23F7E">
          <w:rPr>
            <w:rStyle w:val="Hyperlink"/>
            <w:color w:val="auto"/>
            <w:u w:val="none"/>
          </w:rPr>
          <w:t>0</w:t>
        </w:r>
      </w:hyperlink>
      <w:r w:rsidRPr="00C23F7E">
        <w:t>).</w:t>
      </w:r>
      <w:r>
        <w:t xml:space="preserve"> </w:t>
      </w:r>
      <w:r w:rsidR="004C58C0">
        <w:t>Cambrian Training Company (CTC) is a work-based-learning training provider, who provide qualifications and apprenticeships to people of all backgrounds. The employees of CTC</w:t>
      </w:r>
      <w:r w:rsidR="00EC376C">
        <w:t>,</w:t>
      </w:r>
      <w:r w:rsidR="004C58C0">
        <w:t xml:space="preserve"> Training Officers (TOs)</w:t>
      </w:r>
      <w:r w:rsidR="00EC376C">
        <w:t xml:space="preserve">, </w:t>
      </w:r>
      <w:r w:rsidR="004C58C0">
        <w:t xml:space="preserve">work to ensure their learners become qualified in their field, the employers of CTC ensure their employees are qualified for their role by putting them through the A1 </w:t>
      </w:r>
      <w:r w:rsidR="00CF21C9">
        <w:t>assessor’s</w:t>
      </w:r>
      <w:r w:rsidR="004C58C0">
        <w:t xml:space="preserve"> award when they start the company. The TOs use Progress Achievement Records (PARs) on their learners after every visit which highlights what they have done since the previous session, what was done today and provide objectives of what the learner is expected to complete for the next however many visits. The employers of CTC will conduct a monthly, quarterly and yearly appraisal on each individual TO.</w:t>
      </w:r>
    </w:p>
    <w:p w:rsidR="00FB64DE" w:rsidRPr="006B1C92" w:rsidRDefault="004C58C0" w:rsidP="006B1C92">
      <w:pPr>
        <w:pStyle w:val="NoSpacing"/>
        <w:spacing w:line="360" w:lineRule="auto"/>
        <w:jc w:val="both"/>
        <w:rPr>
          <w:rFonts w:cstheme="minorHAnsi"/>
        </w:rPr>
      </w:pPr>
      <w:r>
        <w:rPr>
          <w:rFonts w:cstheme="minorHAnsi"/>
        </w:rPr>
        <w:t xml:space="preserve">The aim of this report is to identify the benefits of individual developments, how to manage expectations within personal development and evaluate </w:t>
      </w:r>
      <w:r w:rsidR="006B1C92">
        <w:rPr>
          <w:rFonts w:cstheme="minorHAnsi"/>
        </w:rPr>
        <w:t>development vehicles and how to plan for needs.</w:t>
      </w:r>
    </w:p>
    <w:p w:rsidR="00FB64DE" w:rsidRPr="000C26F3" w:rsidRDefault="00FB64DE" w:rsidP="00422945">
      <w:pPr>
        <w:pStyle w:val="Heading1"/>
        <w:pageBreakBefore/>
        <w:spacing w:before="0"/>
        <w:rPr>
          <w:rFonts w:asciiTheme="minorHAnsi" w:hAnsiTheme="minorHAnsi" w:cstheme="minorHAnsi"/>
          <w:color w:val="auto"/>
          <w:sz w:val="28"/>
          <w:szCs w:val="28"/>
        </w:rPr>
      </w:pPr>
      <w:bookmarkStart w:id="2" w:name="_Toc211170041"/>
      <w:r w:rsidRPr="000C26F3">
        <w:rPr>
          <w:rFonts w:asciiTheme="minorHAnsi" w:hAnsiTheme="minorHAnsi" w:cstheme="minorHAnsi"/>
          <w:color w:val="auto"/>
          <w:sz w:val="28"/>
          <w:szCs w:val="28"/>
        </w:rPr>
        <w:lastRenderedPageBreak/>
        <w:t>2. The benefits of individual developments</w:t>
      </w:r>
      <w:bookmarkEnd w:id="2"/>
    </w:p>
    <w:p w:rsidR="00B9795B" w:rsidRPr="00B9795B" w:rsidRDefault="00B9795B" w:rsidP="00E63EE6">
      <w:pPr>
        <w:pStyle w:val="NoSpacing"/>
        <w:spacing w:line="360" w:lineRule="auto"/>
        <w:jc w:val="both"/>
      </w:pPr>
      <w:r w:rsidRPr="00B9795B">
        <w:t>The Harvard Business Review article states that organisations slow to adopt personal development will be forced to deal with unsatisfied and unmotivated employees (Roslansky, 2023). This is supported by the University of Sunderland, which states that colleagues are 2.9 times more likely to engage if there are opportunities to learn and grow in their field (Brooks, 2023).</w:t>
      </w:r>
    </w:p>
    <w:p w:rsidR="00B9795B" w:rsidRPr="00B9795B" w:rsidRDefault="00B9795B" w:rsidP="00E63EE6">
      <w:pPr>
        <w:pStyle w:val="NoSpacing"/>
        <w:spacing w:line="360" w:lineRule="auto"/>
        <w:jc w:val="both"/>
      </w:pPr>
      <w:r w:rsidRPr="00B9795B">
        <w:t>In CTC, personal growth is crucial for a TO in terms of promotion up the career ladder and for monetary value. When an unqualified TO is hired, they start with a salary of £24,500. Once they have completed their A1 assessor qualification, their caseload increases to 36 learners, and their pay goes up to £28,000. An assessor can then go up to being on 42 learners and delivering more qualifications with a salary of £31,000. They can then complete their IQA qualification, where they will have an IQA responsibility to second assess a TOs work and will have a salary of £33,500.</w:t>
      </w:r>
    </w:p>
    <w:p w:rsidR="00B9795B" w:rsidRPr="00B9795B" w:rsidRDefault="00B9795B" w:rsidP="00E63EE6">
      <w:pPr>
        <w:pStyle w:val="NoSpacing"/>
        <w:spacing w:line="360" w:lineRule="auto"/>
        <w:jc w:val="both"/>
      </w:pPr>
      <w:r w:rsidRPr="00B9795B">
        <w:t>To review the TOs performance and to gauge an idea of what they want to gain out of their career, the manager will conduct an appraisal on the team member (Appendix 1). This is a positive way for the manager to understand the needs of the colleague and work out what to do to support them. In this aspect, a CPD, along with gauging the needs of the employee by using Maslow's Hierarchy of Needs, is a good way of finding out what their motivations are and how the manager can further boost them in the right direction. The CPD standards cite that addressing the needs of your employees, using Abraham Maslow's theory, contributes to creating a supportive and motivating environment (Alexander, N. 2024)</w:t>
      </w:r>
    </w:p>
    <w:p w:rsidR="00E63EE6" w:rsidRDefault="00B9795B" w:rsidP="00E63EE6">
      <w:pPr>
        <w:pStyle w:val="NoSpacing"/>
        <w:spacing w:line="360" w:lineRule="auto"/>
        <w:jc w:val="both"/>
      </w:pPr>
      <w:r w:rsidRPr="00B9795B">
        <w:t>Looking through the lenses of an employee of CTC, this is a sound way to gauge their needs and to progress up the career ladder. As CTC is a Work-Based Learning (WBL) training provider, a key part of their job description is to see learners within 61 days. A way to prove this is by using a Progress Achievement Record (PAR). As shown in Appendix 2, it includes details of what the learner has done since the last visit and completed at the current visit, as well as targets for the next visit and the date of the next visit. This is important not only for remaining compliant with KPIs but also for the learner to understand how far they have come already and what the future sessions will entail, providing clarity.</w:t>
      </w:r>
    </w:p>
    <w:p w:rsidR="00E63EE6" w:rsidRDefault="00851A43" w:rsidP="00E63EE6">
      <w:pPr>
        <w:pStyle w:val="NoSpacing"/>
        <w:spacing w:line="360" w:lineRule="auto"/>
        <w:jc w:val="both"/>
      </w:pPr>
      <w:r w:rsidRPr="00851A43">
        <w:t>The models that CTC use for learning and development work well for the company, but there seems to be no evaluation of progress. The Kirkpatrick Model could be a useful tool for CTC to track the progress, where the manager can identify how the colleague has responded to previous progress, learn what colleagues have retained in the past year, identify any changes in behaviour and then measure long-term benefits. When utilising the Kirkpatrick Model properly, the University of San Diego states that it provides tools to capture and analyse data to measure goals ranging from short-term to long-term (University of San Diego 2025).</w:t>
      </w:r>
    </w:p>
    <w:p w:rsidR="00851A43" w:rsidRDefault="00851A43" w:rsidP="00E63EE6">
      <w:pPr>
        <w:pStyle w:val="NoSpacing"/>
        <w:spacing w:line="360" w:lineRule="auto"/>
        <w:jc w:val="both"/>
      </w:pPr>
    </w:p>
    <w:p w:rsidR="00FB64DE" w:rsidRPr="000C26F3" w:rsidRDefault="00FB64DE" w:rsidP="00422945">
      <w:pPr>
        <w:pStyle w:val="Heading1"/>
        <w:pageBreakBefore/>
        <w:rPr>
          <w:rFonts w:asciiTheme="minorHAnsi" w:hAnsiTheme="minorHAnsi" w:cstheme="minorHAnsi"/>
          <w:color w:val="auto"/>
          <w:sz w:val="28"/>
          <w:szCs w:val="28"/>
        </w:rPr>
      </w:pPr>
      <w:bookmarkStart w:id="3" w:name="_Toc211170042"/>
      <w:r w:rsidRPr="000C26F3">
        <w:rPr>
          <w:rFonts w:asciiTheme="minorHAnsi" w:hAnsiTheme="minorHAnsi" w:cstheme="minorHAnsi"/>
          <w:color w:val="auto"/>
          <w:sz w:val="28"/>
          <w:szCs w:val="28"/>
        </w:rPr>
        <w:lastRenderedPageBreak/>
        <w:t>3. Managing expectations in personal development</w:t>
      </w:r>
      <w:bookmarkEnd w:id="3"/>
    </w:p>
    <w:p w:rsidR="00C51AA9" w:rsidRPr="00C51AA9" w:rsidRDefault="00C51AA9" w:rsidP="00CF21C9">
      <w:pPr>
        <w:pStyle w:val="NoSpacing"/>
        <w:spacing w:line="360" w:lineRule="auto"/>
        <w:jc w:val="both"/>
        <w:rPr>
          <w:lang w:eastAsia="en-GB"/>
        </w:rPr>
      </w:pPr>
      <w:r w:rsidRPr="00C51AA9">
        <w:rPr>
          <w:lang w:eastAsia="en-GB"/>
        </w:rPr>
        <w:t>CTC uses formal appraisals to manage Key Performance Indicators (KPIs) of the TO, assess overall performance and set future objectives. CTCs are funded by the Welsh Government; therefore, naturally, the company will be stricter on performance, which is why the managers do them monthly, quarterly and annually.</w:t>
      </w:r>
    </w:p>
    <w:p w:rsidR="00C51AA9" w:rsidRPr="00C51AA9" w:rsidRDefault="00C51AA9" w:rsidP="00602351">
      <w:pPr>
        <w:pStyle w:val="NoSpacing"/>
        <w:spacing w:line="360" w:lineRule="auto"/>
        <w:jc w:val="both"/>
        <w:rPr>
          <w:lang w:eastAsia="en-GB"/>
        </w:rPr>
      </w:pPr>
      <w:r w:rsidRPr="00C51AA9">
        <w:rPr>
          <w:lang w:eastAsia="en-GB"/>
        </w:rPr>
        <w:t>For the monthly appraisals, the manager will use the YETI software and the learning assistant system to gather the information needed. The information that the manager will be looking for includes; Learners within 61-day compliance, learner progress on their portfolio and the monthly induction excel spreadsheet. This information is important for the manager to gather because, for example, if a learner is over 61 days, they can sit with the TO and find out what the problem is and how best to assist. The hospitality team are very transparent with their numbers, compared to other departments, because the hospitality team get the most funding from the Welsh Government; we get £1.8 million annually compared to the business admin team, who are funded £750,000. The manager is always transparent with this information because the more learners we induct and inherit, the more funding we will get. The appraisals in general are a beneficial way for the manager to find out if a team member is slacking, because they have access to all of the figures, and if they are seeing a running pattern with one person in particular, then they can provide extra training or coaching and counselling to bring them back up to standard.</w:t>
      </w:r>
    </w:p>
    <w:p w:rsidR="00AD126A" w:rsidRDefault="00C51AA9" w:rsidP="00AD126A">
      <w:pPr>
        <w:pStyle w:val="NoSpacing"/>
        <w:spacing w:line="360" w:lineRule="auto"/>
        <w:jc w:val="both"/>
        <w:rPr>
          <w:lang w:eastAsia="en-GB"/>
        </w:rPr>
      </w:pPr>
      <w:r w:rsidRPr="00C51AA9">
        <w:rPr>
          <w:lang w:eastAsia="en-GB"/>
        </w:rPr>
        <w:t xml:space="preserve">Quarterly appraisals tend to be a more scrutinised version of the learner’s portfolio. For example, they will be looking at the timely submission of PARs and evidence, as well as the length of time it takes to close down units and portfolios. The manager will review the year's goals and meet with the TO </w:t>
      </w:r>
      <w:proofErr w:type="spellStart"/>
      <w:r w:rsidRPr="00C51AA9">
        <w:rPr>
          <w:lang w:eastAsia="en-GB"/>
        </w:rPr>
        <w:t>to</w:t>
      </w:r>
      <w:proofErr w:type="spellEnd"/>
      <w:r w:rsidRPr="00C51AA9">
        <w:rPr>
          <w:lang w:eastAsia="en-GB"/>
        </w:rPr>
        <w:t xml:space="preserve"> see what has been done and what is in progress.</w:t>
      </w:r>
    </w:p>
    <w:p w:rsidR="00C51AA9" w:rsidRPr="00C51AA9" w:rsidRDefault="00C51AA9" w:rsidP="00AD126A">
      <w:pPr>
        <w:pStyle w:val="NoSpacing"/>
        <w:spacing w:line="360" w:lineRule="auto"/>
        <w:jc w:val="both"/>
        <w:rPr>
          <w:lang w:eastAsia="en-GB"/>
        </w:rPr>
      </w:pPr>
      <w:r w:rsidRPr="00C51AA9">
        <w:rPr>
          <w:lang w:eastAsia="en-GB"/>
        </w:rPr>
        <w:t xml:space="preserve">The annual appraisals will go into more depth; they will look at all of the key points previously mentioned but will look at the whole contract year, for example, how much money the TO has brought in, the standard is £100,000 per TO; some may have a higher figure due to more learners or learners who are on a higher apprenticeship. The manager will perform a performance check with the TO </w:t>
      </w:r>
      <w:proofErr w:type="spellStart"/>
      <w:r w:rsidRPr="00C51AA9">
        <w:rPr>
          <w:lang w:eastAsia="en-GB"/>
        </w:rPr>
        <w:t>to</w:t>
      </w:r>
      <w:proofErr w:type="spellEnd"/>
      <w:r w:rsidRPr="00C51AA9">
        <w:rPr>
          <w:lang w:eastAsia="en-GB"/>
        </w:rPr>
        <w:t xml:space="preserve"> come to an agreement on where they are at the time. They will score it on improvement needed, meets expectations and Exceeds expectations. It then gives the manager the opportunity to set new targets if needed and discuss potential promotions if it is acceptable.</w:t>
      </w:r>
    </w:p>
    <w:p w:rsidR="00C51AA9" w:rsidRPr="00C51AA9" w:rsidRDefault="00C51AA9" w:rsidP="00C51AA9">
      <w:pPr>
        <w:pStyle w:val="NoSpacing"/>
        <w:spacing w:line="360" w:lineRule="auto"/>
        <w:jc w:val="both"/>
        <w:rPr>
          <w:lang w:eastAsia="en-GB"/>
        </w:rPr>
      </w:pPr>
      <w:r w:rsidRPr="00C51AA9">
        <w:rPr>
          <w:lang w:eastAsia="en-GB"/>
        </w:rPr>
        <w:t xml:space="preserve">In the annual appraisal, the manager will tend to follow the Locke and Latham Goal Setting Theory. The Goal Setting Theory is based on Locke and Latham from the 1990s, where they believed goal setting should follow 5 simple theories; Clarity, Challenge, Acceptance, Feedback and Complexity. For clarity, having clear and concise goals and objectives contributes to motivation; for challenges, they need to be at the correct level in order to be motivating; for motivation, the individual needs to accept the goal and show commitment; when showing commitment, the individual needs to have timely and </w:t>
      </w:r>
      <w:r w:rsidRPr="00C51AA9">
        <w:rPr>
          <w:lang w:eastAsia="en-GB"/>
        </w:rPr>
        <w:lastRenderedPageBreak/>
        <w:t>accurate performance-related feedback; and finally, for complexity, the manager will set more than one goal and break a particular big task into bite-sized pieces (Carrier, 2019). Goal-Setting Theory to show how specific, challenging goals, when communicated effectively, can motivate employees.</w:t>
      </w:r>
    </w:p>
    <w:p w:rsidR="00AD126A" w:rsidRDefault="00C51AA9" w:rsidP="00C51AA9">
      <w:pPr>
        <w:pStyle w:val="NoSpacing"/>
        <w:spacing w:line="360" w:lineRule="auto"/>
        <w:jc w:val="both"/>
        <w:rPr>
          <w:lang w:eastAsia="en-GB"/>
        </w:rPr>
      </w:pPr>
      <w:r w:rsidRPr="00C51AA9">
        <w:rPr>
          <w:lang w:eastAsia="en-GB"/>
        </w:rPr>
        <w:t>To understand a TO's position in the company, it is beneficial to understand the career pathways available to them. The TO starts off unqualified and can undertake an A1 assessor's award to become qualified, which comes with a caseload of 36 learners. A TO can undergo Essential Skills training so they can provide Essential Skills to the learners who need it; this comes with a caseload of 42. Once they have this, then the Training Officer can undertake IQA training to become a qualified IQA. An IQA will not only have a full caseload but will also be assessing a specific TO's portfolio in order for a learner to successfully complete their qualification. The next path for them is a Curriculum Lead where they will set standardised approaches for TOs to follow and keep TOs up to date with the updated standards from City &amp; Guilds and the EWC.</w:t>
      </w:r>
    </w:p>
    <w:p w:rsidR="00C51AA9" w:rsidRPr="00C51AA9" w:rsidRDefault="00C51AA9" w:rsidP="00C51AA9">
      <w:pPr>
        <w:pStyle w:val="NoSpacing"/>
        <w:spacing w:line="360" w:lineRule="auto"/>
        <w:jc w:val="both"/>
        <w:rPr>
          <w:lang w:eastAsia="en-GB"/>
        </w:rPr>
      </w:pPr>
      <w:r w:rsidRPr="00C51AA9">
        <w:rPr>
          <w:lang w:eastAsia="en-GB"/>
        </w:rPr>
        <w:t>There seems to be a clear pathway for a TO; however, it feels like the pathway hasn’t been considered enough. For example, there are Essential Skills tutors who do not follow the same standards as the company and can be the number one catalyst for delays in a qualification being complete. There have been times in CTC where a TO isn’t at 42 learners but has particular learners who do not get on with the essential skills tutors, but the TO is not able to take on this training so the learner can have the same TO for the entire qualification only because they aren’t on a 42 caseload. This is mainly because you are on a higher pay bracket than previously. In this sense, there should be mitigations in order for the learner to be comfortable with their qualification. If the reason they aren’t allowing TOs to undergo the essential skills training is because of the pay bracket, then it would be much easier to scrap that option of a pay jump and either set the TOs with essential skills training in conjunction with the A1 assessors award or have there be a clear separation between the essential skills department and the TOs, because at the moment essential skills tutors are in the same pay bracket as a fully qualified TO for doing less work.</w:t>
      </w:r>
    </w:p>
    <w:p w:rsidR="00FB64DE" w:rsidRPr="000C26F3" w:rsidRDefault="00FB64DE" w:rsidP="00422945">
      <w:pPr>
        <w:pStyle w:val="Heading1"/>
        <w:pageBreakBefore/>
        <w:rPr>
          <w:rFonts w:asciiTheme="minorHAnsi" w:hAnsiTheme="minorHAnsi" w:cstheme="minorHAnsi"/>
          <w:color w:val="auto"/>
          <w:sz w:val="28"/>
          <w:szCs w:val="28"/>
        </w:rPr>
      </w:pPr>
      <w:bookmarkStart w:id="4" w:name="_Toc211170043"/>
      <w:r w:rsidRPr="000C26F3">
        <w:rPr>
          <w:rFonts w:asciiTheme="minorHAnsi" w:hAnsiTheme="minorHAnsi" w:cstheme="minorHAnsi"/>
          <w:color w:val="auto"/>
          <w:sz w:val="28"/>
          <w:szCs w:val="28"/>
        </w:rPr>
        <w:lastRenderedPageBreak/>
        <w:t>4. Evaluating development vehicles and planning for need</w:t>
      </w:r>
      <w:bookmarkEnd w:id="4"/>
    </w:p>
    <w:p w:rsidR="00BD4CF5" w:rsidRDefault="00BD4CF5" w:rsidP="00BD4CF5">
      <w:pPr>
        <w:pStyle w:val="NoSpacing"/>
        <w:spacing w:line="360" w:lineRule="auto"/>
        <w:jc w:val="both"/>
      </w:pPr>
      <w:r>
        <w:t xml:space="preserve">There are multiple ways in which CTC as a </w:t>
      </w:r>
      <w:r>
        <w:t>whole assist</w:t>
      </w:r>
      <w:r>
        <w:t xml:space="preserve"> in the learning and development process. To start with the learners, a TO will provide both formative feedback and a plan for need using the objectives section of the PAR. Stanford University describes formative feedback that is given throughout the duration of the course to improve and grow (Stanford, n.d.). Formative feedback is used in CTC during the PARs of the qualifications, where there is a box to talk about the evidence provided on the portfolio since the last visit. There is also an option to put an assessor comment where they can provide feedback on the learner’s evidence and explain what is needed to be completed next. The PAR also has a box for the learner to confirm what the TO has set them; the employer also has a box to track the progress of their employee.</w:t>
      </w:r>
    </w:p>
    <w:p w:rsidR="00BD4CF5" w:rsidRDefault="00BD4CF5" w:rsidP="00BD4CF5">
      <w:pPr>
        <w:pStyle w:val="NoSpacing"/>
        <w:spacing w:line="360" w:lineRule="auto"/>
        <w:jc w:val="both"/>
      </w:pPr>
      <w:r>
        <w:t>The PAR is the main tool that is used; therefore, it is vitally important that this is filled in correctly. however, the disadvantage to the PAR is that it is very time-consuming in regard to sessions with the learner. It takes up at least 30 minutes of the session. As good as it is to have all the information, the data team of CTC needs to upload it to the Learning Assistant portfolio. It is very rare that they upload it in time, and it can be time-consuming when closing down units because we have to email the data team and ask them to upload it.</w:t>
      </w:r>
    </w:p>
    <w:p w:rsidR="00BD4CF5" w:rsidRDefault="00BD4CF5" w:rsidP="00BD4CF5">
      <w:pPr>
        <w:pStyle w:val="NoSpacing"/>
        <w:spacing w:line="360" w:lineRule="auto"/>
        <w:jc w:val="both"/>
      </w:pPr>
      <w:r>
        <w:t xml:space="preserve">Summative feedback is used when a unit on their portfolio has been closed. The formative feedback for each piece of evidence that has been uploaded is included in the unit, and the summative will sum up the unit. </w:t>
      </w:r>
      <w:proofErr w:type="spellStart"/>
      <w:r>
        <w:t>Mohabuth</w:t>
      </w:r>
      <w:proofErr w:type="spellEnd"/>
      <w:r>
        <w:t xml:space="preserve"> and Ahmed (2015) describe summative feedback as providing overall feedback based on judgement. When providing summative feedback, the TO will bring everything together, such as evidence previously provided, and if the TO believes that the evidence successfully ticks off all boxes in the criteria, then the TO will accept the unit and provide summative feedback. This will show that the learner has competence in this particular unit. The IQA will then look at the evidence and the summative feedback and assess whether the unit has been successfully closed or if there needs to be more evidence.</w:t>
      </w:r>
    </w:p>
    <w:p w:rsidR="00BD4CF5" w:rsidRDefault="00BD4CF5" w:rsidP="00BD4CF5">
      <w:pPr>
        <w:pStyle w:val="NoSpacing"/>
        <w:spacing w:line="360" w:lineRule="auto"/>
        <w:jc w:val="both"/>
      </w:pPr>
      <w:r>
        <w:t xml:space="preserve">There are plenty of positives to Formative feedback. For example, the TO can identify gaps in learning and can provide the right support that is needed. Not only this, but formative feedback can also boost engagement between learner and TO. For example, the learner will see </w:t>
      </w:r>
      <w:r>
        <w:t>first-hand what</w:t>
      </w:r>
      <w:r>
        <w:t xml:space="preserve"> they have completed and how much or little there is left to close the unit. However, formative feedback comes with its negatives. One of these being that it is time-consuming for not only the TO to provide but also for the learner to wait for. It is time-consuming for the TO because they have to do this as a standard for each of the 36 plus learners they have. Not only this, but if the TO isn’t qualified yet, then the TO cannot provide formative feedback until they are trained and qualified; this can also fall into the time-consuming category for the learner who has to wait for them to be qualified in order for them to get feedback.</w:t>
      </w:r>
    </w:p>
    <w:p w:rsidR="00BD4CF5" w:rsidRDefault="00BD4CF5" w:rsidP="00BD4CF5">
      <w:pPr>
        <w:pStyle w:val="NoSpacing"/>
        <w:spacing w:line="360" w:lineRule="auto"/>
        <w:jc w:val="both"/>
      </w:pPr>
      <w:r>
        <w:lastRenderedPageBreak/>
        <w:t>Moving onto the positives for summative feedback, one being that it is a strong way of providing a final success measure to the learners' unit closure and overall competency at the end of the course. It helps the learner identify what they did well and how the evidence provided meets the overall outcome. For higher levels of qualifications, for example level 4, it can be used to determine the grade, such as pass, merit and distinction. The negative to summative feedback is that because it comes late, if there are things to work on for the future, then it comes once the learning is finished and too late to improve where they know they could have done better. If a learner isn’t performing well and the feedback is negative, this can be demotivating for the learner. With the course, the TO is naturally thinking to pass the learner with the minimum requirements at times. The learner may not be taught to delve deeper into what the pass marks are, which can leave them in the dark.</w:t>
      </w:r>
    </w:p>
    <w:p w:rsidR="00BD4CF5" w:rsidRDefault="00BD4CF5" w:rsidP="00BD4CF5">
      <w:pPr>
        <w:pStyle w:val="NoSpacing"/>
        <w:spacing w:line="360" w:lineRule="auto"/>
        <w:jc w:val="both"/>
      </w:pPr>
      <w:r>
        <w:t>CIPD (n.d.) defines CPD as a learning experience that helps develop and improve professional practice. For TOs, Continuous Professional Development (CPD) is vital within CTC to ensure staff remain competent and up to date in their role and sector. It is a standardised requirement, mandated by the Education Workforce Council (EWC), which requires TOs to perform a minimum of 20 hours per year to maintain competence within the hospitality sector.</w:t>
      </w:r>
    </w:p>
    <w:p w:rsidR="00BD4CF5" w:rsidRDefault="00BD4CF5" w:rsidP="00BD4CF5">
      <w:pPr>
        <w:pStyle w:val="NoSpacing"/>
        <w:spacing w:line="360" w:lineRule="auto"/>
        <w:jc w:val="both"/>
      </w:pPr>
      <w:r>
        <w:t>To meet the CPD requirements set out by the EWC, the TOs engage in multiple different activities. One example includes hands-on work experience at placements we provide, such as the Celtic Collection and McDonald's. TOs will also hold masterclasses in their field, such as cocktails or dishes at the seasonal fayres. As a TO is constantly on the road around Wales, driving can be time-consuming, so they have also been known to listen to audiobooks and podcasts on the road. Podcasts and audiobooks that are related to the hospitality industry can be beneficial to take in knowledge whilst driving to other placements around Wales.</w:t>
      </w:r>
    </w:p>
    <w:p w:rsidR="00BD4CF5" w:rsidRDefault="00BD4CF5" w:rsidP="00BD4CF5">
      <w:pPr>
        <w:pStyle w:val="NoSpacing"/>
        <w:spacing w:line="360" w:lineRule="auto"/>
        <w:jc w:val="both"/>
      </w:pPr>
      <w:r>
        <w:t>Without a doubt there are significant advantages to this CPD approach in that it ensures TOs remain competent in their field, which can benefit their approach to teaching and learning. Providing masterclasses at the fayres and hands-on experience in well-known establishments fosters a strong community presence, which spreads the word of Work-Based Learning (WBL) and CTC as a company that is always learning and engaging in community projects.</w:t>
      </w:r>
    </w:p>
    <w:p w:rsidR="00BD4CF5" w:rsidRPr="00C32EA1" w:rsidRDefault="00BD4CF5" w:rsidP="00C32EA1">
      <w:pPr>
        <w:pStyle w:val="NoSpacing"/>
        <w:spacing w:line="360" w:lineRule="auto"/>
        <w:jc w:val="both"/>
      </w:pPr>
      <w:r>
        <w:t>Drawbacks to this CPD process are that the planning, execution and writing down of the CPD can be extremely time-consuming, especially when the TO has important deadlines to meet. Failure to meet these deadlines, but also failure to execute the CPD requirement, results in a formal review with management, the board of directors and the EWC council, which can be perceived as a harsh consequence. This strict enforcement highlights the importance placed on maintaining professional standards within CTC.</w:t>
      </w:r>
    </w:p>
    <w:p w:rsidR="000C26F3" w:rsidRPr="000C26F3" w:rsidRDefault="00FB64DE" w:rsidP="00422945">
      <w:pPr>
        <w:pStyle w:val="Heading1"/>
        <w:pageBreakBefore/>
        <w:rPr>
          <w:rFonts w:asciiTheme="minorHAnsi" w:hAnsiTheme="minorHAnsi" w:cstheme="minorHAnsi"/>
          <w:color w:val="auto"/>
          <w:sz w:val="28"/>
          <w:szCs w:val="28"/>
        </w:rPr>
      </w:pPr>
      <w:bookmarkStart w:id="5" w:name="_Toc211170044"/>
      <w:r w:rsidRPr="000C26F3">
        <w:rPr>
          <w:rFonts w:asciiTheme="minorHAnsi" w:hAnsiTheme="minorHAnsi" w:cstheme="minorHAnsi"/>
          <w:color w:val="auto"/>
          <w:sz w:val="28"/>
          <w:szCs w:val="28"/>
        </w:rPr>
        <w:lastRenderedPageBreak/>
        <w:t>5. Conclusion</w:t>
      </w:r>
      <w:bookmarkEnd w:id="5"/>
    </w:p>
    <w:p w:rsidR="003746B7" w:rsidRPr="003746B7" w:rsidRDefault="003746B7" w:rsidP="002B1781">
      <w:pPr>
        <w:pStyle w:val="NoSpacing"/>
        <w:spacing w:line="360" w:lineRule="auto"/>
        <w:jc w:val="both"/>
        <w:rPr>
          <w:rFonts w:cstheme="minorHAnsi"/>
          <w:szCs w:val="28"/>
        </w:rPr>
      </w:pPr>
      <w:r w:rsidRPr="003746B7">
        <w:rPr>
          <w:rFonts w:cstheme="minorHAnsi"/>
          <w:szCs w:val="28"/>
        </w:rPr>
        <w:t>This report has critically explored the development of learning within CTC, a work-based learning provider operating under the Welsh Government and the EWC. Throughout the analysis, it has become evident that CTC demonstrates many characteristics of a learning organisation, defined by Dopson (2023), where both employers and employees engage in continuous knowledge practices to enhance performance and organisational capability. A key strength identified within CTC is its structured approach to individual development. Employees are provided with clear career pathways beginning from the unqualified TO level through to IQA and Curriculum Lead roles. This progression is supported by further KPIs and incentives such as pay increments and increased responsibility, aligning with motivational theories such as Maslow’s Hierarchy of Needs (Alexander, 2024). By recognising the importance of meeting both basic and psychological needs, ranging from security and belonging to esteem and self-actualisation, CTC’s system effectively drives performance, motivation and engagement. Furthermore, by linking development with measurable outcomes such as caseload management, compliance with 61-day learner visits and funding generation, CTC fosters a sense of accountability and intrinsic motivation among its workforce.</w:t>
      </w:r>
    </w:p>
    <w:p w:rsidR="003746B7" w:rsidRPr="003746B7" w:rsidRDefault="003746B7" w:rsidP="002B1781">
      <w:pPr>
        <w:pStyle w:val="NoSpacing"/>
        <w:spacing w:line="360" w:lineRule="auto"/>
        <w:jc w:val="both"/>
        <w:rPr>
          <w:rFonts w:cstheme="minorHAnsi"/>
          <w:szCs w:val="28"/>
        </w:rPr>
      </w:pPr>
      <w:r w:rsidRPr="003746B7">
        <w:rPr>
          <w:rFonts w:cstheme="minorHAnsi"/>
          <w:szCs w:val="28"/>
        </w:rPr>
        <w:t>Equally, CTC’s appraisal structure that is conducted monthly, quarterly and annually, illustrates a commitment to performance management and reflective practice. The use of systems such as YETI and Learning Assistant database allows managers to track learner progress and identify performance trends. This aligns with Locke and Latham’s Goal-Setting Theory (Carrier, 2019), which posits that specific, measurable, achievable, relevant, and time-bound (SMART) objectives contribute to motivation and job satisfaction. By using this theory in practice, CTC encourages its Training Officers to work towards defined goals that are supported by constructive feedback, thereby cultivating self-efficacy and organisational alignment.</w:t>
      </w:r>
    </w:p>
    <w:p w:rsidR="003746B7" w:rsidRPr="003746B7" w:rsidRDefault="003746B7" w:rsidP="002B1781">
      <w:pPr>
        <w:pStyle w:val="NoSpacing"/>
        <w:spacing w:line="360" w:lineRule="auto"/>
        <w:jc w:val="both"/>
        <w:rPr>
          <w:rFonts w:cstheme="minorHAnsi"/>
          <w:szCs w:val="28"/>
        </w:rPr>
      </w:pPr>
      <w:r w:rsidRPr="003746B7">
        <w:rPr>
          <w:rFonts w:cstheme="minorHAnsi"/>
          <w:szCs w:val="28"/>
        </w:rPr>
        <w:t>Nevertheless, while CTC’s appraisal system demonstrates an effective means of managing expectations, the report identifies several limitations that hinder its optimal implementation. The reliance on data-driven compliance indicators, while useful for funding and accountability, can inadvertently prioritise quantitative outcomes over qualitative learning experiences. This may risk reducing development to a procedural exercise rather than a holistic process of professional growth. Furthermore, the Essential Skills department presents a notable challenge to consistency and equality of experience. Disparities between departmental standards and communication barriers can create friction, resulting in learner delays and reduced motivation among Training Officers. Addressing this inconsistency would require stronger collaboration between TOs and ES tutors and potentially a reassessment of pay structures and responsibilities to ensure equity and efficiency.</w:t>
      </w:r>
    </w:p>
    <w:p w:rsidR="003746B7" w:rsidRPr="003746B7" w:rsidRDefault="003746B7" w:rsidP="002B1781">
      <w:pPr>
        <w:pStyle w:val="NoSpacing"/>
        <w:spacing w:line="360" w:lineRule="auto"/>
        <w:jc w:val="both"/>
        <w:rPr>
          <w:rFonts w:cstheme="minorHAnsi"/>
          <w:szCs w:val="28"/>
        </w:rPr>
      </w:pPr>
      <w:r w:rsidRPr="003746B7">
        <w:rPr>
          <w:rFonts w:cstheme="minorHAnsi"/>
          <w:szCs w:val="28"/>
        </w:rPr>
        <w:t xml:space="preserve">The analysis of development vehicles, including the PAR system, formative and summative feedback practices and CPD, reveals a balanced and complex approach to learning management. The PAR serves </w:t>
      </w:r>
      <w:r w:rsidRPr="003746B7">
        <w:rPr>
          <w:rFonts w:cstheme="minorHAnsi"/>
          <w:szCs w:val="28"/>
        </w:rPr>
        <w:lastRenderedPageBreak/>
        <w:t>as an essential mechanism for documenting learner progress, providing structured feedback and ensuring compliance with KPIs. However, its manual and time-intensive nature reduces efficiency and increases administrative duties for both TOs and the data team. The theoretical application of formative assessment principles (Stanford University, n.d.) is evident in the PAR process, but in practice, the system’s limitations may restrict opportunities for timely feedback and adaptive teaching strategies.</w:t>
      </w:r>
    </w:p>
    <w:p w:rsidR="002B1781" w:rsidRDefault="003746B7" w:rsidP="002B1781">
      <w:pPr>
        <w:pStyle w:val="NoSpacing"/>
        <w:spacing w:line="360" w:lineRule="auto"/>
        <w:jc w:val="both"/>
        <w:rPr>
          <w:rFonts w:cstheme="minorHAnsi"/>
          <w:szCs w:val="28"/>
        </w:rPr>
      </w:pPr>
      <w:r w:rsidRPr="003746B7">
        <w:rPr>
          <w:rFonts w:cstheme="minorHAnsi"/>
          <w:szCs w:val="28"/>
        </w:rPr>
        <w:t>Moreover, while summative assessment offers a valuable means of validating competency and recognising achievement (</w:t>
      </w:r>
      <w:proofErr w:type="spellStart"/>
      <w:r w:rsidRPr="003746B7">
        <w:rPr>
          <w:rFonts w:cstheme="minorHAnsi"/>
          <w:szCs w:val="28"/>
        </w:rPr>
        <w:t>Mohabuth</w:t>
      </w:r>
      <w:proofErr w:type="spellEnd"/>
      <w:r w:rsidRPr="003746B7">
        <w:rPr>
          <w:rFonts w:cstheme="minorHAnsi"/>
          <w:szCs w:val="28"/>
        </w:rPr>
        <w:t xml:space="preserve"> &amp; Ahmad, 2015), it often arrives too late to inform future learning. A stronger balance between formative and summative feedback could therefore enhance learner engagement and outcomes. Incorporating digital solutions such as automated feedback systems or integrated learning analytics would help reduce administrative strain and improve data accuracy. The introduction of the Kirkpatrick Evaluation Model (University of San Diego, 2025) could further enhance CTC’s evaluative capacity by enabling systematic analysis of training effectiveness across four levels—reaction, learning, behaviour, and results. </w:t>
      </w:r>
    </w:p>
    <w:p w:rsidR="003746B7" w:rsidRPr="003746B7" w:rsidRDefault="003746B7" w:rsidP="002B1781">
      <w:pPr>
        <w:pStyle w:val="NoSpacing"/>
        <w:spacing w:line="360" w:lineRule="auto"/>
        <w:jc w:val="both"/>
        <w:rPr>
          <w:rFonts w:cstheme="minorHAnsi"/>
          <w:szCs w:val="28"/>
        </w:rPr>
      </w:pPr>
      <w:r w:rsidRPr="003746B7">
        <w:rPr>
          <w:rFonts w:cstheme="minorHAnsi"/>
          <w:szCs w:val="28"/>
        </w:rPr>
        <w:t>CTC’s commitment to CPD is another clear indicator of a learning organisation. The company’s requirement of 20 hours per year, as mandated by the Education Workforce Council (EWC), ensures ongoing professional competence and adaptability. The inclusion of diverse learning activities—from industry placements and masterclasses to podcasts—demonstrates flexibility and inclusivity in professional development. However, the documentation and reporting of CPD activities remain time-consuming and may create unnecessary stress for employees already managing heavy workloads. To address this, CTC could implement digital CPD logs or adopt micro-learning platforms that automatically record and track learning engagement, thereby reducing administrative overhead while maintaining accountability.</w:t>
      </w:r>
    </w:p>
    <w:p w:rsidR="000C26F3" w:rsidRPr="003746B7" w:rsidRDefault="003746B7" w:rsidP="002B1781">
      <w:pPr>
        <w:pStyle w:val="NoSpacing"/>
        <w:spacing w:line="360" w:lineRule="auto"/>
        <w:jc w:val="both"/>
        <w:rPr>
          <w:rFonts w:cstheme="minorHAnsi"/>
          <w:szCs w:val="28"/>
        </w:rPr>
      </w:pPr>
      <w:r w:rsidRPr="003746B7">
        <w:rPr>
          <w:rFonts w:cstheme="minorHAnsi"/>
          <w:szCs w:val="28"/>
        </w:rPr>
        <w:t>Overall, the findings of this report suggest that CTC’s systems for learning and development are well-structured, theoretically informed and aligned with the principles of a learning organisation. CTC combination of formal appraisals, transparent performance monitoring and active encouragement of CPD contributes to staff motivation, learner success and organisational growth. However, the organisation would benefit from integration of technology, streamlined processes and improved collaboration between TOs and ES tutors. By embedding systematic evaluation models such as Kirkpatrick’s and continuing to link individual motivation to organisational strategy through Maslow’s and Locke and Latham’s theories, CTC can strengthen its culture of reflective learning and continuous improvement. In doing so, it will not only maintain compliance and quality assurance but also enhance the reputation as a progressive and innovative WBL provider that prides itself on lifelong learning in the workplace.</w:t>
      </w:r>
    </w:p>
    <w:p w:rsidR="00CF21C9" w:rsidRPr="00CF21C9" w:rsidRDefault="00CF21C9" w:rsidP="00CF21C9">
      <w:pPr>
        <w:pStyle w:val="Heading1"/>
        <w:pageBreakBefore/>
        <w:rPr>
          <w:rFonts w:asciiTheme="minorHAnsi" w:hAnsiTheme="minorHAnsi" w:cstheme="minorHAnsi"/>
          <w:color w:val="auto"/>
          <w:sz w:val="28"/>
          <w:szCs w:val="28"/>
        </w:rPr>
      </w:pPr>
      <w:bookmarkStart w:id="6" w:name="_Toc211170045"/>
      <w:r>
        <w:rPr>
          <w:rFonts w:asciiTheme="minorHAnsi" w:hAnsiTheme="minorHAnsi" w:cstheme="minorHAnsi"/>
          <w:color w:val="auto"/>
          <w:sz w:val="28"/>
          <w:szCs w:val="28"/>
        </w:rPr>
        <w:lastRenderedPageBreak/>
        <w:t>6</w:t>
      </w:r>
      <w:r w:rsidR="00FB64DE" w:rsidRPr="000C26F3">
        <w:rPr>
          <w:rFonts w:asciiTheme="minorHAnsi" w:hAnsiTheme="minorHAnsi" w:cstheme="minorHAnsi"/>
          <w:color w:val="auto"/>
          <w:sz w:val="28"/>
          <w:szCs w:val="28"/>
        </w:rPr>
        <w:t>. References</w:t>
      </w:r>
      <w:bookmarkEnd w:id="6"/>
    </w:p>
    <w:p w:rsidR="001C7350" w:rsidRDefault="001C7350" w:rsidP="004E4FBC">
      <w:pPr>
        <w:pStyle w:val="NoSpacing"/>
        <w:spacing w:line="480" w:lineRule="auto"/>
        <w:ind w:left="720" w:hanging="720"/>
      </w:pPr>
      <w:r>
        <w:t>Alexander, N</w:t>
      </w:r>
      <w:r w:rsidR="00C32EA1">
        <w:t>.</w:t>
      </w:r>
      <w:r>
        <w:t xml:space="preserve"> (2024)</w:t>
      </w:r>
      <w:r w:rsidR="00C32EA1">
        <w:t>,</w:t>
      </w:r>
      <w:r>
        <w:t xml:space="preserve"> </w:t>
      </w:r>
      <w:r>
        <w:rPr>
          <w:i/>
        </w:rPr>
        <w:t xml:space="preserve">Enhance Your Training Delivery Using </w:t>
      </w:r>
      <w:r w:rsidR="00AD126A">
        <w:rPr>
          <w:i/>
        </w:rPr>
        <w:t>Maslow’s</w:t>
      </w:r>
      <w:r>
        <w:rPr>
          <w:i/>
        </w:rPr>
        <w:t xml:space="preserve"> </w:t>
      </w:r>
      <w:r w:rsidR="00AD126A">
        <w:rPr>
          <w:i/>
        </w:rPr>
        <w:t>Hierarchy</w:t>
      </w:r>
      <w:r>
        <w:rPr>
          <w:i/>
        </w:rPr>
        <w:t xml:space="preserve"> of Needs</w:t>
      </w:r>
    </w:p>
    <w:p w:rsidR="001C7350" w:rsidRPr="001C7350" w:rsidRDefault="00931CBC" w:rsidP="004E4FBC">
      <w:pPr>
        <w:pStyle w:val="NoSpacing"/>
        <w:spacing w:line="480" w:lineRule="auto"/>
        <w:ind w:left="720" w:hanging="720"/>
      </w:pPr>
      <w:r>
        <w:tab/>
      </w:r>
      <w:hyperlink r:id="rId12" w:history="1">
        <w:r w:rsidRPr="00490EF5">
          <w:rPr>
            <w:rStyle w:val="Hyperlink"/>
          </w:rPr>
          <w:t>https://www.cpdstandards.com/news/friday-fresh-41-enhance-your-training-delivery-using-maslows-hierarchy-of-needs/</w:t>
        </w:r>
      </w:hyperlink>
    </w:p>
    <w:p w:rsidR="00FE150A" w:rsidRDefault="00FE150A" w:rsidP="004E4FBC">
      <w:pPr>
        <w:pStyle w:val="NoSpacing"/>
        <w:spacing w:line="480" w:lineRule="auto"/>
        <w:ind w:left="720" w:hanging="720"/>
        <w:rPr>
          <w:i/>
        </w:rPr>
      </w:pPr>
      <w:r>
        <w:t>Brooks, R</w:t>
      </w:r>
      <w:r w:rsidR="00C23F7E">
        <w:t>.</w:t>
      </w:r>
      <w:r>
        <w:t xml:space="preserve"> (2023), </w:t>
      </w:r>
      <w:r w:rsidRPr="00FE150A">
        <w:rPr>
          <w:i/>
        </w:rPr>
        <w:t>Understanding the Link Between</w:t>
      </w:r>
      <w:r>
        <w:rPr>
          <w:i/>
        </w:rPr>
        <w:t xml:space="preserve"> </w:t>
      </w:r>
      <w:r w:rsidRPr="00FE150A">
        <w:rPr>
          <w:i/>
        </w:rPr>
        <w:t>Individual Development and Wider Team Growth</w:t>
      </w:r>
    </w:p>
    <w:p w:rsidR="00FE150A" w:rsidRDefault="00931CBC" w:rsidP="004E4FBC">
      <w:pPr>
        <w:pStyle w:val="NoSpacing"/>
        <w:spacing w:line="480" w:lineRule="auto"/>
        <w:ind w:left="720" w:hanging="720"/>
      </w:pPr>
      <w:r>
        <w:tab/>
      </w:r>
      <w:hyperlink r:id="rId13" w:history="1">
        <w:r w:rsidRPr="00490EF5">
          <w:rPr>
            <w:rStyle w:val="Hyperlink"/>
          </w:rPr>
          <w:t>https://online.sunderland.ac.uk/understanding-the-link-between-individual-development-and-wider-team-growth/</w:t>
        </w:r>
      </w:hyperlink>
    </w:p>
    <w:p w:rsidR="00615F0D" w:rsidRDefault="00615F0D" w:rsidP="004E4FBC">
      <w:pPr>
        <w:pStyle w:val="NoSpacing"/>
        <w:spacing w:line="480" w:lineRule="auto"/>
        <w:ind w:left="720" w:hanging="720"/>
      </w:pPr>
      <w:r>
        <w:t xml:space="preserve">Carrier, J. (2019), </w:t>
      </w:r>
      <w:r w:rsidRPr="00615F0D">
        <w:rPr>
          <w:i/>
        </w:rPr>
        <w:t>Locke and Latham’s Goal Setting Theory: Set Better Goals</w:t>
      </w:r>
    </w:p>
    <w:p w:rsidR="00615F0D" w:rsidRDefault="004E4FBC" w:rsidP="004E4FBC">
      <w:pPr>
        <w:pStyle w:val="NoSpacing"/>
        <w:spacing w:line="480" w:lineRule="auto"/>
        <w:ind w:hanging="720"/>
      </w:pPr>
      <w:r>
        <w:tab/>
      </w:r>
      <w:r w:rsidR="00931CBC">
        <w:tab/>
      </w:r>
      <w:hyperlink r:id="rId14" w:history="1">
        <w:r w:rsidR="00931CBC" w:rsidRPr="00490EF5">
          <w:rPr>
            <w:rStyle w:val="Hyperlink"/>
          </w:rPr>
          <w:t>https://people-shift.com/articles/locke-lathams-goal-setting-theory/</w:t>
        </w:r>
      </w:hyperlink>
    </w:p>
    <w:p w:rsidR="00AA4D36" w:rsidRDefault="00AA4D36" w:rsidP="004E4FBC">
      <w:pPr>
        <w:pStyle w:val="NoSpacing"/>
        <w:spacing w:line="480" w:lineRule="auto"/>
        <w:ind w:left="720" w:hanging="720"/>
      </w:pPr>
      <w:r>
        <w:t xml:space="preserve">CIPD. (n.d), </w:t>
      </w:r>
      <w:r>
        <w:rPr>
          <w:i/>
        </w:rPr>
        <w:t>About CPD</w:t>
      </w:r>
    </w:p>
    <w:p w:rsidR="00717B60" w:rsidRDefault="00AA4D36" w:rsidP="004E4FBC">
      <w:pPr>
        <w:pStyle w:val="NoSpacing"/>
        <w:spacing w:line="480" w:lineRule="auto"/>
        <w:ind w:left="720" w:hanging="720"/>
      </w:pPr>
      <w:r>
        <w:tab/>
      </w:r>
      <w:hyperlink r:id="rId15" w:history="1">
        <w:r w:rsidRPr="00490EF5">
          <w:rPr>
            <w:rStyle w:val="Hyperlink"/>
          </w:rPr>
          <w:t>https://www.cipd.org/uk/learning/cpd/about/</w:t>
        </w:r>
      </w:hyperlink>
    </w:p>
    <w:p w:rsidR="001C7350" w:rsidRDefault="00D355A1" w:rsidP="004E4FBC">
      <w:pPr>
        <w:pStyle w:val="NoSpacing"/>
        <w:spacing w:line="480" w:lineRule="auto"/>
        <w:ind w:left="720" w:hanging="720"/>
      </w:pPr>
      <w:r>
        <w:t xml:space="preserve">Dopson, E. (2023), </w:t>
      </w:r>
      <w:r w:rsidR="00422945" w:rsidRPr="00422945">
        <w:rPr>
          <w:i/>
        </w:rPr>
        <w:t>What is a learning organization &amp; how can it you’re your team?</w:t>
      </w:r>
    </w:p>
    <w:p w:rsidR="00C23F7E" w:rsidRDefault="004E4FBC" w:rsidP="00C23F7E">
      <w:pPr>
        <w:pStyle w:val="NoSpacing"/>
        <w:spacing w:line="480" w:lineRule="auto"/>
        <w:ind w:hanging="720"/>
      </w:pPr>
      <w:r>
        <w:tab/>
      </w:r>
      <w:r w:rsidR="00931CBC">
        <w:tab/>
      </w:r>
      <w:hyperlink r:id="rId16" w:history="1">
        <w:r w:rsidR="00931CBC" w:rsidRPr="00490EF5">
          <w:rPr>
            <w:rStyle w:val="Hyperlink"/>
          </w:rPr>
          <w:t>https://www.workramp.com/blog/what-is-a-learning-organization</w:t>
        </w:r>
      </w:hyperlink>
    </w:p>
    <w:p w:rsidR="00D66170" w:rsidRPr="00D66170" w:rsidRDefault="00D66170" w:rsidP="00AE1FA7">
      <w:pPr>
        <w:pStyle w:val="NoSpacing"/>
        <w:spacing w:line="480" w:lineRule="auto"/>
        <w:ind w:left="720" w:hanging="720"/>
        <w:jc w:val="both"/>
      </w:pPr>
      <w:r>
        <w:t>EWC (n.d)</w:t>
      </w:r>
      <w:r w:rsidR="00C32EA1">
        <w:t>,</w:t>
      </w:r>
      <w:r>
        <w:t xml:space="preserve"> </w:t>
      </w:r>
      <w:r>
        <w:rPr>
          <w:i/>
        </w:rPr>
        <w:t>Registration Rules</w:t>
      </w:r>
    </w:p>
    <w:p w:rsidR="00D66170" w:rsidRPr="00D66170" w:rsidRDefault="00D66170" w:rsidP="00AE1FA7">
      <w:pPr>
        <w:pStyle w:val="NoSpacing"/>
        <w:spacing w:line="480" w:lineRule="auto"/>
        <w:ind w:left="720" w:hanging="720"/>
        <w:jc w:val="both"/>
      </w:pPr>
      <w:r>
        <w:tab/>
      </w:r>
      <w:hyperlink r:id="rId17" w:history="1">
        <w:r w:rsidRPr="00490EF5">
          <w:rPr>
            <w:rStyle w:val="Hyperlink"/>
          </w:rPr>
          <w:t>https://www.ewc.wales/site/index.php/en/</w:t>
        </w:r>
      </w:hyperlink>
    </w:p>
    <w:p w:rsidR="00D66170" w:rsidRDefault="00D66170" w:rsidP="00AE1FA7">
      <w:pPr>
        <w:pStyle w:val="NoSpacing"/>
        <w:spacing w:line="480" w:lineRule="auto"/>
        <w:ind w:left="720" w:hanging="720"/>
        <w:jc w:val="both"/>
      </w:pPr>
      <w:r>
        <w:t xml:space="preserve">HCPC. (2024), </w:t>
      </w:r>
      <w:r>
        <w:rPr>
          <w:i/>
        </w:rPr>
        <w:t>What activities count as CPD?</w:t>
      </w:r>
    </w:p>
    <w:p w:rsidR="00D66170" w:rsidRPr="00D66170" w:rsidRDefault="00D66170" w:rsidP="00AE1FA7">
      <w:pPr>
        <w:pStyle w:val="NoSpacing"/>
        <w:spacing w:line="480" w:lineRule="auto"/>
        <w:ind w:left="720" w:hanging="720"/>
        <w:jc w:val="both"/>
      </w:pPr>
      <w:r>
        <w:tab/>
      </w:r>
      <w:hyperlink r:id="rId18" w:history="1">
        <w:r w:rsidRPr="00490EF5">
          <w:rPr>
            <w:rStyle w:val="Hyperlink"/>
          </w:rPr>
          <w:t>https://www.hcpc-uk.org/cpd/carrying-out-and-recording-cpd/what-activities-count-as-cpd/</w:t>
        </w:r>
      </w:hyperlink>
    </w:p>
    <w:p w:rsidR="009F62B1" w:rsidRDefault="009F62B1" w:rsidP="00AE1FA7">
      <w:pPr>
        <w:pStyle w:val="NoSpacing"/>
        <w:spacing w:line="480" w:lineRule="auto"/>
        <w:ind w:left="720" w:hanging="720"/>
        <w:jc w:val="both"/>
      </w:pPr>
      <w:proofErr w:type="spellStart"/>
      <w:r>
        <w:t>Mcloed</w:t>
      </w:r>
      <w:proofErr w:type="spellEnd"/>
      <w:r>
        <w:t>, s PHD. (2025)</w:t>
      </w:r>
      <w:r w:rsidR="00C32EA1">
        <w:t xml:space="preserve">, </w:t>
      </w:r>
      <w:proofErr w:type="spellStart"/>
      <w:r w:rsidR="00C32EA1">
        <w:rPr>
          <w:i/>
        </w:rPr>
        <w:t>Maslows</w:t>
      </w:r>
      <w:proofErr w:type="spellEnd"/>
      <w:r w:rsidR="00C32EA1">
        <w:rPr>
          <w:i/>
        </w:rPr>
        <w:t xml:space="preserve"> Hierarchy of Needs</w:t>
      </w:r>
    </w:p>
    <w:p w:rsidR="00C32EA1" w:rsidRPr="00C32EA1" w:rsidRDefault="00C32EA1" w:rsidP="00AE1FA7">
      <w:pPr>
        <w:pStyle w:val="NoSpacing"/>
        <w:spacing w:line="480" w:lineRule="auto"/>
        <w:ind w:left="720" w:hanging="720"/>
        <w:jc w:val="both"/>
      </w:pPr>
      <w:r>
        <w:tab/>
      </w:r>
      <w:hyperlink r:id="rId19" w:history="1">
        <w:r w:rsidRPr="00490EF5">
          <w:rPr>
            <w:rStyle w:val="Hyperlink"/>
          </w:rPr>
          <w:t>https://www.simplypsychology.org/maslow.html</w:t>
        </w:r>
      </w:hyperlink>
    </w:p>
    <w:p w:rsidR="00CF21C9" w:rsidRDefault="00CF21C9" w:rsidP="00AE1FA7">
      <w:pPr>
        <w:pStyle w:val="NoSpacing"/>
        <w:spacing w:line="480" w:lineRule="auto"/>
        <w:ind w:left="720" w:hanging="720"/>
        <w:jc w:val="both"/>
      </w:pPr>
      <w:proofErr w:type="spellStart"/>
      <w:r>
        <w:t>Menzi</w:t>
      </w:r>
      <w:proofErr w:type="spellEnd"/>
      <w:r>
        <w:t>, A. (2021)</w:t>
      </w:r>
      <w:r w:rsidR="00C32EA1">
        <w:t>,</w:t>
      </w:r>
      <w:r>
        <w:t xml:space="preserve"> </w:t>
      </w:r>
      <w:r>
        <w:rPr>
          <w:i/>
        </w:rPr>
        <w:t>Pros and cons of different summative assessments</w:t>
      </w:r>
    </w:p>
    <w:p w:rsidR="00CF21C9" w:rsidRPr="00CF21C9" w:rsidRDefault="00CF21C9" w:rsidP="00AE1FA7">
      <w:pPr>
        <w:pStyle w:val="NoSpacing"/>
        <w:spacing w:line="480" w:lineRule="auto"/>
        <w:ind w:left="720" w:hanging="720"/>
        <w:jc w:val="both"/>
      </w:pPr>
      <w:r>
        <w:tab/>
      </w:r>
      <w:hyperlink r:id="rId20" w:history="1">
        <w:r w:rsidRPr="00490EF5">
          <w:rPr>
            <w:rStyle w:val="Hyperlink"/>
          </w:rPr>
          <w:t>https://teachingideas4u.com/blog/2020/09/pros-cons-of-different-summative-assessments#:~:text=Cons%20of%20Summative%20Assessments:,to%20a%20poorly%20made%20assessment</w:t>
        </w:r>
      </w:hyperlink>
      <w:r w:rsidRPr="00CF21C9">
        <w:t>.</w:t>
      </w:r>
    </w:p>
    <w:p w:rsidR="00931CBC" w:rsidRDefault="00931CBC" w:rsidP="00AE1FA7">
      <w:pPr>
        <w:pStyle w:val="NoSpacing"/>
        <w:spacing w:line="480" w:lineRule="auto"/>
        <w:ind w:left="720" w:hanging="720"/>
        <w:jc w:val="both"/>
      </w:pPr>
      <w:proofErr w:type="spellStart"/>
      <w:r w:rsidRPr="00AE1FA7">
        <w:t>Mohabuth</w:t>
      </w:r>
      <w:proofErr w:type="spellEnd"/>
      <w:r w:rsidRPr="00AE1FA7">
        <w:t>, A. Q., &amp; Ahmad, S. M. (2015)</w:t>
      </w:r>
      <w:r w:rsidR="00C32EA1">
        <w:t>,</w:t>
      </w:r>
      <w:r w:rsidRPr="00AE1FA7">
        <w:t xml:space="preserve"> </w:t>
      </w:r>
      <w:r w:rsidRPr="00C32EA1">
        <w:rPr>
          <w:i/>
        </w:rPr>
        <w:t>The effectiveness of summative assessment in work-based learning practice. Journal of Education and Vocational Research</w:t>
      </w:r>
      <w:r w:rsidRPr="00AE1FA7">
        <w:t>, 6(3), 37–45.</w:t>
      </w:r>
    </w:p>
    <w:p w:rsidR="00717B60" w:rsidRPr="00AE1FA7" w:rsidRDefault="00717B60" w:rsidP="00AE1FA7">
      <w:pPr>
        <w:pStyle w:val="NoSpacing"/>
        <w:spacing w:line="480" w:lineRule="auto"/>
        <w:ind w:left="720" w:hanging="720"/>
        <w:jc w:val="both"/>
      </w:pPr>
      <w:r>
        <w:tab/>
      </w:r>
      <w:hyperlink r:id="rId21" w:history="1">
        <w:r w:rsidRPr="00490EF5">
          <w:rPr>
            <w:rStyle w:val="Hyperlink"/>
          </w:rPr>
          <w:t>https://core.ac.uk/download/pdf/288023993.pdf</w:t>
        </w:r>
      </w:hyperlink>
    </w:p>
    <w:p w:rsidR="006B5B5B" w:rsidRPr="00C23F7E" w:rsidRDefault="00C23F7E" w:rsidP="00C23F7E">
      <w:pPr>
        <w:pStyle w:val="NoSpacing"/>
        <w:spacing w:line="480" w:lineRule="auto"/>
        <w:ind w:hanging="720"/>
      </w:pPr>
      <w:r>
        <w:lastRenderedPageBreak/>
        <w:tab/>
      </w:r>
      <w:r w:rsidR="006B5B5B">
        <w:t>Roslansky, R. (2021)</w:t>
      </w:r>
      <w:r w:rsidR="00C32EA1">
        <w:t>,</w:t>
      </w:r>
      <w:r w:rsidR="006B5B5B">
        <w:t xml:space="preserve"> </w:t>
      </w:r>
      <w:r w:rsidR="006B5B5B">
        <w:rPr>
          <w:i/>
        </w:rPr>
        <w:t>You need a Skills-Based Approach to Hiring and Developing Talent</w:t>
      </w:r>
    </w:p>
    <w:p w:rsidR="00717B60" w:rsidRPr="00717B60" w:rsidRDefault="00931CBC" w:rsidP="00717B60">
      <w:pPr>
        <w:pStyle w:val="NoSpacing"/>
        <w:spacing w:line="480" w:lineRule="auto"/>
        <w:ind w:left="720" w:hanging="720"/>
      </w:pPr>
      <w:r>
        <w:tab/>
      </w:r>
      <w:hyperlink r:id="rId22" w:history="1">
        <w:r w:rsidRPr="00490EF5">
          <w:rPr>
            <w:rStyle w:val="Hyperlink"/>
          </w:rPr>
          <w:t>https://hbr.org/2021/06/you-need-a-skills-based-approach-to-hiring-and-developing-talent</w:t>
        </w:r>
      </w:hyperlink>
    </w:p>
    <w:p w:rsidR="00717B60" w:rsidRPr="00717B60" w:rsidRDefault="00717B60" w:rsidP="00717B60">
      <w:pPr>
        <w:pStyle w:val="NormalWeb"/>
        <w:shd w:val="clear" w:color="auto" w:fill="FFFFFF"/>
        <w:spacing w:before="0" w:beforeAutospacing="0" w:after="173" w:afterAutospacing="0" w:line="480" w:lineRule="auto"/>
        <w:ind w:left="448" w:hanging="448"/>
        <w:rPr>
          <w:rFonts w:asciiTheme="minorHAnsi" w:hAnsiTheme="minorHAnsi" w:cstheme="minorHAnsi"/>
          <w:color w:val="000000"/>
          <w:sz w:val="22"/>
          <w:szCs w:val="22"/>
        </w:rPr>
      </w:pPr>
      <w:proofErr w:type="spellStart"/>
      <w:r w:rsidRPr="00717B60">
        <w:rPr>
          <w:rFonts w:asciiTheme="minorHAnsi" w:hAnsiTheme="minorHAnsi" w:cstheme="minorHAnsi"/>
          <w:color w:val="000000"/>
          <w:sz w:val="22"/>
          <w:szCs w:val="22"/>
        </w:rPr>
        <w:t>Sargeant</w:t>
      </w:r>
      <w:proofErr w:type="spellEnd"/>
      <w:r w:rsidRPr="00717B60">
        <w:rPr>
          <w:rFonts w:asciiTheme="minorHAnsi" w:hAnsiTheme="minorHAnsi" w:cstheme="minorHAnsi"/>
          <w:color w:val="000000"/>
          <w:sz w:val="22"/>
          <w:szCs w:val="22"/>
        </w:rPr>
        <w:t>, J., Wong, B. M., &amp; Campbell, C. M. (2018)</w:t>
      </w:r>
      <w:r w:rsidR="00C32EA1">
        <w:rPr>
          <w:rFonts w:asciiTheme="minorHAnsi" w:hAnsiTheme="minorHAnsi" w:cstheme="minorHAnsi"/>
          <w:color w:val="000000"/>
          <w:sz w:val="22"/>
          <w:szCs w:val="22"/>
        </w:rPr>
        <w:t>,</w:t>
      </w:r>
      <w:r w:rsidRPr="00717B60">
        <w:rPr>
          <w:rFonts w:asciiTheme="minorHAnsi" w:hAnsiTheme="minorHAnsi" w:cstheme="minorHAnsi"/>
          <w:color w:val="000000"/>
          <w:sz w:val="22"/>
          <w:szCs w:val="22"/>
        </w:rPr>
        <w:t xml:space="preserve"> </w:t>
      </w:r>
      <w:r w:rsidRPr="00C32EA1">
        <w:rPr>
          <w:rFonts w:asciiTheme="minorHAnsi" w:hAnsiTheme="minorHAnsi" w:cstheme="minorHAnsi"/>
          <w:i/>
          <w:color w:val="000000"/>
          <w:sz w:val="22"/>
          <w:szCs w:val="22"/>
        </w:rPr>
        <w:t>CPD of the future: A partnership between quality improvement and competency‐based education</w:t>
      </w:r>
      <w:r w:rsidRPr="00717B60">
        <w:rPr>
          <w:rFonts w:asciiTheme="minorHAnsi" w:hAnsiTheme="minorHAnsi" w:cstheme="minorHAnsi"/>
          <w:i/>
          <w:iCs/>
          <w:color w:val="000000"/>
          <w:sz w:val="22"/>
          <w:szCs w:val="22"/>
        </w:rPr>
        <w:t>, 52</w:t>
      </w:r>
      <w:r w:rsidRPr="00717B60">
        <w:rPr>
          <w:rFonts w:asciiTheme="minorHAnsi" w:hAnsiTheme="minorHAnsi" w:cstheme="minorHAnsi"/>
          <w:color w:val="000000"/>
          <w:sz w:val="22"/>
          <w:szCs w:val="22"/>
        </w:rPr>
        <w:t>(1), 125–135.</w:t>
      </w:r>
    </w:p>
    <w:p w:rsidR="004E4FBC" w:rsidRPr="004E4FBC" w:rsidRDefault="00C23F7E" w:rsidP="004E4FBC">
      <w:pPr>
        <w:pStyle w:val="NoSpacing"/>
        <w:spacing w:line="480" w:lineRule="auto"/>
        <w:ind w:left="720" w:hanging="720"/>
      </w:pPr>
      <w:r>
        <w:t xml:space="preserve">University of </w:t>
      </w:r>
      <w:r w:rsidR="004E4FBC">
        <w:t>Stanford. (n.d)</w:t>
      </w:r>
      <w:r w:rsidR="00C32EA1">
        <w:t>,</w:t>
      </w:r>
      <w:r w:rsidR="004E4FBC">
        <w:t xml:space="preserve"> </w:t>
      </w:r>
      <w:r w:rsidR="004E4FBC">
        <w:rPr>
          <w:i/>
        </w:rPr>
        <w:t>Formative Assessment and Feedback</w:t>
      </w:r>
    </w:p>
    <w:p w:rsidR="004E4FBC" w:rsidRPr="004E4FBC" w:rsidRDefault="00931CBC" w:rsidP="004E4FBC">
      <w:pPr>
        <w:pStyle w:val="NoSpacing"/>
        <w:spacing w:line="480" w:lineRule="auto"/>
        <w:ind w:left="720" w:hanging="720"/>
      </w:pPr>
      <w:r>
        <w:tab/>
      </w:r>
      <w:hyperlink r:id="rId23" w:history="1">
        <w:r w:rsidRPr="00490EF5">
          <w:rPr>
            <w:rStyle w:val="Hyperlink"/>
          </w:rPr>
          <w:t>https://teachingcommons.stanford.edu/teaching-guides/foundations-course-design/feedback-and-assessment/formative-assessment-and-feedback</w:t>
        </w:r>
      </w:hyperlink>
    </w:p>
    <w:p w:rsidR="006B5B5B" w:rsidRDefault="004E4FBC" w:rsidP="004E4FBC">
      <w:pPr>
        <w:pStyle w:val="NoSpacing"/>
        <w:spacing w:line="480" w:lineRule="auto"/>
        <w:ind w:hanging="720"/>
      </w:pPr>
      <w:r>
        <w:tab/>
      </w:r>
      <w:r w:rsidR="00851A43">
        <w:t>University of San Diego</w:t>
      </w:r>
      <w:r w:rsidR="00C23F7E">
        <w:t>.</w:t>
      </w:r>
      <w:r w:rsidR="00851A43">
        <w:t xml:space="preserve"> (2025), </w:t>
      </w:r>
      <w:r w:rsidR="00851A43">
        <w:rPr>
          <w:i/>
        </w:rPr>
        <w:t>The Kirkpatrick Evaluation Model</w:t>
      </w:r>
    </w:p>
    <w:p w:rsidR="00851A43" w:rsidRDefault="00931CBC" w:rsidP="004E4FBC">
      <w:pPr>
        <w:pStyle w:val="NoSpacing"/>
        <w:spacing w:line="480" w:lineRule="auto"/>
        <w:ind w:left="720" w:hanging="720"/>
      </w:pPr>
      <w:r>
        <w:tab/>
      </w:r>
      <w:hyperlink r:id="rId24" w:history="1">
        <w:r w:rsidRPr="00490EF5">
          <w:rPr>
            <w:rStyle w:val="Hyperlink"/>
          </w:rPr>
          <w:t>https://onlinedegrees.sandiego.edu/kirkpatrick-training-evaluation-model/</w:t>
        </w:r>
      </w:hyperlink>
    </w:p>
    <w:p w:rsidR="00AE1FA7" w:rsidRDefault="00AE1FA7" w:rsidP="00AE1FA7">
      <w:pPr>
        <w:pStyle w:val="NoSpacing"/>
        <w:spacing w:line="480" w:lineRule="auto"/>
        <w:ind w:left="720" w:hanging="720"/>
        <w:jc w:val="both"/>
      </w:pPr>
      <w:r w:rsidRPr="00AE1FA7">
        <w:t>Wilson, M., &amp; Sloane, K. (2000). From Principles to Practice:  An Embedded Assessment</w:t>
      </w:r>
      <w:r>
        <w:t xml:space="preserve"> </w:t>
      </w:r>
      <w:r w:rsidRPr="00C23F7E">
        <w:t>System. </w:t>
      </w:r>
      <w:r w:rsidR="00717B60">
        <w:t xml:space="preserve"> </w:t>
      </w:r>
      <w:r w:rsidRPr="00C23F7E">
        <w:t xml:space="preserve">Applied Measurement in Education, 13(2), 181–208. </w:t>
      </w:r>
      <w:hyperlink r:id="rId25" w:history="1">
        <w:r w:rsidRPr="00490EF5">
          <w:rPr>
            <w:rStyle w:val="Hyperlink"/>
          </w:rPr>
          <w:t>https://doi.org/10.1207/S15324818AME1302_4</w:t>
        </w:r>
      </w:hyperlink>
    </w:p>
    <w:p w:rsidR="00851A43" w:rsidRDefault="00851A43" w:rsidP="006B5B5B">
      <w:pPr>
        <w:pStyle w:val="NoSpacing"/>
        <w:spacing w:line="480" w:lineRule="auto"/>
      </w:pPr>
    </w:p>
    <w:p w:rsidR="00CF21C9" w:rsidRDefault="00CF21C9" w:rsidP="00CF21C9">
      <w:pPr>
        <w:pStyle w:val="Heading1"/>
        <w:pageBreakBefore/>
        <w:rPr>
          <w:rFonts w:asciiTheme="minorHAnsi" w:hAnsiTheme="minorHAnsi" w:cstheme="minorHAnsi"/>
          <w:color w:val="auto"/>
          <w:sz w:val="28"/>
          <w:szCs w:val="28"/>
        </w:rPr>
      </w:pPr>
      <w:bookmarkStart w:id="7" w:name="_Toc211170046"/>
      <w:r>
        <w:rPr>
          <w:rFonts w:asciiTheme="minorHAnsi" w:hAnsiTheme="minorHAnsi" w:cstheme="minorHAnsi"/>
          <w:color w:val="auto"/>
          <w:sz w:val="28"/>
          <w:szCs w:val="28"/>
        </w:rPr>
        <w:lastRenderedPageBreak/>
        <w:t>7</w:t>
      </w:r>
      <w:r>
        <w:rPr>
          <w:rFonts w:asciiTheme="minorHAnsi" w:hAnsiTheme="minorHAnsi" w:cstheme="minorHAnsi"/>
          <w:color w:val="auto"/>
          <w:sz w:val="28"/>
          <w:szCs w:val="28"/>
        </w:rPr>
        <w:t>. Appendix</w:t>
      </w:r>
      <w:r w:rsidR="00717B60">
        <w:rPr>
          <w:rFonts w:asciiTheme="minorHAnsi" w:hAnsiTheme="minorHAnsi" w:cstheme="minorHAnsi"/>
          <w:color w:val="auto"/>
          <w:sz w:val="28"/>
          <w:szCs w:val="28"/>
        </w:rPr>
        <w:t xml:space="preserve"> 1</w:t>
      </w:r>
      <w:bookmarkEnd w:id="7"/>
    </w:p>
    <w:p w:rsidR="00CF21C9" w:rsidRDefault="00CF21C9" w:rsidP="00CF21C9">
      <w:r w:rsidRPr="00737811">
        <w:rPr>
          <w:noProof/>
        </w:rPr>
        <w:drawing>
          <wp:anchor distT="0" distB="0" distL="114300" distR="114300" simplePos="0" relativeHeight="251659264" behindDoc="0" locked="0" layoutInCell="1" allowOverlap="1" wp14:anchorId="085CADAB" wp14:editId="667F1F7B">
            <wp:simplePos x="0" y="0"/>
            <wp:positionH relativeFrom="column">
              <wp:posOffset>1257300</wp:posOffset>
            </wp:positionH>
            <wp:positionV relativeFrom="paragraph">
              <wp:posOffset>32385</wp:posOffset>
            </wp:positionV>
            <wp:extent cx="3295650" cy="2273935"/>
            <wp:effectExtent l="19050" t="19050" r="19050" b="1206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295650" cy="22739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rsidR="00CF21C9" w:rsidRDefault="00CF21C9" w:rsidP="00CF21C9">
      <w:pPr>
        <w:rPr>
          <w:noProof/>
        </w:rPr>
      </w:pPr>
      <w:r w:rsidRPr="00737811">
        <w:rPr>
          <w:noProof/>
        </w:rPr>
        <w:drawing>
          <wp:anchor distT="0" distB="0" distL="114300" distR="114300" simplePos="0" relativeHeight="251663360" behindDoc="0" locked="0" layoutInCell="1" allowOverlap="1" wp14:anchorId="35E7B1E3" wp14:editId="14A02324">
            <wp:simplePos x="0" y="0"/>
            <wp:positionH relativeFrom="margin">
              <wp:posOffset>2933065</wp:posOffset>
            </wp:positionH>
            <wp:positionV relativeFrom="paragraph">
              <wp:posOffset>4413250</wp:posOffset>
            </wp:positionV>
            <wp:extent cx="3201035" cy="2211705"/>
            <wp:effectExtent l="19050" t="19050" r="18415" b="171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201035" cy="22117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37811">
        <w:rPr>
          <w:noProof/>
        </w:rPr>
        <w:drawing>
          <wp:anchor distT="0" distB="0" distL="114300" distR="114300" simplePos="0" relativeHeight="251660288" behindDoc="0" locked="0" layoutInCell="1" allowOverlap="1" wp14:anchorId="5E70CF1A" wp14:editId="28C60D09">
            <wp:simplePos x="0" y="0"/>
            <wp:positionH relativeFrom="column">
              <wp:posOffset>-438150</wp:posOffset>
            </wp:positionH>
            <wp:positionV relativeFrom="paragraph">
              <wp:posOffset>2108835</wp:posOffset>
            </wp:positionV>
            <wp:extent cx="3258185" cy="2203450"/>
            <wp:effectExtent l="19050" t="19050" r="18415" b="2540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258185" cy="2203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37811">
        <w:rPr>
          <w:noProof/>
        </w:rPr>
        <w:drawing>
          <wp:anchor distT="0" distB="0" distL="114300" distR="114300" simplePos="0" relativeHeight="251661312" behindDoc="0" locked="0" layoutInCell="1" allowOverlap="1" wp14:anchorId="50EEDE05" wp14:editId="76C85827">
            <wp:simplePos x="0" y="0"/>
            <wp:positionH relativeFrom="column">
              <wp:posOffset>2933700</wp:posOffset>
            </wp:positionH>
            <wp:positionV relativeFrom="paragraph">
              <wp:posOffset>2108835</wp:posOffset>
            </wp:positionV>
            <wp:extent cx="3189605" cy="2210435"/>
            <wp:effectExtent l="19050" t="19050" r="10795" b="184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89605" cy="22104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37811">
        <w:rPr>
          <w:noProof/>
        </w:rPr>
        <w:drawing>
          <wp:anchor distT="0" distB="0" distL="114300" distR="114300" simplePos="0" relativeHeight="251662336" behindDoc="0" locked="0" layoutInCell="1" allowOverlap="1" wp14:anchorId="7EEAD769" wp14:editId="1256D21B">
            <wp:simplePos x="0" y="0"/>
            <wp:positionH relativeFrom="column">
              <wp:posOffset>-425450</wp:posOffset>
            </wp:positionH>
            <wp:positionV relativeFrom="paragraph">
              <wp:posOffset>4407535</wp:posOffset>
            </wp:positionV>
            <wp:extent cx="3244850" cy="2224405"/>
            <wp:effectExtent l="19050" t="19050" r="12700" b="2349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44850" cy="22244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37811">
        <w:rPr>
          <w:noProof/>
        </w:rPr>
        <w:t xml:space="preserve">   </w:t>
      </w:r>
    </w:p>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717B60" w:rsidRPr="00717B60" w:rsidRDefault="00717B60" w:rsidP="00717B60">
      <w:pPr>
        <w:pStyle w:val="Heading1"/>
        <w:rPr>
          <w:rFonts w:asciiTheme="minorHAnsi" w:hAnsiTheme="minorHAnsi" w:cstheme="minorHAnsi"/>
          <w:color w:val="auto"/>
          <w:sz w:val="28"/>
        </w:rPr>
      </w:pPr>
      <w:bookmarkStart w:id="8" w:name="_Toc211170047"/>
      <w:r w:rsidRPr="00717B60">
        <w:rPr>
          <w:rFonts w:asciiTheme="minorHAnsi" w:hAnsiTheme="minorHAnsi" w:cstheme="minorHAnsi"/>
          <w:color w:val="auto"/>
          <w:sz w:val="28"/>
        </w:rPr>
        <w:lastRenderedPageBreak/>
        <w:t>8. Appendix 2</w:t>
      </w:r>
      <w:bookmarkEnd w:id="8"/>
    </w:p>
    <w:p w:rsidR="00CF21C9" w:rsidRDefault="00CF21C9" w:rsidP="00CF21C9">
      <w:r w:rsidRPr="00CF0C0E">
        <w:rPr>
          <w:noProof/>
        </w:rPr>
        <w:drawing>
          <wp:anchor distT="0" distB="0" distL="114300" distR="114300" simplePos="0" relativeHeight="251664384" behindDoc="0" locked="0" layoutInCell="1" allowOverlap="1" wp14:anchorId="27C70C22" wp14:editId="1A294248">
            <wp:simplePos x="0" y="0"/>
            <wp:positionH relativeFrom="column">
              <wp:posOffset>361950</wp:posOffset>
            </wp:positionH>
            <wp:positionV relativeFrom="paragraph">
              <wp:posOffset>19050</wp:posOffset>
            </wp:positionV>
            <wp:extent cx="3552190" cy="2165350"/>
            <wp:effectExtent l="19050" t="19050" r="10160" b="2540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552190" cy="2165350"/>
                    </a:xfrm>
                    <a:prstGeom prst="rect">
                      <a:avLst/>
                    </a:prstGeom>
                    <a:ln>
                      <a:solidFill>
                        <a:schemeClr val="tx1"/>
                      </a:solidFill>
                    </a:ln>
                  </pic:spPr>
                </pic:pic>
              </a:graphicData>
            </a:graphic>
          </wp:anchor>
        </w:drawing>
      </w:r>
    </w:p>
    <w:p w:rsidR="00717B60" w:rsidRDefault="00717B60"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r w:rsidRPr="00B9795B">
        <w:rPr>
          <w:noProof/>
        </w:rPr>
        <w:drawing>
          <wp:anchor distT="0" distB="0" distL="114300" distR="114300" simplePos="0" relativeHeight="251665408" behindDoc="0" locked="0" layoutInCell="1" allowOverlap="1" wp14:anchorId="3BE07409" wp14:editId="2CD059BC">
            <wp:simplePos x="0" y="0"/>
            <wp:positionH relativeFrom="column">
              <wp:posOffset>368300</wp:posOffset>
            </wp:positionH>
            <wp:positionV relativeFrom="paragraph">
              <wp:posOffset>248285</wp:posOffset>
            </wp:positionV>
            <wp:extent cx="4286250" cy="1659890"/>
            <wp:effectExtent l="19050" t="19050" r="19050" b="165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286250" cy="1659890"/>
                    </a:xfrm>
                    <a:prstGeom prst="rect">
                      <a:avLst/>
                    </a:prstGeom>
                    <a:ln>
                      <a:solidFill>
                        <a:schemeClr val="tx1"/>
                      </a:solidFill>
                    </a:ln>
                  </pic:spPr>
                </pic:pic>
              </a:graphicData>
            </a:graphic>
          </wp:anchor>
        </w:drawing>
      </w:r>
    </w:p>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r w:rsidRPr="00B9795B">
        <w:rPr>
          <w:noProof/>
        </w:rPr>
        <w:drawing>
          <wp:anchor distT="0" distB="0" distL="114300" distR="114300" simplePos="0" relativeHeight="251666432" behindDoc="0" locked="0" layoutInCell="1" allowOverlap="1" wp14:anchorId="500F3A51" wp14:editId="733D1807">
            <wp:simplePos x="0" y="0"/>
            <wp:positionH relativeFrom="margin">
              <wp:posOffset>374650</wp:posOffset>
            </wp:positionH>
            <wp:positionV relativeFrom="paragraph">
              <wp:posOffset>261620</wp:posOffset>
            </wp:positionV>
            <wp:extent cx="4267200" cy="2051050"/>
            <wp:effectExtent l="19050" t="19050" r="19050" b="2540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267200" cy="2051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p w:rsidR="00CF21C9" w:rsidRDefault="00CF21C9" w:rsidP="00CF21C9">
      <w:r w:rsidRPr="00B9795B">
        <w:rPr>
          <w:noProof/>
        </w:rPr>
        <w:drawing>
          <wp:anchor distT="0" distB="0" distL="114300" distR="114300" simplePos="0" relativeHeight="251667456" behindDoc="0" locked="0" layoutInCell="1" allowOverlap="1" wp14:anchorId="09CFC63F" wp14:editId="02F5228D">
            <wp:simplePos x="0" y="0"/>
            <wp:positionH relativeFrom="column">
              <wp:posOffset>381000</wp:posOffset>
            </wp:positionH>
            <wp:positionV relativeFrom="paragraph">
              <wp:posOffset>91440</wp:posOffset>
            </wp:positionV>
            <wp:extent cx="4267200" cy="798830"/>
            <wp:effectExtent l="19050" t="19050" r="19050" b="2032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267200" cy="798830"/>
                    </a:xfrm>
                    <a:prstGeom prst="rect">
                      <a:avLst/>
                    </a:prstGeom>
                    <a:ln>
                      <a:solidFill>
                        <a:schemeClr val="tx1"/>
                      </a:solidFill>
                    </a:ln>
                  </pic:spPr>
                </pic:pic>
              </a:graphicData>
            </a:graphic>
          </wp:anchor>
        </w:drawing>
      </w:r>
    </w:p>
    <w:p w:rsidR="00CF21C9" w:rsidRDefault="00CF21C9" w:rsidP="00CF21C9"/>
    <w:p w:rsidR="00CF21C9" w:rsidRDefault="00CF21C9" w:rsidP="00CF21C9"/>
    <w:p w:rsidR="00CF21C9" w:rsidRDefault="00CF21C9" w:rsidP="00CF21C9">
      <w:r w:rsidRPr="00B9795B">
        <w:rPr>
          <w:noProof/>
        </w:rPr>
        <w:drawing>
          <wp:anchor distT="0" distB="0" distL="114300" distR="114300" simplePos="0" relativeHeight="251668480" behindDoc="0" locked="0" layoutInCell="1" allowOverlap="1" wp14:anchorId="113B2F87" wp14:editId="269AF948">
            <wp:simplePos x="0" y="0"/>
            <wp:positionH relativeFrom="column">
              <wp:posOffset>381000</wp:posOffset>
            </wp:positionH>
            <wp:positionV relativeFrom="paragraph">
              <wp:posOffset>97790</wp:posOffset>
            </wp:positionV>
            <wp:extent cx="4267200" cy="1014730"/>
            <wp:effectExtent l="19050" t="19050" r="19050" b="139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267200" cy="1014730"/>
                    </a:xfrm>
                    <a:prstGeom prst="rect">
                      <a:avLst/>
                    </a:prstGeom>
                    <a:ln>
                      <a:solidFill>
                        <a:schemeClr val="tx1"/>
                      </a:solidFill>
                    </a:ln>
                  </pic:spPr>
                </pic:pic>
              </a:graphicData>
            </a:graphic>
          </wp:anchor>
        </w:drawing>
      </w:r>
    </w:p>
    <w:p w:rsidR="00CF21C9" w:rsidRPr="00737811" w:rsidRDefault="00CF21C9" w:rsidP="00CF21C9"/>
    <w:p w:rsidR="00CF21C9" w:rsidRPr="00851A43" w:rsidRDefault="00CF21C9" w:rsidP="006B5B5B">
      <w:pPr>
        <w:pStyle w:val="NoSpacing"/>
        <w:spacing w:line="480" w:lineRule="auto"/>
      </w:pPr>
    </w:p>
    <w:sectPr w:rsidR="00CF21C9" w:rsidRPr="00851A43">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26FF" w:rsidRDefault="005D26FF" w:rsidP="00F3519E">
      <w:pPr>
        <w:spacing w:after="0" w:line="240" w:lineRule="auto"/>
      </w:pPr>
      <w:r>
        <w:separator/>
      </w:r>
    </w:p>
  </w:endnote>
  <w:endnote w:type="continuationSeparator" w:id="0">
    <w:p w:rsidR="005D26FF" w:rsidRDefault="005D26FF" w:rsidP="00F35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1067534"/>
      <w:docPartObj>
        <w:docPartGallery w:val="Page Numbers (Bottom of Page)"/>
        <w:docPartUnique/>
      </w:docPartObj>
    </w:sdtPr>
    <w:sdtEndPr>
      <w:rPr>
        <w:noProof/>
      </w:rPr>
    </w:sdtEndPr>
    <w:sdtContent>
      <w:p w:rsidR="00F3519E" w:rsidRDefault="00F3519E">
        <w:pPr>
          <w:pStyle w:val="Footer"/>
        </w:pPr>
        <w:r>
          <w:fldChar w:fldCharType="begin"/>
        </w:r>
        <w:r>
          <w:instrText xml:space="preserve"> PAGE   \* MERGEFORMAT </w:instrText>
        </w:r>
        <w:r>
          <w:fldChar w:fldCharType="separate"/>
        </w:r>
        <w:r>
          <w:rPr>
            <w:noProof/>
          </w:rPr>
          <w:t>2</w:t>
        </w:r>
        <w:r>
          <w:rPr>
            <w:noProof/>
          </w:rPr>
          <w:fldChar w:fldCharType="end"/>
        </w:r>
      </w:p>
    </w:sdtContent>
  </w:sdt>
  <w:p w:rsidR="00F3519E" w:rsidRDefault="00F35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26FF" w:rsidRDefault="005D26FF" w:rsidP="00F3519E">
      <w:pPr>
        <w:spacing w:after="0" w:line="240" w:lineRule="auto"/>
      </w:pPr>
      <w:r>
        <w:separator/>
      </w:r>
    </w:p>
  </w:footnote>
  <w:footnote w:type="continuationSeparator" w:id="0">
    <w:p w:rsidR="005D26FF" w:rsidRDefault="005D26FF" w:rsidP="00F351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89701F"/>
    <w:multiLevelType w:val="multilevel"/>
    <w:tmpl w:val="3C98F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5501498"/>
    <w:multiLevelType w:val="multilevel"/>
    <w:tmpl w:val="907EA7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033B62"/>
    <w:multiLevelType w:val="multilevel"/>
    <w:tmpl w:val="BB5AE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A0857D3"/>
    <w:multiLevelType w:val="multilevel"/>
    <w:tmpl w:val="06BE1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6B3"/>
    <w:rsid w:val="00014BD9"/>
    <w:rsid w:val="000206B3"/>
    <w:rsid w:val="000C26F3"/>
    <w:rsid w:val="000C6BE5"/>
    <w:rsid w:val="00150BB7"/>
    <w:rsid w:val="001C7350"/>
    <w:rsid w:val="00262DFE"/>
    <w:rsid w:val="00282FF8"/>
    <w:rsid w:val="002B1781"/>
    <w:rsid w:val="002E0096"/>
    <w:rsid w:val="003746B7"/>
    <w:rsid w:val="00411B59"/>
    <w:rsid w:val="00422945"/>
    <w:rsid w:val="004535DB"/>
    <w:rsid w:val="004B48DB"/>
    <w:rsid w:val="004C58C0"/>
    <w:rsid w:val="004E4FBC"/>
    <w:rsid w:val="00537A16"/>
    <w:rsid w:val="00543312"/>
    <w:rsid w:val="005B1C13"/>
    <w:rsid w:val="005B6E36"/>
    <w:rsid w:val="005D26FF"/>
    <w:rsid w:val="00602351"/>
    <w:rsid w:val="00615F0D"/>
    <w:rsid w:val="00654E13"/>
    <w:rsid w:val="006B1C92"/>
    <w:rsid w:val="006B5B5B"/>
    <w:rsid w:val="00717B60"/>
    <w:rsid w:val="00736886"/>
    <w:rsid w:val="00737811"/>
    <w:rsid w:val="00741E65"/>
    <w:rsid w:val="00833E48"/>
    <w:rsid w:val="00851A43"/>
    <w:rsid w:val="008A1DE5"/>
    <w:rsid w:val="00931CBC"/>
    <w:rsid w:val="00954C87"/>
    <w:rsid w:val="00955118"/>
    <w:rsid w:val="00957F6D"/>
    <w:rsid w:val="009F62B1"/>
    <w:rsid w:val="00AA4D36"/>
    <w:rsid w:val="00AD126A"/>
    <w:rsid w:val="00AE1FA7"/>
    <w:rsid w:val="00B424F4"/>
    <w:rsid w:val="00B9795B"/>
    <w:rsid w:val="00BD4CF5"/>
    <w:rsid w:val="00C23F7E"/>
    <w:rsid w:val="00C2559D"/>
    <w:rsid w:val="00C32EA1"/>
    <w:rsid w:val="00C33CED"/>
    <w:rsid w:val="00C51AA9"/>
    <w:rsid w:val="00CF0C0E"/>
    <w:rsid w:val="00CF21C9"/>
    <w:rsid w:val="00CF5045"/>
    <w:rsid w:val="00CF67E8"/>
    <w:rsid w:val="00D13337"/>
    <w:rsid w:val="00D355A1"/>
    <w:rsid w:val="00D3792B"/>
    <w:rsid w:val="00D66170"/>
    <w:rsid w:val="00D72527"/>
    <w:rsid w:val="00DC016E"/>
    <w:rsid w:val="00E226FE"/>
    <w:rsid w:val="00E63EE6"/>
    <w:rsid w:val="00EC376C"/>
    <w:rsid w:val="00ED4367"/>
    <w:rsid w:val="00EE3C06"/>
    <w:rsid w:val="00F3519E"/>
    <w:rsid w:val="00FB64DE"/>
    <w:rsid w:val="00FE1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D78D"/>
  <w15:chartTrackingRefBased/>
  <w15:docId w15:val="{C204510C-D188-4862-AB90-8833EB4CB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6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B64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xw167507085">
    <w:name w:val="scxw167507085"/>
    <w:basedOn w:val="DefaultParagraphFont"/>
    <w:rsid w:val="00FB64DE"/>
  </w:style>
  <w:style w:type="character" w:customStyle="1" w:styleId="eop">
    <w:name w:val="eop"/>
    <w:basedOn w:val="DefaultParagraphFont"/>
    <w:rsid w:val="00FB64DE"/>
  </w:style>
  <w:style w:type="character" w:customStyle="1" w:styleId="normaltextrun">
    <w:name w:val="normaltextrun"/>
    <w:basedOn w:val="DefaultParagraphFont"/>
    <w:rsid w:val="00FB64DE"/>
  </w:style>
  <w:style w:type="character" w:customStyle="1" w:styleId="contentcontrolboundarysink">
    <w:name w:val="contentcontrolboundarysink"/>
    <w:basedOn w:val="DefaultParagraphFont"/>
    <w:rsid w:val="00FB64DE"/>
  </w:style>
  <w:style w:type="paragraph" w:styleId="NoSpacing">
    <w:name w:val="No Spacing"/>
    <w:uiPriority w:val="1"/>
    <w:qFormat/>
    <w:rsid w:val="000C26F3"/>
    <w:pPr>
      <w:spacing w:after="0" w:line="240" w:lineRule="auto"/>
    </w:pPr>
  </w:style>
  <w:style w:type="character" w:customStyle="1" w:styleId="Heading1Char">
    <w:name w:val="Heading 1 Char"/>
    <w:basedOn w:val="DefaultParagraphFont"/>
    <w:link w:val="Heading1"/>
    <w:uiPriority w:val="9"/>
    <w:rsid w:val="000C26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26F3"/>
    <w:pPr>
      <w:outlineLvl w:val="9"/>
    </w:pPr>
    <w:rPr>
      <w:lang w:val="en-US"/>
    </w:rPr>
  </w:style>
  <w:style w:type="paragraph" w:styleId="TOC1">
    <w:name w:val="toc 1"/>
    <w:basedOn w:val="Normal"/>
    <w:next w:val="Normal"/>
    <w:autoRedefine/>
    <w:uiPriority w:val="39"/>
    <w:unhideWhenUsed/>
    <w:rsid w:val="000C26F3"/>
    <w:pPr>
      <w:spacing w:after="100"/>
    </w:pPr>
  </w:style>
  <w:style w:type="character" w:styleId="Hyperlink">
    <w:name w:val="Hyperlink"/>
    <w:basedOn w:val="DefaultParagraphFont"/>
    <w:uiPriority w:val="99"/>
    <w:unhideWhenUsed/>
    <w:rsid w:val="000C26F3"/>
    <w:rPr>
      <w:color w:val="0563C1" w:themeColor="hyperlink"/>
      <w:u w:val="single"/>
    </w:rPr>
  </w:style>
  <w:style w:type="paragraph" w:styleId="NormalWeb">
    <w:name w:val="Normal (Web)"/>
    <w:basedOn w:val="Normal"/>
    <w:uiPriority w:val="99"/>
    <w:unhideWhenUsed/>
    <w:rsid w:val="000C26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114">
    <w:name w:val="citation-114"/>
    <w:basedOn w:val="DefaultParagraphFont"/>
    <w:rsid w:val="000C26F3"/>
  </w:style>
  <w:style w:type="character" w:customStyle="1" w:styleId="citation-113">
    <w:name w:val="citation-113"/>
    <w:basedOn w:val="DefaultParagraphFont"/>
    <w:rsid w:val="000C26F3"/>
  </w:style>
  <w:style w:type="character" w:customStyle="1" w:styleId="citation-112">
    <w:name w:val="citation-112"/>
    <w:basedOn w:val="DefaultParagraphFont"/>
    <w:rsid w:val="000C26F3"/>
  </w:style>
  <w:style w:type="character" w:customStyle="1" w:styleId="citation-111">
    <w:name w:val="citation-111"/>
    <w:basedOn w:val="DefaultParagraphFont"/>
    <w:rsid w:val="000C26F3"/>
  </w:style>
  <w:style w:type="character" w:customStyle="1" w:styleId="citation-110">
    <w:name w:val="citation-110"/>
    <w:basedOn w:val="DefaultParagraphFont"/>
    <w:rsid w:val="000C26F3"/>
  </w:style>
  <w:style w:type="character" w:customStyle="1" w:styleId="citation-109">
    <w:name w:val="citation-109"/>
    <w:basedOn w:val="DefaultParagraphFont"/>
    <w:rsid w:val="000C26F3"/>
  </w:style>
  <w:style w:type="character" w:customStyle="1" w:styleId="citation-108">
    <w:name w:val="citation-108"/>
    <w:basedOn w:val="DefaultParagraphFont"/>
    <w:rsid w:val="005B1C13"/>
  </w:style>
  <w:style w:type="character" w:customStyle="1" w:styleId="citation-107">
    <w:name w:val="citation-107"/>
    <w:basedOn w:val="DefaultParagraphFont"/>
    <w:rsid w:val="005B1C13"/>
  </w:style>
  <w:style w:type="character" w:customStyle="1" w:styleId="citation-106">
    <w:name w:val="citation-106"/>
    <w:basedOn w:val="DefaultParagraphFont"/>
    <w:rsid w:val="005B1C13"/>
  </w:style>
  <w:style w:type="character" w:customStyle="1" w:styleId="citation-105">
    <w:name w:val="citation-105"/>
    <w:basedOn w:val="DefaultParagraphFont"/>
    <w:rsid w:val="005B1C13"/>
  </w:style>
  <w:style w:type="character" w:customStyle="1" w:styleId="citation-104">
    <w:name w:val="citation-104"/>
    <w:basedOn w:val="DefaultParagraphFont"/>
    <w:rsid w:val="005B1C13"/>
  </w:style>
  <w:style w:type="character" w:customStyle="1" w:styleId="citation-103">
    <w:name w:val="citation-103"/>
    <w:basedOn w:val="DefaultParagraphFont"/>
    <w:rsid w:val="005B1C13"/>
  </w:style>
  <w:style w:type="character" w:customStyle="1" w:styleId="citation-102">
    <w:name w:val="citation-102"/>
    <w:basedOn w:val="DefaultParagraphFont"/>
    <w:rsid w:val="005B1C13"/>
  </w:style>
  <w:style w:type="character" w:customStyle="1" w:styleId="citation-101">
    <w:name w:val="citation-101"/>
    <w:basedOn w:val="DefaultParagraphFont"/>
    <w:rsid w:val="005B1C13"/>
  </w:style>
  <w:style w:type="paragraph" w:styleId="Header">
    <w:name w:val="header"/>
    <w:basedOn w:val="Normal"/>
    <w:link w:val="HeaderChar"/>
    <w:uiPriority w:val="99"/>
    <w:unhideWhenUsed/>
    <w:rsid w:val="00F35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19E"/>
  </w:style>
  <w:style w:type="paragraph" w:styleId="Footer">
    <w:name w:val="footer"/>
    <w:basedOn w:val="Normal"/>
    <w:link w:val="FooterChar"/>
    <w:uiPriority w:val="99"/>
    <w:unhideWhenUsed/>
    <w:rsid w:val="00F35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19E"/>
  </w:style>
  <w:style w:type="character" w:styleId="UnresolvedMention">
    <w:name w:val="Unresolved Mention"/>
    <w:basedOn w:val="DefaultParagraphFont"/>
    <w:uiPriority w:val="99"/>
    <w:semiHidden/>
    <w:unhideWhenUsed/>
    <w:rsid w:val="006B5B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345146">
      <w:bodyDiv w:val="1"/>
      <w:marLeft w:val="0"/>
      <w:marRight w:val="0"/>
      <w:marTop w:val="0"/>
      <w:marBottom w:val="0"/>
      <w:divBdr>
        <w:top w:val="none" w:sz="0" w:space="0" w:color="auto"/>
        <w:left w:val="none" w:sz="0" w:space="0" w:color="auto"/>
        <w:bottom w:val="none" w:sz="0" w:space="0" w:color="auto"/>
        <w:right w:val="none" w:sz="0" w:space="0" w:color="auto"/>
      </w:divBdr>
    </w:div>
    <w:div w:id="214661006">
      <w:bodyDiv w:val="1"/>
      <w:marLeft w:val="0"/>
      <w:marRight w:val="0"/>
      <w:marTop w:val="0"/>
      <w:marBottom w:val="0"/>
      <w:divBdr>
        <w:top w:val="none" w:sz="0" w:space="0" w:color="auto"/>
        <w:left w:val="none" w:sz="0" w:space="0" w:color="auto"/>
        <w:bottom w:val="none" w:sz="0" w:space="0" w:color="auto"/>
        <w:right w:val="none" w:sz="0" w:space="0" w:color="auto"/>
      </w:divBdr>
    </w:div>
    <w:div w:id="275254195">
      <w:bodyDiv w:val="1"/>
      <w:marLeft w:val="0"/>
      <w:marRight w:val="0"/>
      <w:marTop w:val="0"/>
      <w:marBottom w:val="0"/>
      <w:divBdr>
        <w:top w:val="none" w:sz="0" w:space="0" w:color="auto"/>
        <w:left w:val="none" w:sz="0" w:space="0" w:color="auto"/>
        <w:bottom w:val="none" w:sz="0" w:space="0" w:color="auto"/>
        <w:right w:val="none" w:sz="0" w:space="0" w:color="auto"/>
      </w:divBdr>
    </w:div>
    <w:div w:id="697387299">
      <w:bodyDiv w:val="1"/>
      <w:marLeft w:val="0"/>
      <w:marRight w:val="0"/>
      <w:marTop w:val="0"/>
      <w:marBottom w:val="0"/>
      <w:divBdr>
        <w:top w:val="none" w:sz="0" w:space="0" w:color="auto"/>
        <w:left w:val="none" w:sz="0" w:space="0" w:color="auto"/>
        <w:bottom w:val="none" w:sz="0" w:space="0" w:color="auto"/>
        <w:right w:val="none" w:sz="0" w:space="0" w:color="auto"/>
      </w:divBdr>
    </w:div>
    <w:div w:id="736320834">
      <w:bodyDiv w:val="1"/>
      <w:marLeft w:val="0"/>
      <w:marRight w:val="0"/>
      <w:marTop w:val="0"/>
      <w:marBottom w:val="0"/>
      <w:divBdr>
        <w:top w:val="none" w:sz="0" w:space="0" w:color="auto"/>
        <w:left w:val="none" w:sz="0" w:space="0" w:color="auto"/>
        <w:bottom w:val="none" w:sz="0" w:space="0" w:color="auto"/>
        <w:right w:val="none" w:sz="0" w:space="0" w:color="auto"/>
      </w:divBdr>
    </w:div>
    <w:div w:id="792021753">
      <w:bodyDiv w:val="1"/>
      <w:marLeft w:val="0"/>
      <w:marRight w:val="0"/>
      <w:marTop w:val="0"/>
      <w:marBottom w:val="0"/>
      <w:divBdr>
        <w:top w:val="none" w:sz="0" w:space="0" w:color="auto"/>
        <w:left w:val="none" w:sz="0" w:space="0" w:color="auto"/>
        <w:bottom w:val="none" w:sz="0" w:space="0" w:color="auto"/>
        <w:right w:val="none" w:sz="0" w:space="0" w:color="auto"/>
      </w:divBdr>
    </w:div>
    <w:div w:id="1013606969">
      <w:bodyDiv w:val="1"/>
      <w:marLeft w:val="0"/>
      <w:marRight w:val="0"/>
      <w:marTop w:val="0"/>
      <w:marBottom w:val="0"/>
      <w:divBdr>
        <w:top w:val="none" w:sz="0" w:space="0" w:color="auto"/>
        <w:left w:val="none" w:sz="0" w:space="0" w:color="auto"/>
        <w:bottom w:val="none" w:sz="0" w:space="0" w:color="auto"/>
        <w:right w:val="none" w:sz="0" w:space="0" w:color="auto"/>
      </w:divBdr>
    </w:div>
    <w:div w:id="1273702889">
      <w:bodyDiv w:val="1"/>
      <w:marLeft w:val="0"/>
      <w:marRight w:val="0"/>
      <w:marTop w:val="0"/>
      <w:marBottom w:val="0"/>
      <w:divBdr>
        <w:top w:val="none" w:sz="0" w:space="0" w:color="auto"/>
        <w:left w:val="none" w:sz="0" w:space="0" w:color="auto"/>
        <w:bottom w:val="none" w:sz="0" w:space="0" w:color="auto"/>
        <w:right w:val="none" w:sz="0" w:space="0" w:color="auto"/>
      </w:divBdr>
      <w:divsChild>
        <w:div w:id="1106999748">
          <w:marLeft w:val="0"/>
          <w:marRight w:val="0"/>
          <w:marTop w:val="0"/>
          <w:marBottom w:val="0"/>
          <w:divBdr>
            <w:top w:val="none" w:sz="0" w:space="0" w:color="auto"/>
            <w:left w:val="none" w:sz="0" w:space="0" w:color="auto"/>
            <w:bottom w:val="none" w:sz="0" w:space="0" w:color="auto"/>
            <w:right w:val="none" w:sz="0" w:space="0" w:color="auto"/>
          </w:divBdr>
        </w:div>
        <w:div w:id="2028676526">
          <w:marLeft w:val="0"/>
          <w:marRight w:val="0"/>
          <w:marTop w:val="0"/>
          <w:marBottom w:val="0"/>
          <w:divBdr>
            <w:top w:val="none" w:sz="0" w:space="0" w:color="auto"/>
            <w:left w:val="none" w:sz="0" w:space="0" w:color="auto"/>
            <w:bottom w:val="none" w:sz="0" w:space="0" w:color="auto"/>
            <w:right w:val="none" w:sz="0" w:space="0" w:color="auto"/>
          </w:divBdr>
        </w:div>
        <w:div w:id="1588928965">
          <w:marLeft w:val="0"/>
          <w:marRight w:val="0"/>
          <w:marTop w:val="0"/>
          <w:marBottom w:val="0"/>
          <w:divBdr>
            <w:top w:val="none" w:sz="0" w:space="0" w:color="auto"/>
            <w:left w:val="none" w:sz="0" w:space="0" w:color="auto"/>
            <w:bottom w:val="none" w:sz="0" w:space="0" w:color="auto"/>
            <w:right w:val="none" w:sz="0" w:space="0" w:color="auto"/>
          </w:divBdr>
          <w:divsChild>
            <w:div w:id="255097283">
              <w:marLeft w:val="-75"/>
              <w:marRight w:val="0"/>
              <w:marTop w:val="30"/>
              <w:marBottom w:val="30"/>
              <w:divBdr>
                <w:top w:val="none" w:sz="0" w:space="0" w:color="auto"/>
                <w:left w:val="none" w:sz="0" w:space="0" w:color="auto"/>
                <w:bottom w:val="none" w:sz="0" w:space="0" w:color="auto"/>
                <w:right w:val="none" w:sz="0" w:space="0" w:color="auto"/>
              </w:divBdr>
              <w:divsChild>
                <w:div w:id="2007129812">
                  <w:marLeft w:val="0"/>
                  <w:marRight w:val="0"/>
                  <w:marTop w:val="0"/>
                  <w:marBottom w:val="0"/>
                  <w:divBdr>
                    <w:top w:val="none" w:sz="0" w:space="0" w:color="auto"/>
                    <w:left w:val="none" w:sz="0" w:space="0" w:color="auto"/>
                    <w:bottom w:val="none" w:sz="0" w:space="0" w:color="auto"/>
                    <w:right w:val="none" w:sz="0" w:space="0" w:color="auto"/>
                  </w:divBdr>
                  <w:divsChild>
                    <w:div w:id="418067119">
                      <w:marLeft w:val="0"/>
                      <w:marRight w:val="0"/>
                      <w:marTop w:val="0"/>
                      <w:marBottom w:val="0"/>
                      <w:divBdr>
                        <w:top w:val="none" w:sz="0" w:space="0" w:color="auto"/>
                        <w:left w:val="none" w:sz="0" w:space="0" w:color="auto"/>
                        <w:bottom w:val="none" w:sz="0" w:space="0" w:color="auto"/>
                        <w:right w:val="none" w:sz="0" w:space="0" w:color="auto"/>
                      </w:divBdr>
                    </w:div>
                  </w:divsChild>
                </w:div>
                <w:div w:id="1361971611">
                  <w:marLeft w:val="0"/>
                  <w:marRight w:val="0"/>
                  <w:marTop w:val="0"/>
                  <w:marBottom w:val="0"/>
                  <w:divBdr>
                    <w:top w:val="none" w:sz="0" w:space="0" w:color="auto"/>
                    <w:left w:val="none" w:sz="0" w:space="0" w:color="auto"/>
                    <w:bottom w:val="none" w:sz="0" w:space="0" w:color="auto"/>
                    <w:right w:val="none" w:sz="0" w:space="0" w:color="auto"/>
                  </w:divBdr>
                  <w:divsChild>
                    <w:div w:id="55709332">
                      <w:marLeft w:val="0"/>
                      <w:marRight w:val="0"/>
                      <w:marTop w:val="0"/>
                      <w:marBottom w:val="0"/>
                      <w:divBdr>
                        <w:top w:val="none" w:sz="0" w:space="0" w:color="auto"/>
                        <w:left w:val="none" w:sz="0" w:space="0" w:color="auto"/>
                        <w:bottom w:val="none" w:sz="0" w:space="0" w:color="auto"/>
                        <w:right w:val="none" w:sz="0" w:space="0" w:color="auto"/>
                      </w:divBdr>
                    </w:div>
                  </w:divsChild>
                </w:div>
                <w:div w:id="364714795">
                  <w:marLeft w:val="0"/>
                  <w:marRight w:val="0"/>
                  <w:marTop w:val="0"/>
                  <w:marBottom w:val="0"/>
                  <w:divBdr>
                    <w:top w:val="none" w:sz="0" w:space="0" w:color="auto"/>
                    <w:left w:val="none" w:sz="0" w:space="0" w:color="auto"/>
                    <w:bottom w:val="none" w:sz="0" w:space="0" w:color="auto"/>
                    <w:right w:val="none" w:sz="0" w:space="0" w:color="auto"/>
                  </w:divBdr>
                  <w:divsChild>
                    <w:div w:id="2013491035">
                      <w:marLeft w:val="0"/>
                      <w:marRight w:val="0"/>
                      <w:marTop w:val="0"/>
                      <w:marBottom w:val="0"/>
                      <w:divBdr>
                        <w:top w:val="none" w:sz="0" w:space="0" w:color="auto"/>
                        <w:left w:val="none" w:sz="0" w:space="0" w:color="auto"/>
                        <w:bottom w:val="none" w:sz="0" w:space="0" w:color="auto"/>
                        <w:right w:val="none" w:sz="0" w:space="0" w:color="auto"/>
                      </w:divBdr>
                    </w:div>
                  </w:divsChild>
                </w:div>
                <w:div w:id="805005386">
                  <w:marLeft w:val="0"/>
                  <w:marRight w:val="0"/>
                  <w:marTop w:val="0"/>
                  <w:marBottom w:val="0"/>
                  <w:divBdr>
                    <w:top w:val="none" w:sz="0" w:space="0" w:color="auto"/>
                    <w:left w:val="none" w:sz="0" w:space="0" w:color="auto"/>
                    <w:bottom w:val="none" w:sz="0" w:space="0" w:color="auto"/>
                    <w:right w:val="none" w:sz="0" w:space="0" w:color="auto"/>
                  </w:divBdr>
                  <w:divsChild>
                    <w:div w:id="1215048952">
                      <w:marLeft w:val="0"/>
                      <w:marRight w:val="0"/>
                      <w:marTop w:val="0"/>
                      <w:marBottom w:val="0"/>
                      <w:divBdr>
                        <w:top w:val="none" w:sz="0" w:space="0" w:color="auto"/>
                        <w:left w:val="none" w:sz="0" w:space="0" w:color="auto"/>
                        <w:bottom w:val="none" w:sz="0" w:space="0" w:color="auto"/>
                        <w:right w:val="none" w:sz="0" w:space="0" w:color="auto"/>
                      </w:divBdr>
                    </w:div>
                  </w:divsChild>
                </w:div>
                <w:div w:id="1060665994">
                  <w:marLeft w:val="0"/>
                  <w:marRight w:val="0"/>
                  <w:marTop w:val="0"/>
                  <w:marBottom w:val="0"/>
                  <w:divBdr>
                    <w:top w:val="none" w:sz="0" w:space="0" w:color="auto"/>
                    <w:left w:val="none" w:sz="0" w:space="0" w:color="auto"/>
                    <w:bottom w:val="none" w:sz="0" w:space="0" w:color="auto"/>
                    <w:right w:val="none" w:sz="0" w:space="0" w:color="auto"/>
                  </w:divBdr>
                  <w:divsChild>
                    <w:div w:id="2016107978">
                      <w:marLeft w:val="0"/>
                      <w:marRight w:val="0"/>
                      <w:marTop w:val="0"/>
                      <w:marBottom w:val="0"/>
                      <w:divBdr>
                        <w:top w:val="none" w:sz="0" w:space="0" w:color="auto"/>
                        <w:left w:val="none" w:sz="0" w:space="0" w:color="auto"/>
                        <w:bottom w:val="none" w:sz="0" w:space="0" w:color="auto"/>
                        <w:right w:val="none" w:sz="0" w:space="0" w:color="auto"/>
                      </w:divBdr>
                    </w:div>
                  </w:divsChild>
                </w:div>
                <w:div w:id="1483736394">
                  <w:marLeft w:val="0"/>
                  <w:marRight w:val="0"/>
                  <w:marTop w:val="0"/>
                  <w:marBottom w:val="0"/>
                  <w:divBdr>
                    <w:top w:val="none" w:sz="0" w:space="0" w:color="auto"/>
                    <w:left w:val="none" w:sz="0" w:space="0" w:color="auto"/>
                    <w:bottom w:val="none" w:sz="0" w:space="0" w:color="auto"/>
                    <w:right w:val="none" w:sz="0" w:space="0" w:color="auto"/>
                  </w:divBdr>
                  <w:divsChild>
                    <w:div w:id="874774640">
                      <w:marLeft w:val="0"/>
                      <w:marRight w:val="0"/>
                      <w:marTop w:val="0"/>
                      <w:marBottom w:val="0"/>
                      <w:divBdr>
                        <w:top w:val="none" w:sz="0" w:space="0" w:color="auto"/>
                        <w:left w:val="none" w:sz="0" w:space="0" w:color="auto"/>
                        <w:bottom w:val="none" w:sz="0" w:space="0" w:color="auto"/>
                        <w:right w:val="none" w:sz="0" w:space="0" w:color="auto"/>
                      </w:divBdr>
                    </w:div>
                  </w:divsChild>
                </w:div>
                <w:div w:id="1876306903">
                  <w:marLeft w:val="0"/>
                  <w:marRight w:val="0"/>
                  <w:marTop w:val="0"/>
                  <w:marBottom w:val="0"/>
                  <w:divBdr>
                    <w:top w:val="none" w:sz="0" w:space="0" w:color="auto"/>
                    <w:left w:val="none" w:sz="0" w:space="0" w:color="auto"/>
                    <w:bottom w:val="none" w:sz="0" w:space="0" w:color="auto"/>
                    <w:right w:val="none" w:sz="0" w:space="0" w:color="auto"/>
                  </w:divBdr>
                  <w:divsChild>
                    <w:div w:id="2147042148">
                      <w:marLeft w:val="0"/>
                      <w:marRight w:val="0"/>
                      <w:marTop w:val="0"/>
                      <w:marBottom w:val="0"/>
                      <w:divBdr>
                        <w:top w:val="none" w:sz="0" w:space="0" w:color="auto"/>
                        <w:left w:val="none" w:sz="0" w:space="0" w:color="auto"/>
                        <w:bottom w:val="none" w:sz="0" w:space="0" w:color="auto"/>
                        <w:right w:val="none" w:sz="0" w:space="0" w:color="auto"/>
                      </w:divBdr>
                    </w:div>
                  </w:divsChild>
                </w:div>
                <w:div w:id="1535578049">
                  <w:marLeft w:val="0"/>
                  <w:marRight w:val="0"/>
                  <w:marTop w:val="0"/>
                  <w:marBottom w:val="0"/>
                  <w:divBdr>
                    <w:top w:val="none" w:sz="0" w:space="0" w:color="auto"/>
                    <w:left w:val="none" w:sz="0" w:space="0" w:color="auto"/>
                    <w:bottom w:val="none" w:sz="0" w:space="0" w:color="auto"/>
                    <w:right w:val="none" w:sz="0" w:space="0" w:color="auto"/>
                  </w:divBdr>
                  <w:divsChild>
                    <w:div w:id="180893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642648">
          <w:marLeft w:val="0"/>
          <w:marRight w:val="0"/>
          <w:marTop w:val="0"/>
          <w:marBottom w:val="0"/>
          <w:divBdr>
            <w:top w:val="none" w:sz="0" w:space="0" w:color="auto"/>
            <w:left w:val="none" w:sz="0" w:space="0" w:color="auto"/>
            <w:bottom w:val="none" w:sz="0" w:space="0" w:color="auto"/>
            <w:right w:val="none" w:sz="0" w:space="0" w:color="auto"/>
          </w:divBdr>
          <w:divsChild>
            <w:div w:id="501050245">
              <w:marLeft w:val="0"/>
              <w:marRight w:val="0"/>
              <w:marTop w:val="0"/>
              <w:marBottom w:val="0"/>
              <w:divBdr>
                <w:top w:val="none" w:sz="0" w:space="0" w:color="auto"/>
                <w:left w:val="none" w:sz="0" w:space="0" w:color="auto"/>
                <w:bottom w:val="none" w:sz="0" w:space="0" w:color="auto"/>
                <w:right w:val="none" w:sz="0" w:space="0" w:color="auto"/>
              </w:divBdr>
            </w:div>
            <w:div w:id="519859377">
              <w:marLeft w:val="0"/>
              <w:marRight w:val="0"/>
              <w:marTop w:val="0"/>
              <w:marBottom w:val="0"/>
              <w:divBdr>
                <w:top w:val="none" w:sz="0" w:space="0" w:color="auto"/>
                <w:left w:val="none" w:sz="0" w:space="0" w:color="auto"/>
                <w:bottom w:val="none" w:sz="0" w:space="0" w:color="auto"/>
                <w:right w:val="none" w:sz="0" w:space="0" w:color="auto"/>
              </w:divBdr>
            </w:div>
            <w:div w:id="1445537126">
              <w:marLeft w:val="0"/>
              <w:marRight w:val="0"/>
              <w:marTop w:val="0"/>
              <w:marBottom w:val="0"/>
              <w:divBdr>
                <w:top w:val="none" w:sz="0" w:space="0" w:color="auto"/>
                <w:left w:val="none" w:sz="0" w:space="0" w:color="auto"/>
                <w:bottom w:val="none" w:sz="0" w:space="0" w:color="auto"/>
                <w:right w:val="none" w:sz="0" w:space="0" w:color="auto"/>
              </w:divBdr>
            </w:div>
            <w:div w:id="523598263">
              <w:marLeft w:val="0"/>
              <w:marRight w:val="0"/>
              <w:marTop w:val="0"/>
              <w:marBottom w:val="0"/>
              <w:divBdr>
                <w:top w:val="none" w:sz="0" w:space="0" w:color="auto"/>
                <w:left w:val="none" w:sz="0" w:space="0" w:color="auto"/>
                <w:bottom w:val="none" w:sz="0" w:space="0" w:color="auto"/>
                <w:right w:val="none" w:sz="0" w:space="0" w:color="auto"/>
              </w:divBdr>
            </w:div>
            <w:div w:id="131795386">
              <w:marLeft w:val="0"/>
              <w:marRight w:val="0"/>
              <w:marTop w:val="0"/>
              <w:marBottom w:val="0"/>
              <w:divBdr>
                <w:top w:val="none" w:sz="0" w:space="0" w:color="auto"/>
                <w:left w:val="none" w:sz="0" w:space="0" w:color="auto"/>
                <w:bottom w:val="none" w:sz="0" w:space="0" w:color="auto"/>
                <w:right w:val="none" w:sz="0" w:space="0" w:color="auto"/>
              </w:divBdr>
            </w:div>
            <w:div w:id="593052659">
              <w:marLeft w:val="0"/>
              <w:marRight w:val="0"/>
              <w:marTop w:val="0"/>
              <w:marBottom w:val="0"/>
              <w:divBdr>
                <w:top w:val="none" w:sz="0" w:space="0" w:color="auto"/>
                <w:left w:val="none" w:sz="0" w:space="0" w:color="auto"/>
                <w:bottom w:val="none" w:sz="0" w:space="0" w:color="auto"/>
                <w:right w:val="none" w:sz="0" w:space="0" w:color="auto"/>
              </w:divBdr>
            </w:div>
            <w:div w:id="1389188315">
              <w:marLeft w:val="0"/>
              <w:marRight w:val="0"/>
              <w:marTop w:val="0"/>
              <w:marBottom w:val="0"/>
              <w:divBdr>
                <w:top w:val="none" w:sz="0" w:space="0" w:color="auto"/>
                <w:left w:val="none" w:sz="0" w:space="0" w:color="auto"/>
                <w:bottom w:val="none" w:sz="0" w:space="0" w:color="auto"/>
                <w:right w:val="none" w:sz="0" w:space="0" w:color="auto"/>
              </w:divBdr>
            </w:div>
            <w:div w:id="2018606710">
              <w:marLeft w:val="0"/>
              <w:marRight w:val="0"/>
              <w:marTop w:val="0"/>
              <w:marBottom w:val="0"/>
              <w:divBdr>
                <w:top w:val="none" w:sz="0" w:space="0" w:color="auto"/>
                <w:left w:val="none" w:sz="0" w:space="0" w:color="auto"/>
                <w:bottom w:val="none" w:sz="0" w:space="0" w:color="auto"/>
                <w:right w:val="none" w:sz="0" w:space="0" w:color="auto"/>
              </w:divBdr>
            </w:div>
            <w:div w:id="621110238">
              <w:marLeft w:val="0"/>
              <w:marRight w:val="0"/>
              <w:marTop w:val="0"/>
              <w:marBottom w:val="0"/>
              <w:divBdr>
                <w:top w:val="none" w:sz="0" w:space="0" w:color="auto"/>
                <w:left w:val="none" w:sz="0" w:space="0" w:color="auto"/>
                <w:bottom w:val="none" w:sz="0" w:space="0" w:color="auto"/>
                <w:right w:val="none" w:sz="0" w:space="0" w:color="auto"/>
              </w:divBdr>
            </w:div>
            <w:div w:id="1748383359">
              <w:marLeft w:val="0"/>
              <w:marRight w:val="0"/>
              <w:marTop w:val="0"/>
              <w:marBottom w:val="0"/>
              <w:divBdr>
                <w:top w:val="none" w:sz="0" w:space="0" w:color="auto"/>
                <w:left w:val="none" w:sz="0" w:space="0" w:color="auto"/>
                <w:bottom w:val="none" w:sz="0" w:space="0" w:color="auto"/>
                <w:right w:val="none" w:sz="0" w:space="0" w:color="auto"/>
              </w:divBdr>
            </w:div>
            <w:div w:id="1196040977">
              <w:marLeft w:val="0"/>
              <w:marRight w:val="0"/>
              <w:marTop w:val="0"/>
              <w:marBottom w:val="0"/>
              <w:divBdr>
                <w:top w:val="none" w:sz="0" w:space="0" w:color="auto"/>
                <w:left w:val="none" w:sz="0" w:space="0" w:color="auto"/>
                <w:bottom w:val="none" w:sz="0" w:space="0" w:color="auto"/>
                <w:right w:val="none" w:sz="0" w:space="0" w:color="auto"/>
              </w:divBdr>
            </w:div>
            <w:div w:id="1270355040">
              <w:marLeft w:val="0"/>
              <w:marRight w:val="0"/>
              <w:marTop w:val="0"/>
              <w:marBottom w:val="0"/>
              <w:divBdr>
                <w:top w:val="none" w:sz="0" w:space="0" w:color="auto"/>
                <w:left w:val="none" w:sz="0" w:space="0" w:color="auto"/>
                <w:bottom w:val="none" w:sz="0" w:space="0" w:color="auto"/>
                <w:right w:val="none" w:sz="0" w:space="0" w:color="auto"/>
              </w:divBdr>
            </w:div>
            <w:div w:id="1091504983">
              <w:marLeft w:val="0"/>
              <w:marRight w:val="0"/>
              <w:marTop w:val="0"/>
              <w:marBottom w:val="0"/>
              <w:divBdr>
                <w:top w:val="none" w:sz="0" w:space="0" w:color="auto"/>
                <w:left w:val="none" w:sz="0" w:space="0" w:color="auto"/>
                <w:bottom w:val="none" w:sz="0" w:space="0" w:color="auto"/>
                <w:right w:val="none" w:sz="0" w:space="0" w:color="auto"/>
              </w:divBdr>
            </w:div>
            <w:div w:id="608658996">
              <w:marLeft w:val="0"/>
              <w:marRight w:val="0"/>
              <w:marTop w:val="0"/>
              <w:marBottom w:val="0"/>
              <w:divBdr>
                <w:top w:val="none" w:sz="0" w:space="0" w:color="auto"/>
                <w:left w:val="none" w:sz="0" w:space="0" w:color="auto"/>
                <w:bottom w:val="none" w:sz="0" w:space="0" w:color="auto"/>
                <w:right w:val="none" w:sz="0" w:space="0" w:color="auto"/>
              </w:divBdr>
            </w:div>
            <w:div w:id="2063284914">
              <w:marLeft w:val="0"/>
              <w:marRight w:val="0"/>
              <w:marTop w:val="0"/>
              <w:marBottom w:val="0"/>
              <w:divBdr>
                <w:top w:val="none" w:sz="0" w:space="0" w:color="auto"/>
                <w:left w:val="none" w:sz="0" w:space="0" w:color="auto"/>
                <w:bottom w:val="none" w:sz="0" w:space="0" w:color="auto"/>
                <w:right w:val="none" w:sz="0" w:space="0" w:color="auto"/>
              </w:divBdr>
            </w:div>
            <w:div w:id="1385445543">
              <w:marLeft w:val="0"/>
              <w:marRight w:val="0"/>
              <w:marTop w:val="0"/>
              <w:marBottom w:val="0"/>
              <w:divBdr>
                <w:top w:val="none" w:sz="0" w:space="0" w:color="auto"/>
                <w:left w:val="none" w:sz="0" w:space="0" w:color="auto"/>
                <w:bottom w:val="none" w:sz="0" w:space="0" w:color="auto"/>
                <w:right w:val="none" w:sz="0" w:space="0" w:color="auto"/>
              </w:divBdr>
            </w:div>
            <w:div w:id="1755083858">
              <w:marLeft w:val="0"/>
              <w:marRight w:val="0"/>
              <w:marTop w:val="0"/>
              <w:marBottom w:val="0"/>
              <w:divBdr>
                <w:top w:val="none" w:sz="0" w:space="0" w:color="auto"/>
                <w:left w:val="none" w:sz="0" w:space="0" w:color="auto"/>
                <w:bottom w:val="none" w:sz="0" w:space="0" w:color="auto"/>
                <w:right w:val="none" w:sz="0" w:space="0" w:color="auto"/>
              </w:divBdr>
            </w:div>
            <w:div w:id="332298576">
              <w:marLeft w:val="0"/>
              <w:marRight w:val="0"/>
              <w:marTop w:val="0"/>
              <w:marBottom w:val="0"/>
              <w:divBdr>
                <w:top w:val="none" w:sz="0" w:space="0" w:color="auto"/>
                <w:left w:val="none" w:sz="0" w:space="0" w:color="auto"/>
                <w:bottom w:val="none" w:sz="0" w:space="0" w:color="auto"/>
                <w:right w:val="none" w:sz="0" w:space="0" w:color="auto"/>
              </w:divBdr>
            </w:div>
            <w:div w:id="474447679">
              <w:marLeft w:val="0"/>
              <w:marRight w:val="0"/>
              <w:marTop w:val="0"/>
              <w:marBottom w:val="0"/>
              <w:divBdr>
                <w:top w:val="none" w:sz="0" w:space="0" w:color="auto"/>
                <w:left w:val="none" w:sz="0" w:space="0" w:color="auto"/>
                <w:bottom w:val="none" w:sz="0" w:space="0" w:color="auto"/>
                <w:right w:val="none" w:sz="0" w:space="0" w:color="auto"/>
              </w:divBdr>
            </w:div>
            <w:div w:id="952252236">
              <w:marLeft w:val="0"/>
              <w:marRight w:val="0"/>
              <w:marTop w:val="0"/>
              <w:marBottom w:val="0"/>
              <w:divBdr>
                <w:top w:val="none" w:sz="0" w:space="0" w:color="auto"/>
                <w:left w:val="none" w:sz="0" w:space="0" w:color="auto"/>
                <w:bottom w:val="none" w:sz="0" w:space="0" w:color="auto"/>
                <w:right w:val="none" w:sz="0" w:space="0" w:color="auto"/>
              </w:divBdr>
            </w:div>
          </w:divsChild>
        </w:div>
        <w:div w:id="180314425">
          <w:marLeft w:val="0"/>
          <w:marRight w:val="0"/>
          <w:marTop w:val="0"/>
          <w:marBottom w:val="0"/>
          <w:divBdr>
            <w:top w:val="none" w:sz="0" w:space="0" w:color="auto"/>
            <w:left w:val="none" w:sz="0" w:space="0" w:color="auto"/>
            <w:bottom w:val="none" w:sz="0" w:space="0" w:color="auto"/>
            <w:right w:val="none" w:sz="0" w:space="0" w:color="auto"/>
          </w:divBdr>
        </w:div>
        <w:div w:id="1703556206">
          <w:marLeft w:val="0"/>
          <w:marRight w:val="0"/>
          <w:marTop w:val="0"/>
          <w:marBottom w:val="0"/>
          <w:divBdr>
            <w:top w:val="none" w:sz="0" w:space="0" w:color="auto"/>
            <w:left w:val="none" w:sz="0" w:space="0" w:color="auto"/>
            <w:bottom w:val="none" w:sz="0" w:space="0" w:color="auto"/>
            <w:right w:val="none" w:sz="0" w:space="0" w:color="auto"/>
          </w:divBdr>
        </w:div>
        <w:div w:id="1795827053">
          <w:marLeft w:val="0"/>
          <w:marRight w:val="0"/>
          <w:marTop w:val="0"/>
          <w:marBottom w:val="0"/>
          <w:divBdr>
            <w:top w:val="none" w:sz="0" w:space="0" w:color="auto"/>
            <w:left w:val="none" w:sz="0" w:space="0" w:color="auto"/>
            <w:bottom w:val="none" w:sz="0" w:space="0" w:color="auto"/>
            <w:right w:val="none" w:sz="0" w:space="0" w:color="auto"/>
          </w:divBdr>
        </w:div>
        <w:div w:id="1309893572">
          <w:marLeft w:val="0"/>
          <w:marRight w:val="0"/>
          <w:marTop w:val="0"/>
          <w:marBottom w:val="0"/>
          <w:divBdr>
            <w:top w:val="none" w:sz="0" w:space="0" w:color="auto"/>
            <w:left w:val="none" w:sz="0" w:space="0" w:color="auto"/>
            <w:bottom w:val="none" w:sz="0" w:space="0" w:color="auto"/>
            <w:right w:val="none" w:sz="0" w:space="0" w:color="auto"/>
          </w:divBdr>
        </w:div>
        <w:div w:id="19086432">
          <w:marLeft w:val="0"/>
          <w:marRight w:val="0"/>
          <w:marTop w:val="0"/>
          <w:marBottom w:val="0"/>
          <w:divBdr>
            <w:top w:val="none" w:sz="0" w:space="0" w:color="auto"/>
            <w:left w:val="none" w:sz="0" w:space="0" w:color="auto"/>
            <w:bottom w:val="none" w:sz="0" w:space="0" w:color="auto"/>
            <w:right w:val="none" w:sz="0" w:space="0" w:color="auto"/>
          </w:divBdr>
        </w:div>
        <w:div w:id="1377658727">
          <w:marLeft w:val="0"/>
          <w:marRight w:val="0"/>
          <w:marTop w:val="0"/>
          <w:marBottom w:val="0"/>
          <w:divBdr>
            <w:top w:val="none" w:sz="0" w:space="0" w:color="auto"/>
            <w:left w:val="none" w:sz="0" w:space="0" w:color="auto"/>
            <w:bottom w:val="none" w:sz="0" w:space="0" w:color="auto"/>
            <w:right w:val="none" w:sz="0" w:space="0" w:color="auto"/>
          </w:divBdr>
        </w:div>
        <w:div w:id="203062207">
          <w:marLeft w:val="0"/>
          <w:marRight w:val="0"/>
          <w:marTop w:val="0"/>
          <w:marBottom w:val="0"/>
          <w:divBdr>
            <w:top w:val="none" w:sz="0" w:space="0" w:color="auto"/>
            <w:left w:val="none" w:sz="0" w:space="0" w:color="auto"/>
            <w:bottom w:val="none" w:sz="0" w:space="0" w:color="auto"/>
            <w:right w:val="none" w:sz="0" w:space="0" w:color="auto"/>
          </w:divBdr>
        </w:div>
        <w:div w:id="2035961178">
          <w:marLeft w:val="0"/>
          <w:marRight w:val="0"/>
          <w:marTop w:val="0"/>
          <w:marBottom w:val="0"/>
          <w:divBdr>
            <w:top w:val="none" w:sz="0" w:space="0" w:color="auto"/>
            <w:left w:val="none" w:sz="0" w:space="0" w:color="auto"/>
            <w:bottom w:val="none" w:sz="0" w:space="0" w:color="auto"/>
            <w:right w:val="none" w:sz="0" w:space="0" w:color="auto"/>
          </w:divBdr>
        </w:div>
        <w:div w:id="523062139">
          <w:marLeft w:val="0"/>
          <w:marRight w:val="0"/>
          <w:marTop w:val="0"/>
          <w:marBottom w:val="0"/>
          <w:divBdr>
            <w:top w:val="none" w:sz="0" w:space="0" w:color="auto"/>
            <w:left w:val="none" w:sz="0" w:space="0" w:color="auto"/>
            <w:bottom w:val="none" w:sz="0" w:space="0" w:color="auto"/>
            <w:right w:val="none" w:sz="0" w:space="0" w:color="auto"/>
          </w:divBdr>
        </w:div>
        <w:div w:id="1006522272">
          <w:marLeft w:val="0"/>
          <w:marRight w:val="0"/>
          <w:marTop w:val="0"/>
          <w:marBottom w:val="0"/>
          <w:divBdr>
            <w:top w:val="none" w:sz="0" w:space="0" w:color="auto"/>
            <w:left w:val="none" w:sz="0" w:space="0" w:color="auto"/>
            <w:bottom w:val="none" w:sz="0" w:space="0" w:color="auto"/>
            <w:right w:val="none" w:sz="0" w:space="0" w:color="auto"/>
          </w:divBdr>
        </w:div>
        <w:div w:id="1314799836">
          <w:marLeft w:val="0"/>
          <w:marRight w:val="0"/>
          <w:marTop w:val="0"/>
          <w:marBottom w:val="0"/>
          <w:divBdr>
            <w:top w:val="none" w:sz="0" w:space="0" w:color="auto"/>
            <w:left w:val="none" w:sz="0" w:space="0" w:color="auto"/>
            <w:bottom w:val="none" w:sz="0" w:space="0" w:color="auto"/>
            <w:right w:val="none" w:sz="0" w:space="0" w:color="auto"/>
          </w:divBdr>
        </w:div>
      </w:divsChild>
    </w:div>
    <w:div w:id="1322659024">
      <w:bodyDiv w:val="1"/>
      <w:marLeft w:val="0"/>
      <w:marRight w:val="0"/>
      <w:marTop w:val="0"/>
      <w:marBottom w:val="0"/>
      <w:divBdr>
        <w:top w:val="none" w:sz="0" w:space="0" w:color="auto"/>
        <w:left w:val="none" w:sz="0" w:space="0" w:color="auto"/>
        <w:bottom w:val="none" w:sz="0" w:space="0" w:color="auto"/>
        <w:right w:val="none" w:sz="0" w:space="0" w:color="auto"/>
      </w:divBdr>
    </w:div>
    <w:div w:id="1938059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sunderland.ac.uk/understanding-the-link-between-individual-development-and-wider-team-growth/" TargetMode="External"/><Relationship Id="rId18" Type="http://schemas.openxmlformats.org/officeDocument/2006/relationships/hyperlink" Target="https://www.hcpc-uk.org/cpd/carrying-out-and-recording-cpd/what-activities-count-as-cpd/" TargetMode="External"/><Relationship Id="rId26" Type="http://schemas.openxmlformats.org/officeDocument/2006/relationships/image" Target="media/image2.png"/><Relationship Id="rId21" Type="http://schemas.openxmlformats.org/officeDocument/2006/relationships/hyperlink" Target="https://core.ac.uk/download/pdf/288023993.pdf" TargetMode="External"/><Relationship Id="rId34"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www.cpdstandards.com/news/friday-fresh-41-enhance-your-training-delivery-using-maslows-hierarchy-of-needs/" TargetMode="External"/><Relationship Id="rId17" Type="http://schemas.openxmlformats.org/officeDocument/2006/relationships/hyperlink" Target="https://www.ewc.wales/site/index.php/en/" TargetMode="External"/><Relationship Id="rId25" Type="http://schemas.openxmlformats.org/officeDocument/2006/relationships/hyperlink" Target="https://doi.org/10.1207/S15324818AME1302_4" TargetMode="External"/><Relationship Id="rId33" Type="http://schemas.openxmlformats.org/officeDocument/2006/relationships/image" Target="media/image9.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workramp.com/blog/what-is-a-learning-organization" TargetMode="External"/><Relationship Id="rId20" Type="http://schemas.openxmlformats.org/officeDocument/2006/relationships/hyperlink" Target="https://teachingideas4u.com/blog/2020/09/pros-cons-of-different-summative-assessments#:~:text=Cons%20of%20Summative%20Assessments:,to%20a%20poorly%20made%20assessment"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9468254/" TargetMode="External"/><Relationship Id="rId24" Type="http://schemas.openxmlformats.org/officeDocument/2006/relationships/hyperlink" Target="https://onlinedegrees.sandiego.edu/kirkpatrick-training-evaluation-model/" TargetMode="External"/><Relationship Id="rId32" Type="http://schemas.openxmlformats.org/officeDocument/2006/relationships/image" Target="media/image8.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learning/cpd/about/" TargetMode="External"/><Relationship Id="rId23" Type="http://schemas.openxmlformats.org/officeDocument/2006/relationships/hyperlink" Target="https://teachingcommons.stanford.edu/teaching-guides/foundations-course-design/feedback-and-assessment/formative-assessment-and-feedback" TargetMode="External"/><Relationship Id="rId28" Type="http://schemas.openxmlformats.org/officeDocument/2006/relationships/image" Target="media/image4.png"/><Relationship Id="rId36" Type="http://schemas.openxmlformats.org/officeDocument/2006/relationships/footer" Target="footer1.xml"/><Relationship Id="rId10" Type="http://schemas.openxmlformats.org/officeDocument/2006/relationships/hyperlink" Target="https://quillbot.com/grammar-check/d/21abfb4a-9ce4-46bc-bfda-0cb2368f0cfb" TargetMode="External"/><Relationship Id="rId19" Type="http://schemas.openxmlformats.org/officeDocument/2006/relationships/hyperlink" Target="https://www.simplypsychology.org/maslow.html" TargetMode="Externa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gemini.google.com/app/763f34c7f9491774" TargetMode="External"/><Relationship Id="rId14" Type="http://schemas.openxmlformats.org/officeDocument/2006/relationships/hyperlink" Target="https://people-shift.com/articles/locke-lathams-goal-setting-theory/" TargetMode="External"/><Relationship Id="rId22" Type="http://schemas.openxmlformats.org/officeDocument/2006/relationships/hyperlink" Target="https://hbr.org/2021/06/you-need-a-skills-based-approach-to-hiring-and-developing-talent"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E9126C-E8CA-479F-94D5-93C531D9C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14</Pages>
  <Words>4398</Words>
  <Characters>25075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Cambrian Training Company</Company>
  <LinksUpToDate>false</LinksUpToDate>
  <CharactersWithSpaces>29415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Morgan</dc:creator>
  <cp:keywords/>
  <dc:description/>
  <cp:lastModifiedBy>Scott Morgan</cp:lastModifiedBy>
  <cp:revision>15</cp:revision>
  <dcterms:created xsi:type="dcterms:W3CDTF">2025-09-25T17:48:00Z</dcterms:created>
  <dcterms:modified xsi:type="dcterms:W3CDTF">2025-10-12T13:01:00Z</dcterms:modified>
</cp:coreProperties>
</file>