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2588D" w14:textId="336527ED" w:rsidR="00EB7AA4" w:rsidRPr="00D84D46" w:rsidRDefault="00D84D46" w:rsidP="00D84D46">
      <w:pPr>
        <w:spacing w:line="259" w:lineRule="auto"/>
        <w:jc w:val="center"/>
        <w:rPr>
          <w:rFonts w:eastAsiaTheme="majorEastAsia" w:cstheme="majorBidi"/>
          <w:b/>
          <w:bCs/>
          <w:color w:val="2F5496" w:themeColor="accent1" w:themeShade="BF"/>
          <w:sz w:val="32"/>
          <w:szCs w:val="40"/>
        </w:rPr>
      </w:pPr>
      <w:r w:rsidRPr="00D84D46">
        <w:rPr>
          <w:b/>
          <w:bCs/>
          <w:sz w:val="40"/>
          <w:szCs w:val="44"/>
        </w:rPr>
        <w:t>Public Law - BMLW4007</w:t>
      </w:r>
      <w:r w:rsidR="00EB7AA4" w:rsidRPr="00D84D46">
        <w:rPr>
          <w:b/>
          <w:bCs/>
        </w:rPr>
        <w:br w:type="page"/>
      </w:r>
    </w:p>
    <w:sdt>
      <w:sdtPr>
        <w:rPr>
          <w:rFonts w:ascii="Times New Roman" w:eastAsiaTheme="minorHAnsi" w:hAnsi="Times New Roman" w:cs="Vrinda"/>
          <w:color w:val="auto"/>
          <w:kern w:val="2"/>
          <w:sz w:val="24"/>
          <w:szCs w:val="28"/>
          <w:lang w:bidi="bn-BD"/>
          <w14:ligatures w14:val="standardContextual"/>
        </w:rPr>
        <w:id w:val="-747343943"/>
        <w:docPartObj>
          <w:docPartGallery w:val="Table of Contents"/>
          <w:docPartUnique/>
        </w:docPartObj>
      </w:sdtPr>
      <w:sdtEndPr>
        <w:rPr>
          <w:rFonts w:ascii="Arial" w:hAnsi="Arial"/>
          <w:b/>
          <w:bCs/>
          <w:noProof/>
        </w:rPr>
      </w:sdtEndPr>
      <w:sdtContent>
        <w:p w14:paraId="05C09A3C" w14:textId="4DC3C072" w:rsidR="0004214F" w:rsidRDefault="0004214F">
          <w:pPr>
            <w:pStyle w:val="TOCHeading"/>
          </w:pPr>
          <w:r>
            <w:t>Table of Contents</w:t>
          </w:r>
        </w:p>
        <w:p w14:paraId="08B0379F" w14:textId="72ABC450" w:rsidR="0041509D" w:rsidRDefault="0004214F">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29057053" w:history="1">
            <w:r w:rsidR="0041509D" w:rsidRPr="00552655">
              <w:rPr>
                <w:rStyle w:val="Hyperlink"/>
                <w:noProof/>
              </w:rPr>
              <w:t>Introduction</w:t>
            </w:r>
            <w:r w:rsidR="0041509D">
              <w:rPr>
                <w:noProof/>
                <w:webHidden/>
              </w:rPr>
              <w:tab/>
            </w:r>
            <w:r w:rsidR="0041509D">
              <w:rPr>
                <w:noProof/>
                <w:webHidden/>
              </w:rPr>
              <w:fldChar w:fldCharType="begin"/>
            </w:r>
            <w:r w:rsidR="0041509D">
              <w:rPr>
                <w:noProof/>
                <w:webHidden/>
              </w:rPr>
              <w:instrText xml:space="preserve"> PAGEREF _Toc129057053 \h </w:instrText>
            </w:r>
            <w:r w:rsidR="0041509D">
              <w:rPr>
                <w:noProof/>
                <w:webHidden/>
              </w:rPr>
            </w:r>
            <w:r w:rsidR="0041509D">
              <w:rPr>
                <w:noProof/>
                <w:webHidden/>
              </w:rPr>
              <w:fldChar w:fldCharType="separate"/>
            </w:r>
            <w:r w:rsidR="0041509D">
              <w:rPr>
                <w:noProof/>
                <w:webHidden/>
              </w:rPr>
              <w:t>2</w:t>
            </w:r>
            <w:r w:rsidR="0041509D">
              <w:rPr>
                <w:noProof/>
                <w:webHidden/>
              </w:rPr>
              <w:fldChar w:fldCharType="end"/>
            </w:r>
          </w:hyperlink>
        </w:p>
        <w:p w14:paraId="6B52786B" w14:textId="1E5C6FB4"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4" w:history="1">
            <w:r w:rsidR="0041509D" w:rsidRPr="00552655">
              <w:rPr>
                <w:rStyle w:val="Hyperlink"/>
                <w:noProof/>
              </w:rPr>
              <w:t>What is the Human Rights Act 1998?</w:t>
            </w:r>
            <w:r w:rsidR="0041509D">
              <w:rPr>
                <w:noProof/>
                <w:webHidden/>
              </w:rPr>
              <w:tab/>
            </w:r>
            <w:r w:rsidR="0041509D">
              <w:rPr>
                <w:noProof/>
                <w:webHidden/>
              </w:rPr>
              <w:fldChar w:fldCharType="begin"/>
            </w:r>
            <w:r w:rsidR="0041509D">
              <w:rPr>
                <w:noProof/>
                <w:webHidden/>
              </w:rPr>
              <w:instrText xml:space="preserve"> PAGEREF _Toc129057054 \h </w:instrText>
            </w:r>
            <w:r w:rsidR="0041509D">
              <w:rPr>
                <w:noProof/>
                <w:webHidden/>
              </w:rPr>
            </w:r>
            <w:r w:rsidR="0041509D">
              <w:rPr>
                <w:noProof/>
                <w:webHidden/>
              </w:rPr>
              <w:fldChar w:fldCharType="separate"/>
            </w:r>
            <w:r w:rsidR="0041509D">
              <w:rPr>
                <w:noProof/>
                <w:webHidden/>
              </w:rPr>
              <w:t>2</w:t>
            </w:r>
            <w:r w:rsidR="0041509D">
              <w:rPr>
                <w:noProof/>
                <w:webHidden/>
              </w:rPr>
              <w:fldChar w:fldCharType="end"/>
            </w:r>
          </w:hyperlink>
        </w:p>
        <w:p w14:paraId="55E2A0C6" w14:textId="0D851DF8"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5" w:history="1">
            <w:r w:rsidR="0041509D" w:rsidRPr="00552655">
              <w:rPr>
                <w:rStyle w:val="Hyperlink"/>
                <w:noProof/>
              </w:rPr>
              <w:t>What is the Bill of Rights Bill?</w:t>
            </w:r>
            <w:r w:rsidR="0041509D">
              <w:rPr>
                <w:noProof/>
                <w:webHidden/>
              </w:rPr>
              <w:tab/>
            </w:r>
            <w:r w:rsidR="0041509D">
              <w:rPr>
                <w:noProof/>
                <w:webHidden/>
              </w:rPr>
              <w:fldChar w:fldCharType="begin"/>
            </w:r>
            <w:r w:rsidR="0041509D">
              <w:rPr>
                <w:noProof/>
                <w:webHidden/>
              </w:rPr>
              <w:instrText xml:space="preserve"> PAGEREF _Toc129057055 \h </w:instrText>
            </w:r>
            <w:r w:rsidR="0041509D">
              <w:rPr>
                <w:noProof/>
                <w:webHidden/>
              </w:rPr>
            </w:r>
            <w:r w:rsidR="0041509D">
              <w:rPr>
                <w:noProof/>
                <w:webHidden/>
              </w:rPr>
              <w:fldChar w:fldCharType="separate"/>
            </w:r>
            <w:r w:rsidR="0041509D">
              <w:rPr>
                <w:noProof/>
                <w:webHidden/>
              </w:rPr>
              <w:t>2</w:t>
            </w:r>
            <w:r w:rsidR="0041509D">
              <w:rPr>
                <w:noProof/>
                <w:webHidden/>
              </w:rPr>
              <w:fldChar w:fldCharType="end"/>
            </w:r>
          </w:hyperlink>
        </w:p>
        <w:p w14:paraId="723EA82A" w14:textId="0112D75F"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6" w:history="1">
            <w:r w:rsidR="0041509D" w:rsidRPr="00552655">
              <w:rPr>
                <w:rStyle w:val="Hyperlink"/>
                <w:noProof/>
              </w:rPr>
              <w:t>What are the main aims and objectives of the Bill of Rights Bill?</w:t>
            </w:r>
            <w:r w:rsidR="0041509D">
              <w:rPr>
                <w:noProof/>
                <w:webHidden/>
              </w:rPr>
              <w:tab/>
            </w:r>
            <w:r w:rsidR="0041509D">
              <w:rPr>
                <w:noProof/>
                <w:webHidden/>
              </w:rPr>
              <w:fldChar w:fldCharType="begin"/>
            </w:r>
            <w:r w:rsidR="0041509D">
              <w:rPr>
                <w:noProof/>
                <w:webHidden/>
              </w:rPr>
              <w:instrText xml:space="preserve"> PAGEREF _Toc129057056 \h </w:instrText>
            </w:r>
            <w:r w:rsidR="0041509D">
              <w:rPr>
                <w:noProof/>
                <w:webHidden/>
              </w:rPr>
            </w:r>
            <w:r w:rsidR="0041509D">
              <w:rPr>
                <w:noProof/>
                <w:webHidden/>
              </w:rPr>
              <w:fldChar w:fldCharType="separate"/>
            </w:r>
            <w:r w:rsidR="0041509D">
              <w:rPr>
                <w:noProof/>
                <w:webHidden/>
              </w:rPr>
              <w:t>3</w:t>
            </w:r>
            <w:r w:rsidR="0041509D">
              <w:rPr>
                <w:noProof/>
                <w:webHidden/>
              </w:rPr>
              <w:fldChar w:fldCharType="end"/>
            </w:r>
          </w:hyperlink>
        </w:p>
        <w:p w14:paraId="68C64419" w14:textId="103EBC3A"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7" w:history="1">
            <w:r w:rsidR="0041509D" w:rsidRPr="00552655">
              <w:rPr>
                <w:rStyle w:val="Hyperlink"/>
                <w:noProof/>
              </w:rPr>
              <w:t>Why has the Bill of Rights Bill been created?</w:t>
            </w:r>
            <w:r w:rsidR="0041509D">
              <w:rPr>
                <w:noProof/>
                <w:webHidden/>
              </w:rPr>
              <w:tab/>
            </w:r>
            <w:r w:rsidR="0041509D">
              <w:rPr>
                <w:noProof/>
                <w:webHidden/>
              </w:rPr>
              <w:fldChar w:fldCharType="begin"/>
            </w:r>
            <w:r w:rsidR="0041509D">
              <w:rPr>
                <w:noProof/>
                <w:webHidden/>
              </w:rPr>
              <w:instrText xml:space="preserve"> PAGEREF _Toc129057057 \h </w:instrText>
            </w:r>
            <w:r w:rsidR="0041509D">
              <w:rPr>
                <w:noProof/>
                <w:webHidden/>
              </w:rPr>
            </w:r>
            <w:r w:rsidR="0041509D">
              <w:rPr>
                <w:noProof/>
                <w:webHidden/>
              </w:rPr>
              <w:fldChar w:fldCharType="separate"/>
            </w:r>
            <w:r w:rsidR="0041509D">
              <w:rPr>
                <w:noProof/>
                <w:webHidden/>
              </w:rPr>
              <w:t>3</w:t>
            </w:r>
            <w:r w:rsidR="0041509D">
              <w:rPr>
                <w:noProof/>
                <w:webHidden/>
              </w:rPr>
              <w:fldChar w:fldCharType="end"/>
            </w:r>
          </w:hyperlink>
        </w:p>
        <w:p w14:paraId="192F6234" w14:textId="4DC422B4"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8" w:history="1">
            <w:r w:rsidR="0041509D" w:rsidRPr="00552655">
              <w:rPr>
                <w:rStyle w:val="Hyperlink"/>
                <w:noProof/>
              </w:rPr>
              <w:t>What changes will the Bill of Rights Bill make?</w:t>
            </w:r>
            <w:r w:rsidR="0041509D">
              <w:rPr>
                <w:noProof/>
                <w:webHidden/>
              </w:rPr>
              <w:tab/>
            </w:r>
            <w:r w:rsidR="0041509D">
              <w:rPr>
                <w:noProof/>
                <w:webHidden/>
              </w:rPr>
              <w:fldChar w:fldCharType="begin"/>
            </w:r>
            <w:r w:rsidR="0041509D">
              <w:rPr>
                <w:noProof/>
                <w:webHidden/>
              </w:rPr>
              <w:instrText xml:space="preserve"> PAGEREF _Toc129057058 \h </w:instrText>
            </w:r>
            <w:r w:rsidR="0041509D">
              <w:rPr>
                <w:noProof/>
                <w:webHidden/>
              </w:rPr>
            </w:r>
            <w:r w:rsidR="0041509D">
              <w:rPr>
                <w:noProof/>
                <w:webHidden/>
              </w:rPr>
              <w:fldChar w:fldCharType="separate"/>
            </w:r>
            <w:r w:rsidR="0041509D">
              <w:rPr>
                <w:noProof/>
                <w:webHidden/>
              </w:rPr>
              <w:t>4</w:t>
            </w:r>
            <w:r w:rsidR="0041509D">
              <w:rPr>
                <w:noProof/>
                <w:webHidden/>
              </w:rPr>
              <w:fldChar w:fldCharType="end"/>
            </w:r>
          </w:hyperlink>
        </w:p>
        <w:p w14:paraId="49D726AD" w14:textId="1FDEF7BC"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59" w:history="1">
            <w:r w:rsidR="0041509D" w:rsidRPr="00552655">
              <w:rPr>
                <w:rStyle w:val="Hyperlink"/>
                <w:noProof/>
              </w:rPr>
              <w:t>What will stay the same?</w:t>
            </w:r>
            <w:r w:rsidR="0041509D">
              <w:rPr>
                <w:noProof/>
                <w:webHidden/>
              </w:rPr>
              <w:tab/>
            </w:r>
            <w:r w:rsidR="0041509D">
              <w:rPr>
                <w:noProof/>
                <w:webHidden/>
              </w:rPr>
              <w:fldChar w:fldCharType="begin"/>
            </w:r>
            <w:r w:rsidR="0041509D">
              <w:rPr>
                <w:noProof/>
                <w:webHidden/>
              </w:rPr>
              <w:instrText xml:space="preserve"> PAGEREF _Toc129057059 \h </w:instrText>
            </w:r>
            <w:r w:rsidR="0041509D">
              <w:rPr>
                <w:noProof/>
                <w:webHidden/>
              </w:rPr>
            </w:r>
            <w:r w:rsidR="0041509D">
              <w:rPr>
                <w:noProof/>
                <w:webHidden/>
              </w:rPr>
              <w:fldChar w:fldCharType="separate"/>
            </w:r>
            <w:r w:rsidR="0041509D">
              <w:rPr>
                <w:noProof/>
                <w:webHidden/>
              </w:rPr>
              <w:t>4</w:t>
            </w:r>
            <w:r w:rsidR="0041509D">
              <w:rPr>
                <w:noProof/>
                <w:webHidden/>
              </w:rPr>
              <w:fldChar w:fldCharType="end"/>
            </w:r>
          </w:hyperlink>
        </w:p>
        <w:p w14:paraId="5DF3A71E" w14:textId="081C3CD4"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60" w:history="1">
            <w:r w:rsidR="0041509D" w:rsidRPr="00552655">
              <w:rPr>
                <w:rStyle w:val="Hyperlink"/>
                <w:noProof/>
              </w:rPr>
              <w:t>What are the advantages and disadvantages of these changes?</w:t>
            </w:r>
            <w:r w:rsidR="0041509D">
              <w:rPr>
                <w:noProof/>
                <w:webHidden/>
              </w:rPr>
              <w:tab/>
            </w:r>
            <w:r w:rsidR="0041509D">
              <w:rPr>
                <w:noProof/>
                <w:webHidden/>
              </w:rPr>
              <w:fldChar w:fldCharType="begin"/>
            </w:r>
            <w:r w:rsidR="0041509D">
              <w:rPr>
                <w:noProof/>
                <w:webHidden/>
              </w:rPr>
              <w:instrText xml:space="preserve"> PAGEREF _Toc129057060 \h </w:instrText>
            </w:r>
            <w:r w:rsidR="0041509D">
              <w:rPr>
                <w:noProof/>
                <w:webHidden/>
              </w:rPr>
            </w:r>
            <w:r w:rsidR="0041509D">
              <w:rPr>
                <w:noProof/>
                <w:webHidden/>
              </w:rPr>
              <w:fldChar w:fldCharType="separate"/>
            </w:r>
            <w:r w:rsidR="0041509D">
              <w:rPr>
                <w:noProof/>
                <w:webHidden/>
              </w:rPr>
              <w:t>4</w:t>
            </w:r>
            <w:r w:rsidR="0041509D">
              <w:rPr>
                <w:noProof/>
                <w:webHidden/>
              </w:rPr>
              <w:fldChar w:fldCharType="end"/>
            </w:r>
          </w:hyperlink>
        </w:p>
        <w:p w14:paraId="675F15CB" w14:textId="1853632C"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61" w:history="1">
            <w:r w:rsidR="0041509D" w:rsidRPr="00552655">
              <w:rPr>
                <w:rStyle w:val="Hyperlink"/>
                <w:noProof/>
              </w:rPr>
              <w:t>Other reform suggestions</w:t>
            </w:r>
            <w:r w:rsidR="0041509D">
              <w:rPr>
                <w:noProof/>
                <w:webHidden/>
              </w:rPr>
              <w:tab/>
            </w:r>
            <w:r w:rsidR="0041509D">
              <w:rPr>
                <w:noProof/>
                <w:webHidden/>
              </w:rPr>
              <w:fldChar w:fldCharType="begin"/>
            </w:r>
            <w:r w:rsidR="0041509D">
              <w:rPr>
                <w:noProof/>
                <w:webHidden/>
              </w:rPr>
              <w:instrText xml:space="preserve"> PAGEREF _Toc129057061 \h </w:instrText>
            </w:r>
            <w:r w:rsidR="0041509D">
              <w:rPr>
                <w:noProof/>
                <w:webHidden/>
              </w:rPr>
            </w:r>
            <w:r w:rsidR="0041509D">
              <w:rPr>
                <w:noProof/>
                <w:webHidden/>
              </w:rPr>
              <w:fldChar w:fldCharType="separate"/>
            </w:r>
            <w:r w:rsidR="0041509D">
              <w:rPr>
                <w:noProof/>
                <w:webHidden/>
              </w:rPr>
              <w:t>5</w:t>
            </w:r>
            <w:r w:rsidR="0041509D">
              <w:rPr>
                <w:noProof/>
                <w:webHidden/>
              </w:rPr>
              <w:fldChar w:fldCharType="end"/>
            </w:r>
          </w:hyperlink>
        </w:p>
        <w:p w14:paraId="45D3FC2A" w14:textId="5C7D435B"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62" w:history="1">
            <w:r w:rsidR="0041509D" w:rsidRPr="00552655">
              <w:rPr>
                <w:rStyle w:val="Hyperlink"/>
                <w:noProof/>
              </w:rPr>
              <w:t>Conclusion</w:t>
            </w:r>
            <w:r w:rsidR="0041509D">
              <w:rPr>
                <w:noProof/>
                <w:webHidden/>
              </w:rPr>
              <w:tab/>
            </w:r>
            <w:r w:rsidR="0041509D">
              <w:rPr>
                <w:noProof/>
                <w:webHidden/>
              </w:rPr>
              <w:fldChar w:fldCharType="begin"/>
            </w:r>
            <w:r w:rsidR="0041509D">
              <w:rPr>
                <w:noProof/>
                <w:webHidden/>
              </w:rPr>
              <w:instrText xml:space="preserve"> PAGEREF _Toc129057062 \h </w:instrText>
            </w:r>
            <w:r w:rsidR="0041509D">
              <w:rPr>
                <w:noProof/>
                <w:webHidden/>
              </w:rPr>
            </w:r>
            <w:r w:rsidR="0041509D">
              <w:rPr>
                <w:noProof/>
                <w:webHidden/>
              </w:rPr>
              <w:fldChar w:fldCharType="separate"/>
            </w:r>
            <w:r w:rsidR="0041509D">
              <w:rPr>
                <w:noProof/>
                <w:webHidden/>
              </w:rPr>
              <w:t>5</w:t>
            </w:r>
            <w:r w:rsidR="0041509D">
              <w:rPr>
                <w:noProof/>
                <w:webHidden/>
              </w:rPr>
              <w:fldChar w:fldCharType="end"/>
            </w:r>
          </w:hyperlink>
        </w:p>
        <w:p w14:paraId="707DB4EA" w14:textId="69B3E691" w:rsidR="0041509D" w:rsidRDefault="00B40630">
          <w:pPr>
            <w:pStyle w:val="TOC1"/>
            <w:tabs>
              <w:tab w:val="right" w:leader="dot" w:pos="9350"/>
            </w:tabs>
            <w:rPr>
              <w:rFonts w:asciiTheme="minorHAnsi" w:eastAsiaTheme="minorEastAsia" w:hAnsiTheme="minorHAnsi"/>
              <w:noProof/>
              <w:kern w:val="0"/>
              <w:sz w:val="22"/>
              <w14:ligatures w14:val="none"/>
            </w:rPr>
          </w:pPr>
          <w:hyperlink w:anchor="_Toc129057063" w:history="1">
            <w:r w:rsidR="0041509D" w:rsidRPr="00552655">
              <w:rPr>
                <w:rStyle w:val="Hyperlink"/>
                <w:noProof/>
              </w:rPr>
              <w:t>References</w:t>
            </w:r>
            <w:r w:rsidR="0041509D">
              <w:rPr>
                <w:noProof/>
                <w:webHidden/>
              </w:rPr>
              <w:tab/>
            </w:r>
            <w:r w:rsidR="0041509D">
              <w:rPr>
                <w:noProof/>
                <w:webHidden/>
              </w:rPr>
              <w:fldChar w:fldCharType="begin"/>
            </w:r>
            <w:r w:rsidR="0041509D">
              <w:rPr>
                <w:noProof/>
                <w:webHidden/>
              </w:rPr>
              <w:instrText xml:space="preserve"> PAGEREF _Toc129057063 \h </w:instrText>
            </w:r>
            <w:r w:rsidR="0041509D">
              <w:rPr>
                <w:noProof/>
                <w:webHidden/>
              </w:rPr>
            </w:r>
            <w:r w:rsidR="0041509D">
              <w:rPr>
                <w:noProof/>
                <w:webHidden/>
              </w:rPr>
              <w:fldChar w:fldCharType="separate"/>
            </w:r>
            <w:r w:rsidR="0041509D">
              <w:rPr>
                <w:noProof/>
                <w:webHidden/>
              </w:rPr>
              <w:t>7</w:t>
            </w:r>
            <w:r w:rsidR="0041509D">
              <w:rPr>
                <w:noProof/>
                <w:webHidden/>
              </w:rPr>
              <w:fldChar w:fldCharType="end"/>
            </w:r>
          </w:hyperlink>
        </w:p>
        <w:p w14:paraId="48E9A106" w14:textId="21927729" w:rsidR="0004214F" w:rsidRDefault="0004214F">
          <w:r>
            <w:rPr>
              <w:b/>
              <w:bCs/>
              <w:noProof/>
            </w:rPr>
            <w:fldChar w:fldCharType="end"/>
          </w:r>
        </w:p>
      </w:sdtContent>
    </w:sdt>
    <w:p w14:paraId="7C53E12F" w14:textId="77777777" w:rsidR="00EB7AA4" w:rsidRDefault="00EB7AA4">
      <w:pPr>
        <w:spacing w:line="259" w:lineRule="auto"/>
        <w:jc w:val="left"/>
        <w:rPr>
          <w:rFonts w:eastAsiaTheme="majorEastAsia" w:cstheme="majorBidi"/>
          <w:b/>
          <w:color w:val="2F5496" w:themeColor="accent1" w:themeShade="BF"/>
          <w:sz w:val="32"/>
          <w:szCs w:val="40"/>
        </w:rPr>
      </w:pPr>
      <w:r>
        <w:br w:type="page"/>
      </w:r>
    </w:p>
    <w:p w14:paraId="018594F3" w14:textId="5DCC2929" w:rsidR="008E4A10" w:rsidRDefault="008E4A10" w:rsidP="008E4A10">
      <w:pPr>
        <w:pStyle w:val="Heading1"/>
      </w:pPr>
      <w:bookmarkStart w:id="0" w:name="_Toc129057053"/>
      <w:r>
        <w:lastRenderedPageBreak/>
        <w:t>Introduction</w:t>
      </w:r>
      <w:bookmarkEnd w:id="0"/>
    </w:p>
    <w:p w14:paraId="0490E27A" w14:textId="45C9F822" w:rsidR="008E4A10" w:rsidRDefault="00A970D8" w:rsidP="008E4A10">
      <w:r w:rsidRPr="00A970D8">
        <w:t>The United Kingdom government has proposed a new Bill of Rights Bill to replace the Human Rights Act 1998</w:t>
      </w:r>
      <w:r w:rsidR="001E3AEE">
        <w:t xml:space="preserve"> (</w:t>
      </w:r>
      <w:r w:rsidR="00D2080A">
        <w:t>Sunstein</w:t>
      </w:r>
      <w:r w:rsidR="00D2080A">
        <w:t xml:space="preserve"> and </w:t>
      </w:r>
      <w:proofErr w:type="spellStart"/>
      <w:r w:rsidR="00D2080A">
        <w:t>Reisch</w:t>
      </w:r>
      <w:proofErr w:type="spellEnd"/>
      <w:r w:rsidR="00D2080A">
        <w:t xml:space="preserve">, </w:t>
      </w:r>
      <w:r w:rsidR="00D2080A">
        <w:t>2019</w:t>
      </w:r>
      <w:r w:rsidR="00D2080A">
        <w:t>)</w:t>
      </w:r>
      <w:r w:rsidRPr="00A970D8">
        <w:t>. The aim of this legislation is to provide a stronger and more effective framework for human rights protection in the UK that aligns with British values and reduces the influence of the European Court of Human Rights and Strasbourg on UK law. However, there are concerns that the introduction of the Bill of Rights Bill may damage the rule of law and limit the ability of individuals to protect their human rights. This essay will critically analyze the proposed legislation, considering its aims and objectives, the changes it will make, as well as its potential advantages and disadvantages. It will also examine other reform suggestions and conclude with a summary of the key findings. This essay will draw upon the Human Rights Act 1998, Bill of Rights, European Convention on Human Rights 1950, European Union (Withdrawal) Act 2018, and European Communities Act 1872 to provide a comprehensive analysis of the issue.</w:t>
      </w:r>
    </w:p>
    <w:p w14:paraId="454D1965" w14:textId="77777777" w:rsidR="008E4A10" w:rsidRDefault="008E4A10" w:rsidP="008E4A10">
      <w:pPr>
        <w:pStyle w:val="Heading1"/>
      </w:pPr>
      <w:bookmarkStart w:id="1" w:name="_Toc129057054"/>
      <w:r>
        <w:t>What is the Human Rights Act 1998?</w:t>
      </w:r>
      <w:bookmarkEnd w:id="1"/>
    </w:p>
    <w:p w14:paraId="4812CD0E" w14:textId="6A32E57C" w:rsidR="00E4285A" w:rsidRDefault="00E4285A" w:rsidP="00E4285A">
      <w:pPr>
        <w:rPr>
          <w:b/>
        </w:rPr>
      </w:pPr>
      <w:bookmarkStart w:id="2" w:name="_Toc129057055"/>
      <w:r w:rsidRPr="00E4285A">
        <w:t>The Human Rights Act 1998, introduced in the United Kingdom, is a crucial legislation that defines the fundamental rights and duties of individuals in the country (Osler and Starkey, 2017). It is imperative because it mandates public officials to uphold and safeguard these rights, ensuring that everyone is treated fairly and justly. A significant aspect of the Human Rights Act is that it provides a mechanism for people to seek redressal if they feel that their rights have been violated (Donnelly and Whelan, 2020). This is particularly important as it gives a voice to those who may otherwise be unable to speak up against injustices. While some have criticized the Act, claiming that it empowers judges excessively and protects criminals and terrorists, others argue that it is a crucial safeguard against violations of human rights</w:t>
      </w:r>
      <w:r w:rsidR="003C214E">
        <w:t xml:space="preserve"> (</w:t>
      </w:r>
      <w:r w:rsidR="00E94181">
        <w:rPr>
          <w:shd w:val="clear" w:color="auto" w:fill="FFFFFF"/>
        </w:rPr>
        <w:t xml:space="preserve">De </w:t>
      </w:r>
      <w:proofErr w:type="spellStart"/>
      <w:r w:rsidR="00E94181">
        <w:rPr>
          <w:shd w:val="clear" w:color="auto" w:fill="FFFFFF"/>
        </w:rPr>
        <w:t>Minico</w:t>
      </w:r>
      <w:proofErr w:type="spellEnd"/>
      <w:r w:rsidR="00E94181">
        <w:rPr>
          <w:shd w:val="clear" w:color="auto" w:fill="FFFFFF"/>
        </w:rPr>
        <w:t xml:space="preserve">, </w:t>
      </w:r>
      <w:r w:rsidR="00E94181">
        <w:rPr>
          <w:shd w:val="clear" w:color="auto" w:fill="FFFFFF"/>
        </w:rPr>
        <w:t>2019</w:t>
      </w:r>
      <w:r w:rsidR="00E94181">
        <w:rPr>
          <w:shd w:val="clear" w:color="auto" w:fill="FFFFFF"/>
        </w:rPr>
        <w:t>)</w:t>
      </w:r>
      <w:r w:rsidRPr="00E4285A">
        <w:t>. The Act is especially essential for protecting the rights of vulnerable and marginalized individuals. In contrast, the proposed Bill of Rights Bill seeks to repeal and replace the Human Rights Act.</w:t>
      </w:r>
    </w:p>
    <w:p w14:paraId="0F291252" w14:textId="1F31799A" w:rsidR="008E4A10" w:rsidRDefault="008E4A10" w:rsidP="005A3CDF">
      <w:pPr>
        <w:pStyle w:val="Heading1"/>
      </w:pPr>
      <w:r>
        <w:lastRenderedPageBreak/>
        <w:t>What is the Bill of Rights Bill?</w:t>
      </w:r>
      <w:bookmarkEnd w:id="2"/>
    </w:p>
    <w:p w14:paraId="7A921430" w14:textId="3F597A55" w:rsidR="009C5602" w:rsidRDefault="009C5602" w:rsidP="009C5602">
      <w:pPr>
        <w:rPr>
          <w:b/>
        </w:rPr>
      </w:pPr>
      <w:bookmarkStart w:id="3" w:name="_Toc129057056"/>
      <w:r w:rsidRPr="009C5602">
        <w:t>The Bill of Rights Bill, introduced by the UK government, aims to replace the Human Rights Act 1998 and establish a UK-focused framework for protecting fundamental rights and freedoms that are more in line with British values (Clair, 2015). The main objectives of the bill are to grant UK courts greater authority in interpreting human rights law, reduce the influence of the European Court of Human Rights and Strasbourg, and safeguard individual rights and freedoms while balancing national security concerns</w:t>
      </w:r>
      <w:r w:rsidR="0023797E">
        <w:t xml:space="preserve"> (</w:t>
      </w:r>
      <w:proofErr w:type="spellStart"/>
      <w:r w:rsidR="0023797E">
        <w:rPr>
          <w:shd w:val="clear" w:color="auto" w:fill="FFFFFF"/>
        </w:rPr>
        <w:t>Magliocca</w:t>
      </w:r>
      <w:proofErr w:type="spellEnd"/>
      <w:r w:rsidR="0023797E">
        <w:rPr>
          <w:shd w:val="clear" w:color="auto" w:fill="FFFFFF"/>
        </w:rPr>
        <w:t xml:space="preserve">, </w:t>
      </w:r>
      <w:r w:rsidR="0023797E">
        <w:rPr>
          <w:shd w:val="clear" w:color="auto" w:fill="FFFFFF"/>
        </w:rPr>
        <w:t>2016</w:t>
      </w:r>
      <w:r w:rsidR="0023797E">
        <w:rPr>
          <w:shd w:val="clear" w:color="auto" w:fill="FFFFFF"/>
        </w:rPr>
        <w:t>)</w:t>
      </w:r>
      <w:r w:rsidRPr="009C5602">
        <w:t>. However, there are concerns that the bill may have unintended consequences and weaken the rule of law, potentially curtailing individual rights and freedoms. The proposed legislation has generated debate and controversy, and its ultimate impact remains to be seen.</w:t>
      </w:r>
    </w:p>
    <w:p w14:paraId="08EFF096" w14:textId="10BB3FFA" w:rsidR="008E4A10" w:rsidRDefault="008E4A10" w:rsidP="0092455F">
      <w:pPr>
        <w:pStyle w:val="Heading1"/>
      </w:pPr>
      <w:r>
        <w:t>What are the main aims and objectives of the Bill of Rights Bill?</w:t>
      </w:r>
      <w:bookmarkEnd w:id="3"/>
    </w:p>
    <w:p w14:paraId="79E6EDB4" w14:textId="356AAF81" w:rsidR="00522288" w:rsidRDefault="00522288" w:rsidP="00E94181">
      <w:pPr>
        <w:rPr>
          <w:b/>
        </w:rPr>
      </w:pPr>
      <w:bookmarkStart w:id="4" w:name="_Toc129057057"/>
      <w:r w:rsidRPr="00522288">
        <w:t>The Bill of Rights Bill, proposed in the UK, aims to safeguard fundamental rights and freedoms such as the right to life, freedom of speech, a fair trial, and privacy and family life</w:t>
      </w:r>
      <w:r w:rsidR="009440E1">
        <w:t xml:space="preserve"> (</w:t>
      </w:r>
      <w:r w:rsidR="00820FE4">
        <w:rPr>
          <w:shd w:val="clear" w:color="auto" w:fill="FFFFFF"/>
        </w:rPr>
        <w:t>Newman</w:t>
      </w:r>
      <w:r w:rsidR="009440E1">
        <w:rPr>
          <w:shd w:val="clear" w:color="auto" w:fill="FFFFFF"/>
        </w:rPr>
        <w:t xml:space="preserve">, </w:t>
      </w:r>
      <w:r w:rsidR="00820FE4">
        <w:rPr>
          <w:shd w:val="clear" w:color="auto" w:fill="FFFFFF"/>
        </w:rPr>
        <w:t>2017</w:t>
      </w:r>
      <w:r w:rsidR="009440E1">
        <w:rPr>
          <w:shd w:val="clear" w:color="auto" w:fill="FFFFFF"/>
        </w:rPr>
        <w:t>)</w:t>
      </w:r>
      <w:r w:rsidRPr="00522288">
        <w:t>. It seeks to empower UK courts to interpret human rights law in the country while reducing the influence of the European Court of Human Rights and Strasbourg on UK law. The bill is a response to longstanding criticisms of the Human Rights Act and is intended to provide a stronger and more effective framework for human rights protection in the UK (</w:t>
      </w:r>
      <w:proofErr w:type="spellStart"/>
      <w:r w:rsidRPr="00522288">
        <w:t>Yilma</w:t>
      </w:r>
      <w:proofErr w:type="spellEnd"/>
      <w:r w:rsidRPr="00522288">
        <w:t>, 2022). Despite its proposed benefits, the bill has generated controversy, with concerns that it could undermine the rule of law and limit individual rights and freedoms (Fogg, 2018). Nevertheless, the UK Home Office views Brexit as an opportunity to enhance fundamental rights enforcement in the country through this legislation.</w:t>
      </w:r>
    </w:p>
    <w:p w14:paraId="62C63F65" w14:textId="34534766" w:rsidR="008E4A10" w:rsidRDefault="008E4A10" w:rsidP="008E4A10">
      <w:pPr>
        <w:pStyle w:val="Heading1"/>
      </w:pPr>
      <w:r>
        <w:lastRenderedPageBreak/>
        <w:t>Why has the Bill of Rights Bill been created?</w:t>
      </w:r>
      <w:bookmarkEnd w:id="4"/>
    </w:p>
    <w:p w14:paraId="1A3630F3" w14:textId="77777777" w:rsidR="00F65A48" w:rsidRDefault="00F65A48" w:rsidP="00346324">
      <w:pPr>
        <w:pStyle w:val="Heading1"/>
        <w:rPr>
          <w:rFonts w:eastAsiaTheme="minorHAnsi" w:cs="Vrinda"/>
          <w:b w:val="0"/>
          <w:color w:val="auto"/>
          <w:sz w:val="24"/>
          <w:szCs w:val="28"/>
        </w:rPr>
      </w:pPr>
      <w:bookmarkStart w:id="5" w:name="_Toc129057058"/>
      <w:r w:rsidRPr="00F65A48">
        <w:rPr>
          <w:rFonts w:eastAsiaTheme="minorHAnsi" w:cs="Vrinda"/>
          <w:b w:val="0"/>
          <w:color w:val="auto"/>
          <w:sz w:val="24"/>
          <w:szCs w:val="28"/>
        </w:rPr>
        <w:t>The Bill of Rights Bill aims to create a British bill of rights that reflects the values and beliefs of the UK while maintaining the spirit of the Human Rights Act 1998. The act has been the subject of controversy due to criticism that it grants excessive power to the legal system and protects criminals and terrorists (Herndon and Whiteside, 2021). Furthermore, there has been concern that the European Human Rights Court and Strasbourg have had an undue influence on UK law. The Bill of Rights Bill seeks to address these issues by proposing a bill of rights that protects fundamental rights and freedoms and gives UK courts the authority to interpret human rights law (Cogan, 2015). Despite the bill's potential benefits, it has sparked considerable debate, with some arguing that it may undermine the rule of law and limit individual freedoms.</w:t>
      </w:r>
    </w:p>
    <w:p w14:paraId="721C1038" w14:textId="4D10D7DE" w:rsidR="008E4A10" w:rsidRDefault="008E4A10" w:rsidP="00346324">
      <w:pPr>
        <w:pStyle w:val="Heading1"/>
      </w:pPr>
      <w:r>
        <w:t>What changes will the Bill of Rights Bill make?</w:t>
      </w:r>
      <w:bookmarkEnd w:id="5"/>
    </w:p>
    <w:p w14:paraId="7C5BCA78" w14:textId="54CDABBB" w:rsidR="00B5693D" w:rsidRDefault="00B5693D" w:rsidP="00B5693D">
      <w:pPr>
        <w:rPr>
          <w:b/>
        </w:rPr>
      </w:pPr>
      <w:r w:rsidRPr="00B5693D">
        <w:t>The Bill of Rights Bill would give UK courts the final say on human rights cases in the country, without having to follow decisions made by the European Court of Human Rights or Strasbourg</w:t>
      </w:r>
      <w:r w:rsidR="005361AF">
        <w:t xml:space="preserve"> (</w:t>
      </w:r>
      <w:proofErr w:type="spellStart"/>
      <w:r w:rsidR="005361AF">
        <w:rPr>
          <w:shd w:val="clear" w:color="auto" w:fill="FFFFFF"/>
        </w:rPr>
        <w:t>Affonso</w:t>
      </w:r>
      <w:proofErr w:type="spellEnd"/>
      <w:r w:rsidR="005361AF">
        <w:rPr>
          <w:shd w:val="clear" w:color="auto" w:fill="FFFFFF"/>
        </w:rPr>
        <w:t xml:space="preserve"> Souza</w:t>
      </w:r>
      <w:r w:rsidR="005361AF">
        <w:rPr>
          <w:shd w:val="clear" w:color="auto" w:fill="FFFFFF"/>
        </w:rPr>
        <w:t xml:space="preserve">, </w:t>
      </w:r>
      <w:proofErr w:type="spellStart"/>
      <w:r w:rsidR="005361AF">
        <w:rPr>
          <w:shd w:val="clear" w:color="auto" w:fill="FFFFFF"/>
        </w:rPr>
        <w:t>Steibel</w:t>
      </w:r>
      <w:proofErr w:type="spellEnd"/>
      <w:r w:rsidR="005361AF">
        <w:rPr>
          <w:shd w:val="clear" w:color="auto" w:fill="FFFFFF"/>
        </w:rPr>
        <w:t xml:space="preserve"> and </w:t>
      </w:r>
      <w:proofErr w:type="spellStart"/>
      <w:r w:rsidR="005361AF">
        <w:rPr>
          <w:shd w:val="clear" w:color="auto" w:fill="FFFFFF"/>
        </w:rPr>
        <w:t>Lemos</w:t>
      </w:r>
      <w:proofErr w:type="spellEnd"/>
      <w:r w:rsidR="005361AF">
        <w:rPr>
          <w:shd w:val="clear" w:color="auto" w:fill="FFFFFF"/>
        </w:rPr>
        <w:t xml:space="preserve">, </w:t>
      </w:r>
      <w:r w:rsidR="005361AF">
        <w:rPr>
          <w:shd w:val="clear" w:color="auto" w:fill="FFFFFF"/>
        </w:rPr>
        <w:t>2017</w:t>
      </w:r>
      <w:r w:rsidR="005361AF">
        <w:rPr>
          <w:shd w:val="clear" w:color="auto" w:fill="FFFFFF"/>
        </w:rPr>
        <w:t>)</w:t>
      </w:r>
      <w:r w:rsidRPr="00B5693D">
        <w:t>. The bill would also limit the use of human rights claims in cases related to national security or public safety and strengthen parliament's role in human rights law</w:t>
      </w:r>
      <w:r w:rsidR="00C11D12">
        <w:t xml:space="preserve"> (</w:t>
      </w:r>
      <w:r w:rsidR="00C11D12">
        <w:rPr>
          <w:kern w:val="0"/>
          <w:shd w:val="clear" w:color="auto" w:fill="FFFFFF"/>
          <w14:ligatures w14:val="none"/>
        </w:rPr>
        <w:t>Monk, 2018)</w:t>
      </w:r>
      <w:r w:rsidRPr="00B5693D">
        <w:t>. The aim is to enhance the protection of human rights in the UK, but there is a lot of debate around it. Some worry that it could have negative consequences, such as reducing individual rights and freedoms or undermining the rule of law.</w:t>
      </w:r>
    </w:p>
    <w:p w14:paraId="55DE2265" w14:textId="25F7629D" w:rsidR="002360CB" w:rsidRPr="002360CB" w:rsidRDefault="008E4A10" w:rsidP="00B06055">
      <w:pPr>
        <w:pStyle w:val="Heading1"/>
      </w:pPr>
      <w:bookmarkStart w:id="6" w:name="_Toc129057059"/>
      <w:r>
        <w:t>What will stay the same?</w:t>
      </w:r>
      <w:bookmarkEnd w:id="6"/>
    </w:p>
    <w:p w14:paraId="7FCB04D1" w14:textId="413C08DD" w:rsidR="00483EAA" w:rsidRDefault="00DF2BAD" w:rsidP="008E4A10">
      <w:r>
        <w:t>I</w:t>
      </w:r>
      <w:r w:rsidR="00780D4A" w:rsidRPr="00780D4A">
        <w:t>ndividuals will still have the right to file claims against public authorities that violate their human rights, and UK courts will continue to be obliged to interpret UK laws in line with the ECHR.</w:t>
      </w:r>
      <w:r w:rsidR="00780D4A">
        <w:t xml:space="preserve"> </w:t>
      </w:r>
      <w:r w:rsidR="008E4A10" w:rsidRPr="008E4A10">
        <w:t>However, the precise details of how the Bill of Rights Bill will interact with the ECHR and other human rights legislation and conventions are not yet clear, and will likely be subject to significant debate and scrutiny as the legislation is developed.</w:t>
      </w:r>
    </w:p>
    <w:p w14:paraId="0F16DF47" w14:textId="4743D121" w:rsidR="00EB15AA" w:rsidRDefault="00EB15AA" w:rsidP="00EB15AA">
      <w:pPr>
        <w:pStyle w:val="Heading1"/>
      </w:pPr>
      <w:bookmarkStart w:id="7" w:name="_Toc129057060"/>
      <w:r w:rsidRPr="00EB15AA">
        <w:lastRenderedPageBreak/>
        <w:t>What are the advantages and disadvantages of these changes?</w:t>
      </w:r>
      <w:bookmarkEnd w:id="7"/>
    </w:p>
    <w:p w14:paraId="7D713A6A" w14:textId="150BC5C2" w:rsidR="00EB15AA" w:rsidRPr="00923E1D" w:rsidRDefault="00EB15AA" w:rsidP="00923E1D">
      <w:pPr>
        <w:rPr>
          <w:b/>
          <w:bCs/>
        </w:rPr>
      </w:pPr>
      <w:r w:rsidRPr="00EB15AA">
        <w:rPr>
          <w:b/>
          <w:bCs/>
        </w:rPr>
        <w:t>Advantages:</w:t>
      </w:r>
      <w:r w:rsidR="00923E1D">
        <w:rPr>
          <w:b/>
          <w:bCs/>
        </w:rPr>
        <w:t xml:space="preserve"> </w:t>
      </w:r>
      <w:r>
        <w:t>The bill aims to create a human rights framework that is more in line with UK law and values.</w:t>
      </w:r>
      <w:r w:rsidR="00923E1D">
        <w:t xml:space="preserve"> </w:t>
      </w:r>
      <w:r>
        <w:t>Limiting the use of human rights claims in cases related to national security or public safety could help balance individual rights and national security concerns.</w:t>
      </w:r>
      <w:r w:rsidR="00923E1D">
        <w:t xml:space="preserve"> </w:t>
      </w:r>
      <w:r>
        <w:t>Strengthening the role of parliament in human rights law could lead to a more democratic and transparent process for human rights protection.</w:t>
      </w:r>
    </w:p>
    <w:p w14:paraId="35D2587B" w14:textId="154C448F" w:rsidR="00EB15AA" w:rsidRPr="00923E1D" w:rsidRDefault="00EB15AA" w:rsidP="00923E1D">
      <w:pPr>
        <w:rPr>
          <w:b/>
          <w:bCs/>
        </w:rPr>
      </w:pPr>
      <w:r w:rsidRPr="00EB15AA">
        <w:rPr>
          <w:b/>
          <w:bCs/>
        </w:rPr>
        <w:t>Disadvantages:</w:t>
      </w:r>
      <w:r w:rsidR="00923E1D">
        <w:rPr>
          <w:b/>
          <w:bCs/>
        </w:rPr>
        <w:t xml:space="preserve"> </w:t>
      </w:r>
      <w:r>
        <w:t>Allowing UK courts to disregard rulings of the European Court of Human Rights could weaken the rule of law, creating legal uncertainty and undermining human rights protection.</w:t>
      </w:r>
      <w:r w:rsidR="00923E1D">
        <w:t xml:space="preserve"> </w:t>
      </w:r>
      <w:r>
        <w:t>Limiting the use of human rights claims in certain cases could curtail individual rights and freedoms, and potentially empower the government to restrict these rights further.</w:t>
      </w:r>
      <w:r w:rsidR="00923E1D">
        <w:t xml:space="preserve"> </w:t>
      </w:r>
      <w:r>
        <w:t>The changes could have unintended consequences, such as creating conflicts between UK law and international human rights law or damaging the UK's reputation as a defender of human rights.</w:t>
      </w:r>
    </w:p>
    <w:p w14:paraId="50F764E3" w14:textId="2D0747E1" w:rsidR="008E4A10" w:rsidRDefault="008E4A10" w:rsidP="008E4A10">
      <w:pPr>
        <w:pStyle w:val="Heading1"/>
      </w:pPr>
      <w:bookmarkStart w:id="8" w:name="_Toc129057061"/>
      <w:r w:rsidRPr="008E4A10">
        <w:t>Other reform suggestions</w:t>
      </w:r>
      <w:bookmarkEnd w:id="8"/>
    </w:p>
    <w:p w14:paraId="7CC6E212" w14:textId="4850121D" w:rsidR="008E4A10" w:rsidRDefault="008E4A10" w:rsidP="008E4A10">
      <w:r>
        <w:t>There have been various suggestions for other reforms to the UK's human rights framework, in addition to the proposed Bill of Rights Bill. Some of these include:</w:t>
      </w:r>
    </w:p>
    <w:p w14:paraId="681FB086" w14:textId="6B77B462" w:rsidR="00464049" w:rsidRDefault="008E4A10" w:rsidP="00923E1D">
      <w:r>
        <w:t>Incorporation of the ECHR into UK law: Currently, the ECHR is not incorporated into UK law, meaning that it can be overruled by UK law. Some have suggested that the ECHR should be fully incorporated into UK law, making it more difficult for the government to violate human rights</w:t>
      </w:r>
      <w:r w:rsidR="00C70360">
        <w:t xml:space="preserve"> (</w:t>
      </w:r>
      <w:r w:rsidR="00C70360" w:rsidRPr="00923E1D">
        <w:rPr>
          <w:kern w:val="0"/>
          <w:shd w:val="clear" w:color="auto" w:fill="FFFFFF"/>
          <w14:ligatures w14:val="none"/>
        </w:rPr>
        <w:t>Peers, 2015)</w:t>
      </w:r>
      <w:r>
        <w:t>.</w:t>
      </w:r>
      <w:r w:rsidR="00923E1D">
        <w:t xml:space="preserve"> </w:t>
      </w:r>
      <w:r>
        <w:t>Judicial reform: Some have suggested that reforms to the judiciary, such as the creation of a constitutional court or a bill of rights court, could help to clarify and strengthen human rights protections in the UK.</w:t>
      </w:r>
      <w:r w:rsidR="00923E1D">
        <w:t xml:space="preserve"> </w:t>
      </w:r>
      <w:r w:rsidR="00D52F97" w:rsidRPr="00D52F97">
        <w:t>In the UK, there has been a call for increased education and awareness around human rights, in order to ensure the welfare of individuals, recognize their human privileges, and promote the protecting, safeguarding, and valuing of human rights</w:t>
      </w:r>
      <w:r w:rsidR="006D578F">
        <w:t xml:space="preserve"> (</w:t>
      </w:r>
      <w:r w:rsidR="006D578F" w:rsidRPr="00923E1D">
        <w:rPr>
          <w:kern w:val="0"/>
          <w:shd w:val="clear" w:color="auto" w:fill="FFFFFF"/>
          <w14:ligatures w14:val="none"/>
        </w:rPr>
        <w:t>Nagy, 2017)</w:t>
      </w:r>
      <w:r w:rsidR="00D52F97" w:rsidRPr="00D52F97">
        <w:t>.</w:t>
      </w:r>
    </w:p>
    <w:p w14:paraId="40EA9441" w14:textId="3EDCD943" w:rsidR="008E4A10" w:rsidRDefault="008E4A10" w:rsidP="008E4A10">
      <w:pPr>
        <w:pStyle w:val="Heading1"/>
      </w:pPr>
      <w:bookmarkStart w:id="9" w:name="_Toc129057062"/>
      <w:r>
        <w:lastRenderedPageBreak/>
        <w:t>Conclusion</w:t>
      </w:r>
      <w:bookmarkEnd w:id="9"/>
    </w:p>
    <w:p w14:paraId="3987B895" w14:textId="2147991D" w:rsidR="008E4A10" w:rsidRDefault="0026665B" w:rsidP="00AF0ECE">
      <w:r w:rsidRPr="0026665B">
        <w:t xml:space="preserve">In summary, the proposed Bill of Rights Bill has generated significant controversy in the UK due to concerns about its potential impact on the country's human rights framework. </w:t>
      </w:r>
      <w:r w:rsidR="00F242FC" w:rsidRPr="00F242FC">
        <w:t xml:space="preserve">The proposed British bill of rights aims to replace the current Act with a more UK-specific bill that better reflects the country's core values and beliefs. While the details of the bill are still being developed, its main objectives are to reduce the influence of the European Court of Human Rights on UK law, particularly when it comes to the freedom of the press, and to give more power to UK courts in interpreting and enforcing human rights law. </w:t>
      </w:r>
    </w:p>
    <w:p w14:paraId="61DE14C6" w14:textId="1FCFC9FF" w:rsidR="00EB7AA4" w:rsidRDefault="00EB7AA4">
      <w:pPr>
        <w:spacing w:line="259" w:lineRule="auto"/>
        <w:jc w:val="left"/>
      </w:pPr>
      <w:r>
        <w:br w:type="page"/>
      </w:r>
    </w:p>
    <w:p w14:paraId="562A0189" w14:textId="140C5887" w:rsidR="00EB7AA4" w:rsidRDefault="00EB7AA4" w:rsidP="00EB7AA4">
      <w:pPr>
        <w:pStyle w:val="Heading1"/>
      </w:pPr>
      <w:bookmarkStart w:id="10" w:name="_Toc129057063"/>
      <w:r>
        <w:lastRenderedPageBreak/>
        <w:t>References</w:t>
      </w:r>
      <w:bookmarkEnd w:id="10"/>
    </w:p>
    <w:p w14:paraId="33E420A6" w14:textId="77777777" w:rsidR="00B40630" w:rsidRPr="00D06F74" w:rsidRDefault="00B40630" w:rsidP="00B40630">
      <w:proofErr w:type="spellStart"/>
      <w:r>
        <w:rPr>
          <w:shd w:val="clear" w:color="auto" w:fill="FFFFFF"/>
        </w:rPr>
        <w:t>Affonso</w:t>
      </w:r>
      <w:proofErr w:type="spellEnd"/>
      <w:r>
        <w:rPr>
          <w:shd w:val="clear" w:color="auto" w:fill="FFFFFF"/>
        </w:rPr>
        <w:t xml:space="preserve"> Souza, C., </w:t>
      </w:r>
      <w:proofErr w:type="spellStart"/>
      <w:r>
        <w:rPr>
          <w:shd w:val="clear" w:color="auto" w:fill="FFFFFF"/>
        </w:rPr>
        <w:t>Steibel</w:t>
      </w:r>
      <w:proofErr w:type="spellEnd"/>
      <w:r>
        <w:rPr>
          <w:shd w:val="clear" w:color="auto" w:fill="FFFFFF"/>
        </w:rPr>
        <w:t xml:space="preserve">, F., &amp; </w:t>
      </w:r>
      <w:proofErr w:type="spellStart"/>
      <w:r>
        <w:rPr>
          <w:shd w:val="clear" w:color="auto" w:fill="FFFFFF"/>
        </w:rPr>
        <w:t>Lemos</w:t>
      </w:r>
      <w:proofErr w:type="spellEnd"/>
      <w:r>
        <w:rPr>
          <w:shd w:val="clear" w:color="auto" w:fill="FFFFFF"/>
        </w:rPr>
        <w:t>, R. (2017). Notes on the creation and impacts of Brazil’s Internet Bill of Rights. </w:t>
      </w:r>
      <w:r>
        <w:rPr>
          <w:i/>
          <w:iCs/>
          <w:shd w:val="clear" w:color="auto" w:fill="FFFFFF"/>
        </w:rPr>
        <w:t>The theory and practice of legislation</w:t>
      </w:r>
      <w:r>
        <w:rPr>
          <w:shd w:val="clear" w:color="auto" w:fill="FFFFFF"/>
        </w:rPr>
        <w:t>, </w:t>
      </w:r>
      <w:r>
        <w:rPr>
          <w:i/>
          <w:iCs/>
          <w:shd w:val="clear" w:color="auto" w:fill="FFFFFF"/>
        </w:rPr>
        <w:t>5</w:t>
      </w:r>
      <w:r>
        <w:rPr>
          <w:shd w:val="clear" w:color="auto" w:fill="FFFFFF"/>
        </w:rPr>
        <w:t>(1), 73-94.</w:t>
      </w:r>
    </w:p>
    <w:p w14:paraId="51C55067" w14:textId="77777777" w:rsidR="00B40630" w:rsidRDefault="00B40630" w:rsidP="00EB7AA4">
      <w:pPr>
        <w:rPr>
          <w:shd w:val="clear" w:color="auto" w:fill="FFFFFF"/>
        </w:rPr>
      </w:pPr>
      <w:r>
        <w:rPr>
          <w:shd w:val="clear" w:color="auto" w:fill="FFFFFF"/>
        </w:rPr>
        <w:t>Clair, J. A. (2015). Toward a bill of rights for manuscript submitters. </w:t>
      </w:r>
      <w:r>
        <w:rPr>
          <w:i/>
          <w:iCs/>
          <w:shd w:val="clear" w:color="auto" w:fill="FFFFFF"/>
        </w:rPr>
        <w:t>Academy of Management Learning &amp; Education</w:t>
      </w:r>
      <w:r>
        <w:rPr>
          <w:shd w:val="clear" w:color="auto" w:fill="FFFFFF"/>
        </w:rPr>
        <w:t>, </w:t>
      </w:r>
      <w:r>
        <w:rPr>
          <w:i/>
          <w:iCs/>
          <w:shd w:val="clear" w:color="auto" w:fill="FFFFFF"/>
        </w:rPr>
        <w:t>14</w:t>
      </w:r>
      <w:r>
        <w:rPr>
          <w:shd w:val="clear" w:color="auto" w:fill="FFFFFF"/>
        </w:rPr>
        <w:t>(1), 111-131.</w:t>
      </w:r>
    </w:p>
    <w:p w14:paraId="19AA5FEE" w14:textId="77777777" w:rsidR="00B40630" w:rsidRDefault="00B40630" w:rsidP="00EB7AA4">
      <w:pPr>
        <w:rPr>
          <w:shd w:val="clear" w:color="auto" w:fill="FFFFFF"/>
        </w:rPr>
      </w:pPr>
      <w:r>
        <w:rPr>
          <w:shd w:val="clear" w:color="auto" w:fill="FFFFFF"/>
        </w:rPr>
        <w:t>Cogan, N. H. (2015). The complete Bill of Rights: The drafts, debates, sources, and origins. Oxford University Press.</w:t>
      </w:r>
    </w:p>
    <w:p w14:paraId="382EDF24" w14:textId="77777777" w:rsidR="00B40630" w:rsidRDefault="00B40630" w:rsidP="00B40630">
      <w:pPr>
        <w:rPr>
          <w:shd w:val="clear" w:color="auto" w:fill="FFFFFF"/>
        </w:rPr>
      </w:pPr>
      <w:r>
        <w:rPr>
          <w:shd w:val="clear" w:color="auto" w:fill="FFFFFF"/>
        </w:rPr>
        <w:t xml:space="preserve">De </w:t>
      </w:r>
      <w:proofErr w:type="spellStart"/>
      <w:r>
        <w:rPr>
          <w:shd w:val="clear" w:color="auto" w:fill="FFFFFF"/>
        </w:rPr>
        <w:t>Minico</w:t>
      </w:r>
      <w:proofErr w:type="spellEnd"/>
      <w:r>
        <w:rPr>
          <w:shd w:val="clear" w:color="auto" w:fill="FFFFFF"/>
        </w:rPr>
        <w:t>, G. (2019). Towards an Internet Bill of Rights. </w:t>
      </w:r>
      <w:r>
        <w:rPr>
          <w:i/>
          <w:iCs/>
          <w:shd w:val="clear" w:color="auto" w:fill="FFFFFF"/>
        </w:rPr>
        <w:t>Loy. LA Int'l &amp; Comp. L. Rev.</w:t>
      </w:r>
      <w:r>
        <w:rPr>
          <w:shd w:val="clear" w:color="auto" w:fill="FFFFFF"/>
        </w:rPr>
        <w:t>, </w:t>
      </w:r>
      <w:r>
        <w:rPr>
          <w:i/>
          <w:iCs/>
          <w:shd w:val="clear" w:color="auto" w:fill="FFFFFF"/>
        </w:rPr>
        <w:t>37</w:t>
      </w:r>
      <w:r>
        <w:rPr>
          <w:shd w:val="clear" w:color="auto" w:fill="FFFFFF"/>
        </w:rPr>
        <w:t>, 1.</w:t>
      </w:r>
    </w:p>
    <w:p w14:paraId="79332BF6" w14:textId="77777777" w:rsidR="00B40630" w:rsidRDefault="00B40630" w:rsidP="00EB7AA4">
      <w:pPr>
        <w:rPr>
          <w:shd w:val="clear" w:color="auto" w:fill="FFFFFF"/>
        </w:rPr>
      </w:pPr>
      <w:r>
        <w:rPr>
          <w:shd w:val="clear" w:color="auto" w:fill="FFFFFF"/>
        </w:rPr>
        <w:t>Donnelly, J., &amp; Whelan, D. J. (2020). </w:t>
      </w:r>
      <w:r>
        <w:rPr>
          <w:i/>
          <w:iCs/>
          <w:shd w:val="clear" w:color="auto" w:fill="FFFFFF"/>
        </w:rPr>
        <w:t>International human rights</w:t>
      </w:r>
      <w:r>
        <w:rPr>
          <w:shd w:val="clear" w:color="auto" w:fill="FFFFFF"/>
        </w:rPr>
        <w:t>. Routledge.</w:t>
      </w:r>
    </w:p>
    <w:p w14:paraId="3B2A6BF0" w14:textId="77777777" w:rsidR="00B40630" w:rsidRDefault="00B40630" w:rsidP="00EB7AA4">
      <w:pPr>
        <w:rPr>
          <w:shd w:val="clear" w:color="auto" w:fill="FFFFFF"/>
        </w:rPr>
      </w:pPr>
      <w:r>
        <w:rPr>
          <w:shd w:val="clear" w:color="auto" w:fill="FFFFFF"/>
        </w:rPr>
        <w:t>Fogg, T. K. (2018). Can the Taxpayer Bill of Rights Assist Your Clients. </w:t>
      </w:r>
      <w:r>
        <w:rPr>
          <w:i/>
          <w:iCs/>
          <w:shd w:val="clear" w:color="auto" w:fill="FFFFFF"/>
        </w:rPr>
        <w:t>Temp. L. Rev.</w:t>
      </w:r>
      <w:r>
        <w:rPr>
          <w:shd w:val="clear" w:color="auto" w:fill="FFFFFF"/>
        </w:rPr>
        <w:t>, </w:t>
      </w:r>
      <w:r>
        <w:rPr>
          <w:i/>
          <w:iCs/>
          <w:shd w:val="clear" w:color="auto" w:fill="FFFFFF"/>
        </w:rPr>
        <w:t>91</w:t>
      </w:r>
      <w:r>
        <w:rPr>
          <w:shd w:val="clear" w:color="auto" w:fill="FFFFFF"/>
        </w:rPr>
        <w:t>, 705.</w:t>
      </w:r>
    </w:p>
    <w:p w14:paraId="657B9B7F" w14:textId="77777777" w:rsidR="00B40630" w:rsidRDefault="00B40630" w:rsidP="00EB7AA4">
      <w:pPr>
        <w:rPr>
          <w:shd w:val="clear" w:color="auto" w:fill="FFFFFF"/>
        </w:rPr>
      </w:pPr>
      <w:r>
        <w:rPr>
          <w:shd w:val="clear" w:color="auto" w:fill="FFFFFF"/>
        </w:rPr>
        <w:t>Herndon, J. M., &amp; Whiteside, M. (2021). Viral environmental warfare: Technology Bill of Rights critically needed. </w:t>
      </w:r>
      <w:r>
        <w:rPr>
          <w:i/>
          <w:iCs/>
          <w:shd w:val="clear" w:color="auto" w:fill="FFFFFF"/>
        </w:rPr>
        <w:t>Advances in Social Sciences Research Journal</w:t>
      </w:r>
      <w:r>
        <w:rPr>
          <w:shd w:val="clear" w:color="auto" w:fill="FFFFFF"/>
        </w:rPr>
        <w:t>, </w:t>
      </w:r>
      <w:r>
        <w:rPr>
          <w:i/>
          <w:iCs/>
          <w:shd w:val="clear" w:color="auto" w:fill="FFFFFF"/>
        </w:rPr>
        <w:t>8</w:t>
      </w:r>
      <w:r>
        <w:rPr>
          <w:shd w:val="clear" w:color="auto" w:fill="FFFFFF"/>
        </w:rPr>
        <w:t>(11), 1-19.</w:t>
      </w:r>
    </w:p>
    <w:p w14:paraId="520931A6" w14:textId="77777777" w:rsidR="00B40630" w:rsidRDefault="00B40630" w:rsidP="00B40630">
      <w:pPr>
        <w:rPr>
          <w:shd w:val="clear" w:color="auto" w:fill="FFFFFF"/>
        </w:rPr>
      </w:pPr>
      <w:proofErr w:type="spellStart"/>
      <w:r>
        <w:rPr>
          <w:shd w:val="clear" w:color="auto" w:fill="FFFFFF"/>
        </w:rPr>
        <w:t>Magliocca</w:t>
      </w:r>
      <w:proofErr w:type="spellEnd"/>
      <w:r>
        <w:rPr>
          <w:shd w:val="clear" w:color="auto" w:fill="FFFFFF"/>
        </w:rPr>
        <w:t>, G. N. (2016). The Bill of Rights as a Term of Art. </w:t>
      </w:r>
      <w:r>
        <w:rPr>
          <w:i/>
          <w:iCs/>
          <w:shd w:val="clear" w:color="auto" w:fill="FFFFFF"/>
        </w:rPr>
        <w:t>Notre Dame L. Rev.</w:t>
      </w:r>
      <w:r>
        <w:rPr>
          <w:shd w:val="clear" w:color="auto" w:fill="FFFFFF"/>
        </w:rPr>
        <w:t>, </w:t>
      </w:r>
      <w:r>
        <w:rPr>
          <w:i/>
          <w:iCs/>
          <w:shd w:val="clear" w:color="auto" w:fill="FFFFFF"/>
        </w:rPr>
        <w:t>92</w:t>
      </w:r>
      <w:r>
        <w:rPr>
          <w:shd w:val="clear" w:color="auto" w:fill="FFFFFF"/>
        </w:rPr>
        <w:t>, 231.</w:t>
      </w:r>
    </w:p>
    <w:p w14:paraId="45C29754" w14:textId="77777777" w:rsidR="00B40630" w:rsidRDefault="00B40630" w:rsidP="00EB7AA4">
      <w:pPr>
        <w:rPr>
          <w:shd w:val="clear" w:color="auto" w:fill="FFFFFF"/>
        </w:rPr>
      </w:pPr>
      <w:r>
        <w:rPr>
          <w:shd w:val="clear" w:color="auto" w:fill="FFFFFF"/>
        </w:rPr>
        <w:t>Monk, L. R. (2018). </w:t>
      </w:r>
      <w:r>
        <w:rPr>
          <w:i/>
          <w:iCs/>
          <w:shd w:val="clear" w:color="auto" w:fill="FFFFFF"/>
        </w:rPr>
        <w:t>The Bill of Rights: A User's Guide</w:t>
      </w:r>
      <w:r>
        <w:rPr>
          <w:shd w:val="clear" w:color="auto" w:fill="FFFFFF"/>
        </w:rPr>
        <w:t>. Hachette UK.</w:t>
      </w:r>
    </w:p>
    <w:p w14:paraId="55344C2E" w14:textId="77777777" w:rsidR="00B40630" w:rsidRDefault="00B40630" w:rsidP="00EB7AA4">
      <w:pPr>
        <w:rPr>
          <w:shd w:val="clear" w:color="auto" w:fill="FFFFFF"/>
        </w:rPr>
      </w:pPr>
      <w:r>
        <w:rPr>
          <w:shd w:val="clear" w:color="auto" w:fill="FFFFFF"/>
        </w:rPr>
        <w:t>Nagy, C. I. (2017). Do European Union Member States Have to Respect Human Rights: The Application of the European Union's Federal Bill of Rights to Member States. </w:t>
      </w:r>
      <w:r>
        <w:rPr>
          <w:i/>
          <w:iCs/>
          <w:shd w:val="clear" w:color="auto" w:fill="FFFFFF"/>
        </w:rPr>
        <w:t>Ind. Int'l &amp; Comp. L. Rev.</w:t>
      </w:r>
      <w:r>
        <w:rPr>
          <w:shd w:val="clear" w:color="auto" w:fill="FFFFFF"/>
        </w:rPr>
        <w:t>, </w:t>
      </w:r>
      <w:r>
        <w:rPr>
          <w:i/>
          <w:iCs/>
          <w:shd w:val="clear" w:color="auto" w:fill="FFFFFF"/>
        </w:rPr>
        <w:t>27</w:t>
      </w:r>
      <w:r>
        <w:rPr>
          <w:shd w:val="clear" w:color="auto" w:fill="FFFFFF"/>
        </w:rPr>
        <w:t>, 1.</w:t>
      </w:r>
    </w:p>
    <w:p w14:paraId="525B524F" w14:textId="77777777" w:rsidR="00B40630" w:rsidRDefault="00B40630" w:rsidP="00B40630">
      <w:pPr>
        <w:rPr>
          <w:shd w:val="clear" w:color="auto" w:fill="FFFFFF"/>
        </w:rPr>
      </w:pPr>
      <w:r>
        <w:rPr>
          <w:shd w:val="clear" w:color="auto" w:fill="FFFFFF"/>
        </w:rPr>
        <w:t xml:space="preserve">Newman, D. (2017). Automobiles and socioeconomic sustainability: Do we need a mobility bill of </w:t>
      </w:r>
      <w:proofErr w:type="gramStart"/>
      <w:r>
        <w:rPr>
          <w:shd w:val="clear" w:color="auto" w:fill="FFFFFF"/>
        </w:rPr>
        <w:t>rights?.</w:t>
      </w:r>
      <w:proofErr w:type="gramEnd"/>
      <w:r>
        <w:rPr>
          <w:shd w:val="clear" w:color="auto" w:fill="FFFFFF"/>
        </w:rPr>
        <w:t> </w:t>
      </w:r>
      <w:r>
        <w:rPr>
          <w:i/>
          <w:iCs/>
          <w:shd w:val="clear" w:color="auto" w:fill="FFFFFF"/>
        </w:rPr>
        <w:t>Transfers</w:t>
      </w:r>
      <w:r>
        <w:rPr>
          <w:shd w:val="clear" w:color="auto" w:fill="FFFFFF"/>
        </w:rPr>
        <w:t>, </w:t>
      </w:r>
      <w:r>
        <w:rPr>
          <w:i/>
          <w:iCs/>
          <w:shd w:val="clear" w:color="auto" w:fill="FFFFFF"/>
        </w:rPr>
        <w:t>7</w:t>
      </w:r>
      <w:r>
        <w:rPr>
          <w:shd w:val="clear" w:color="auto" w:fill="FFFFFF"/>
        </w:rPr>
        <w:t>(2), 100-106.</w:t>
      </w:r>
    </w:p>
    <w:p w14:paraId="14717320" w14:textId="77777777" w:rsidR="00B40630" w:rsidRDefault="00B40630" w:rsidP="00EB7AA4">
      <w:pPr>
        <w:rPr>
          <w:shd w:val="clear" w:color="auto" w:fill="FFFFFF"/>
        </w:rPr>
      </w:pPr>
      <w:r>
        <w:rPr>
          <w:shd w:val="clear" w:color="auto" w:fill="FFFFFF"/>
        </w:rPr>
        <w:t>Osler, A., &amp; Starkey, H. (2017). </w:t>
      </w:r>
      <w:r>
        <w:rPr>
          <w:i/>
          <w:iCs/>
          <w:shd w:val="clear" w:color="auto" w:fill="FFFFFF"/>
        </w:rPr>
        <w:t>Teacher education and human rights</w:t>
      </w:r>
      <w:r>
        <w:rPr>
          <w:shd w:val="clear" w:color="auto" w:fill="FFFFFF"/>
        </w:rPr>
        <w:t>. Routledge.</w:t>
      </w:r>
    </w:p>
    <w:p w14:paraId="5F5A3E9B" w14:textId="77777777" w:rsidR="00B40630" w:rsidRDefault="00B40630" w:rsidP="00EB7AA4">
      <w:pPr>
        <w:rPr>
          <w:shd w:val="clear" w:color="auto" w:fill="FFFFFF"/>
        </w:rPr>
      </w:pPr>
      <w:r>
        <w:rPr>
          <w:shd w:val="clear" w:color="auto" w:fill="FFFFFF"/>
        </w:rPr>
        <w:t>Peers, S. (2015). The EU's Accession to the ECHR: The dream becomes a nightmare. </w:t>
      </w:r>
      <w:r>
        <w:rPr>
          <w:i/>
          <w:iCs/>
          <w:shd w:val="clear" w:color="auto" w:fill="FFFFFF"/>
        </w:rPr>
        <w:t>German Law Journal</w:t>
      </w:r>
      <w:r>
        <w:rPr>
          <w:shd w:val="clear" w:color="auto" w:fill="FFFFFF"/>
        </w:rPr>
        <w:t>, </w:t>
      </w:r>
      <w:r>
        <w:rPr>
          <w:i/>
          <w:iCs/>
          <w:shd w:val="clear" w:color="auto" w:fill="FFFFFF"/>
        </w:rPr>
        <w:t>16</w:t>
      </w:r>
      <w:r>
        <w:rPr>
          <w:shd w:val="clear" w:color="auto" w:fill="FFFFFF"/>
        </w:rPr>
        <w:t>(1), 213-222.</w:t>
      </w:r>
    </w:p>
    <w:p w14:paraId="2420B20D" w14:textId="77777777" w:rsidR="00B40630" w:rsidRDefault="00B40630" w:rsidP="00B40630">
      <w:r w:rsidRPr="00D06F74">
        <w:t xml:space="preserve">Sunstein, C. R., &amp; </w:t>
      </w:r>
      <w:proofErr w:type="spellStart"/>
      <w:r w:rsidRPr="00D06F74">
        <w:t>Reisch</w:t>
      </w:r>
      <w:proofErr w:type="spellEnd"/>
      <w:r w:rsidRPr="00D06F74">
        <w:t>, L. A. (2019). Trusting nudges: Toward a bill of rights for nudging. Routledge.</w:t>
      </w:r>
    </w:p>
    <w:p w14:paraId="155B6C39" w14:textId="77777777" w:rsidR="00B40630" w:rsidRDefault="00B40630" w:rsidP="00EB7AA4">
      <w:pPr>
        <w:rPr>
          <w:shd w:val="clear" w:color="auto" w:fill="FFFFFF"/>
        </w:rPr>
      </w:pPr>
      <w:proofErr w:type="spellStart"/>
      <w:r>
        <w:rPr>
          <w:shd w:val="clear" w:color="auto" w:fill="FFFFFF"/>
        </w:rPr>
        <w:lastRenderedPageBreak/>
        <w:t>Yilma</w:t>
      </w:r>
      <w:proofErr w:type="spellEnd"/>
      <w:r>
        <w:rPr>
          <w:shd w:val="clear" w:color="auto" w:fill="FFFFFF"/>
        </w:rPr>
        <w:t>, K. M. (2022). Bill of rights for the 21st century: some lessons from the Internet Bill of Rights movement. </w:t>
      </w:r>
      <w:r>
        <w:rPr>
          <w:i/>
          <w:iCs/>
          <w:shd w:val="clear" w:color="auto" w:fill="FFFFFF"/>
        </w:rPr>
        <w:t>The International Journal of Human Rights</w:t>
      </w:r>
      <w:r>
        <w:rPr>
          <w:shd w:val="clear" w:color="auto" w:fill="FFFFFF"/>
        </w:rPr>
        <w:t>, </w:t>
      </w:r>
      <w:r>
        <w:rPr>
          <w:i/>
          <w:iCs/>
          <w:shd w:val="clear" w:color="auto" w:fill="FFFFFF"/>
        </w:rPr>
        <w:t>26</w:t>
      </w:r>
      <w:r>
        <w:rPr>
          <w:shd w:val="clear" w:color="auto" w:fill="FFFFFF"/>
        </w:rPr>
        <w:t>(4), 701-716.</w:t>
      </w:r>
    </w:p>
    <w:p w14:paraId="72482E6D" w14:textId="77777777" w:rsidR="00EB7AA4" w:rsidRPr="00EB7AA4" w:rsidRDefault="00EB7AA4" w:rsidP="00EB7AA4"/>
    <w:sectPr w:rsidR="00EB7AA4" w:rsidRPr="00EB7AA4" w:rsidSect="00EB7AA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F8723" w14:textId="77777777" w:rsidR="008B2DD9" w:rsidRDefault="008B2DD9" w:rsidP="00EB7AA4">
      <w:pPr>
        <w:spacing w:after="0" w:line="240" w:lineRule="auto"/>
      </w:pPr>
      <w:r>
        <w:separator/>
      </w:r>
    </w:p>
  </w:endnote>
  <w:endnote w:type="continuationSeparator" w:id="0">
    <w:p w14:paraId="0B1EF9B4" w14:textId="77777777" w:rsidR="008B2DD9" w:rsidRDefault="008B2DD9" w:rsidP="00EB7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4498581"/>
      <w:docPartObj>
        <w:docPartGallery w:val="Page Numbers (Bottom of Page)"/>
        <w:docPartUnique/>
      </w:docPartObj>
    </w:sdtPr>
    <w:sdtEndPr>
      <w:rPr>
        <w:noProof/>
      </w:rPr>
    </w:sdtEndPr>
    <w:sdtContent>
      <w:p w14:paraId="5AFDAA5C" w14:textId="3E181718" w:rsidR="00EB7AA4" w:rsidRDefault="00EB7A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D321AB" w14:textId="77777777" w:rsidR="00EB7AA4" w:rsidRDefault="00EB7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BD651" w14:textId="77777777" w:rsidR="008B2DD9" w:rsidRDefault="008B2DD9" w:rsidP="00EB7AA4">
      <w:pPr>
        <w:spacing w:after="0" w:line="240" w:lineRule="auto"/>
      </w:pPr>
      <w:r>
        <w:separator/>
      </w:r>
    </w:p>
  </w:footnote>
  <w:footnote w:type="continuationSeparator" w:id="0">
    <w:p w14:paraId="77ED6C9A" w14:textId="77777777" w:rsidR="008B2DD9" w:rsidRDefault="008B2DD9" w:rsidP="00EB7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82F96"/>
    <w:multiLevelType w:val="hybridMultilevel"/>
    <w:tmpl w:val="3C7E31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4B278ED"/>
    <w:multiLevelType w:val="hybridMultilevel"/>
    <w:tmpl w:val="EB887C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1217443"/>
    <w:multiLevelType w:val="hybridMultilevel"/>
    <w:tmpl w:val="EBC8E0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64B2033"/>
    <w:multiLevelType w:val="hybridMultilevel"/>
    <w:tmpl w:val="1BB0B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A10"/>
    <w:rsid w:val="0004214F"/>
    <w:rsid w:val="000665FE"/>
    <w:rsid w:val="000E6E2D"/>
    <w:rsid w:val="00137399"/>
    <w:rsid w:val="0016343C"/>
    <w:rsid w:val="001E3AEE"/>
    <w:rsid w:val="002360CB"/>
    <w:rsid w:val="0023797E"/>
    <w:rsid w:val="002422F8"/>
    <w:rsid w:val="002437EC"/>
    <w:rsid w:val="0026665B"/>
    <w:rsid w:val="002F148E"/>
    <w:rsid w:val="00346324"/>
    <w:rsid w:val="003A4501"/>
    <w:rsid w:val="003C214E"/>
    <w:rsid w:val="003F4C2F"/>
    <w:rsid w:val="004026F1"/>
    <w:rsid w:val="0041509D"/>
    <w:rsid w:val="00464049"/>
    <w:rsid w:val="00483EAA"/>
    <w:rsid w:val="005172F4"/>
    <w:rsid w:val="00522288"/>
    <w:rsid w:val="005361AF"/>
    <w:rsid w:val="00545FBE"/>
    <w:rsid w:val="005A3CDF"/>
    <w:rsid w:val="005F3372"/>
    <w:rsid w:val="00607491"/>
    <w:rsid w:val="00651425"/>
    <w:rsid w:val="00667603"/>
    <w:rsid w:val="006D578F"/>
    <w:rsid w:val="00764867"/>
    <w:rsid w:val="0077214F"/>
    <w:rsid w:val="00780CBA"/>
    <w:rsid w:val="00780D4A"/>
    <w:rsid w:val="007C04BC"/>
    <w:rsid w:val="007D144C"/>
    <w:rsid w:val="00807774"/>
    <w:rsid w:val="00820FE4"/>
    <w:rsid w:val="00825661"/>
    <w:rsid w:val="00832338"/>
    <w:rsid w:val="00850D24"/>
    <w:rsid w:val="008B2DD9"/>
    <w:rsid w:val="008E4A10"/>
    <w:rsid w:val="008E7E7F"/>
    <w:rsid w:val="00916472"/>
    <w:rsid w:val="00923E1D"/>
    <w:rsid w:val="0092455F"/>
    <w:rsid w:val="00940B65"/>
    <w:rsid w:val="009440E1"/>
    <w:rsid w:val="009B3347"/>
    <w:rsid w:val="009C5602"/>
    <w:rsid w:val="009E1D0D"/>
    <w:rsid w:val="00A12953"/>
    <w:rsid w:val="00A27CCE"/>
    <w:rsid w:val="00A970D8"/>
    <w:rsid w:val="00A97FBF"/>
    <w:rsid w:val="00AF0ECE"/>
    <w:rsid w:val="00B004B2"/>
    <w:rsid w:val="00B06055"/>
    <w:rsid w:val="00B27AE9"/>
    <w:rsid w:val="00B40630"/>
    <w:rsid w:val="00B5693D"/>
    <w:rsid w:val="00B770ED"/>
    <w:rsid w:val="00BE601A"/>
    <w:rsid w:val="00C11D12"/>
    <w:rsid w:val="00C161BB"/>
    <w:rsid w:val="00C70360"/>
    <w:rsid w:val="00CC78D6"/>
    <w:rsid w:val="00D12026"/>
    <w:rsid w:val="00D2080A"/>
    <w:rsid w:val="00D4734F"/>
    <w:rsid w:val="00D52F97"/>
    <w:rsid w:val="00D6262D"/>
    <w:rsid w:val="00D84D46"/>
    <w:rsid w:val="00D975B9"/>
    <w:rsid w:val="00DF2BAD"/>
    <w:rsid w:val="00E4285A"/>
    <w:rsid w:val="00E94181"/>
    <w:rsid w:val="00EB15AA"/>
    <w:rsid w:val="00EB7AA4"/>
    <w:rsid w:val="00F14BB7"/>
    <w:rsid w:val="00F2428E"/>
    <w:rsid w:val="00F242FC"/>
    <w:rsid w:val="00F65A48"/>
    <w:rsid w:val="00FA56FB"/>
    <w:rsid w:val="00FC371F"/>
    <w:rsid w:val="00FC3CDF"/>
    <w:rsid w:val="00FD4DB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D998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FBF"/>
    <w:pPr>
      <w:spacing w:line="360" w:lineRule="auto"/>
      <w:jc w:val="both"/>
    </w:pPr>
    <w:rPr>
      <w:rFonts w:ascii="Arial" w:hAnsi="Arial" w:cs="Vrinda"/>
      <w:sz w:val="24"/>
    </w:rPr>
  </w:style>
  <w:style w:type="paragraph" w:styleId="Heading1">
    <w:name w:val="heading 1"/>
    <w:basedOn w:val="Normal"/>
    <w:next w:val="Normal"/>
    <w:link w:val="Heading1Char"/>
    <w:uiPriority w:val="9"/>
    <w:qFormat/>
    <w:rsid w:val="00D12026"/>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D12026"/>
    <w:pPr>
      <w:keepNext/>
      <w:keepLines/>
      <w:spacing w:before="40" w:after="0"/>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026"/>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semiHidden/>
    <w:rsid w:val="00D12026"/>
    <w:rPr>
      <w:rFonts w:ascii="Times New Roman" w:eastAsiaTheme="majorEastAsia" w:hAnsi="Times New Roman" w:cstheme="majorBidi"/>
      <w:b/>
      <w:color w:val="2F5496" w:themeColor="accent1" w:themeShade="BF"/>
      <w:sz w:val="28"/>
      <w:szCs w:val="33"/>
    </w:rPr>
  </w:style>
  <w:style w:type="paragraph" w:styleId="ListParagraph">
    <w:name w:val="List Paragraph"/>
    <w:basedOn w:val="Normal"/>
    <w:uiPriority w:val="34"/>
    <w:qFormat/>
    <w:rsid w:val="008E4A10"/>
    <w:pPr>
      <w:ind w:left="720"/>
      <w:contextualSpacing/>
    </w:pPr>
  </w:style>
  <w:style w:type="paragraph" w:styleId="Header">
    <w:name w:val="header"/>
    <w:basedOn w:val="Normal"/>
    <w:link w:val="HeaderChar"/>
    <w:uiPriority w:val="99"/>
    <w:unhideWhenUsed/>
    <w:rsid w:val="00EB7A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7AA4"/>
    <w:rPr>
      <w:rFonts w:ascii="Times New Roman" w:hAnsi="Times New Roman" w:cs="Vrinda"/>
      <w:sz w:val="24"/>
    </w:rPr>
  </w:style>
  <w:style w:type="paragraph" w:styleId="Footer">
    <w:name w:val="footer"/>
    <w:basedOn w:val="Normal"/>
    <w:link w:val="FooterChar"/>
    <w:uiPriority w:val="99"/>
    <w:unhideWhenUsed/>
    <w:rsid w:val="00EB7A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7AA4"/>
    <w:rPr>
      <w:rFonts w:ascii="Times New Roman" w:hAnsi="Times New Roman" w:cs="Vrinda"/>
      <w:sz w:val="24"/>
    </w:rPr>
  </w:style>
  <w:style w:type="paragraph" w:styleId="TOCHeading">
    <w:name w:val="TOC Heading"/>
    <w:basedOn w:val="Heading1"/>
    <w:next w:val="Normal"/>
    <w:uiPriority w:val="39"/>
    <w:unhideWhenUsed/>
    <w:qFormat/>
    <w:rsid w:val="0004214F"/>
    <w:pPr>
      <w:spacing w:line="259" w:lineRule="auto"/>
      <w:jc w:val="left"/>
      <w:outlineLvl w:val="9"/>
    </w:pPr>
    <w:rPr>
      <w:rFonts w:asciiTheme="majorHAnsi" w:hAnsiTheme="majorHAnsi"/>
      <w:b w:val="0"/>
      <w:kern w:val="0"/>
      <w:szCs w:val="32"/>
      <w:lang w:bidi="ar-SA"/>
      <w14:ligatures w14:val="none"/>
    </w:rPr>
  </w:style>
  <w:style w:type="paragraph" w:styleId="TOC1">
    <w:name w:val="toc 1"/>
    <w:basedOn w:val="Normal"/>
    <w:next w:val="Normal"/>
    <w:autoRedefine/>
    <w:uiPriority w:val="39"/>
    <w:unhideWhenUsed/>
    <w:rsid w:val="0004214F"/>
    <w:pPr>
      <w:spacing w:after="100"/>
    </w:pPr>
  </w:style>
  <w:style w:type="character" w:styleId="Hyperlink">
    <w:name w:val="Hyperlink"/>
    <w:basedOn w:val="DefaultParagraphFont"/>
    <w:uiPriority w:val="99"/>
    <w:unhideWhenUsed/>
    <w:rsid w:val="000421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220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6489F-5558-4B2A-BCFF-F3742798E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1736</Words>
  <Characters>9897</Characters>
  <Application>Microsoft Office Word</Application>
  <DocSecurity>0</DocSecurity>
  <Lines>82</Lines>
  <Paragraphs>23</Paragraphs>
  <ScaleCrop>false</ScaleCrop>
  <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2023-02-25T21:41:00Z</dcterms:created>
  <dcterms:modified xsi:type="dcterms:W3CDTF">2023-03-07T14:27:00Z</dcterms:modified>
</cp:coreProperties>
</file>