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A1DE2" w:rsidRDefault="00883705">
      <w:r>
        <w:rPr>
          <w:noProof/>
        </w:rPr>
        <w:drawing>
          <wp:inline distT="0" distB="0" distL="114300" distR="114300">
            <wp:extent cx="1809750" cy="723900"/>
            <wp:effectExtent l="0" t="0" r="0" b="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inline>
        </w:drawing>
      </w:r>
      <w:r>
        <w:rPr>
          <w:sz w:val="20"/>
          <w:szCs w:val="20"/>
        </w:rPr>
        <w:t xml:space="preserve">                                                                   </w:t>
      </w:r>
      <w:r>
        <w:rPr>
          <w:noProof/>
          <w:sz w:val="20"/>
          <w:szCs w:val="20"/>
        </w:rPr>
        <w:drawing>
          <wp:inline distT="0" distB="0" distL="0" distR="0">
            <wp:extent cx="1905000" cy="723900"/>
            <wp:effectExtent l="0" t="0" r="0" b="0"/>
            <wp:docPr id="2" name="image2.jpg" descr="IUMW logo jpg"/>
            <wp:cNvGraphicFramePr/>
            <a:graphic xmlns:a="http://schemas.openxmlformats.org/drawingml/2006/main">
              <a:graphicData uri="http://schemas.openxmlformats.org/drawingml/2006/picture">
                <pic:pic xmlns:pic="http://schemas.openxmlformats.org/drawingml/2006/picture">
                  <pic:nvPicPr>
                    <pic:cNvPr id="0" name="image2.jpg" descr="IUMW logo jpg"/>
                    <pic:cNvPicPr preferRelativeResize="0"/>
                  </pic:nvPicPr>
                  <pic:blipFill>
                    <a:blip r:embed="rId8"/>
                    <a:srcRect/>
                    <a:stretch>
                      <a:fillRect/>
                    </a:stretch>
                  </pic:blipFill>
                  <pic:spPr>
                    <a:xfrm>
                      <a:off x="0" y="0"/>
                      <a:ext cx="1905000" cy="723900"/>
                    </a:xfrm>
                    <a:prstGeom prst="rect">
                      <a:avLst/>
                    </a:prstGeom>
                    <a:ln/>
                  </pic:spPr>
                </pic:pic>
              </a:graphicData>
            </a:graphic>
          </wp:inline>
        </w:drawing>
      </w:r>
    </w:p>
    <w:p w14:paraId="00000002" w14:textId="77777777" w:rsidR="001A1DE2" w:rsidRDefault="001A1DE2">
      <w:pPr>
        <w:tabs>
          <w:tab w:val="center" w:pos="4153"/>
          <w:tab w:val="right" w:pos="8306"/>
        </w:tabs>
        <w:spacing w:line="240" w:lineRule="auto"/>
        <w:jc w:val="right"/>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1A1DE2" w14:paraId="2BB074D5" w14:textId="77777777">
        <w:trPr>
          <w:trHeight w:val="410"/>
        </w:trPr>
        <w:tc>
          <w:tcPr>
            <w:tcW w:w="9922" w:type="dxa"/>
            <w:shd w:val="clear" w:color="auto" w:fill="C0C0C0"/>
          </w:tcPr>
          <w:p w14:paraId="00000003" w14:textId="77777777" w:rsidR="001A1DE2" w:rsidRDefault="00883705">
            <w:pPr>
              <w:jc w:val="center"/>
              <w:rPr>
                <w:b/>
                <w:sz w:val="36"/>
                <w:szCs w:val="36"/>
              </w:rPr>
            </w:pPr>
            <w:r>
              <w:rPr>
                <w:b/>
                <w:sz w:val="36"/>
                <w:szCs w:val="36"/>
              </w:rPr>
              <w:t>LEVEL 5 ASSESSMENT SPECIFICATION</w:t>
            </w:r>
          </w:p>
        </w:tc>
      </w:tr>
    </w:tbl>
    <w:p w14:paraId="00000004" w14:textId="77777777" w:rsidR="001A1DE2" w:rsidRDefault="001A1DE2">
      <w:pPr>
        <w:rPr>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1A1DE2" w14:paraId="2B7EDF8E" w14:textId="77777777">
        <w:tc>
          <w:tcPr>
            <w:tcW w:w="2093" w:type="dxa"/>
            <w:shd w:val="clear" w:color="auto" w:fill="D9D9D9"/>
          </w:tcPr>
          <w:p w14:paraId="00000005" w14:textId="77777777" w:rsidR="001A1DE2" w:rsidRDefault="00883705">
            <w:pPr>
              <w:spacing w:before="120" w:after="120" w:line="240" w:lineRule="auto"/>
              <w:rPr>
                <w:b/>
                <w:sz w:val="20"/>
                <w:szCs w:val="20"/>
              </w:rPr>
            </w:pPr>
            <w:r>
              <w:rPr>
                <w:b/>
                <w:sz w:val="20"/>
                <w:szCs w:val="20"/>
              </w:rPr>
              <w:t>Student name:</w:t>
            </w:r>
          </w:p>
        </w:tc>
        <w:tc>
          <w:tcPr>
            <w:tcW w:w="3293" w:type="dxa"/>
          </w:tcPr>
          <w:p w14:paraId="00000006" w14:textId="77777777" w:rsidR="001A1DE2" w:rsidRDefault="00883705">
            <w:pPr>
              <w:spacing w:before="120" w:after="120" w:line="240" w:lineRule="auto"/>
              <w:rPr>
                <w:b/>
                <w:sz w:val="20"/>
                <w:szCs w:val="20"/>
              </w:rPr>
            </w:pPr>
            <w:r>
              <w:rPr>
                <w:b/>
                <w:sz w:val="20"/>
                <w:szCs w:val="20"/>
              </w:rPr>
              <w:t>Sharifah Intan Nur Sufi Binti Syed Azhar     </w:t>
            </w:r>
          </w:p>
        </w:tc>
        <w:tc>
          <w:tcPr>
            <w:tcW w:w="2268" w:type="dxa"/>
            <w:shd w:val="clear" w:color="auto" w:fill="D9D9D9"/>
          </w:tcPr>
          <w:p w14:paraId="00000007" w14:textId="77777777" w:rsidR="001A1DE2" w:rsidRDefault="00883705">
            <w:pPr>
              <w:spacing w:before="120" w:after="120"/>
              <w:rPr>
                <w:b/>
              </w:rPr>
            </w:pPr>
            <w:r>
              <w:rPr>
                <w:b/>
              </w:rPr>
              <w:t>Student ID number:</w:t>
            </w:r>
          </w:p>
        </w:tc>
        <w:tc>
          <w:tcPr>
            <w:tcW w:w="2268" w:type="dxa"/>
          </w:tcPr>
          <w:p w14:paraId="00000008" w14:textId="77777777" w:rsidR="001A1DE2" w:rsidRDefault="00883705">
            <w:pPr>
              <w:spacing w:before="120" w:after="120"/>
              <w:rPr>
                <w:b/>
              </w:rPr>
            </w:pPr>
            <w:r>
              <w:rPr>
                <w:b/>
              </w:rPr>
              <w:t>20200207</w:t>
            </w:r>
          </w:p>
        </w:tc>
      </w:tr>
      <w:tr w:rsidR="001A1DE2" w14:paraId="3D530BB3" w14:textId="77777777">
        <w:tc>
          <w:tcPr>
            <w:tcW w:w="2093" w:type="dxa"/>
            <w:shd w:val="clear" w:color="auto" w:fill="D9D9D9"/>
          </w:tcPr>
          <w:p w14:paraId="00000009" w14:textId="77777777" w:rsidR="001A1DE2" w:rsidRDefault="00883705">
            <w:pPr>
              <w:spacing w:before="120" w:after="120" w:line="240" w:lineRule="auto"/>
              <w:rPr>
                <w:b/>
                <w:sz w:val="20"/>
                <w:szCs w:val="20"/>
              </w:rPr>
            </w:pPr>
            <w:r>
              <w:rPr>
                <w:b/>
                <w:sz w:val="20"/>
                <w:szCs w:val="20"/>
              </w:rPr>
              <w:t>Programme:</w:t>
            </w:r>
          </w:p>
        </w:tc>
        <w:tc>
          <w:tcPr>
            <w:tcW w:w="7829" w:type="dxa"/>
            <w:gridSpan w:val="3"/>
          </w:tcPr>
          <w:p w14:paraId="0000000A" w14:textId="77777777" w:rsidR="001A1DE2" w:rsidRDefault="00883705">
            <w:pPr>
              <w:spacing w:before="120" w:after="120" w:line="240" w:lineRule="auto"/>
              <w:rPr>
                <w:b/>
                <w:sz w:val="20"/>
                <w:szCs w:val="20"/>
              </w:rPr>
            </w:pPr>
            <w:r>
              <w:rPr>
                <w:b/>
                <w:sz w:val="20"/>
                <w:szCs w:val="20"/>
              </w:rPr>
              <w:t>IUMW</w:t>
            </w:r>
          </w:p>
        </w:tc>
      </w:tr>
      <w:tr w:rsidR="001A1DE2" w14:paraId="35F4A5F3" w14:textId="77777777">
        <w:tc>
          <w:tcPr>
            <w:tcW w:w="2093" w:type="dxa"/>
            <w:shd w:val="clear" w:color="auto" w:fill="D9D9D9"/>
          </w:tcPr>
          <w:p w14:paraId="0000000D" w14:textId="77777777" w:rsidR="001A1DE2" w:rsidRDefault="00883705">
            <w:pPr>
              <w:spacing w:before="120" w:after="120" w:line="240" w:lineRule="auto"/>
              <w:rPr>
                <w:b/>
                <w:sz w:val="20"/>
                <w:szCs w:val="20"/>
              </w:rPr>
            </w:pPr>
            <w:r>
              <w:rPr>
                <w:b/>
                <w:sz w:val="20"/>
                <w:szCs w:val="20"/>
              </w:rPr>
              <w:t>Module:</w:t>
            </w:r>
          </w:p>
        </w:tc>
        <w:tc>
          <w:tcPr>
            <w:tcW w:w="7829" w:type="dxa"/>
            <w:gridSpan w:val="3"/>
            <w:shd w:val="clear" w:color="auto" w:fill="auto"/>
          </w:tcPr>
          <w:p w14:paraId="0000000E" w14:textId="77777777" w:rsidR="001A1DE2" w:rsidRDefault="00883705">
            <w:pPr>
              <w:spacing w:before="120" w:after="120" w:line="240" w:lineRule="auto"/>
              <w:rPr>
                <w:b/>
                <w:sz w:val="20"/>
                <w:szCs w:val="20"/>
              </w:rPr>
            </w:pPr>
            <w:r>
              <w:rPr>
                <w:b/>
                <w:sz w:val="20"/>
                <w:szCs w:val="20"/>
              </w:rPr>
              <w:t>Changemakers: Creativity and Value Creation</w:t>
            </w:r>
          </w:p>
        </w:tc>
      </w:tr>
      <w:tr w:rsidR="001A1DE2" w14:paraId="058F1F8A" w14:textId="77777777">
        <w:tc>
          <w:tcPr>
            <w:tcW w:w="2093" w:type="dxa"/>
            <w:shd w:val="clear" w:color="auto" w:fill="D9D9D9"/>
          </w:tcPr>
          <w:p w14:paraId="00000011" w14:textId="77777777" w:rsidR="001A1DE2" w:rsidRDefault="00883705">
            <w:pPr>
              <w:spacing w:before="120" w:after="120" w:line="240" w:lineRule="auto"/>
              <w:rPr>
                <w:b/>
                <w:sz w:val="20"/>
                <w:szCs w:val="20"/>
              </w:rPr>
            </w:pPr>
            <w:r>
              <w:rPr>
                <w:b/>
                <w:sz w:val="20"/>
                <w:szCs w:val="20"/>
              </w:rPr>
              <w:t>Module code:</w:t>
            </w:r>
          </w:p>
        </w:tc>
        <w:tc>
          <w:tcPr>
            <w:tcW w:w="3293" w:type="dxa"/>
          </w:tcPr>
          <w:p w14:paraId="00000012" w14:textId="77777777" w:rsidR="001A1DE2" w:rsidRDefault="00883705">
            <w:pPr>
              <w:spacing w:before="120" w:after="120" w:line="240" w:lineRule="auto"/>
              <w:rPr>
                <w:b/>
                <w:sz w:val="20"/>
                <w:szCs w:val="20"/>
              </w:rPr>
            </w:pPr>
            <w:r>
              <w:rPr>
                <w:b/>
                <w:sz w:val="20"/>
                <w:szCs w:val="20"/>
              </w:rPr>
              <w:t>BMSW5008_SWAN</w:t>
            </w:r>
          </w:p>
        </w:tc>
        <w:tc>
          <w:tcPr>
            <w:tcW w:w="2268" w:type="dxa"/>
            <w:shd w:val="clear" w:color="auto" w:fill="D9D9D9"/>
          </w:tcPr>
          <w:p w14:paraId="00000013" w14:textId="77777777" w:rsidR="001A1DE2" w:rsidRDefault="00883705">
            <w:pPr>
              <w:rPr>
                <w:b/>
              </w:rPr>
            </w:pPr>
            <w:r>
              <w:rPr>
                <w:b/>
              </w:rPr>
              <w:t>Contribution to Overall Module Assessment (%):</w:t>
            </w:r>
          </w:p>
        </w:tc>
        <w:tc>
          <w:tcPr>
            <w:tcW w:w="2268" w:type="dxa"/>
          </w:tcPr>
          <w:p w14:paraId="00000014" w14:textId="77777777" w:rsidR="001A1DE2" w:rsidRDefault="001A1DE2">
            <w:pPr>
              <w:spacing w:before="120" w:after="120"/>
              <w:rPr>
                <w:b/>
              </w:rPr>
            </w:pPr>
          </w:p>
        </w:tc>
      </w:tr>
      <w:tr w:rsidR="001A1DE2" w14:paraId="5EB9B6D1" w14:textId="77777777">
        <w:tc>
          <w:tcPr>
            <w:tcW w:w="2093" w:type="dxa"/>
            <w:shd w:val="clear" w:color="auto" w:fill="D9D9D9"/>
          </w:tcPr>
          <w:p w14:paraId="00000015" w14:textId="77777777" w:rsidR="001A1DE2" w:rsidRDefault="00883705">
            <w:pPr>
              <w:spacing w:before="120" w:after="120" w:line="240" w:lineRule="auto"/>
              <w:rPr>
                <w:b/>
                <w:sz w:val="20"/>
                <w:szCs w:val="20"/>
              </w:rPr>
            </w:pPr>
            <w:r>
              <w:rPr>
                <w:b/>
                <w:sz w:val="20"/>
                <w:szCs w:val="20"/>
              </w:rPr>
              <w:t>Lecturer:</w:t>
            </w:r>
          </w:p>
        </w:tc>
        <w:tc>
          <w:tcPr>
            <w:tcW w:w="3293" w:type="dxa"/>
          </w:tcPr>
          <w:p w14:paraId="00000016" w14:textId="77777777" w:rsidR="001A1DE2" w:rsidRDefault="00883705">
            <w:pPr>
              <w:spacing w:before="120" w:after="120" w:line="240" w:lineRule="auto"/>
              <w:rPr>
                <w:b/>
                <w:sz w:val="20"/>
                <w:szCs w:val="20"/>
              </w:rPr>
            </w:pPr>
            <w:r>
              <w:rPr>
                <w:b/>
                <w:sz w:val="20"/>
                <w:szCs w:val="20"/>
              </w:rPr>
              <w:t>Myfanwy Davies</w:t>
            </w:r>
          </w:p>
        </w:tc>
        <w:tc>
          <w:tcPr>
            <w:tcW w:w="2268" w:type="dxa"/>
            <w:shd w:val="clear" w:color="auto" w:fill="D9D9D9"/>
          </w:tcPr>
          <w:p w14:paraId="00000017" w14:textId="77777777" w:rsidR="001A1DE2" w:rsidRDefault="00883705">
            <w:pPr>
              <w:spacing w:before="120" w:after="120"/>
              <w:rPr>
                <w:b/>
              </w:rPr>
            </w:pPr>
            <w:r>
              <w:rPr>
                <w:b/>
              </w:rPr>
              <w:t>Internal Verifier:</w:t>
            </w:r>
          </w:p>
        </w:tc>
        <w:tc>
          <w:tcPr>
            <w:tcW w:w="2268" w:type="dxa"/>
          </w:tcPr>
          <w:p w14:paraId="00000018" w14:textId="77777777" w:rsidR="001A1DE2" w:rsidRDefault="001A1DE2">
            <w:pPr>
              <w:spacing w:before="120" w:after="120"/>
              <w:rPr>
                <w:b/>
              </w:rPr>
            </w:pPr>
          </w:p>
        </w:tc>
      </w:tr>
      <w:tr w:rsidR="001A1DE2" w14:paraId="15A746EC" w14:textId="77777777">
        <w:tc>
          <w:tcPr>
            <w:tcW w:w="2093" w:type="dxa"/>
            <w:shd w:val="clear" w:color="auto" w:fill="D9D9D9"/>
          </w:tcPr>
          <w:p w14:paraId="00000019" w14:textId="77777777" w:rsidR="001A1DE2" w:rsidRDefault="00883705">
            <w:pPr>
              <w:spacing w:before="120" w:after="120" w:line="240" w:lineRule="auto"/>
              <w:rPr>
                <w:b/>
                <w:sz w:val="20"/>
                <w:szCs w:val="20"/>
              </w:rPr>
            </w:pPr>
            <w:r>
              <w:rPr>
                <w:b/>
                <w:sz w:val="20"/>
                <w:szCs w:val="20"/>
              </w:rPr>
              <w:t>Assignment Title:</w:t>
            </w:r>
          </w:p>
        </w:tc>
        <w:tc>
          <w:tcPr>
            <w:tcW w:w="3293" w:type="dxa"/>
          </w:tcPr>
          <w:p w14:paraId="0000001A" w14:textId="77777777" w:rsidR="001A1DE2" w:rsidRDefault="00883705">
            <w:pPr>
              <w:spacing w:before="120" w:after="120" w:line="240" w:lineRule="auto"/>
              <w:rPr>
                <w:b/>
                <w:sz w:val="20"/>
                <w:szCs w:val="20"/>
              </w:rPr>
            </w:pPr>
            <w:r>
              <w:rPr>
                <w:b/>
                <w:highlight w:val="white"/>
              </w:rPr>
              <w:t xml:space="preserve">Reflection on Research Process </w:t>
            </w:r>
          </w:p>
        </w:tc>
        <w:tc>
          <w:tcPr>
            <w:tcW w:w="2268" w:type="dxa"/>
            <w:shd w:val="clear" w:color="auto" w:fill="D9D9D9"/>
          </w:tcPr>
          <w:p w14:paraId="0000001B" w14:textId="77777777" w:rsidR="001A1DE2" w:rsidRDefault="00883705">
            <w:pPr>
              <w:spacing w:before="120" w:after="120"/>
              <w:rPr>
                <w:b/>
              </w:rPr>
            </w:pPr>
            <w:r>
              <w:rPr>
                <w:b/>
              </w:rPr>
              <w:t>Word count (or equivalent):</w:t>
            </w:r>
          </w:p>
        </w:tc>
        <w:tc>
          <w:tcPr>
            <w:tcW w:w="2268" w:type="dxa"/>
          </w:tcPr>
          <w:p w14:paraId="0000001C" w14:textId="77777777" w:rsidR="001A1DE2" w:rsidRDefault="00883705">
            <w:pPr>
              <w:spacing w:before="120" w:after="120"/>
              <w:rPr>
                <w:b/>
              </w:rPr>
            </w:pPr>
            <w:r>
              <w:rPr>
                <w:b/>
              </w:rPr>
              <w:t>2000 or equivalent</w:t>
            </w:r>
          </w:p>
        </w:tc>
      </w:tr>
      <w:tr w:rsidR="001A1DE2" w14:paraId="4D587ACA" w14:textId="77777777">
        <w:tc>
          <w:tcPr>
            <w:tcW w:w="2093" w:type="dxa"/>
            <w:shd w:val="clear" w:color="auto" w:fill="D9D9D9"/>
          </w:tcPr>
          <w:p w14:paraId="0000001D" w14:textId="77777777" w:rsidR="001A1DE2" w:rsidRDefault="00883705">
            <w:pPr>
              <w:spacing w:before="120" w:after="120" w:line="240" w:lineRule="auto"/>
              <w:rPr>
                <w:b/>
                <w:sz w:val="20"/>
                <w:szCs w:val="20"/>
              </w:rPr>
            </w:pPr>
            <w:r>
              <w:rPr>
                <w:b/>
                <w:sz w:val="20"/>
                <w:szCs w:val="20"/>
              </w:rPr>
              <w:t>Submission deadline:</w:t>
            </w:r>
          </w:p>
        </w:tc>
        <w:tc>
          <w:tcPr>
            <w:tcW w:w="3293" w:type="dxa"/>
            <w:shd w:val="clear" w:color="auto" w:fill="auto"/>
          </w:tcPr>
          <w:p w14:paraId="0000001E" w14:textId="77777777" w:rsidR="001A1DE2" w:rsidRDefault="00883705">
            <w:pPr>
              <w:spacing w:before="120" w:after="120" w:line="240" w:lineRule="auto"/>
              <w:rPr>
                <w:b/>
                <w:sz w:val="20"/>
                <w:szCs w:val="20"/>
              </w:rPr>
            </w:pPr>
            <w:r>
              <w:rPr>
                <w:b/>
                <w:highlight w:val="white"/>
              </w:rPr>
              <w:t>6</w:t>
            </w:r>
            <w:r>
              <w:rPr>
                <w:b/>
                <w:sz w:val="28"/>
                <w:szCs w:val="28"/>
                <w:highlight w:val="white"/>
                <w:vertAlign w:val="superscript"/>
              </w:rPr>
              <w:t>th</w:t>
            </w:r>
            <w:r>
              <w:rPr>
                <w:b/>
                <w:highlight w:val="white"/>
              </w:rPr>
              <w:t xml:space="preserve"> December, 2023</w:t>
            </w:r>
          </w:p>
        </w:tc>
        <w:tc>
          <w:tcPr>
            <w:tcW w:w="2268" w:type="dxa"/>
            <w:shd w:val="clear" w:color="auto" w:fill="D9D9D9"/>
          </w:tcPr>
          <w:p w14:paraId="0000001F" w14:textId="77777777" w:rsidR="001A1DE2" w:rsidRDefault="00883705">
            <w:pPr>
              <w:spacing w:before="120" w:after="120"/>
              <w:rPr>
                <w:b/>
              </w:rPr>
            </w:pPr>
            <w:r>
              <w:rPr>
                <w:b/>
              </w:rPr>
              <w:t>Return date of provisional marks &amp; written feedback:</w:t>
            </w:r>
          </w:p>
        </w:tc>
        <w:tc>
          <w:tcPr>
            <w:tcW w:w="2268" w:type="dxa"/>
          </w:tcPr>
          <w:p w14:paraId="00000020" w14:textId="77777777" w:rsidR="001A1DE2" w:rsidRDefault="001A1DE2">
            <w:pPr>
              <w:spacing w:before="120" w:after="120"/>
              <w:rPr>
                <w:b/>
              </w:rPr>
            </w:pPr>
          </w:p>
        </w:tc>
      </w:tr>
      <w:tr w:rsidR="001A1DE2" w14:paraId="566B73EB" w14:textId="77777777">
        <w:tc>
          <w:tcPr>
            <w:tcW w:w="2093" w:type="dxa"/>
            <w:shd w:val="clear" w:color="auto" w:fill="D9D9D9"/>
          </w:tcPr>
          <w:p w14:paraId="00000021" w14:textId="77777777" w:rsidR="001A1DE2" w:rsidRDefault="00883705">
            <w:pPr>
              <w:spacing w:before="120" w:after="120" w:line="240" w:lineRule="auto"/>
              <w:rPr>
                <w:b/>
                <w:sz w:val="16"/>
                <w:szCs w:val="16"/>
              </w:rPr>
            </w:pPr>
            <w:r>
              <w:rPr>
                <w:b/>
                <w:sz w:val="16"/>
                <w:szCs w:val="16"/>
              </w:rPr>
              <w:t>Submission method:</w:t>
            </w:r>
          </w:p>
        </w:tc>
        <w:tc>
          <w:tcPr>
            <w:tcW w:w="7829" w:type="dxa"/>
            <w:gridSpan w:val="3"/>
            <w:shd w:val="clear" w:color="auto" w:fill="auto"/>
          </w:tcPr>
          <w:p w14:paraId="00000022" w14:textId="77777777" w:rsidR="001A1DE2" w:rsidRDefault="00883705">
            <w:pPr>
              <w:spacing w:line="240" w:lineRule="auto"/>
              <w:rPr>
                <w:sz w:val="18"/>
                <w:szCs w:val="18"/>
              </w:rPr>
            </w:pPr>
            <w:r>
              <w:rPr>
                <w:sz w:val="18"/>
                <w:szCs w:val="18"/>
              </w:rPr>
              <w:t>All written assessments, where practical and possible, must be submitted via Turnitin unless otherwise instructed by the Lecturer. (Please DO NOT put this assessment specification into Turnitin or it will match many similarities with other students’ submis</w:t>
            </w:r>
            <w:r>
              <w:rPr>
                <w:sz w:val="18"/>
                <w:szCs w:val="18"/>
              </w:rPr>
              <w:t>sions.)</w:t>
            </w:r>
          </w:p>
          <w:p w14:paraId="00000023" w14:textId="77777777" w:rsidR="001A1DE2" w:rsidRDefault="00883705">
            <w:pPr>
              <w:spacing w:before="120" w:after="120" w:line="240" w:lineRule="auto"/>
              <w:rPr>
                <w:b/>
                <w:sz w:val="18"/>
                <w:szCs w:val="18"/>
              </w:rPr>
            </w:pPr>
            <w:r>
              <w:rPr>
                <w:b/>
                <w:sz w:val="18"/>
                <w:szCs w:val="18"/>
              </w:rPr>
              <w:t xml:space="preserve">Alternative submission method (if applicable): </w:t>
            </w:r>
          </w:p>
          <w:p w14:paraId="00000024" w14:textId="77777777" w:rsidR="001A1DE2" w:rsidRDefault="00883705">
            <w:pPr>
              <w:spacing w:before="120" w:after="120" w:line="240" w:lineRule="auto"/>
              <w:rPr>
                <w:b/>
                <w:sz w:val="18"/>
                <w:szCs w:val="18"/>
              </w:rPr>
            </w:pPr>
            <w:r>
              <w:rPr>
                <w:b/>
                <w:sz w:val="18"/>
                <w:szCs w:val="18"/>
              </w:rPr>
              <w:t xml:space="preserve">Late submission of the assessment will result in a late penalty mark.  </w:t>
            </w:r>
            <w:r>
              <w:rPr>
                <w:sz w:val="18"/>
                <w:szCs w:val="18"/>
              </w:rPr>
              <w:t>Penalties for late submission: Up to one week late, maximum mark of 40%.  Over one week late, 0%.  Only the Extenuating Circumsta</w:t>
            </w:r>
            <w:r>
              <w:rPr>
                <w:sz w:val="18"/>
                <w:szCs w:val="18"/>
              </w:rPr>
              <w:t>nces Panel may approve a change to submission dates.</w:t>
            </w:r>
          </w:p>
        </w:tc>
      </w:tr>
      <w:tr w:rsidR="001A1DE2" w14:paraId="734AE4B8" w14:textId="77777777">
        <w:tc>
          <w:tcPr>
            <w:tcW w:w="2093" w:type="dxa"/>
            <w:shd w:val="clear" w:color="auto" w:fill="D9D9D9"/>
          </w:tcPr>
          <w:p w14:paraId="00000027" w14:textId="77777777" w:rsidR="001A1DE2" w:rsidRDefault="00883705">
            <w:pPr>
              <w:spacing w:before="120" w:after="120" w:line="240" w:lineRule="auto"/>
              <w:rPr>
                <w:b/>
                <w:sz w:val="16"/>
                <w:szCs w:val="16"/>
              </w:rPr>
            </w:pPr>
            <w:r>
              <w:rPr>
                <w:b/>
                <w:sz w:val="16"/>
                <w:szCs w:val="16"/>
              </w:rPr>
              <w:t>Academic honesty / referencing:</w:t>
            </w:r>
          </w:p>
        </w:tc>
        <w:tc>
          <w:tcPr>
            <w:tcW w:w="7829" w:type="dxa"/>
            <w:gridSpan w:val="3"/>
            <w:shd w:val="clear" w:color="auto" w:fill="auto"/>
          </w:tcPr>
          <w:p w14:paraId="00000028" w14:textId="3747F067" w:rsidR="001A1DE2" w:rsidRDefault="00883705">
            <w:pPr>
              <w:spacing w:before="120" w:after="120" w:line="240" w:lineRule="auto"/>
              <w:rPr>
                <w:sz w:val="18"/>
                <w:szCs w:val="18"/>
              </w:rPr>
            </w:pPr>
            <w:r>
              <w:rPr>
                <w:sz w:val="18"/>
                <w:szCs w:val="18"/>
              </w:rPr>
              <w:t xml:space="preserve">Academic honesty is required. In the main body of your </w:t>
            </w:r>
            <w:r w:rsidR="00EA27C2">
              <w:rPr>
                <w:sz w:val="18"/>
                <w:szCs w:val="18"/>
              </w:rPr>
              <w:t>submission,</w:t>
            </w:r>
            <w:r>
              <w:rPr>
                <w:sz w:val="18"/>
                <w:szCs w:val="18"/>
              </w:rPr>
              <w:t xml:space="preserve"> you must give credit to authors on whose research and ideas your work is based. Append to your submissio</w:t>
            </w:r>
            <w:r>
              <w:rPr>
                <w:sz w:val="18"/>
                <w:szCs w:val="18"/>
              </w:rPr>
              <w:t xml:space="preserve">n a reference list that indicates the books, articles, etc. that you have used, cited or quoted in order to complete this assessment.  </w:t>
            </w:r>
          </w:p>
        </w:tc>
      </w:tr>
    </w:tbl>
    <w:p w14:paraId="0000002B" w14:textId="77777777" w:rsidR="001A1DE2" w:rsidRDefault="001A1DE2">
      <w:pPr>
        <w:jc w:val="left"/>
        <w:rPr>
          <w:b/>
          <w:u w:val="single"/>
        </w:rPr>
      </w:pPr>
    </w:p>
    <w:p w14:paraId="3CE8C65D" w14:textId="77777777" w:rsidR="00EA27C2" w:rsidRDefault="00EA27C2">
      <w:pPr>
        <w:rPr>
          <w:b/>
          <w:u w:val="single"/>
        </w:rPr>
      </w:pPr>
      <w:r>
        <w:rPr>
          <w:b/>
          <w:u w:val="single"/>
        </w:rPr>
        <w:br w:type="page"/>
      </w:r>
    </w:p>
    <w:p w14:paraId="0000002C" w14:textId="369CEACF" w:rsidR="001A1DE2" w:rsidRDefault="00883705">
      <w:pPr>
        <w:jc w:val="center"/>
      </w:pPr>
      <w:r>
        <w:rPr>
          <w:b/>
          <w:u w:val="single"/>
        </w:rPr>
        <w:lastRenderedPageBreak/>
        <w:t>TABLE OF CONTENT</w:t>
      </w:r>
    </w:p>
    <w:p w14:paraId="0000002D" w14:textId="77777777" w:rsidR="001A1DE2" w:rsidRDefault="001A1DE2">
      <w:pPr>
        <w:spacing w:line="480" w:lineRule="auto"/>
      </w:pPr>
    </w:p>
    <w:sdt>
      <w:sdtPr>
        <w:id w:val="-1294367579"/>
        <w:docPartObj>
          <w:docPartGallery w:val="Table of Contents"/>
          <w:docPartUnique/>
        </w:docPartObj>
      </w:sdtPr>
      <w:sdtEndPr/>
      <w:sdtContent>
        <w:p w14:paraId="0000002E" w14:textId="77777777" w:rsidR="001A1DE2" w:rsidRDefault="00883705">
          <w:pPr>
            <w:widowControl w:val="0"/>
            <w:tabs>
              <w:tab w:val="right" w:pos="12000"/>
            </w:tabs>
            <w:spacing w:before="60" w:line="480" w:lineRule="auto"/>
            <w:rPr>
              <w:b/>
              <w:color w:val="000000"/>
            </w:rPr>
          </w:pPr>
          <w:r>
            <w:fldChar w:fldCharType="begin"/>
          </w:r>
          <w:r>
            <w:instrText xml:space="preserve"> TOC \h \u \z \t "Heading 1,1,Heading 2,2,Heading 3,3,Heading 4,4,Heading 5,5,Heading 6,6,"</w:instrText>
          </w:r>
          <w:r>
            <w:fldChar w:fldCharType="separate"/>
          </w:r>
          <w:hyperlink w:anchor="_k7tlmselr6e9">
            <w:r>
              <w:rPr>
                <w:b/>
                <w:color w:val="000000"/>
              </w:rPr>
              <w:t>1.0 INTRODUCTION</w:t>
            </w:r>
            <w:r>
              <w:rPr>
                <w:b/>
                <w:color w:val="000000"/>
              </w:rPr>
              <w:tab/>
              <w:t>2</w:t>
            </w:r>
          </w:hyperlink>
        </w:p>
        <w:p w14:paraId="0000002F" w14:textId="77777777" w:rsidR="001A1DE2" w:rsidRDefault="00883705">
          <w:pPr>
            <w:widowControl w:val="0"/>
            <w:tabs>
              <w:tab w:val="right" w:pos="12000"/>
            </w:tabs>
            <w:spacing w:before="60" w:line="480" w:lineRule="auto"/>
            <w:rPr>
              <w:b/>
              <w:color w:val="000000"/>
            </w:rPr>
          </w:pPr>
          <w:hyperlink w:anchor="_z74cw3mh8lp2">
            <w:r>
              <w:rPr>
                <w:b/>
                <w:color w:val="000000"/>
              </w:rPr>
              <w:t>2.0 MAIN BODY</w:t>
            </w:r>
            <w:r>
              <w:rPr>
                <w:b/>
                <w:color w:val="000000"/>
              </w:rPr>
              <w:tab/>
              <w:t>4</w:t>
            </w:r>
          </w:hyperlink>
        </w:p>
        <w:p w14:paraId="00000030" w14:textId="77777777" w:rsidR="001A1DE2" w:rsidRDefault="00883705">
          <w:pPr>
            <w:widowControl w:val="0"/>
            <w:tabs>
              <w:tab w:val="right" w:pos="12000"/>
            </w:tabs>
            <w:spacing w:before="60" w:line="480" w:lineRule="auto"/>
            <w:ind w:left="360"/>
            <w:rPr>
              <w:b/>
              <w:color w:val="000000"/>
            </w:rPr>
          </w:pPr>
          <w:hyperlink w:anchor="_nh4bkbhx5y0i">
            <w:r>
              <w:rPr>
                <w:b/>
                <w:color w:val="000000"/>
              </w:rPr>
              <w:t>2.1 INTRODUCTION OF GI</w:t>
            </w:r>
            <w:r>
              <w:rPr>
                <w:b/>
                <w:color w:val="000000"/>
              </w:rPr>
              <w:t>BBS REFLECTIVE CYCLE</w:t>
            </w:r>
            <w:r>
              <w:rPr>
                <w:b/>
                <w:color w:val="000000"/>
              </w:rPr>
              <w:tab/>
              <w:t>4</w:t>
            </w:r>
          </w:hyperlink>
        </w:p>
        <w:p w14:paraId="00000031" w14:textId="77777777" w:rsidR="001A1DE2" w:rsidRDefault="00883705">
          <w:pPr>
            <w:widowControl w:val="0"/>
            <w:tabs>
              <w:tab w:val="right" w:pos="12000"/>
            </w:tabs>
            <w:spacing w:before="60" w:line="480" w:lineRule="auto"/>
            <w:ind w:left="360"/>
            <w:rPr>
              <w:b/>
              <w:color w:val="000000"/>
            </w:rPr>
          </w:pPr>
          <w:hyperlink w:anchor="_uuy52z8kdxz0">
            <w:r>
              <w:rPr>
                <w:b/>
                <w:color w:val="000000"/>
              </w:rPr>
              <w:t>2.2 CREATION OF IDEA: IDENTIFYING THE PROBLEM / SETTING THE RESEARCH QUESTION</w:t>
            </w:r>
            <w:r>
              <w:rPr>
                <w:b/>
                <w:color w:val="000000"/>
              </w:rPr>
              <w:tab/>
              <w:t>5</w:t>
            </w:r>
          </w:hyperlink>
        </w:p>
        <w:p w14:paraId="00000032" w14:textId="77777777" w:rsidR="001A1DE2" w:rsidRDefault="00883705">
          <w:pPr>
            <w:widowControl w:val="0"/>
            <w:tabs>
              <w:tab w:val="right" w:pos="12000"/>
            </w:tabs>
            <w:spacing w:before="60" w:line="480" w:lineRule="auto"/>
            <w:ind w:left="360"/>
            <w:rPr>
              <w:b/>
              <w:color w:val="000000"/>
            </w:rPr>
          </w:pPr>
          <w:hyperlink w:anchor="_cm16b3jkxvwo">
            <w:r>
              <w:rPr>
                <w:b/>
                <w:color w:val="000000"/>
              </w:rPr>
              <w:t>2.3 WHAT HAVE I LEARNED</w:t>
            </w:r>
            <w:r>
              <w:rPr>
                <w:b/>
                <w:color w:val="000000"/>
              </w:rPr>
              <w:tab/>
              <w:t>7</w:t>
            </w:r>
          </w:hyperlink>
        </w:p>
        <w:p w14:paraId="00000033" w14:textId="77777777" w:rsidR="001A1DE2" w:rsidRDefault="00883705">
          <w:pPr>
            <w:widowControl w:val="0"/>
            <w:tabs>
              <w:tab w:val="right" w:pos="12000"/>
            </w:tabs>
            <w:spacing w:before="60" w:line="480" w:lineRule="auto"/>
            <w:ind w:left="720"/>
            <w:rPr>
              <w:b/>
              <w:color w:val="000000"/>
            </w:rPr>
          </w:pPr>
          <w:hyperlink w:anchor="_qz1wlnbbzkft">
            <w:r>
              <w:rPr>
                <w:b/>
                <w:color w:val="000000"/>
              </w:rPr>
              <w:t>2.3.1 DEDUCTIVE, IN</w:t>
            </w:r>
            <w:r>
              <w:rPr>
                <w:b/>
                <w:color w:val="000000"/>
              </w:rPr>
              <w:t>DUCTIVE, ABDUCTIVE REASONING AND QUALITATIVE AND QUANTITATIVE METHODS</w:t>
            </w:r>
            <w:r>
              <w:rPr>
                <w:b/>
                <w:color w:val="000000"/>
              </w:rPr>
              <w:tab/>
              <w:t>7</w:t>
            </w:r>
          </w:hyperlink>
        </w:p>
        <w:p w14:paraId="00000034" w14:textId="77777777" w:rsidR="001A1DE2" w:rsidRDefault="00883705">
          <w:pPr>
            <w:widowControl w:val="0"/>
            <w:tabs>
              <w:tab w:val="right" w:pos="12000"/>
            </w:tabs>
            <w:spacing w:before="60" w:line="480" w:lineRule="auto"/>
            <w:ind w:left="720"/>
            <w:rPr>
              <w:b/>
              <w:color w:val="000000"/>
            </w:rPr>
          </w:pPr>
          <w:hyperlink w:anchor="_xa6m0gr3rcag">
            <w:r>
              <w:rPr>
                <w:b/>
                <w:color w:val="000000"/>
              </w:rPr>
              <w:t>2.3.2 QUESTIONNAIRE</w:t>
            </w:r>
            <w:r>
              <w:rPr>
                <w:b/>
                <w:color w:val="000000"/>
              </w:rPr>
              <w:tab/>
              <w:t>9</w:t>
            </w:r>
          </w:hyperlink>
        </w:p>
        <w:p w14:paraId="00000035" w14:textId="77777777" w:rsidR="001A1DE2" w:rsidRDefault="00883705">
          <w:pPr>
            <w:widowControl w:val="0"/>
            <w:tabs>
              <w:tab w:val="right" w:pos="12000"/>
            </w:tabs>
            <w:spacing w:before="60" w:line="480" w:lineRule="auto"/>
            <w:ind w:left="720"/>
            <w:rPr>
              <w:b/>
              <w:color w:val="000000"/>
            </w:rPr>
          </w:pPr>
          <w:hyperlink w:anchor="_80n7q0djogl6">
            <w:r>
              <w:rPr>
                <w:b/>
                <w:color w:val="000000"/>
              </w:rPr>
              <w:t>2.3.3 SECONDARY RESEARCH</w:t>
            </w:r>
            <w:r>
              <w:rPr>
                <w:b/>
                <w:color w:val="000000"/>
              </w:rPr>
              <w:tab/>
              <w:t>10</w:t>
            </w:r>
          </w:hyperlink>
        </w:p>
        <w:p w14:paraId="00000036" w14:textId="77777777" w:rsidR="001A1DE2" w:rsidRDefault="00883705">
          <w:pPr>
            <w:widowControl w:val="0"/>
            <w:tabs>
              <w:tab w:val="right" w:pos="12000"/>
            </w:tabs>
            <w:spacing w:before="60" w:line="480" w:lineRule="auto"/>
            <w:ind w:left="720"/>
            <w:rPr>
              <w:b/>
              <w:color w:val="000000"/>
            </w:rPr>
          </w:pPr>
          <w:hyperlink w:anchor="_f74n2j2tio7e">
            <w:r>
              <w:rPr>
                <w:b/>
                <w:color w:val="000000"/>
              </w:rPr>
              <w:t>2.3.4 ELEVATOR PITCH</w:t>
            </w:r>
            <w:r>
              <w:rPr>
                <w:b/>
                <w:color w:val="000000"/>
              </w:rPr>
              <w:tab/>
              <w:t>11</w:t>
            </w:r>
          </w:hyperlink>
        </w:p>
        <w:p w14:paraId="00000037" w14:textId="77777777" w:rsidR="001A1DE2" w:rsidRDefault="00883705">
          <w:pPr>
            <w:widowControl w:val="0"/>
            <w:tabs>
              <w:tab w:val="right" w:pos="12000"/>
            </w:tabs>
            <w:spacing w:before="60" w:line="480" w:lineRule="auto"/>
            <w:ind w:left="720"/>
            <w:rPr>
              <w:b/>
              <w:color w:val="000000"/>
            </w:rPr>
          </w:pPr>
          <w:hyperlink w:anchor="_wq49e66kidao">
            <w:r>
              <w:rPr>
                <w:b/>
                <w:color w:val="000000"/>
              </w:rPr>
              <w:t>2.3.5 POSTER</w:t>
            </w:r>
            <w:r>
              <w:rPr>
                <w:b/>
                <w:color w:val="000000"/>
              </w:rPr>
              <w:tab/>
              <w:t>13</w:t>
            </w:r>
          </w:hyperlink>
        </w:p>
        <w:p w14:paraId="00000038" w14:textId="77777777" w:rsidR="001A1DE2" w:rsidRDefault="00883705">
          <w:pPr>
            <w:widowControl w:val="0"/>
            <w:tabs>
              <w:tab w:val="right" w:pos="12000"/>
            </w:tabs>
            <w:spacing w:before="60" w:line="480" w:lineRule="auto"/>
            <w:ind w:left="360"/>
            <w:rPr>
              <w:b/>
              <w:color w:val="000000"/>
            </w:rPr>
          </w:pPr>
          <w:hyperlink w:anchor="_gpmdndfmiyd8">
            <w:r>
              <w:rPr>
                <w:b/>
                <w:color w:val="000000"/>
              </w:rPr>
              <w:t>2.4 REFLECTING ON LEARNING</w:t>
            </w:r>
            <w:r>
              <w:rPr>
                <w:b/>
                <w:color w:val="000000"/>
              </w:rPr>
              <w:tab/>
              <w:t>15</w:t>
            </w:r>
          </w:hyperlink>
        </w:p>
        <w:p w14:paraId="00000039" w14:textId="77777777" w:rsidR="001A1DE2" w:rsidRDefault="00883705">
          <w:pPr>
            <w:widowControl w:val="0"/>
            <w:tabs>
              <w:tab w:val="right" w:pos="12000"/>
            </w:tabs>
            <w:spacing w:before="60" w:line="480" w:lineRule="auto"/>
            <w:rPr>
              <w:b/>
              <w:color w:val="000000"/>
            </w:rPr>
          </w:pPr>
          <w:hyperlink w:anchor="_re178bcea2bp">
            <w:r>
              <w:rPr>
                <w:b/>
                <w:color w:val="000000"/>
              </w:rPr>
              <w:t>3.0 CONCLUSION</w:t>
            </w:r>
            <w:r>
              <w:rPr>
                <w:b/>
                <w:color w:val="000000"/>
              </w:rPr>
              <w:tab/>
              <w:t>17</w:t>
            </w:r>
          </w:hyperlink>
        </w:p>
        <w:p w14:paraId="0000003A" w14:textId="77777777" w:rsidR="001A1DE2" w:rsidRDefault="00883705">
          <w:pPr>
            <w:widowControl w:val="0"/>
            <w:tabs>
              <w:tab w:val="right" w:pos="12000"/>
            </w:tabs>
            <w:spacing w:before="60" w:line="480" w:lineRule="auto"/>
            <w:rPr>
              <w:b/>
              <w:color w:val="000000"/>
            </w:rPr>
          </w:pPr>
          <w:hyperlink w:anchor="_f2k62424d0rm">
            <w:r>
              <w:rPr>
                <w:b/>
                <w:color w:val="000000"/>
              </w:rPr>
              <w:t>REFERENCES</w:t>
            </w:r>
            <w:r>
              <w:rPr>
                <w:b/>
                <w:color w:val="000000"/>
              </w:rPr>
              <w:tab/>
              <w:t>18</w:t>
            </w:r>
          </w:hyperlink>
        </w:p>
        <w:p w14:paraId="0000003B" w14:textId="77777777" w:rsidR="001A1DE2" w:rsidRDefault="00883705">
          <w:pPr>
            <w:widowControl w:val="0"/>
            <w:tabs>
              <w:tab w:val="right" w:pos="12000"/>
            </w:tabs>
            <w:spacing w:before="60" w:line="480" w:lineRule="auto"/>
            <w:rPr>
              <w:b/>
              <w:color w:val="000000"/>
            </w:rPr>
          </w:pPr>
          <w:hyperlink w:anchor="_j4b17nvq87vv">
            <w:r>
              <w:rPr>
                <w:b/>
                <w:color w:val="000000"/>
              </w:rPr>
              <w:t>APPENDIX</w:t>
            </w:r>
            <w:r>
              <w:rPr>
                <w:b/>
                <w:color w:val="000000"/>
              </w:rPr>
              <w:tab/>
              <w:t>20</w:t>
            </w:r>
          </w:hyperlink>
        </w:p>
        <w:p w14:paraId="0000003C" w14:textId="77777777" w:rsidR="001A1DE2" w:rsidRDefault="00883705">
          <w:pPr>
            <w:widowControl w:val="0"/>
            <w:tabs>
              <w:tab w:val="right" w:pos="12000"/>
            </w:tabs>
            <w:spacing w:before="60" w:line="480" w:lineRule="auto"/>
            <w:ind w:left="360"/>
            <w:rPr>
              <w:b/>
              <w:color w:val="000000"/>
            </w:rPr>
          </w:pPr>
          <w:hyperlink w:anchor="_es3vy3h6mns">
            <w:r>
              <w:rPr>
                <w:b/>
                <w:color w:val="000000"/>
              </w:rPr>
              <w:t>ACTION PLAN:</w:t>
            </w:r>
            <w:r>
              <w:rPr>
                <w:b/>
                <w:color w:val="000000"/>
              </w:rPr>
              <w:tab/>
              <w:t>20</w:t>
            </w:r>
          </w:hyperlink>
          <w:r>
            <w:fldChar w:fldCharType="end"/>
          </w:r>
        </w:p>
      </w:sdtContent>
    </w:sdt>
    <w:p w14:paraId="0000003D" w14:textId="77777777" w:rsidR="001A1DE2" w:rsidRDefault="00883705">
      <w:pPr>
        <w:spacing w:line="480" w:lineRule="auto"/>
      </w:pPr>
      <w:r>
        <w:br w:type="page"/>
      </w:r>
    </w:p>
    <w:p w14:paraId="0000003E" w14:textId="77777777" w:rsidR="001A1DE2" w:rsidRDefault="00883705">
      <w:pPr>
        <w:pStyle w:val="Heading1"/>
        <w:jc w:val="left"/>
      </w:pPr>
      <w:bookmarkStart w:id="0" w:name="_k7tlmselr6e9" w:colFirst="0" w:colLast="0"/>
      <w:bookmarkEnd w:id="0"/>
      <w:r>
        <w:lastRenderedPageBreak/>
        <w:t>1.0 INTRODUCTION</w:t>
      </w:r>
    </w:p>
    <w:p w14:paraId="0000003F" w14:textId="555C5EA6" w:rsidR="001A1DE2" w:rsidRDefault="00883705">
      <w:r>
        <w:t>The research I am conducting is called “</w:t>
      </w:r>
      <w:r w:rsidR="00EA27C2">
        <w:rPr>
          <w:color w:val="202124"/>
          <w:highlight w:val="white"/>
        </w:rPr>
        <w:t>post-COVID</w:t>
      </w:r>
      <w:r>
        <w:rPr>
          <w:color w:val="202124"/>
          <w:highlight w:val="white"/>
        </w:rPr>
        <w:t>-19 adaptive behaviours and the res</w:t>
      </w:r>
      <w:r>
        <w:rPr>
          <w:color w:val="202124"/>
          <w:highlight w:val="white"/>
        </w:rPr>
        <w:t>ilience of consumer intentions to use online food delivery platforms”. "Food delivery applications" (FDAs) are used for ordering food through mobile devices (apps). These apps, software programs downloadable on smartphones or tablets, allow users to perfor</w:t>
      </w:r>
      <w:r>
        <w:rPr>
          <w:color w:val="202124"/>
          <w:highlight w:val="white"/>
        </w:rPr>
        <w:t>m specific tasks. Over the past decade, FDAs have gained popularity due to the increasing reliance of consumers on smartphones and apps (Mohamad et al., 2023).</w:t>
      </w:r>
    </w:p>
    <w:p w14:paraId="00000040" w14:textId="77777777" w:rsidR="001A1DE2" w:rsidRDefault="001A1DE2">
      <w:pPr>
        <w:jc w:val="left"/>
      </w:pPr>
    </w:p>
    <w:p w14:paraId="00000041" w14:textId="77777777" w:rsidR="001A1DE2" w:rsidRDefault="00883705">
      <w:pPr>
        <w:jc w:val="left"/>
      </w:pPr>
      <w:r>
        <w:t>The widespread use of smartphones has dramatically changed our lives, especially in Online Food</w:t>
      </w:r>
      <w:r>
        <w:t xml:space="preserve"> Delivery (OFD). Companies make use of mobile apps to engage with customers, and the rapid evolution of meal delivery crucially influences lifestyles. Restaurants are embracing technology to create new ways of delivering food which involve third-party inte</w:t>
      </w:r>
      <w:r>
        <w:t>rmediaries (Das &amp; Ramalingam, 2022).</w:t>
      </w:r>
    </w:p>
    <w:p w14:paraId="00000042" w14:textId="77777777" w:rsidR="001A1DE2" w:rsidRDefault="001A1DE2">
      <w:pPr>
        <w:jc w:val="left"/>
      </w:pPr>
    </w:p>
    <w:p w14:paraId="00000043" w14:textId="77777777" w:rsidR="001A1DE2" w:rsidRDefault="00883705">
      <w:pPr>
        <w:jc w:val="left"/>
      </w:pPr>
      <w:r>
        <w:t>The global impact of COVID-19 has forced businesses, especially restaurants, to adapt. Strict measures like mandatory mask-wearing and social distancing have significantly affected restaurants. In response, Online Food</w:t>
      </w:r>
      <w:r>
        <w:t xml:space="preserve"> Delivery services have surfaced as a practical choice, influenced by factors such as COVID-19 concerns, a desire for variety and consumers' cooking challenges. As a result, during the pandemic, Online Food Delivery services have proven mutually beneficial</w:t>
      </w:r>
      <w:r>
        <w:t xml:space="preserve"> for both consumers and restaurant owners, leading to a significant increase in online food orders (Das &amp; Ramalingam, 2022).</w:t>
      </w:r>
    </w:p>
    <w:p w14:paraId="00000044" w14:textId="77777777" w:rsidR="001A1DE2" w:rsidRDefault="00883705">
      <w:pPr>
        <w:jc w:val="left"/>
      </w:pPr>
      <w:r>
        <w:t>Apologies for any confusion. Here's a paraphrased and concise version:</w:t>
      </w:r>
    </w:p>
    <w:p w14:paraId="00000045" w14:textId="77777777" w:rsidR="001A1DE2" w:rsidRDefault="001A1DE2">
      <w:pPr>
        <w:jc w:val="left"/>
      </w:pPr>
    </w:p>
    <w:p w14:paraId="00000046" w14:textId="77777777" w:rsidR="001A1DE2" w:rsidRDefault="00883705">
      <w:pPr>
        <w:jc w:val="left"/>
      </w:pPr>
      <w:r>
        <w:t>The uncertain continuity of consumer adoption of Online Foo</w:t>
      </w:r>
      <w:r>
        <w:t>d Delivery (OFD) services during the pandemic prompt questions about factors influencing evolving patterns of food purchasing. The importance of continuance intention, vital for ongoing success, relies on meeting post-initial adoption expectations. Compreh</w:t>
      </w:r>
      <w:r>
        <w:t>ending continuance intention involves both psychological aspects and technological functionality (Yap &amp; Lee, 2023).</w:t>
      </w:r>
      <w:r>
        <w:br w:type="page"/>
      </w:r>
    </w:p>
    <w:p w14:paraId="00000047" w14:textId="77777777" w:rsidR="001A1DE2" w:rsidRDefault="00883705">
      <w:r>
        <w:lastRenderedPageBreak/>
        <w:t xml:space="preserve">Meeting these expectations is important to retain consumers during and after COID-19. Strong perceptions of OFD's benefits drive sustained </w:t>
      </w:r>
      <w:r>
        <w:t>use, with key drivers including doorstep delivery, price comparisons, time savings, and diverse restaurant access. Addressing social distancing concerns substantially influences consumers' continuance intention amid the pandemic, with the role of performan</w:t>
      </w:r>
      <w:r>
        <w:t>ce expectancy being paramount (Yap &amp; Lee, 2023).</w:t>
      </w:r>
    </w:p>
    <w:p w14:paraId="00000048" w14:textId="77777777" w:rsidR="001A1DE2" w:rsidRDefault="00883705">
      <w:pPr>
        <w:jc w:val="left"/>
      </w:pPr>
      <w:r>
        <w:br w:type="page"/>
      </w:r>
    </w:p>
    <w:p w14:paraId="00000049" w14:textId="77777777" w:rsidR="001A1DE2" w:rsidRDefault="00883705">
      <w:pPr>
        <w:pStyle w:val="Heading1"/>
      </w:pPr>
      <w:bookmarkStart w:id="1" w:name="_z74cw3mh8lp2" w:colFirst="0" w:colLast="0"/>
      <w:bookmarkEnd w:id="1"/>
      <w:r>
        <w:lastRenderedPageBreak/>
        <w:t>2.0 MAIN BODY</w:t>
      </w:r>
    </w:p>
    <w:p w14:paraId="0000004A" w14:textId="77777777" w:rsidR="001A1DE2" w:rsidRDefault="00883705">
      <w:pPr>
        <w:pStyle w:val="Heading2"/>
      </w:pPr>
      <w:bookmarkStart w:id="2" w:name="_nh4bkbhx5y0i" w:colFirst="0" w:colLast="0"/>
      <w:bookmarkEnd w:id="2"/>
      <w:r>
        <w:t>2.1 INTRODUCTION OF GIBBS REFLECTIVE CYCLE</w:t>
      </w:r>
    </w:p>
    <w:p w14:paraId="0000004B" w14:textId="77777777" w:rsidR="001A1DE2" w:rsidRDefault="00883705">
      <w:r>
        <w:t>The model referred to as Gibbs' cycle introduces a structured sequence of 6 reflection steps: description, feelings, evaluation, analysis, conclusio</w:t>
      </w:r>
      <w:r>
        <w:t>n, and action plan. The reflective journal serves as a tool for participating in reflective practice, showcasing its value in personal development, professional growth through self-reflection, and self-assessment and monitoring. (Galli &amp; New, 2022)</w:t>
      </w:r>
    </w:p>
    <w:p w14:paraId="0000004C" w14:textId="77777777" w:rsidR="001A1DE2" w:rsidRDefault="001A1DE2"/>
    <w:p w14:paraId="0000004D" w14:textId="77777777" w:rsidR="001A1DE2" w:rsidRDefault="00883705">
      <w:r>
        <w:t>In the</w:t>
      </w:r>
      <w:r>
        <w:t xml:space="preserve"> development of the reflective journal using Gibbs' cycle as a framework, the discussions revolve around feelings rather than emotions. The aims of this manuscript are to provide a narrative review of Gibbs' cycle, emphasising a focus on reflecting on emot</w:t>
      </w:r>
      <w:r>
        <w:t>ions, propose an exploration of Gibbs' cycle that incorporates emotions as the investigation subject, and underscore the differentiation between feelings and emotions (Galli &amp; New, 2022).</w:t>
      </w:r>
    </w:p>
    <w:p w14:paraId="0000004E" w14:textId="77777777" w:rsidR="001A1DE2" w:rsidRDefault="001A1DE2"/>
    <w:p w14:paraId="0000004F" w14:textId="16CE9893" w:rsidR="001A1DE2" w:rsidRDefault="00883705">
      <w:r>
        <w:t>Gibb starts the reflection process by giving an overview of the exp</w:t>
      </w:r>
      <w:r>
        <w:t xml:space="preserve">erience under consideration. It encourages individuals to focus on their feelings related to the experience, both at the time it occurs and afterward. Following this, the method includes assessing the experience, identifying its negative and </w:t>
      </w:r>
      <w:r w:rsidR="00EA27C2">
        <w:t>positive aspects</w:t>
      </w:r>
      <w:r>
        <w:t xml:space="preserve"> from a personal perspective (</w:t>
      </w:r>
      <w:r>
        <w:rPr>
          <w:i/>
        </w:rPr>
        <w:t>Libguides: Reflective Practice Toolkit: Models of Reflection,</w:t>
      </w:r>
      <w:r>
        <w:t xml:space="preserve"> n.d.). </w:t>
      </w:r>
    </w:p>
    <w:p w14:paraId="00000050" w14:textId="77777777" w:rsidR="001A1DE2" w:rsidRDefault="001A1DE2"/>
    <w:p w14:paraId="00000051" w14:textId="77777777" w:rsidR="001A1DE2" w:rsidRDefault="00883705">
      <w:r>
        <w:t>This assessment forms as a basis for analysing the situation and extracting meaning from it. By conducting this analysis, conclusions are drawn regarding alternative actions that might have been taken to achieve a different outcome. In the final stage, the</w:t>
      </w:r>
      <w:r>
        <w:t>re is the creation of an action plan that outlines when a comparable situation arises in the future (</w:t>
      </w:r>
      <w:r>
        <w:rPr>
          <w:i/>
        </w:rPr>
        <w:t>Libguides: Reflective Practice Toolkit: Models of Reflection,</w:t>
      </w:r>
      <w:r>
        <w:t xml:space="preserve"> n.d.).</w:t>
      </w:r>
    </w:p>
    <w:p w14:paraId="00000052" w14:textId="77777777" w:rsidR="001A1DE2" w:rsidRDefault="001A1DE2"/>
    <w:p w14:paraId="00000053" w14:textId="77777777" w:rsidR="001A1DE2" w:rsidRDefault="00883705">
      <w:r>
        <w:t>The Gibbs Reflective Cycle model will be employed to examine three distinct areas: th</w:t>
      </w:r>
      <w:r>
        <w:t>e generation of ideas, my acquired knowledge, and reflections on the learning process. The application of Gibbs Reflective Cycle to these three areas aims to illustrate, clarify, impart meaning, and reflect on the research conducted, transforming it into a</w:t>
      </w:r>
      <w:r>
        <w:t xml:space="preserve"> reflective format.</w:t>
      </w:r>
    </w:p>
    <w:p w14:paraId="00000054" w14:textId="77777777" w:rsidR="001A1DE2" w:rsidRDefault="00883705">
      <w:pPr>
        <w:pStyle w:val="Heading2"/>
      </w:pPr>
      <w:bookmarkStart w:id="3" w:name="_uuy52z8kdxz0" w:colFirst="0" w:colLast="0"/>
      <w:bookmarkEnd w:id="3"/>
      <w:r>
        <w:lastRenderedPageBreak/>
        <w:t>2.2 CREATION OF IDEA: IDENTIFYING THE PROBLEM / SETTING THE RESEARCH QUESTION</w:t>
      </w:r>
    </w:p>
    <w:p w14:paraId="00000055" w14:textId="77777777" w:rsidR="001A1DE2" w:rsidRDefault="00883705">
      <w:r>
        <w:t xml:space="preserve">In today's fast-paced lifestyle, characterised by hectic study and work routines, there is a growing tendency toward online shopping due to time constraints. </w:t>
      </w:r>
      <w:r>
        <w:t>This shift allows people to save time and enjoy the convenience of price comparison and exploring a varied range of products on various platforms (Tan et al., 2021).</w:t>
      </w:r>
    </w:p>
    <w:p w14:paraId="00000056" w14:textId="77777777" w:rsidR="001A1DE2" w:rsidRDefault="001A1DE2"/>
    <w:p w14:paraId="00000057" w14:textId="77777777" w:rsidR="001A1DE2" w:rsidRDefault="00883705">
      <w:r>
        <w:t>According to The Star, a Malaysian English newspaper, Grab's South-East Asia Food &amp; Groce</w:t>
      </w:r>
      <w:r>
        <w:t>ry Trends 2022 data showed a sustained demand for deliveries even post-lockdown. Between 2021 and 2022, Grab's total delivery sales observed a significant 24% increase, and 10 respondents acknowledged the permanence of deliveries in societal life, suggesti</w:t>
      </w:r>
      <w:r>
        <w:t>ng a continuing trend in 2023 (Durai, 2023).</w:t>
      </w:r>
    </w:p>
    <w:p w14:paraId="00000058" w14:textId="77777777" w:rsidR="001A1DE2" w:rsidRDefault="001A1DE2"/>
    <w:p w14:paraId="00000059" w14:textId="77777777" w:rsidR="001A1DE2" w:rsidRDefault="00883705">
      <w:r>
        <w:t>Looking forward, The Star foresees a dominant trend toward healthier eating in the food delivery sector. It forecast that two out of five consumers will opt for food delivery over dining out for social gatherin</w:t>
      </w:r>
      <w:r>
        <w:t>gs in 2023. Another noteworthy projection for 2023 is the rise in food delivery subscriptions, with one in three current users having a subscription plan (Durai, 2023).</w:t>
      </w:r>
    </w:p>
    <w:p w14:paraId="0000005A" w14:textId="77777777" w:rsidR="001A1DE2" w:rsidRDefault="001A1DE2"/>
    <w:p w14:paraId="0000005B" w14:textId="77777777" w:rsidR="001A1DE2" w:rsidRDefault="00883705">
      <w:r>
        <w:t>It originates from my own interest and observations based on personal experiences rega</w:t>
      </w:r>
      <w:r>
        <w:t>rding people surrounding me. Consumers and businesses were forced to adapt to use alternative ways as a means to continue buying and selling. For consumers, they are forced to change their lifestyle to live the “new norm” which led to the current lifestyle</w:t>
      </w:r>
      <w:r>
        <w:t xml:space="preserve">. </w:t>
      </w:r>
    </w:p>
    <w:p w14:paraId="0000005C" w14:textId="77777777" w:rsidR="001A1DE2" w:rsidRDefault="001A1DE2"/>
    <w:p w14:paraId="0000005D" w14:textId="77777777" w:rsidR="001A1DE2" w:rsidRDefault="00883705">
      <w:r>
        <w:t>Nowadays, people are searching for convenience due to how things or services work during pandemic times. That is why businesses now are operating their business both offline and online as a way to attend to consumers ' needs. Numerous businesses had to</w:t>
      </w:r>
      <w:r>
        <w:t xml:space="preserve"> adjust to unfamiliar circumstances, looking for alternative methods to be able to deliver products to consumers. Consequently, online delivery services rise up as the solution, turning it into a prevailing trend.</w:t>
      </w:r>
    </w:p>
    <w:p w14:paraId="0000005E" w14:textId="77777777" w:rsidR="001A1DE2" w:rsidRDefault="001A1DE2"/>
    <w:p w14:paraId="0000005F" w14:textId="77777777" w:rsidR="001A1DE2" w:rsidRDefault="00883705">
      <w:r>
        <w:t>I do not think it was difficult to create</w:t>
      </w:r>
      <w:r>
        <w:t xml:space="preserve"> and pinpoint the research question this time around. Previously it was hard because I do not know how to make it not too narrow and not too general. </w:t>
      </w:r>
      <w:r>
        <w:lastRenderedPageBreak/>
        <w:t xml:space="preserve">This time, due to previous experience, led me to know how to come up with new research questions. </w:t>
      </w:r>
    </w:p>
    <w:p w14:paraId="00000060" w14:textId="77777777" w:rsidR="001A1DE2" w:rsidRDefault="001A1DE2"/>
    <w:p w14:paraId="00000061" w14:textId="77777777" w:rsidR="001A1DE2" w:rsidRDefault="00883705">
      <w:r>
        <w:t>Howeve</w:t>
      </w:r>
      <w:r>
        <w:t>r, I might say it is a bit difficult or a challenge to find a similar research question to the previous work I had done. But, with the help of a little more research and reading, guided me to create the research question.</w:t>
      </w:r>
    </w:p>
    <w:p w14:paraId="00000062" w14:textId="77777777" w:rsidR="001A1DE2" w:rsidRDefault="00883705">
      <w:pPr>
        <w:spacing w:before="240" w:after="240"/>
      </w:pPr>
      <w:r>
        <w:t>I may say that literature regardin</w:t>
      </w:r>
      <w:r>
        <w:t xml:space="preserve">g the topic of ‘post-pandemic’ and ‘food delivery services/platforms/apps’ and so on, is kind of similar to each other but still has its significant differences between all of the research done. </w:t>
      </w:r>
    </w:p>
    <w:p w14:paraId="00000063" w14:textId="77777777" w:rsidR="001A1DE2" w:rsidRDefault="00883705">
      <w:pPr>
        <w:spacing w:before="240" w:after="240"/>
      </w:pPr>
      <w:r>
        <w:t>For my research, there is plenty of literature found which h</w:t>
      </w:r>
      <w:r>
        <w:t>elped me to set the flow of my research based on the existing literature found. However, I do wish there are more research papers done by other authors for this particular topic of interest to help further contribute and research to be done.</w:t>
      </w:r>
    </w:p>
    <w:p w14:paraId="00000064" w14:textId="77777777" w:rsidR="001A1DE2" w:rsidRDefault="00883705">
      <w:r>
        <w:br w:type="page"/>
      </w:r>
    </w:p>
    <w:p w14:paraId="00000065" w14:textId="77777777" w:rsidR="001A1DE2" w:rsidRDefault="00883705">
      <w:pPr>
        <w:pStyle w:val="Heading2"/>
      </w:pPr>
      <w:bookmarkStart w:id="4" w:name="_cm16b3jkxvwo" w:colFirst="0" w:colLast="0"/>
      <w:bookmarkEnd w:id="4"/>
      <w:r>
        <w:lastRenderedPageBreak/>
        <w:t>2.3 WHAT HAV</w:t>
      </w:r>
      <w:r>
        <w:t>E I LEARNED</w:t>
      </w:r>
    </w:p>
    <w:p w14:paraId="00000066" w14:textId="77777777" w:rsidR="001A1DE2" w:rsidRDefault="00883705">
      <w:pPr>
        <w:pStyle w:val="Heading3"/>
        <w:rPr>
          <w:color w:val="000000"/>
        </w:rPr>
      </w:pPr>
      <w:bookmarkStart w:id="5" w:name="_qz1wlnbbzkft" w:colFirst="0" w:colLast="0"/>
      <w:bookmarkEnd w:id="5"/>
      <w:r>
        <w:rPr>
          <w:color w:val="000000"/>
        </w:rPr>
        <w:t>2.3.1 DEDUCTIVE, INDUCTIVE, ABDUCTIVE REASONING AND QUALITATIVE AND QUANTITATIVE METHODS</w:t>
      </w:r>
    </w:p>
    <w:p w14:paraId="00000067" w14:textId="77777777" w:rsidR="001A1DE2" w:rsidRDefault="00883705">
      <w:pPr>
        <w:spacing w:before="240" w:after="240"/>
      </w:pPr>
      <w:r>
        <w:t>In research, there are different ways to study things, and two common approaches are qualitative and quantitative methods. Each has its own strengths and s</w:t>
      </w:r>
      <w:r>
        <w:t>tyle. Quantitative research intends to understand things broadly by using value-neutral processes, big groups of people, controlled, and focusing on numbers. However, some opinions say it may oversimplify things by relying only on numbers and could overloo</w:t>
      </w:r>
      <w:r>
        <w:t>k details about the feelings or emotion people really felt (</w:t>
      </w:r>
      <w:r>
        <w:rPr>
          <w:i/>
        </w:rPr>
        <w:t>Mapping mixed methods research: Methods, measures, and meaning,</w:t>
      </w:r>
      <w:r>
        <w:t xml:space="preserve"> n.d.). </w:t>
      </w:r>
    </w:p>
    <w:p w14:paraId="00000068" w14:textId="77777777" w:rsidR="001A1DE2" w:rsidRDefault="00883705">
      <w:pPr>
        <w:spacing w:before="240" w:after="240"/>
      </w:pPr>
      <w:r>
        <w:t>On the other hand, qualitative research is all about exploring individual experiences. It wants to really understand the wor</w:t>
      </w:r>
      <w:r>
        <w:t>ld by attending closely to personal stories and exploring the subject extensively. But some critics argue that qualitative research findings could benefit from a more comprehensive analysis (</w:t>
      </w:r>
      <w:r>
        <w:rPr>
          <w:i/>
        </w:rPr>
        <w:t>Mapping mixed methods research: Methods, measures, and meaning,</w:t>
      </w:r>
      <w:r>
        <w:t xml:space="preserve"> n</w:t>
      </w:r>
      <w:r>
        <w:t>.d.).</w:t>
      </w:r>
    </w:p>
    <w:p w14:paraId="00000069" w14:textId="77777777" w:rsidR="001A1DE2" w:rsidRDefault="00883705">
      <w:pPr>
        <w:spacing w:before="240" w:after="240"/>
      </w:pPr>
      <w:r>
        <w:t>Now, there is a third method called mixed-methods research, which merges both qualitative and quantitative approaches. This method uses a mix of numbers and personal experiences and values the expertise of researchers. It is like trying to get the be</w:t>
      </w:r>
      <w:r>
        <w:t>st of both methods, allowing for a more comprehensive and flexible exploration. This approach encourages testing ideas both in practice and in theory, aiming to provide a further understanding of the research topic (</w:t>
      </w:r>
      <w:r>
        <w:rPr>
          <w:i/>
        </w:rPr>
        <w:t>Mapping mixed methods research: Methods,</w:t>
      </w:r>
      <w:r>
        <w:rPr>
          <w:i/>
        </w:rPr>
        <w:t xml:space="preserve"> measures, and meaning,</w:t>
      </w:r>
      <w:r>
        <w:t xml:space="preserve"> n.d.).</w:t>
      </w:r>
    </w:p>
    <w:p w14:paraId="0000006A" w14:textId="77777777" w:rsidR="001A1DE2" w:rsidRDefault="00883705">
      <w:pPr>
        <w:spacing w:before="240" w:after="240"/>
      </w:pPr>
      <w:r>
        <w:t>So, in a nutshell, quantitative methods focus on numbers for a wide perspective, qualitative methods immerse into personal experiences for depth, and mixed-methods research tries to balance both to get a more complete picture</w:t>
      </w:r>
      <w:r>
        <w:t>. Each approach has its unique strengths, and the decision depends on what you aim to discover in your research (</w:t>
      </w:r>
      <w:r>
        <w:rPr>
          <w:i/>
        </w:rPr>
        <w:t>Mapping mixed methods research: Methods, measures, and meaning,</w:t>
      </w:r>
      <w:r>
        <w:t xml:space="preserve"> n.d.).</w:t>
      </w:r>
    </w:p>
    <w:p w14:paraId="0000006B" w14:textId="77777777" w:rsidR="001A1DE2" w:rsidRDefault="00883705">
      <w:pPr>
        <w:spacing w:before="240" w:after="240"/>
      </w:pPr>
      <w:r>
        <w:br w:type="page"/>
      </w:r>
    </w:p>
    <w:p w14:paraId="0000006C" w14:textId="77777777" w:rsidR="001A1DE2" w:rsidRDefault="00883705">
      <w:pPr>
        <w:spacing w:before="240" w:after="240"/>
      </w:pPr>
      <w:r>
        <w:lastRenderedPageBreak/>
        <w:t>Deduction is the process of forming conclusions based on universally accepted facts or statements, where the truth of the conclusion is guaranteed by the truth of the premises. It involves extracting conclusions by reasoning from universal premises or gene</w:t>
      </w:r>
      <w:r>
        <w:t xml:space="preserve">ral (Merriam-Webster, n.d.). </w:t>
      </w:r>
    </w:p>
    <w:p w14:paraId="0000006D" w14:textId="77777777" w:rsidR="001A1DE2" w:rsidRDefault="00883705">
      <w:pPr>
        <w:spacing w:before="240" w:after="240"/>
      </w:pPr>
      <w:r>
        <w:t>Whereas induction is a method of reasoning that involves a degree of probability, forming generalisations from specific observations or instances. Abduction, the third method, is a logical argument where the major premise is t</w:t>
      </w:r>
      <w:r>
        <w:t xml:space="preserve">he evident, but the minor premise and, therefore, the conclusion are only probable (Merriam-Webster, n.d.). </w:t>
      </w:r>
    </w:p>
    <w:p w14:paraId="0000006E" w14:textId="77777777" w:rsidR="001A1DE2" w:rsidRDefault="00883705">
      <w:pPr>
        <w:spacing w:before="240" w:after="240"/>
      </w:pPr>
      <w:r>
        <w:t>To distinguish these methods, you can think about their Latin roots: deduction (means leading from generally accepted facts), induction (means lead</w:t>
      </w:r>
      <w:r>
        <w:t>ing to generalisations), and abduction (means leading away, taking the best explanation) (Merriam-Webster, n.d.).</w:t>
      </w:r>
    </w:p>
    <w:p w14:paraId="0000006F" w14:textId="77777777" w:rsidR="001A1DE2" w:rsidRDefault="00883705">
      <w:pPr>
        <w:spacing w:before="240" w:after="240"/>
      </w:pPr>
      <w:r>
        <w:t>Though there are weaknesses in using quantitative methods paired with deductive approach, I believe due to the research focus on getting numer</w:t>
      </w:r>
      <w:r>
        <w:t xml:space="preserve">ical or statistical data results, it would be the perfect method and approach to be implemented in the research. It may be lacking in certain areas to get the genuine feelings or emotions from the participants, need to remind you that the focus outcome of </w:t>
      </w:r>
      <w:r>
        <w:t xml:space="preserve">the research is to get statistical data results, which is why I went with quantitative instead. </w:t>
      </w:r>
    </w:p>
    <w:p w14:paraId="00000070" w14:textId="77777777" w:rsidR="001A1DE2" w:rsidRDefault="00883705">
      <w:pPr>
        <w:spacing w:before="240" w:after="240"/>
      </w:pPr>
      <w:r>
        <w:t>For deductive approach, the research flow is set to view things from general to specific perspectives. It is what best fits this situation of my research. This</w:t>
      </w:r>
      <w:r>
        <w:t xml:space="preserve"> method used due to the research findings and reference are based on existing theories, research done by authors for this specific topic of interest. This is why the deductive approach is chosen to be used for the research.</w:t>
      </w:r>
    </w:p>
    <w:p w14:paraId="00000071" w14:textId="77777777" w:rsidR="001A1DE2" w:rsidRDefault="00883705">
      <w:pPr>
        <w:spacing w:before="240" w:after="240"/>
      </w:pPr>
      <w:r>
        <w:br w:type="page"/>
      </w:r>
    </w:p>
    <w:p w14:paraId="00000072" w14:textId="77777777" w:rsidR="001A1DE2" w:rsidRDefault="00883705">
      <w:pPr>
        <w:pStyle w:val="Heading3"/>
      </w:pPr>
      <w:bookmarkStart w:id="6" w:name="_xa6m0gr3rcag" w:colFirst="0" w:colLast="0"/>
      <w:bookmarkEnd w:id="6"/>
      <w:r>
        <w:rPr>
          <w:color w:val="000000"/>
        </w:rPr>
        <w:lastRenderedPageBreak/>
        <w:t>2.3.2 QUESTIONNAIRE</w:t>
      </w:r>
    </w:p>
    <w:p w14:paraId="00000073" w14:textId="77777777" w:rsidR="001A1DE2" w:rsidRDefault="00883705">
      <w:pPr>
        <w:spacing w:before="240" w:after="240"/>
      </w:pPr>
      <w:r>
        <w:t>In a resea</w:t>
      </w:r>
      <w:r>
        <w:t>rch survey, a questionnaire is used by the researcher to gather information from participants to address the research inquiries. Using a questionnaire is an extremely convenient approach to collect data from a substantial number of individuals within a spe</w:t>
      </w:r>
      <w:r>
        <w:t xml:space="preserve">cified timeframe (Jenn, 2006). </w:t>
      </w:r>
    </w:p>
    <w:p w14:paraId="00000074" w14:textId="77777777" w:rsidR="001A1DE2" w:rsidRDefault="00883705">
      <w:pPr>
        <w:spacing w:before="240" w:after="240"/>
      </w:pPr>
      <w:r>
        <w:t xml:space="preserve">Therefore, it is important to design the questionnaire carefully to ensure the data collection is accurate, making the results both applicable and interpretable. A poorly designed questionnaire can lead to outcomes that are </w:t>
      </w:r>
      <w:r>
        <w:t>difficult to interpret, or worse, may lead to inaccurate conclusions (Jenn, 2006).</w:t>
      </w:r>
    </w:p>
    <w:p w14:paraId="00000075" w14:textId="73B60057" w:rsidR="001A1DE2" w:rsidRDefault="00883705">
      <w:pPr>
        <w:spacing w:before="240" w:after="240"/>
      </w:pPr>
      <w:r>
        <w:t xml:space="preserve">Surveys can take various forms, such as telephone interviews, internet surveys, postal </w:t>
      </w:r>
      <w:r w:rsidR="00EA27C2">
        <w:t>surveys, and</w:t>
      </w:r>
      <w:r>
        <w:t xml:space="preserve"> face-to-face interviews. Each type of survey requires a slightly differe</w:t>
      </w:r>
      <w:r>
        <w:t xml:space="preserve">nt design. For questionnaires that are self-administered like postal surveys, avoiding complex filtering, transparency in questions and instructions, and a logical order are crucial (Jenn, 2006). </w:t>
      </w:r>
    </w:p>
    <w:p w14:paraId="00000076" w14:textId="77777777" w:rsidR="001A1DE2" w:rsidRDefault="00883705">
      <w:pPr>
        <w:spacing w:before="240" w:after="240"/>
      </w:pPr>
      <w:r>
        <w:t>This ensures that participants are more likely to supply tr</w:t>
      </w:r>
      <w:r>
        <w:t>uthful answers without being influenced by an interviewer. In contrast, interviewer-administered questionnaires, like telephone interviews or face-to-face, might include more complex questions as interviewers can clarify them. However, the presence of an i</w:t>
      </w:r>
      <w:r>
        <w:t>nterviewer might exert pressure on participants to give socially acceptable rather than truthful answers (Jenn, 2006).</w:t>
      </w:r>
    </w:p>
    <w:p w14:paraId="00000077" w14:textId="77777777" w:rsidR="001A1DE2" w:rsidRDefault="00883705">
      <w:pPr>
        <w:spacing w:before="240" w:after="240"/>
      </w:pPr>
      <w:r>
        <w:t>To say I did enjoy the process of distributing the questionnaires to relevant participants of this research. As for the responses from th</w:t>
      </w:r>
      <w:r>
        <w:t>e survey questionnaire I did, yes, it actually contains effective and useful responses gained from the participants. At first, I did not expect to have fully functioning responses from participants due to time restriction, but I would say all of the answer</w:t>
      </w:r>
      <w:r>
        <w:t>s are useful for me to answer research areas.</w:t>
      </w:r>
    </w:p>
    <w:p w14:paraId="00000078" w14:textId="77777777" w:rsidR="001A1DE2" w:rsidRDefault="00883705">
      <w:pPr>
        <w:spacing w:before="240" w:after="240"/>
      </w:pPr>
      <w:r>
        <w:t>The questionnaire did tell me on areas I wanted to know more about and surprisingly it fits well with the literature review I found. It was helping me to further answer the ‘Task 2’ where I provide participants</w:t>
      </w:r>
      <w:r>
        <w:t xml:space="preserve">' responses to be linked to literature review. For example, I was able to provide a pie chart to represent the questionnaire responses appropriately and support it with literature review under ‘Task 2’. </w:t>
      </w:r>
      <w:r>
        <w:br w:type="page"/>
      </w:r>
    </w:p>
    <w:p w14:paraId="00000079" w14:textId="77777777" w:rsidR="001A1DE2" w:rsidRDefault="00883705">
      <w:pPr>
        <w:pStyle w:val="Heading3"/>
      </w:pPr>
      <w:bookmarkStart w:id="7" w:name="_80n7q0djogl6" w:colFirst="0" w:colLast="0"/>
      <w:bookmarkEnd w:id="7"/>
      <w:r>
        <w:rPr>
          <w:color w:val="000000"/>
        </w:rPr>
        <w:lastRenderedPageBreak/>
        <w:t>2.3.3 SECONDARY RESEARCH</w:t>
      </w:r>
    </w:p>
    <w:p w14:paraId="0000007A" w14:textId="77777777" w:rsidR="001A1DE2" w:rsidRDefault="00883705">
      <w:pPr>
        <w:spacing w:before="240" w:after="240"/>
      </w:pPr>
      <w:r>
        <w:t xml:space="preserve">In basic terms, secondary </w:t>
      </w:r>
      <w:r>
        <w:t>data is information not collected by the author but rather analysed from data gathered by other people. It includes data collected previously that is adapted for new inquiries. When using secondary data, it is recommended to depend on trustworthy internati</w:t>
      </w:r>
      <w:r>
        <w:t xml:space="preserve">onal and governmental agencies, ensuring reliability through common sense and a literature review (Martins et al., 2018). </w:t>
      </w:r>
    </w:p>
    <w:p w14:paraId="0000007B" w14:textId="77777777" w:rsidR="001A1DE2" w:rsidRDefault="00883705">
      <w:pPr>
        <w:spacing w:before="240" w:after="240"/>
      </w:pPr>
      <w:r>
        <w:t xml:space="preserve">Moreover, alertness is necessary to recognize changes in data collection mechanisms or formulas that could impact the interpretation </w:t>
      </w:r>
      <w:r>
        <w:t>or significance of findings, especially in tests like time series analysis and panel data (Martins et al., 2018).</w:t>
      </w:r>
    </w:p>
    <w:p w14:paraId="0000007C" w14:textId="77777777" w:rsidR="001A1DE2" w:rsidRDefault="00883705">
      <w:pPr>
        <w:spacing w:before="240" w:after="240"/>
      </w:pPr>
      <w:r>
        <w:t>Scholarly journals stand out as valuable sources for secondary data analysis, presenting information originating from original research conduc</w:t>
      </w:r>
      <w:r>
        <w:t>ted by experts in specific fields. In addition to journals, other sources such as trade journals, technical reports, and reference books    contribute to the secondary data available to be analysed (Chivaka, 2018).</w:t>
      </w:r>
    </w:p>
    <w:p w14:paraId="0000007D" w14:textId="77777777" w:rsidR="001A1DE2" w:rsidRDefault="00883705">
      <w:pPr>
        <w:spacing w:before="240" w:after="240"/>
      </w:pPr>
      <w:r>
        <w:t>Truthfully, in my own opinion, the satisf</w:t>
      </w:r>
      <w:r>
        <w:t>action of getting a list of literature reviews or secondary research generally was neutral. This is because comparing some literature in Google Scholar was quite similar, which at a point, I could only pick either one. Besides that, some literature reviews</w:t>
      </w:r>
      <w:r>
        <w:t xml:space="preserve"> have a good explanation and excellent writing for its research but it was not really relevant to the topic I want to write/research on.</w:t>
      </w:r>
    </w:p>
    <w:p w14:paraId="0000007E" w14:textId="77777777" w:rsidR="001A1DE2" w:rsidRDefault="00883705">
      <w:pPr>
        <w:spacing w:before="240" w:after="240"/>
      </w:pPr>
      <w:r>
        <w:t>However, there are actually plenty of available sources that can be found on ‘UM Library’ and ‘Google Scholar’ websites</w:t>
      </w:r>
      <w:r>
        <w:t xml:space="preserve">. I was able to find literature that goes the same direction towards my topic of interest. I got plenty of good literature to take on and apply it into Task 1 and Task 2, respectively. </w:t>
      </w:r>
    </w:p>
    <w:p w14:paraId="0000007F" w14:textId="77777777" w:rsidR="001A1DE2" w:rsidRDefault="00883705">
      <w:pPr>
        <w:spacing w:before="240" w:after="240"/>
      </w:pPr>
      <w:r>
        <w:t>The findings for secondary research do provide reliable sources to make it as reference when doing the research and to support findings responses from questionnaires. It was a bit hard, not going to lie, but spending a bit of time to find out how I can imp</w:t>
      </w:r>
      <w:r>
        <w:t>lement or apply it to my research was worth the effort. By comparing my previous work and looking at how researchers do their work have helped me to search and look for relevant sources and what can be taken to be put into the research.</w:t>
      </w:r>
      <w:r>
        <w:br w:type="page"/>
      </w:r>
    </w:p>
    <w:p w14:paraId="00000080" w14:textId="77777777" w:rsidR="001A1DE2" w:rsidRDefault="00883705">
      <w:pPr>
        <w:pStyle w:val="Heading3"/>
        <w:rPr>
          <w:color w:val="000000"/>
        </w:rPr>
      </w:pPr>
      <w:bookmarkStart w:id="8" w:name="_f74n2j2tio7e" w:colFirst="0" w:colLast="0"/>
      <w:bookmarkEnd w:id="8"/>
      <w:r>
        <w:lastRenderedPageBreak/>
        <w:t>2.3.4 ELEVATOR PIT</w:t>
      </w:r>
      <w:r>
        <w:t>CH</w:t>
      </w:r>
    </w:p>
    <w:p w14:paraId="00000081" w14:textId="77777777" w:rsidR="001A1DE2" w:rsidRDefault="00883705">
      <w:pPr>
        <w:spacing w:before="240" w:after="240"/>
      </w:pPr>
      <w:r>
        <w:t>I actually felt I did improve in certain areas compared to the last time. This time I gave the lecturer the original time duration of the elevator pitch presentation video. However, I must say I did go overboard with the time limit which only required 3</w:t>
      </w:r>
      <w:r>
        <w:t xml:space="preserve"> minutes. But, did I perform better than previously? I think I did show some improvement, although I really have to work on dividing my time explaining throughout the presentation.</w:t>
      </w:r>
    </w:p>
    <w:p w14:paraId="00000082" w14:textId="77777777" w:rsidR="001A1DE2" w:rsidRDefault="00883705">
      <w:pPr>
        <w:spacing w:before="240" w:after="240"/>
      </w:pPr>
      <w:r>
        <w:t xml:space="preserve">This time I tried to convey a more professional way of explaining and take </w:t>
      </w:r>
      <w:r>
        <w:t xml:space="preserve">time to make the lecturer understand my research areas and the presentation, as the last time I could not do so. However, I received the feedback well and will keep improving till I get better at presenting and watch my timing to not go overboard. </w:t>
      </w:r>
    </w:p>
    <w:p w14:paraId="00000083" w14:textId="77777777" w:rsidR="001A1DE2" w:rsidRDefault="00883705">
      <w:pPr>
        <w:spacing w:before="240" w:after="240"/>
      </w:pPr>
      <w:r>
        <w:t>The fee</w:t>
      </w:r>
      <w:r>
        <w:t>dback received was that the slides were nice and clear, and consistently approached in a professional manner during presentation. Based on the feedback there are certain areas I needed to improve on such as to smoothen my vocal flow throughout due to an ev</w:t>
      </w:r>
      <w:r>
        <w:t xml:space="preserve">ident lack of confidence in areas and apparently it showed. The next time I will gain confidence to voice out and not show nervousness, although I am. </w:t>
      </w:r>
    </w:p>
    <w:p w14:paraId="00000084" w14:textId="77777777" w:rsidR="001A1DE2" w:rsidRDefault="00883705">
      <w:pPr>
        <w:spacing w:before="240" w:after="240"/>
      </w:pPr>
      <w:r>
        <w:t>Also from the feedback, I will remember to catch people's attention by giving ‘the hook’ at the beginnin</w:t>
      </w:r>
      <w:r>
        <w:t xml:space="preserve">g of the presentation to lure people to have an interest in my presentation. I take the feedback well and will come back better than today. </w:t>
      </w:r>
    </w:p>
    <w:p w14:paraId="00000085" w14:textId="77777777" w:rsidR="001A1DE2" w:rsidRDefault="00883705">
      <w:pPr>
        <w:spacing w:before="240" w:after="240"/>
      </w:pPr>
      <w:r>
        <w:t>How I approached this elevator pitch was by comparing what I lacked in the previous presentation. I think I did imp</w:t>
      </w:r>
      <w:r>
        <w:t xml:space="preserve">rove in certain areas, but of course, there are areas I should have done better this time but I will show in my next presentation to the lecturer. </w:t>
      </w:r>
    </w:p>
    <w:p w14:paraId="00000086" w14:textId="77777777" w:rsidR="001A1DE2" w:rsidRDefault="00883705">
      <w:pPr>
        <w:spacing w:before="240" w:after="240"/>
      </w:pPr>
      <w:r>
        <w:t xml:space="preserve">I do take my time to record the elevator pitch, however, I face some difficulties to explain smoothly which </w:t>
      </w:r>
      <w:r>
        <w:t>I do try to improve on. I felt it was just ‘okay’ and after sending the video to obtain feedback, I felt I could have done much better and record again until it is perfect.</w:t>
      </w:r>
    </w:p>
    <w:p w14:paraId="00000087" w14:textId="77777777" w:rsidR="001A1DE2" w:rsidRDefault="00883705">
      <w:pPr>
        <w:spacing w:before="240" w:after="240"/>
      </w:pPr>
      <w:r>
        <w:br w:type="page"/>
      </w:r>
    </w:p>
    <w:p w14:paraId="00000088" w14:textId="77777777" w:rsidR="001A1DE2" w:rsidRDefault="00883705">
      <w:pPr>
        <w:spacing w:before="240" w:after="240"/>
      </w:pPr>
      <w:r>
        <w:lastRenderedPageBreak/>
        <w:t>I learned that I should keep recording till I am satisfied to avoid mistakes. However, I will keep in mind to do that in the future. I also learned to gain more knowledge before presenting as a way to prevent non-smoothness when presenting. I learned to al</w:t>
      </w:r>
      <w:r>
        <w:t xml:space="preserve">ways be aware of the time to not exceed the time limit and discipline myself more on this matter. </w:t>
      </w:r>
      <w:r>
        <w:br w:type="page"/>
      </w:r>
    </w:p>
    <w:p w14:paraId="00000089" w14:textId="77777777" w:rsidR="001A1DE2" w:rsidRDefault="00883705">
      <w:pPr>
        <w:pStyle w:val="Heading3"/>
        <w:spacing w:before="240" w:after="240"/>
      </w:pPr>
      <w:bookmarkStart w:id="9" w:name="_wq49e66kidao" w:colFirst="0" w:colLast="0"/>
      <w:bookmarkEnd w:id="9"/>
      <w:r>
        <w:lastRenderedPageBreak/>
        <w:t>2.3.5 POSTER</w:t>
      </w:r>
    </w:p>
    <w:p w14:paraId="0000008A" w14:textId="77777777" w:rsidR="001A1DE2" w:rsidRDefault="00883705">
      <w:r>
        <w:t>As always, posters are a fun and interactive element for this assignment. I love the process and one of my favourite things to do overall. This</w:t>
      </w:r>
      <w:r>
        <w:t xml:space="preserve"> is because it involves putting creative ideas to design the poster because we get to play around with effects, colouring, patterns, design and so on. I actually enjoyed doing so. </w:t>
      </w:r>
    </w:p>
    <w:p w14:paraId="0000008B" w14:textId="77777777" w:rsidR="001A1DE2" w:rsidRDefault="001A1DE2"/>
    <w:p w14:paraId="0000008C" w14:textId="77777777" w:rsidR="001A1DE2" w:rsidRDefault="00883705">
      <w:r>
        <w:t>What I like is picking out the template to fit in the research theme. Howe</w:t>
      </w:r>
      <w:r>
        <w:t>ver, it is recommended to do a poster to fit the theme of ‘academic poster’ where it includes the highlights of research elements and not so much on freestyle design approach. Compared to what I have done before, it involves animations, pictures and videos</w:t>
      </w:r>
      <w:r>
        <w:t xml:space="preserve">, using elements from different templates to make the poster feel alive and vibrant to attract people to read. </w:t>
      </w:r>
    </w:p>
    <w:p w14:paraId="0000008D" w14:textId="77777777" w:rsidR="001A1DE2" w:rsidRDefault="001A1DE2"/>
    <w:p w14:paraId="0000008E" w14:textId="77777777" w:rsidR="001A1DE2" w:rsidRDefault="00883705">
      <w:r>
        <w:t>In this assignment, I got to experience how it feels to do a poster that the main theme is the content itself and not so much on its design aro</w:t>
      </w:r>
      <w:r>
        <w:t xml:space="preserve">und it. It is understandable that I need to follow the guidelines set, however, minimal design is included to not make it look dull and lose people interest to read. </w:t>
      </w:r>
    </w:p>
    <w:p w14:paraId="0000008F" w14:textId="77777777" w:rsidR="001A1DE2" w:rsidRDefault="001A1DE2"/>
    <w:p w14:paraId="00000090" w14:textId="77777777" w:rsidR="001A1DE2" w:rsidRDefault="00883705">
      <w:r>
        <w:t>What I did not enjoy is the limitation to include more design, pictures, or animations o</w:t>
      </w:r>
      <w:r>
        <w:t>nto the poster. Reminder, the instructions asked me to do a neat looking poster based on academic poster design with highlights of the overall research to be included there.</w:t>
      </w:r>
    </w:p>
    <w:p w14:paraId="00000091" w14:textId="77777777" w:rsidR="001A1DE2" w:rsidRDefault="001A1DE2"/>
    <w:p w14:paraId="00000092" w14:textId="07506DCC" w:rsidR="001A1DE2" w:rsidRDefault="00883705">
      <w:r>
        <w:t>It was a hard process to shorten the words but still contains all of the informat</w:t>
      </w:r>
      <w:r>
        <w:t xml:space="preserve">ion too. It took me some time to be able to come up with the correct words to be put in a sentence to fit in the poster. </w:t>
      </w:r>
      <w:r w:rsidR="00EA27C2">
        <w:t>But</w:t>
      </w:r>
      <w:r>
        <w:t xml:space="preserve"> it was a fun journey learning to do things I do not usually do and learning something such as minimal design will help people to f</w:t>
      </w:r>
      <w:r>
        <w:t xml:space="preserve">ocus more on the content, minimal words let people to not lose interest reading the poster, and what we highlighted in the poster represent how good of a poster we produce. </w:t>
      </w:r>
      <w:r>
        <w:br w:type="page"/>
      </w:r>
    </w:p>
    <w:p w14:paraId="00000093" w14:textId="77777777" w:rsidR="001A1DE2" w:rsidRDefault="00883705">
      <w:r>
        <w:lastRenderedPageBreak/>
        <w:t>What can be improved from this experience making a poster is to be more strategic</w:t>
      </w:r>
      <w:r>
        <w:t xml:space="preserve"> in aligning the order of the content to be more readable and be more well-put. Probably pick a design that has a flow so it will help to strategize the alignment of each content place so it is easy for people to follow the flow. </w:t>
      </w:r>
    </w:p>
    <w:p w14:paraId="00000094" w14:textId="77777777" w:rsidR="001A1DE2" w:rsidRDefault="001A1DE2"/>
    <w:p w14:paraId="00000095" w14:textId="77777777" w:rsidR="001A1DE2" w:rsidRDefault="00883705">
      <w:r>
        <w:t xml:space="preserve">My action plan would be </w:t>
      </w:r>
      <w:r>
        <w:t>to plan out the placement of each content so it will be easier to design or pick a template based on it. What I have done is pick a template and then fill it with highlight information. To show professionalism, I need to improve on picking a design that is</w:t>
      </w:r>
      <w:r>
        <w:t xml:space="preserve"> not too vibrant but still contains the neat look as a way to help people be focused on the content itself and be happy reading it without feeling frustration. </w:t>
      </w:r>
    </w:p>
    <w:p w14:paraId="00000096" w14:textId="77777777" w:rsidR="001A1DE2" w:rsidRDefault="001A1DE2"/>
    <w:p w14:paraId="00000097" w14:textId="77777777" w:rsidR="001A1DE2" w:rsidRDefault="00883705">
      <w:r>
        <w:t>I could include examples respectively to help the content to be understandable and readable. I</w:t>
      </w:r>
      <w:r>
        <w:t xml:space="preserve"> also think I could get opinions from people that are familiar with designing posters in a way I could express my content properly this time around.</w:t>
      </w:r>
    </w:p>
    <w:p w14:paraId="00000098" w14:textId="77777777" w:rsidR="001A1DE2" w:rsidRDefault="00883705">
      <w:r>
        <w:br w:type="page"/>
      </w:r>
    </w:p>
    <w:p w14:paraId="00000099" w14:textId="77777777" w:rsidR="001A1DE2" w:rsidRDefault="00883705">
      <w:pPr>
        <w:pStyle w:val="Heading2"/>
      </w:pPr>
      <w:bookmarkStart w:id="10" w:name="_gpmdndfmiyd8" w:colFirst="0" w:colLast="0"/>
      <w:bookmarkEnd w:id="10"/>
      <w:r>
        <w:lastRenderedPageBreak/>
        <w:t>2.4 REFLECTING ON LEARNING</w:t>
      </w:r>
    </w:p>
    <w:p w14:paraId="0000009A" w14:textId="77777777" w:rsidR="001A1DE2" w:rsidRDefault="00883705">
      <w:r>
        <w:t>I learned to be patient in searching for reliable sources for information to r</w:t>
      </w:r>
      <w:r>
        <w:t>eference used for research. It is known that doing research takes up a lot of time and effort, especially when I am not yet familiar with the research process. As time goes by, I improve in my skills of searching relevant academic sources that can be found</w:t>
      </w:r>
      <w:r>
        <w:t xml:space="preserve"> on the internet, although I still lack in certain areas, due in time, I will further improve my search skills to help myself in the working life later on especially if the work needed research skills. </w:t>
      </w:r>
    </w:p>
    <w:p w14:paraId="0000009B" w14:textId="77777777" w:rsidR="001A1DE2" w:rsidRDefault="001A1DE2"/>
    <w:p w14:paraId="0000009C" w14:textId="77777777" w:rsidR="001A1DE2" w:rsidRDefault="00883705">
      <w:r>
        <w:t>Research indicates that the essential skill for acad</w:t>
      </w:r>
      <w:r>
        <w:t>emic paper writing is the ability to locate pertinent sources and references. In the contemporary era, numerous online sources are accessible, posing a challenge in discerning the relevant, high-quality, and dependable ones for research (Topalov &amp; Radić-Bo</w:t>
      </w:r>
      <w:r>
        <w:t xml:space="preserve">janić, 2013). </w:t>
      </w:r>
    </w:p>
    <w:p w14:paraId="0000009D" w14:textId="77777777" w:rsidR="001A1DE2" w:rsidRDefault="001A1DE2"/>
    <w:p w14:paraId="0000009E" w14:textId="77777777" w:rsidR="001A1DE2" w:rsidRDefault="00883705">
      <w:r>
        <w:t>In working environments, writing skills are important. Through this research I learned most if not all of the necessary skills to write a research paper. As a novice, there is a considerable amount for me to grasp in developing research ski</w:t>
      </w:r>
      <w:r>
        <w:t>lls, beginning with the identification of essential sources. Subsequently, I aim to effectively utilise these sources and apply the acquired knowledge to academic tasks such as presentations and project papers. I think it would be helpful in my future work</w:t>
      </w:r>
      <w:r>
        <w:t xml:space="preserve">ing career because of this experience. </w:t>
      </w:r>
    </w:p>
    <w:p w14:paraId="0000009F" w14:textId="77777777" w:rsidR="001A1DE2" w:rsidRDefault="001A1DE2"/>
    <w:p w14:paraId="000000A0" w14:textId="77777777" w:rsidR="001A1DE2" w:rsidRDefault="00883705">
      <w:r>
        <w:t>To accomplish this, I must engage in thorough preparation and research, focusing on the correct utilisation of obtained information. The challenge lies in the fact that students typically lack access to academic pra</w:t>
      </w:r>
      <w:r>
        <w:t>ctice and do not possess enough exposure to academic fields to critically evaluate the information at hand. Therefore, mastering skills in academic research becomes a crucial and overarching aspect of my educational journey as a student.</w:t>
      </w:r>
    </w:p>
    <w:p w14:paraId="000000A1" w14:textId="77777777" w:rsidR="001A1DE2" w:rsidRDefault="001A1DE2"/>
    <w:p w14:paraId="000000A2" w14:textId="77777777" w:rsidR="001A1DE2" w:rsidRDefault="00883705">
      <w:r>
        <w:t>The research jour</w:t>
      </w:r>
      <w:r>
        <w:t xml:space="preserve">ney not only elevated my technical skills but also helped me grow personally. Figuring out how to plan thoroughly, juggle time efficiently, and handle unexpected challenges added to a more well-rounded development. </w:t>
      </w:r>
    </w:p>
    <w:p w14:paraId="000000A3" w14:textId="77777777" w:rsidR="001A1DE2" w:rsidRDefault="001A1DE2"/>
    <w:p w14:paraId="000000A4" w14:textId="77777777" w:rsidR="001A1DE2" w:rsidRDefault="00883705">
      <w:r>
        <w:br w:type="page"/>
      </w:r>
    </w:p>
    <w:p w14:paraId="000000A5" w14:textId="77777777" w:rsidR="001A1DE2" w:rsidRDefault="00883705">
      <w:r>
        <w:lastRenderedPageBreak/>
        <w:t xml:space="preserve">Connecting with the research community, whether distributing questionnaires or seeking advice from academic sources, gave a sense of purpose and connection. The joy of contributing to broader academic discussions through surveys was especially fulfilling. </w:t>
      </w:r>
      <w:r>
        <w:t xml:space="preserve">This research journey has been a mix of experiences, challenges, and achievements. </w:t>
      </w:r>
    </w:p>
    <w:p w14:paraId="000000A6" w14:textId="77777777" w:rsidR="001A1DE2" w:rsidRDefault="001A1DE2"/>
    <w:p w14:paraId="000000A7" w14:textId="77777777" w:rsidR="001A1DE2" w:rsidRDefault="00883705">
      <w:r>
        <w:t>The skills I have sharpened, lessons I have learned, and personal growth I have experienced during this journey set the path for more exploration in the dynamic world of a</w:t>
      </w:r>
      <w:r>
        <w:t>cademia. The journey not only prepared me with tools but also infused a curiosity and resilience important for navigating the ever-evolving research landscape.</w:t>
      </w:r>
    </w:p>
    <w:p w14:paraId="000000A8" w14:textId="77777777" w:rsidR="001A1DE2" w:rsidRDefault="001A1DE2"/>
    <w:p w14:paraId="000000A9" w14:textId="77777777" w:rsidR="001A1DE2" w:rsidRDefault="00883705">
      <w:r>
        <w:t>I enjoy the process of distributing questionnaires and feel significant in research. Gaining in</w:t>
      </w:r>
      <w:r>
        <w:t>sights from classes on effective assignment approaches is beneficial for future projects. However, I do not enjoy generating questions for the questionnaire because it is challenging, with some provided questions not aligning with my research focus at firs</w:t>
      </w:r>
      <w:r>
        <w:t>t and having to take extra steps in order to get the right questions. Reading academic papers offers some questions, but the process remains difficult. Having more relevant questions related to the research title could improve it. Overall, obtaining suitab</w:t>
      </w:r>
      <w:r>
        <w:t>le questions has been challenging.</w:t>
      </w:r>
    </w:p>
    <w:p w14:paraId="000000AA" w14:textId="77777777" w:rsidR="001A1DE2" w:rsidRDefault="001A1DE2"/>
    <w:p w14:paraId="000000AB" w14:textId="77777777" w:rsidR="001A1DE2" w:rsidRDefault="00883705">
      <w:r>
        <w:t>In the HR domain, effective communication is key, and the skill gained in interacting with diverse populations through surveys seamlessly aligns with HR practices. The skills developed, such as problem-solving, adaptabil</w:t>
      </w:r>
      <w:r>
        <w:t xml:space="preserve">ity, and project management are crucial in the HR landscape. </w:t>
      </w:r>
    </w:p>
    <w:p w14:paraId="000000AC" w14:textId="77777777" w:rsidR="001A1DE2" w:rsidRDefault="001A1DE2"/>
    <w:p w14:paraId="000000AD" w14:textId="77777777" w:rsidR="001A1DE2" w:rsidRDefault="00883705">
      <w:r>
        <w:t>As a university student, this research journey is a cornerstone for my future exploration, not limited to academia alone but extending into the realm of Human Resources. The challenges confront</w:t>
      </w:r>
      <w:r>
        <w:t>ed during this journey are not just hurdles but stepping stones motivating me towards future endeavours, making this experience essential to both my professional and academic growth.</w:t>
      </w:r>
    </w:p>
    <w:p w14:paraId="000000AE" w14:textId="77777777" w:rsidR="001A1DE2" w:rsidRDefault="00883705">
      <w:r>
        <w:br w:type="page"/>
      </w:r>
    </w:p>
    <w:p w14:paraId="000000AF" w14:textId="77777777" w:rsidR="001A1DE2" w:rsidRDefault="00883705">
      <w:pPr>
        <w:pStyle w:val="Heading1"/>
      </w:pPr>
      <w:bookmarkStart w:id="11" w:name="_re178bcea2bp" w:colFirst="0" w:colLast="0"/>
      <w:bookmarkEnd w:id="11"/>
      <w:r>
        <w:lastRenderedPageBreak/>
        <w:t>3.0 CONCLUSION</w:t>
      </w:r>
    </w:p>
    <w:p w14:paraId="000000B0" w14:textId="77777777" w:rsidR="001A1DE2" w:rsidRDefault="00883705">
      <w:r>
        <w:t>In summary, the research journey on "Post-COVID-19 adapt</w:t>
      </w:r>
      <w:r>
        <w:t>ive behaviours and consumer intentions for online food delivery platforms" has been a transformative experience. It explored into the dynamics of Online Food Delivery (OFD) services during the pandemic, uncovering shifts in consumer behaviour and the signi</w:t>
      </w:r>
      <w:r>
        <w:t>ficance of continuance intention.</w:t>
      </w:r>
    </w:p>
    <w:p w14:paraId="000000B1" w14:textId="77777777" w:rsidR="001A1DE2" w:rsidRDefault="001A1DE2"/>
    <w:p w14:paraId="000000B2" w14:textId="77777777" w:rsidR="001A1DE2" w:rsidRDefault="00883705">
      <w:r>
        <w:t>The use of Gibbs' Reflective Cycle facilitated structured self-reflection, emphasising the role of emotions in the research process. Regardless of acknowledged limitations in capturing emotions, the deductive approach and</w:t>
      </w:r>
      <w:r>
        <w:t xml:space="preserve"> quantitative methods were chosen to align with the research's statistical data focus.</w:t>
      </w:r>
    </w:p>
    <w:p w14:paraId="000000B3" w14:textId="77777777" w:rsidR="001A1DE2" w:rsidRDefault="001A1DE2"/>
    <w:p w14:paraId="000000B4" w14:textId="77777777" w:rsidR="001A1DE2" w:rsidRDefault="00883705">
      <w:r>
        <w:t>The design and distribution of questionnaires provided challenging yet rewarding understanding into consumer perspectives. Secondary data analysis from scholarly journa</w:t>
      </w:r>
      <w:r>
        <w:t>ls added depth, though limited new literature caused a challenge.</w:t>
      </w:r>
    </w:p>
    <w:p w14:paraId="000000B5" w14:textId="77777777" w:rsidR="001A1DE2" w:rsidRDefault="001A1DE2"/>
    <w:p w14:paraId="000000B6" w14:textId="77777777" w:rsidR="001A1DE2" w:rsidRDefault="00883705">
      <w:r>
        <w:t>Improvements were shown in research question formulation, elevator pitch clarity, and academic poster design. Persistent challenges, like finding similar content and relevant literature, we</w:t>
      </w:r>
      <w:r>
        <w:t>re addressed through additional research efforts.</w:t>
      </w:r>
    </w:p>
    <w:p w14:paraId="000000B7" w14:textId="77777777" w:rsidR="001A1DE2" w:rsidRDefault="001A1DE2"/>
    <w:p w14:paraId="000000B8" w14:textId="77777777" w:rsidR="001A1DE2" w:rsidRDefault="00883705">
      <w:r>
        <w:t>The research journey not only improves technical skills but also encourages personal growth, highlighting effective communication, adaptability, and project management. These skills are relevant beyond aca</w:t>
      </w:r>
      <w:r>
        <w:t>demia, especially in the Human Resources domain.</w:t>
      </w:r>
    </w:p>
    <w:p w14:paraId="000000B9" w14:textId="77777777" w:rsidR="001A1DE2" w:rsidRDefault="001A1DE2"/>
    <w:p w14:paraId="000000BA" w14:textId="77777777" w:rsidR="001A1DE2" w:rsidRDefault="00883705">
      <w:r>
        <w:t>As the journey concludes, the lessons learned and skills acquired form a strong foundation for future endeavours in both the professional and academic world. Steering the complex research landscape with res</w:t>
      </w:r>
      <w:r>
        <w:t>ilience and curiosity has shaped me to be a well-rounded researcher prepared for future challenges.</w:t>
      </w:r>
    </w:p>
    <w:p w14:paraId="000000BB" w14:textId="77777777" w:rsidR="001A1DE2" w:rsidRDefault="00883705">
      <w:r>
        <w:br w:type="page"/>
      </w:r>
    </w:p>
    <w:p w14:paraId="000000BC" w14:textId="77777777" w:rsidR="001A1DE2" w:rsidRDefault="00883705">
      <w:pPr>
        <w:pStyle w:val="Heading1"/>
        <w:rPr>
          <w:b w:val="0"/>
        </w:rPr>
      </w:pPr>
      <w:bookmarkStart w:id="12" w:name="_f2k62424d0rm" w:colFirst="0" w:colLast="0"/>
      <w:bookmarkEnd w:id="12"/>
      <w:r>
        <w:lastRenderedPageBreak/>
        <w:t>REFERENCES</w:t>
      </w:r>
    </w:p>
    <w:p w14:paraId="000000BD" w14:textId="77777777" w:rsidR="001A1DE2" w:rsidRDefault="00883705">
      <w:r>
        <w:rPr>
          <w:b/>
        </w:rPr>
        <w:t>1.0 INTRODUCTION</w:t>
      </w:r>
    </w:p>
    <w:p w14:paraId="000000BE" w14:textId="77777777" w:rsidR="001A1DE2" w:rsidRDefault="00883705">
      <w:pPr>
        <w:numPr>
          <w:ilvl w:val="0"/>
          <w:numId w:val="10"/>
        </w:numPr>
        <w:spacing w:before="240"/>
      </w:pPr>
      <w:r>
        <w:t xml:space="preserve">Das, M., &amp; Ramalingam, M. (2022). What drives product involvement and satisfaction with ofds amid COVID-19? </w:t>
      </w:r>
      <w:r>
        <w:rPr>
          <w:i/>
        </w:rPr>
        <w:t>Journal of Retaili</w:t>
      </w:r>
      <w:r>
        <w:rPr>
          <w:i/>
        </w:rPr>
        <w:t>ng and Consumer Services</w:t>
      </w:r>
      <w:r>
        <w:t xml:space="preserve">, </w:t>
      </w:r>
      <w:r>
        <w:rPr>
          <w:i/>
        </w:rPr>
        <w:t>68</w:t>
      </w:r>
      <w:r>
        <w:t xml:space="preserve">, 103063. Retrieved from https://doi.org/10.1016/j.jretconser.2022.103063 </w:t>
      </w:r>
    </w:p>
    <w:p w14:paraId="000000BF" w14:textId="77777777" w:rsidR="001A1DE2" w:rsidRDefault="00883705">
      <w:pPr>
        <w:numPr>
          <w:ilvl w:val="0"/>
          <w:numId w:val="10"/>
        </w:numPr>
      </w:pPr>
      <w:r>
        <w:t xml:space="preserve">Mohamad, M., Tasnim, R., &amp; Ya’kob, S. A. (2023). Continued use of Food Delivery Applications (fdas) post covid-19 in Malaysia: Barriers and growth. </w:t>
      </w:r>
      <w:r>
        <w:rPr>
          <w:i/>
        </w:rPr>
        <w:t>Environment-Behaviour Proceedings Journal</w:t>
      </w:r>
      <w:r>
        <w:t xml:space="preserve">, </w:t>
      </w:r>
      <w:r>
        <w:rPr>
          <w:i/>
        </w:rPr>
        <w:t>8</w:t>
      </w:r>
      <w:r>
        <w:t>(SI15), 19–24. Retrieved from https://doi.org/10.21834/e-bpj.v8i</w:t>
      </w:r>
      <w:r>
        <w:t xml:space="preserve">si15.5095 </w:t>
      </w:r>
    </w:p>
    <w:p w14:paraId="000000C0" w14:textId="77777777" w:rsidR="001A1DE2" w:rsidRDefault="00883705">
      <w:pPr>
        <w:numPr>
          <w:ilvl w:val="0"/>
          <w:numId w:val="10"/>
        </w:numPr>
        <w:spacing w:after="240"/>
      </w:pPr>
      <w:r>
        <w:t xml:space="preserve">Yap, C. P., &amp; Lee, W. O. (2023). Factors influencing continuance intention to adopt online food delivery services among millennials during the covid-19 pandemic. </w:t>
      </w:r>
      <w:r>
        <w:rPr>
          <w:i/>
        </w:rPr>
        <w:t>Proceedings of the 10th International Conference on Business, Accounting, Finance a</w:t>
      </w:r>
      <w:r>
        <w:rPr>
          <w:i/>
        </w:rPr>
        <w:t>nd Economics (BAFE 2022)</w:t>
      </w:r>
      <w:r>
        <w:t xml:space="preserve">, 47–65. Retrieved from https://doi.org/10.2991/978-2-494069-99-2_6 </w:t>
      </w:r>
    </w:p>
    <w:p w14:paraId="000000C1" w14:textId="77777777" w:rsidR="001A1DE2" w:rsidRDefault="00883705">
      <w:pPr>
        <w:rPr>
          <w:b/>
        </w:rPr>
      </w:pPr>
      <w:r>
        <w:rPr>
          <w:b/>
        </w:rPr>
        <w:t>2.1 INTRODUCTION OF GIBBS REFLECTIVE CYCLE</w:t>
      </w:r>
    </w:p>
    <w:p w14:paraId="000000C2" w14:textId="77777777" w:rsidR="001A1DE2" w:rsidRDefault="00883705">
      <w:pPr>
        <w:numPr>
          <w:ilvl w:val="0"/>
          <w:numId w:val="8"/>
        </w:numPr>
        <w:spacing w:before="240"/>
      </w:pPr>
      <w:r>
        <w:t xml:space="preserve">Galli, F., &amp; New, C. J. (2022). Gibbs’ Cycle Review. emotions as a part of the cycle. </w:t>
      </w:r>
      <w:r>
        <w:rPr>
          <w:i/>
        </w:rPr>
        <w:t>E-Motion: Revista de Educación, Mo</w:t>
      </w:r>
      <w:r>
        <w:rPr>
          <w:i/>
        </w:rPr>
        <w:t>tricidad e Investigación</w:t>
      </w:r>
      <w:r>
        <w:t xml:space="preserve">, (19). Retrieved from https://doi.org/10.33776/remo.vi19.7224 </w:t>
      </w:r>
    </w:p>
    <w:p w14:paraId="000000C3" w14:textId="77777777" w:rsidR="001A1DE2" w:rsidRDefault="00883705">
      <w:pPr>
        <w:numPr>
          <w:ilvl w:val="0"/>
          <w:numId w:val="8"/>
        </w:numPr>
        <w:spacing w:after="240"/>
      </w:pPr>
      <w:r>
        <w:rPr>
          <w:i/>
        </w:rPr>
        <w:t>Libguides: Reflective Practice Toolkit: Models of Reflection</w:t>
      </w:r>
      <w:r>
        <w:t>. Models of reflection - Reflective Practice Toolkit - LibGuides at University of Cambridge Subject Librarie</w:t>
      </w:r>
      <w:r>
        <w:t xml:space="preserve">s. (n.d.). Retrieved from https://libguides.cam.ac.uk/reflectivepracticetoolkit/models </w:t>
      </w:r>
    </w:p>
    <w:p w14:paraId="000000C4" w14:textId="77777777" w:rsidR="001A1DE2" w:rsidRDefault="00883705">
      <w:pPr>
        <w:rPr>
          <w:b/>
        </w:rPr>
      </w:pPr>
      <w:r>
        <w:br w:type="page"/>
      </w:r>
    </w:p>
    <w:p w14:paraId="000000C5" w14:textId="77777777" w:rsidR="001A1DE2" w:rsidRDefault="00883705">
      <w:r>
        <w:rPr>
          <w:b/>
        </w:rPr>
        <w:lastRenderedPageBreak/>
        <w:t>2.2 CREATION OF IDEA</w:t>
      </w:r>
    </w:p>
    <w:p w14:paraId="000000C6" w14:textId="77777777" w:rsidR="001A1DE2" w:rsidRDefault="00883705">
      <w:pPr>
        <w:numPr>
          <w:ilvl w:val="0"/>
          <w:numId w:val="9"/>
        </w:numPr>
        <w:spacing w:before="240"/>
      </w:pPr>
      <w:r>
        <w:t xml:space="preserve">Durai, A. (2023). </w:t>
      </w:r>
      <w:r>
        <w:rPr>
          <w:i/>
        </w:rPr>
        <w:t>2023 food trends: Food delivery will continue to rise in Malaysia</w:t>
      </w:r>
      <w:r>
        <w:t>. The Star. Retrieved from https://www.thestar.com.my/lifestyl</w:t>
      </w:r>
      <w:r>
        <w:t xml:space="preserve">e/living/2023/01/10/2023-food-trends-food-delivery-will-continue-to-rise-in-malaysia </w:t>
      </w:r>
    </w:p>
    <w:p w14:paraId="000000C7" w14:textId="77777777" w:rsidR="001A1DE2" w:rsidRDefault="00883705">
      <w:pPr>
        <w:numPr>
          <w:ilvl w:val="0"/>
          <w:numId w:val="9"/>
        </w:numPr>
        <w:spacing w:after="240"/>
      </w:pPr>
      <w:r>
        <w:t xml:space="preserve">Tan, S. Y., et al. (2021). Online food delivery services: Cross-sectional study of consumers’ attitude in Malaysia during and after the COVID-19 pandemic. </w:t>
      </w:r>
      <w:r>
        <w:rPr>
          <w:i/>
        </w:rPr>
        <w:t>F1000Research</w:t>
      </w:r>
      <w:r>
        <w:t xml:space="preserve">, </w:t>
      </w:r>
      <w:r>
        <w:rPr>
          <w:i/>
        </w:rPr>
        <w:t>10</w:t>
      </w:r>
      <w:r>
        <w:t>, 972. Retrieved from https://doi.org/10.12688/f1000research.73014.1</w:t>
      </w:r>
    </w:p>
    <w:p w14:paraId="000000C8" w14:textId="77777777" w:rsidR="001A1DE2" w:rsidRDefault="00883705">
      <w:r>
        <w:rPr>
          <w:b/>
        </w:rPr>
        <w:t>2.3 WHAT HAVE I LEARNED</w:t>
      </w:r>
    </w:p>
    <w:p w14:paraId="000000C9" w14:textId="79A3D3EB" w:rsidR="001A1DE2" w:rsidRDefault="00883705">
      <w:pPr>
        <w:numPr>
          <w:ilvl w:val="0"/>
          <w:numId w:val="7"/>
        </w:numPr>
        <w:spacing w:before="240"/>
      </w:pPr>
      <w:r>
        <w:t xml:space="preserve">Chivaka, R. (2018). </w:t>
      </w:r>
      <w:r>
        <w:rPr>
          <w:i/>
        </w:rPr>
        <w:t xml:space="preserve">secondary data </w:t>
      </w:r>
      <w:r w:rsidR="00EA27C2">
        <w:rPr>
          <w:i/>
        </w:rPr>
        <w:t>analysis.</w:t>
      </w:r>
      <w:r>
        <w:t xml:space="preserve"> </w:t>
      </w:r>
      <w:r w:rsidR="00EA27C2">
        <w:t>ResearchGate</w:t>
      </w:r>
      <w:r>
        <w:t xml:space="preserve">. Retrieved from https://www.researchgate.net/publication/327060808_secondary_data_analysis </w:t>
      </w:r>
    </w:p>
    <w:p w14:paraId="000000CA" w14:textId="04B4451A" w:rsidR="001A1DE2" w:rsidRDefault="00883705">
      <w:pPr>
        <w:numPr>
          <w:ilvl w:val="0"/>
          <w:numId w:val="7"/>
        </w:numPr>
      </w:pPr>
      <w:r>
        <w:t>Jenn N. C.</w:t>
      </w:r>
      <w:r>
        <w:t xml:space="preserve"> (2006). Designing A Questionnaire. Malaysian family </w:t>
      </w:r>
      <w:r w:rsidR="00EA27C2">
        <w:t>physician:</w:t>
      </w:r>
      <w:r>
        <w:t xml:space="preserve"> the official journal of the Academy of Family Physicians of Malaysia, 1(1), 32–35. Retrieved from https://www.ncbi.nlm.nih.gov/pmc/articles/PMC4797036/</w:t>
      </w:r>
    </w:p>
    <w:p w14:paraId="000000CB" w14:textId="77777777" w:rsidR="001A1DE2" w:rsidRDefault="00883705">
      <w:pPr>
        <w:numPr>
          <w:ilvl w:val="0"/>
          <w:numId w:val="7"/>
        </w:numPr>
      </w:pPr>
      <w:r>
        <w:t>Mapping mixed methods research: Methods</w:t>
      </w:r>
      <w:r>
        <w:t>, measures, and meaning. (n.d.). Retrieved from https://journals.sagepub.com/doi/10.1177/1558689809358755</w:t>
      </w:r>
    </w:p>
    <w:p w14:paraId="000000CC" w14:textId="77777777" w:rsidR="001A1DE2" w:rsidRDefault="00883705">
      <w:pPr>
        <w:numPr>
          <w:ilvl w:val="0"/>
          <w:numId w:val="7"/>
        </w:numPr>
      </w:pPr>
      <w:r>
        <w:t xml:space="preserve">Martins, F. S., Cunha, J. A., &amp; Serra, F. A. (2018). Secondary data in research – uses and opportunities. </w:t>
      </w:r>
      <w:r>
        <w:rPr>
          <w:i/>
        </w:rPr>
        <w:t>Revista Ibero-Americana de Estratégia</w:t>
      </w:r>
      <w:r>
        <w:t xml:space="preserve">, </w:t>
      </w:r>
      <w:r>
        <w:rPr>
          <w:i/>
        </w:rPr>
        <w:t>17</w:t>
      </w:r>
      <w:r>
        <w:t>(04</w:t>
      </w:r>
      <w:r>
        <w:t xml:space="preserve">), 01–04. Retrieved from https://doi.org/10.5585/ijsm.v17i4.2723 </w:t>
      </w:r>
    </w:p>
    <w:p w14:paraId="000000CD" w14:textId="77777777" w:rsidR="001A1DE2" w:rsidRDefault="00883705">
      <w:pPr>
        <w:numPr>
          <w:ilvl w:val="0"/>
          <w:numId w:val="7"/>
        </w:numPr>
        <w:spacing w:after="240"/>
      </w:pPr>
      <w:r>
        <w:t xml:space="preserve">Merriam-Webster. (n.d.). </w:t>
      </w:r>
      <w:r>
        <w:rPr>
          <w:i/>
        </w:rPr>
        <w:t>Inductive vs. deductive vs. Abductive Reasoning</w:t>
      </w:r>
      <w:r>
        <w:t>. Merriam-Webster. Retrieved from https://www.merriam-webster.com/grammar/deduction-vs-induction-vs-abduction</w:t>
      </w:r>
    </w:p>
    <w:p w14:paraId="000000CE" w14:textId="77777777" w:rsidR="001A1DE2" w:rsidRDefault="001A1DE2">
      <w:pPr>
        <w:ind w:left="720"/>
        <w:rPr>
          <w:b/>
        </w:rPr>
      </w:pPr>
    </w:p>
    <w:p w14:paraId="000000CF" w14:textId="77777777" w:rsidR="001A1DE2" w:rsidRDefault="00883705">
      <w:r>
        <w:rPr>
          <w:b/>
        </w:rPr>
        <w:t>2.4 REF</w:t>
      </w:r>
      <w:r>
        <w:rPr>
          <w:b/>
        </w:rPr>
        <w:t>LECTING ON LEARNING</w:t>
      </w:r>
    </w:p>
    <w:p w14:paraId="000000D0" w14:textId="77777777" w:rsidR="001A1DE2" w:rsidRDefault="00883705">
      <w:pPr>
        <w:numPr>
          <w:ilvl w:val="0"/>
          <w:numId w:val="11"/>
        </w:numPr>
        <w:spacing w:before="240" w:after="240"/>
      </w:pPr>
      <w:r>
        <w:t xml:space="preserve">Topalov, J., &amp; Radić-Bojanić, B. (2013). Academic Research Skills of university students. </w:t>
      </w:r>
      <w:r>
        <w:rPr>
          <w:i/>
        </w:rPr>
        <w:t>Romanian Journal of English Studies</w:t>
      </w:r>
      <w:r>
        <w:t xml:space="preserve">, </w:t>
      </w:r>
      <w:r>
        <w:rPr>
          <w:i/>
        </w:rPr>
        <w:t>10</w:t>
      </w:r>
      <w:r>
        <w:t>(1), 145–152. Retrieved from https://doi.org/10.2478/rjes-2013-0012</w:t>
      </w:r>
      <w:r>
        <w:br w:type="page"/>
      </w:r>
    </w:p>
    <w:p w14:paraId="000000D1" w14:textId="77777777" w:rsidR="001A1DE2" w:rsidRDefault="00883705">
      <w:pPr>
        <w:pStyle w:val="Heading1"/>
        <w:rPr>
          <w:b w:val="0"/>
        </w:rPr>
      </w:pPr>
      <w:bookmarkStart w:id="13" w:name="_j4b17nvq87vv" w:colFirst="0" w:colLast="0"/>
      <w:bookmarkEnd w:id="13"/>
      <w:r>
        <w:lastRenderedPageBreak/>
        <w:t>APPENDIX</w:t>
      </w:r>
    </w:p>
    <w:p w14:paraId="000000D2" w14:textId="77777777" w:rsidR="001A1DE2" w:rsidRDefault="00883705">
      <w:pPr>
        <w:pStyle w:val="Heading2"/>
      </w:pPr>
      <w:bookmarkStart w:id="14" w:name="_es3vy3h6mns" w:colFirst="0" w:colLast="0"/>
      <w:bookmarkEnd w:id="14"/>
      <w:r>
        <w:t>ACTION PLAN:</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79"/>
        <w:gridCol w:w="6881"/>
      </w:tblGrid>
      <w:tr w:rsidR="001A1DE2" w14:paraId="0E3127D0" w14:textId="77777777">
        <w:trPr>
          <w:trHeight w:val="440"/>
        </w:trPr>
        <w:tc>
          <w:tcPr>
            <w:tcW w:w="2479" w:type="dxa"/>
            <w:shd w:val="clear" w:color="auto" w:fill="auto"/>
            <w:tcMar>
              <w:top w:w="100" w:type="dxa"/>
              <w:left w:w="100" w:type="dxa"/>
              <w:bottom w:w="100" w:type="dxa"/>
              <w:right w:w="100" w:type="dxa"/>
            </w:tcMar>
          </w:tcPr>
          <w:p w14:paraId="000000D3" w14:textId="77777777" w:rsidR="001A1DE2" w:rsidRDefault="001A1DE2">
            <w:pPr>
              <w:widowControl w:val="0"/>
              <w:spacing w:line="240" w:lineRule="auto"/>
              <w:jc w:val="left"/>
            </w:pPr>
          </w:p>
          <w:p w14:paraId="000000D4" w14:textId="77777777" w:rsidR="001A1DE2" w:rsidRDefault="001A1DE2">
            <w:pPr>
              <w:widowControl w:val="0"/>
              <w:spacing w:line="240" w:lineRule="auto"/>
              <w:jc w:val="left"/>
            </w:pPr>
          </w:p>
          <w:p w14:paraId="000000D5" w14:textId="77777777" w:rsidR="001A1DE2" w:rsidRDefault="001A1DE2">
            <w:pPr>
              <w:widowControl w:val="0"/>
              <w:spacing w:line="240" w:lineRule="auto"/>
              <w:jc w:val="left"/>
            </w:pPr>
          </w:p>
          <w:p w14:paraId="000000D6" w14:textId="77777777" w:rsidR="001A1DE2" w:rsidRDefault="001A1DE2">
            <w:pPr>
              <w:widowControl w:val="0"/>
              <w:spacing w:line="240" w:lineRule="auto"/>
              <w:jc w:val="left"/>
            </w:pPr>
          </w:p>
          <w:p w14:paraId="000000D7" w14:textId="77777777" w:rsidR="001A1DE2" w:rsidRDefault="001A1DE2">
            <w:pPr>
              <w:widowControl w:val="0"/>
              <w:spacing w:line="240" w:lineRule="auto"/>
              <w:jc w:val="left"/>
            </w:pPr>
          </w:p>
          <w:p w14:paraId="000000D8" w14:textId="77777777" w:rsidR="001A1DE2" w:rsidRDefault="001A1DE2">
            <w:pPr>
              <w:widowControl w:val="0"/>
              <w:spacing w:line="240" w:lineRule="auto"/>
              <w:jc w:val="left"/>
            </w:pPr>
          </w:p>
          <w:p w14:paraId="000000D9" w14:textId="77777777" w:rsidR="001A1DE2" w:rsidRDefault="001A1DE2">
            <w:pPr>
              <w:widowControl w:val="0"/>
              <w:spacing w:line="240" w:lineRule="auto"/>
              <w:jc w:val="left"/>
            </w:pPr>
          </w:p>
          <w:p w14:paraId="000000DA" w14:textId="77777777" w:rsidR="001A1DE2" w:rsidRDefault="001A1DE2">
            <w:pPr>
              <w:widowControl w:val="0"/>
              <w:spacing w:line="240" w:lineRule="auto"/>
              <w:jc w:val="left"/>
            </w:pPr>
          </w:p>
          <w:p w14:paraId="000000DB" w14:textId="77777777" w:rsidR="001A1DE2" w:rsidRDefault="001A1DE2">
            <w:pPr>
              <w:widowControl w:val="0"/>
              <w:spacing w:line="240" w:lineRule="auto"/>
              <w:jc w:val="left"/>
            </w:pPr>
          </w:p>
          <w:p w14:paraId="000000DC" w14:textId="77777777" w:rsidR="001A1DE2" w:rsidRDefault="001A1DE2">
            <w:pPr>
              <w:widowControl w:val="0"/>
              <w:spacing w:line="240" w:lineRule="auto"/>
              <w:jc w:val="left"/>
            </w:pPr>
          </w:p>
          <w:p w14:paraId="000000DD" w14:textId="77777777" w:rsidR="001A1DE2" w:rsidRDefault="001A1DE2">
            <w:pPr>
              <w:widowControl w:val="0"/>
              <w:spacing w:line="240" w:lineRule="auto"/>
              <w:jc w:val="left"/>
            </w:pPr>
          </w:p>
          <w:p w14:paraId="000000DE" w14:textId="77777777" w:rsidR="001A1DE2" w:rsidRDefault="00883705">
            <w:pPr>
              <w:widowControl w:val="0"/>
              <w:spacing w:line="240" w:lineRule="auto"/>
              <w:jc w:val="center"/>
            </w:pPr>
            <w:r>
              <w:t>What Have I Learned?</w:t>
            </w:r>
          </w:p>
        </w:tc>
        <w:tc>
          <w:tcPr>
            <w:tcW w:w="6880" w:type="dxa"/>
            <w:shd w:val="clear" w:color="auto" w:fill="auto"/>
            <w:tcMar>
              <w:top w:w="100" w:type="dxa"/>
              <w:left w:w="100" w:type="dxa"/>
              <w:bottom w:w="100" w:type="dxa"/>
              <w:right w:w="100" w:type="dxa"/>
            </w:tcMar>
          </w:tcPr>
          <w:p w14:paraId="000000DF" w14:textId="77777777" w:rsidR="001A1DE2" w:rsidRDefault="00883705">
            <w:pPr>
              <w:numPr>
                <w:ilvl w:val="0"/>
                <w:numId w:val="5"/>
              </w:numPr>
              <w:shd w:val="clear" w:color="auto" w:fill="FFFFFF"/>
            </w:pPr>
            <w:r>
              <w:t xml:space="preserve">I learned to have patience in the search of reliable sources to obtain information to be referenced for the research. Being patient helps to reach my aim and goal effectively and efficiently. </w:t>
            </w:r>
          </w:p>
          <w:p w14:paraId="000000E0" w14:textId="77777777" w:rsidR="001A1DE2" w:rsidRDefault="00883705">
            <w:pPr>
              <w:numPr>
                <w:ilvl w:val="0"/>
                <w:numId w:val="5"/>
              </w:numPr>
              <w:shd w:val="clear" w:color="auto" w:fill="FFFFFF"/>
            </w:pPr>
            <w:r>
              <w:t>Due to unfamiliarity, I had to put extra e</w:t>
            </w:r>
            <w:r>
              <w:t>ffort and time to conduct this research which is a challenge. But, with a little time to understand what needs to be done, I was able to somehow overcome it.</w:t>
            </w:r>
          </w:p>
          <w:p w14:paraId="000000E1" w14:textId="77777777" w:rsidR="001A1DE2" w:rsidRDefault="00883705">
            <w:pPr>
              <w:numPr>
                <w:ilvl w:val="0"/>
                <w:numId w:val="5"/>
              </w:numPr>
              <w:shd w:val="clear" w:color="auto" w:fill="FFFFFF"/>
            </w:pPr>
            <w:r>
              <w:t>There is an improvement in my searching skills compared to before. This time I found a lot more li</w:t>
            </w:r>
            <w:r>
              <w:t>terature than previously for academic sources on the internet. As sources are available online, not everything can be taken to apply to the research.</w:t>
            </w:r>
          </w:p>
          <w:p w14:paraId="000000E2" w14:textId="77777777" w:rsidR="001A1DE2" w:rsidRDefault="00883705">
            <w:pPr>
              <w:numPr>
                <w:ilvl w:val="0"/>
                <w:numId w:val="5"/>
              </w:numPr>
              <w:shd w:val="clear" w:color="auto" w:fill="FFFFFF"/>
            </w:pPr>
            <w:r>
              <w:t>As a novice, there are things I have to learn to grasp to develop my research skills. Effectively using th</w:t>
            </w:r>
            <w:r>
              <w:t xml:space="preserve">e correct sources and applying them will help in future presentations and project paper. </w:t>
            </w:r>
          </w:p>
        </w:tc>
      </w:tr>
      <w:tr w:rsidR="001A1DE2" w14:paraId="0ED1144F" w14:textId="77777777">
        <w:trPr>
          <w:trHeight w:val="440"/>
        </w:trPr>
        <w:tc>
          <w:tcPr>
            <w:tcW w:w="2479" w:type="dxa"/>
            <w:shd w:val="clear" w:color="auto" w:fill="auto"/>
            <w:tcMar>
              <w:top w:w="100" w:type="dxa"/>
              <w:left w:w="100" w:type="dxa"/>
              <w:bottom w:w="100" w:type="dxa"/>
              <w:right w:w="100" w:type="dxa"/>
            </w:tcMar>
          </w:tcPr>
          <w:p w14:paraId="000000E5" w14:textId="77777777" w:rsidR="001A1DE2" w:rsidRDefault="001A1DE2">
            <w:pPr>
              <w:widowControl w:val="0"/>
              <w:spacing w:line="240" w:lineRule="auto"/>
              <w:jc w:val="left"/>
            </w:pPr>
          </w:p>
          <w:p w14:paraId="000000E6" w14:textId="77777777" w:rsidR="001A1DE2" w:rsidRDefault="001A1DE2">
            <w:pPr>
              <w:widowControl w:val="0"/>
              <w:spacing w:line="240" w:lineRule="auto"/>
              <w:jc w:val="left"/>
            </w:pPr>
          </w:p>
          <w:p w14:paraId="000000E7" w14:textId="77777777" w:rsidR="001A1DE2" w:rsidRDefault="001A1DE2">
            <w:pPr>
              <w:widowControl w:val="0"/>
              <w:spacing w:line="240" w:lineRule="auto"/>
              <w:jc w:val="left"/>
            </w:pPr>
          </w:p>
          <w:p w14:paraId="000000E8" w14:textId="77777777" w:rsidR="001A1DE2" w:rsidRDefault="001A1DE2">
            <w:pPr>
              <w:widowControl w:val="0"/>
              <w:spacing w:line="240" w:lineRule="auto"/>
              <w:jc w:val="left"/>
            </w:pPr>
          </w:p>
          <w:p w14:paraId="000000E9" w14:textId="77777777" w:rsidR="001A1DE2" w:rsidRDefault="001A1DE2">
            <w:pPr>
              <w:widowControl w:val="0"/>
              <w:spacing w:line="240" w:lineRule="auto"/>
              <w:jc w:val="center"/>
            </w:pPr>
          </w:p>
          <w:p w14:paraId="000000EA" w14:textId="77777777" w:rsidR="001A1DE2" w:rsidRDefault="00883705">
            <w:pPr>
              <w:widowControl w:val="0"/>
              <w:spacing w:line="240" w:lineRule="auto"/>
              <w:jc w:val="center"/>
            </w:pPr>
            <w:r>
              <w:t>New Skills or Skills Have Developed?</w:t>
            </w:r>
          </w:p>
        </w:tc>
        <w:tc>
          <w:tcPr>
            <w:tcW w:w="6880" w:type="dxa"/>
            <w:shd w:val="clear" w:color="auto" w:fill="auto"/>
            <w:tcMar>
              <w:top w:w="100" w:type="dxa"/>
              <w:left w:w="100" w:type="dxa"/>
              <w:bottom w:w="100" w:type="dxa"/>
              <w:right w:w="100" w:type="dxa"/>
            </w:tcMar>
          </w:tcPr>
          <w:p w14:paraId="000000EB" w14:textId="77777777" w:rsidR="001A1DE2" w:rsidRDefault="00883705">
            <w:pPr>
              <w:numPr>
                <w:ilvl w:val="0"/>
                <w:numId w:val="12"/>
              </w:numPr>
              <w:shd w:val="clear" w:color="auto" w:fill="FFFFFF"/>
            </w:pPr>
            <w:r>
              <w:t xml:space="preserve">I acquire technical skills which contribute to my personal growth. </w:t>
            </w:r>
          </w:p>
          <w:p w14:paraId="000000EC" w14:textId="77777777" w:rsidR="001A1DE2" w:rsidRDefault="00883705">
            <w:pPr>
              <w:numPr>
                <w:ilvl w:val="0"/>
                <w:numId w:val="12"/>
              </w:numPr>
              <w:shd w:val="clear" w:color="auto" w:fill="FFFFFF"/>
            </w:pPr>
            <w:r>
              <w:t xml:space="preserve">Starting by planning things out carefully, efficiently dealing with time, and facing unexpected challenges will help me to develop a well-rounded development, useful for working life. </w:t>
            </w:r>
          </w:p>
          <w:p w14:paraId="000000ED" w14:textId="77777777" w:rsidR="001A1DE2" w:rsidRDefault="00883705">
            <w:pPr>
              <w:numPr>
                <w:ilvl w:val="0"/>
                <w:numId w:val="12"/>
              </w:numPr>
              <w:shd w:val="clear" w:color="auto" w:fill="FFFFFF"/>
            </w:pPr>
            <w:r>
              <w:t>I l</w:t>
            </w:r>
            <w:r>
              <w:t>earn how to engage with the preparation of the research by focusing on the right utilisation of information gained.</w:t>
            </w:r>
          </w:p>
          <w:p w14:paraId="000000EE" w14:textId="77777777" w:rsidR="001A1DE2" w:rsidRDefault="00883705">
            <w:pPr>
              <w:numPr>
                <w:ilvl w:val="0"/>
                <w:numId w:val="12"/>
              </w:numPr>
              <w:shd w:val="clear" w:color="auto" w:fill="FFFFFF"/>
            </w:pPr>
            <w:r>
              <w:t>Getting the proper access to academic practice helped me to get enough exposure to academic fields. I still am in the progress to master the</w:t>
            </w:r>
            <w:r>
              <w:t xml:space="preserve"> skill of conducting academic research which is a crucial element working in the HR field later on.</w:t>
            </w:r>
          </w:p>
          <w:p w14:paraId="000000EF" w14:textId="77777777" w:rsidR="001A1DE2" w:rsidRDefault="00883705">
            <w:pPr>
              <w:numPr>
                <w:ilvl w:val="0"/>
                <w:numId w:val="12"/>
              </w:numPr>
              <w:shd w:val="clear" w:color="auto" w:fill="FFFFFF"/>
            </w:pPr>
            <w:r>
              <w:lastRenderedPageBreak/>
              <w:t xml:space="preserve">I developed critical thinking and problem-solving skills. After facing problems that required me to deepen my reading skills, it helped me to apply changes </w:t>
            </w:r>
            <w:r>
              <w:t>respectively in the assignment.</w:t>
            </w:r>
          </w:p>
          <w:p w14:paraId="000000F0" w14:textId="77777777" w:rsidR="001A1DE2" w:rsidRDefault="00883705">
            <w:pPr>
              <w:numPr>
                <w:ilvl w:val="0"/>
                <w:numId w:val="12"/>
              </w:numPr>
              <w:shd w:val="clear" w:color="auto" w:fill="FFFFFF"/>
            </w:pPr>
            <w:r>
              <w:t>I learned the skill to produce something. For example, I was able to produce/conduct this research. It is a crucial thing to be taken to work life.</w:t>
            </w:r>
          </w:p>
        </w:tc>
      </w:tr>
      <w:tr w:rsidR="001A1DE2" w14:paraId="0604C197" w14:textId="77777777">
        <w:trPr>
          <w:trHeight w:val="440"/>
        </w:trPr>
        <w:tc>
          <w:tcPr>
            <w:tcW w:w="2479" w:type="dxa"/>
            <w:shd w:val="clear" w:color="auto" w:fill="auto"/>
            <w:tcMar>
              <w:top w:w="100" w:type="dxa"/>
              <w:left w:w="100" w:type="dxa"/>
              <w:bottom w:w="100" w:type="dxa"/>
              <w:right w:w="100" w:type="dxa"/>
            </w:tcMar>
          </w:tcPr>
          <w:p w14:paraId="000000F3" w14:textId="77777777" w:rsidR="001A1DE2" w:rsidRDefault="001A1DE2">
            <w:pPr>
              <w:widowControl w:val="0"/>
              <w:spacing w:line="240" w:lineRule="auto"/>
              <w:jc w:val="center"/>
            </w:pPr>
          </w:p>
          <w:p w14:paraId="000000F4" w14:textId="77777777" w:rsidR="001A1DE2" w:rsidRDefault="001A1DE2">
            <w:pPr>
              <w:widowControl w:val="0"/>
              <w:spacing w:line="240" w:lineRule="auto"/>
              <w:jc w:val="center"/>
            </w:pPr>
          </w:p>
          <w:p w14:paraId="000000F5" w14:textId="77777777" w:rsidR="001A1DE2" w:rsidRDefault="001A1DE2">
            <w:pPr>
              <w:widowControl w:val="0"/>
              <w:spacing w:line="240" w:lineRule="auto"/>
              <w:jc w:val="center"/>
            </w:pPr>
          </w:p>
          <w:p w14:paraId="000000F6" w14:textId="77777777" w:rsidR="001A1DE2" w:rsidRDefault="001A1DE2">
            <w:pPr>
              <w:widowControl w:val="0"/>
              <w:spacing w:line="240" w:lineRule="auto"/>
              <w:jc w:val="center"/>
            </w:pPr>
          </w:p>
          <w:p w14:paraId="000000F7" w14:textId="77777777" w:rsidR="001A1DE2" w:rsidRDefault="001A1DE2">
            <w:pPr>
              <w:widowControl w:val="0"/>
              <w:spacing w:line="240" w:lineRule="auto"/>
              <w:jc w:val="center"/>
            </w:pPr>
          </w:p>
          <w:p w14:paraId="000000F8" w14:textId="77777777" w:rsidR="001A1DE2" w:rsidRDefault="001A1DE2">
            <w:pPr>
              <w:widowControl w:val="0"/>
              <w:spacing w:line="240" w:lineRule="auto"/>
              <w:jc w:val="center"/>
            </w:pPr>
          </w:p>
          <w:p w14:paraId="000000F9" w14:textId="77777777" w:rsidR="001A1DE2" w:rsidRDefault="00883705">
            <w:pPr>
              <w:widowControl w:val="0"/>
              <w:spacing w:line="240" w:lineRule="auto"/>
              <w:jc w:val="center"/>
            </w:pPr>
            <w:r>
              <w:t>Knowledge and Understanding Gained?</w:t>
            </w:r>
          </w:p>
        </w:tc>
        <w:tc>
          <w:tcPr>
            <w:tcW w:w="6880" w:type="dxa"/>
            <w:shd w:val="clear" w:color="auto" w:fill="auto"/>
            <w:tcMar>
              <w:top w:w="100" w:type="dxa"/>
              <w:left w:w="100" w:type="dxa"/>
              <w:bottom w:w="100" w:type="dxa"/>
              <w:right w:w="100" w:type="dxa"/>
            </w:tcMar>
          </w:tcPr>
          <w:p w14:paraId="000000FA" w14:textId="77777777" w:rsidR="001A1DE2" w:rsidRDefault="00883705">
            <w:pPr>
              <w:widowControl w:val="0"/>
              <w:numPr>
                <w:ilvl w:val="0"/>
                <w:numId w:val="2"/>
              </w:numPr>
              <w:spacing w:line="240" w:lineRule="auto"/>
              <w:jc w:val="left"/>
            </w:pPr>
            <w:r>
              <w:t>I got to experience the difficulties of producing research as a researcher. I got to understand the process it needs in order to achieve an excellence outcome from a research conducted.</w:t>
            </w:r>
          </w:p>
          <w:p w14:paraId="000000FB" w14:textId="77777777" w:rsidR="001A1DE2" w:rsidRDefault="00883705">
            <w:pPr>
              <w:widowControl w:val="0"/>
              <w:numPr>
                <w:ilvl w:val="0"/>
                <w:numId w:val="2"/>
              </w:numPr>
              <w:spacing w:line="240" w:lineRule="auto"/>
              <w:jc w:val="left"/>
            </w:pPr>
            <w:r>
              <w:t>I understand the reason behind ref</w:t>
            </w:r>
            <w:r>
              <w:t>lecting back on my own progress conducting this research. I got to pinpoint my weaknesses and improve them, and strengthen my strengths.</w:t>
            </w:r>
          </w:p>
          <w:p w14:paraId="000000FC" w14:textId="77777777" w:rsidR="001A1DE2" w:rsidRDefault="00883705">
            <w:pPr>
              <w:widowControl w:val="0"/>
              <w:numPr>
                <w:ilvl w:val="0"/>
                <w:numId w:val="2"/>
              </w:numPr>
              <w:spacing w:line="240" w:lineRule="auto"/>
              <w:jc w:val="left"/>
            </w:pPr>
            <w:r>
              <w:t>As I do the research, I get to acquire new knowledge I am not aware about. It opens my eyes to not only see things as t</w:t>
            </w:r>
            <w:r>
              <w:t>hey are but also in other angles to gain more perspectives, as a way to broaden my view/knowledge/opinions/thoughts.</w:t>
            </w:r>
          </w:p>
          <w:p w14:paraId="000000FD" w14:textId="77777777" w:rsidR="001A1DE2" w:rsidRDefault="00883705">
            <w:pPr>
              <w:widowControl w:val="0"/>
              <w:numPr>
                <w:ilvl w:val="0"/>
                <w:numId w:val="2"/>
              </w:numPr>
              <w:spacing w:line="240" w:lineRule="auto"/>
              <w:jc w:val="left"/>
            </w:pPr>
            <w:r>
              <w:t>The second time doing this research, I got to improve myself and see the effort it takes to create a research. Although it is a small resea</w:t>
            </w:r>
            <w:r>
              <w:t>rch, it still takes time and effort to even finish it. In the future, I would take this matter seriously and not repeat the same mistake.</w:t>
            </w:r>
          </w:p>
        </w:tc>
      </w:tr>
      <w:tr w:rsidR="001A1DE2" w14:paraId="7F837BBE" w14:textId="77777777">
        <w:trPr>
          <w:trHeight w:val="440"/>
        </w:trPr>
        <w:tc>
          <w:tcPr>
            <w:tcW w:w="2479" w:type="dxa"/>
            <w:shd w:val="clear" w:color="auto" w:fill="auto"/>
            <w:tcMar>
              <w:top w:w="100" w:type="dxa"/>
              <w:left w:w="100" w:type="dxa"/>
              <w:bottom w:w="100" w:type="dxa"/>
              <w:right w:w="100" w:type="dxa"/>
            </w:tcMar>
          </w:tcPr>
          <w:p w14:paraId="00000100" w14:textId="77777777" w:rsidR="001A1DE2" w:rsidRDefault="001A1DE2">
            <w:pPr>
              <w:widowControl w:val="0"/>
              <w:spacing w:line="240" w:lineRule="auto"/>
              <w:jc w:val="center"/>
            </w:pPr>
          </w:p>
          <w:p w14:paraId="00000101" w14:textId="77777777" w:rsidR="001A1DE2" w:rsidRDefault="001A1DE2">
            <w:pPr>
              <w:widowControl w:val="0"/>
              <w:spacing w:line="240" w:lineRule="auto"/>
              <w:jc w:val="center"/>
            </w:pPr>
          </w:p>
          <w:p w14:paraId="00000102" w14:textId="77777777" w:rsidR="001A1DE2" w:rsidRDefault="001A1DE2">
            <w:pPr>
              <w:widowControl w:val="0"/>
              <w:spacing w:line="240" w:lineRule="auto"/>
              <w:jc w:val="left"/>
            </w:pPr>
          </w:p>
          <w:p w14:paraId="00000103" w14:textId="77777777" w:rsidR="001A1DE2" w:rsidRDefault="001A1DE2">
            <w:pPr>
              <w:widowControl w:val="0"/>
              <w:spacing w:line="240" w:lineRule="auto"/>
              <w:jc w:val="left"/>
            </w:pPr>
          </w:p>
          <w:p w14:paraId="00000104" w14:textId="77777777" w:rsidR="001A1DE2" w:rsidRDefault="001A1DE2">
            <w:pPr>
              <w:widowControl w:val="0"/>
              <w:spacing w:line="240" w:lineRule="auto"/>
              <w:jc w:val="left"/>
            </w:pPr>
          </w:p>
          <w:p w14:paraId="00000105" w14:textId="77777777" w:rsidR="001A1DE2" w:rsidRDefault="001A1DE2">
            <w:pPr>
              <w:widowControl w:val="0"/>
              <w:spacing w:line="240" w:lineRule="auto"/>
              <w:jc w:val="center"/>
            </w:pPr>
          </w:p>
          <w:p w14:paraId="00000106" w14:textId="77777777" w:rsidR="001A1DE2" w:rsidRDefault="00883705">
            <w:pPr>
              <w:widowControl w:val="0"/>
              <w:spacing w:line="240" w:lineRule="auto"/>
              <w:jc w:val="center"/>
            </w:pPr>
            <w:r>
              <w:t>What Did I Enjoy?</w:t>
            </w:r>
          </w:p>
        </w:tc>
        <w:tc>
          <w:tcPr>
            <w:tcW w:w="6880" w:type="dxa"/>
            <w:shd w:val="clear" w:color="auto" w:fill="auto"/>
            <w:tcMar>
              <w:top w:w="100" w:type="dxa"/>
              <w:left w:w="100" w:type="dxa"/>
              <w:bottom w:w="100" w:type="dxa"/>
              <w:right w:w="100" w:type="dxa"/>
            </w:tcMar>
          </w:tcPr>
          <w:p w14:paraId="00000107" w14:textId="77777777" w:rsidR="001A1DE2" w:rsidRDefault="00883705">
            <w:pPr>
              <w:numPr>
                <w:ilvl w:val="0"/>
                <w:numId w:val="3"/>
              </w:numPr>
              <w:shd w:val="clear" w:color="auto" w:fill="FFFFFF"/>
            </w:pPr>
            <w:r>
              <w:t xml:space="preserve">I enjoy the process of distributing questionnaires to relevant participants. </w:t>
            </w:r>
          </w:p>
          <w:p w14:paraId="00000108" w14:textId="77777777" w:rsidR="001A1DE2" w:rsidRDefault="00883705">
            <w:pPr>
              <w:numPr>
                <w:ilvl w:val="0"/>
                <w:numId w:val="3"/>
              </w:numPr>
              <w:shd w:val="clear" w:color="auto" w:fill="FFFFFF"/>
            </w:pPr>
            <w:r>
              <w:t>I got to have an engagement and interaction with other people to get them to participate in my research. It is definitely a boost of confidence to continue this research.</w:t>
            </w:r>
          </w:p>
          <w:p w14:paraId="00000109" w14:textId="77777777" w:rsidR="001A1DE2" w:rsidRDefault="00883705">
            <w:pPr>
              <w:numPr>
                <w:ilvl w:val="0"/>
                <w:numId w:val="3"/>
              </w:numPr>
              <w:shd w:val="clear" w:color="auto" w:fill="FFFFFF"/>
            </w:pPr>
            <w:r>
              <w:t>I enjoy</w:t>
            </w:r>
            <w:r>
              <w:t xml:space="preserve"> the recreation of previous research due to the past-experienced, which has guided me to the direction I am supposed to follow or go through.</w:t>
            </w:r>
          </w:p>
        </w:tc>
      </w:tr>
      <w:tr w:rsidR="001A1DE2" w14:paraId="722F2992" w14:textId="77777777">
        <w:trPr>
          <w:trHeight w:val="440"/>
        </w:trPr>
        <w:tc>
          <w:tcPr>
            <w:tcW w:w="2479" w:type="dxa"/>
            <w:shd w:val="clear" w:color="auto" w:fill="auto"/>
            <w:tcMar>
              <w:top w:w="100" w:type="dxa"/>
              <w:left w:w="100" w:type="dxa"/>
              <w:bottom w:w="100" w:type="dxa"/>
              <w:right w:w="100" w:type="dxa"/>
            </w:tcMar>
          </w:tcPr>
          <w:p w14:paraId="0000010C" w14:textId="77777777" w:rsidR="001A1DE2" w:rsidRDefault="001A1DE2">
            <w:pPr>
              <w:widowControl w:val="0"/>
              <w:spacing w:line="240" w:lineRule="auto"/>
              <w:jc w:val="center"/>
            </w:pPr>
          </w:p>
          <w:p w14:paraId="0000010D" w14:textId="77777777" w:rsidR="001A1DE2" w:rsidRDefault="001A1DE2">
            <w:pPr>
              <w:widowControl w:val="0"/>
              <w:spacing w:line="240" w:lineRule="auto"/>
              <w:jc w:val="center"/>
            </w:pPr>
          </w:p>
          <w:p w14:paraId="0000010E" w14:textId="77777777" w:rsidR="001A1DE2" w:rsidRDefault="001A1DE2">
            <w:pPr>
              <w:widowControl w:val="0"/>
              <w:spacing w:line="240" w:lineRule="auto"/>
              <w:jc w:val="center"/>
            </w:pPr>
          </w:p>
          <w:p w14:paraId="0000010F" w14:textId="77777777" w:rsidR="001A1DE2" w:rsidRDefault="001A1DE2">
            <w:pPr>
              <w:widowControl w:val="0"/>
              <w:spacing w:line="240" w:lineRule="auto"/>
              <w:jc w:val="center"/>
            </w:pPr>
          </w:p>
          <w:p w14:paraId="00000110" w14:textId="77777777" w:rsidR="001A1DE2" w:rsidRDefault="001A1DE2">
            <w:pPr>
              <w:widowControl w:val="0"/>
              <w:spacing w:line="240" w:lineRule="auto"/>
              <w:jc w:val="center"/>
            </w:pPr>
          </w:p>
          <w:p w14:paraId="00000111" w14:textId="77777777" w:rsidR="001A1DE2" w:rsidRDefault="001A1DE2">
            <w:pPr>
              <w:widowControl w:val="0"/>
              <w:spacing w:line="240" w:lineRule="auto"/>
              <w:jc w:val="center"/>
            </w:pPr>
          </w:p>
          <w:p w14:paraId="00000112" w14:textId="77777777" w:rsidR="001A1DE2" w:rsidRDefault="001A1DE2">
            <w:pPr>
              <w:widowControl w:val="0"/>
              <w:spacing w:line="240" w:lineRule="auto"/>
              <w:jc w:val="center"/>
            </w:pPr>
          </w:p>
          <w:p w14:paraId="00000113" w14:textId="77777777" w:rsidR="001A1DE2" w:rsidRDefault="001A1DE2">
            <w:pPr>
              <w:widowControl w:val="0"/>
              <w:spacing w:line="240" w:lineRule="auto"/>
              <w:jc w:val="center"/>
            </w:pPr>
          </w:p>
          <w:p w14:paraId="00000114" w14:textId="77777777" w:rsidR="001A1DE2" w:rsidRDefault="00883705">
            <w:pPr>
              <w:widowControl w:val="0"/>
              <w:spacing w:line="240" w:lineRule="auto"/>
              <w:jc w:val="center"/>
            </w:pPr>
            <w:r>
              <w:t>What Did I Not Enjoy?</w:t>
            </w:r>
          </w:p>
        </w:tc>
        <w:tc>
          <w:tcPr>
            <w:tcW w:w="6880" w:type="dxa"/>
            <w:shd w:val="clear" w:color="auto" w:fill="auto"/>
            <w:tcMar>
              <w:top w:w="100" w:type="dxa"/>
              <w:left w:w="100" w:type="dxa"/>
              <w:bottom w:w="100" w:type="dxa"/>
              <w:right w:w="100" w:type="dxa"/>
            </w:tcMar>
          </w:tcPr>
          <w:p w14:paraId="00000115" w14:textId="77777777" w:rsidR="001A1DE2" w:rsidRDefault="00883705">
            <w:pPr>
              <w:numPr>
                <w:ilvl w:val="0"/>
                <w:numId w:val="4"/>
              </w:numPr>
              <w:shd w:val="clear" w:color="auto" w:fill="FFFFFF"/>
            </w:pPr>
            <w:r>
              <w:lastRenderedPageBreak/>
              <w:t>I did not enjoy the process of preparing questions for questionnaires. This is because the questions might not fit the theme and I had to search for other questions. It is a long process to go through.</w:t>
            </w:r>
          </w:p>
          <w:p w14:paraId="00000116" w14:textId="77777777" w:rsidR="001A1DE2" w:rsidRDefault="00883705">
            <w:pPr>
              <w:numPr>
                <w:ilvl w:val="0"/>
                <w:numId w:val="4"/>
              </w:numPr>
              <w:shd w:val="clear" w:color="auto" w:fill="FFFFFF"/>
            </w:pPr>
            <w:r>
              <w:lastRenderedPageBreak/>
              <w:t>It is hard to find questions that match the research a</w:t>
            </w:r>
            <w:r>
              <w:t>nd are related to it in academic papers.</w:t>
            </w:r>
          </w:p>
          <w:p w14:paraId="00000117" w14:textId="77777777" w:rsidR="001A1DE2" w:rsidRDefault="00883705">
            <w:pPr>
              <w:numPr>
                <w:ilvl w:val="0"/>
                <w:numId w:val="4"/>
              </w:numPr>
              <w:shd w:val="clear" w:color="auto" w:fill="FFFFFF"/>
            </w:pPr>
            <w:r>
              <w:t xml:space="preserve">Some questions are good but not suitable enough to answer the research question. </w:t>
            </w:r>
          </w:p>
          <w:p w14:paraId="00000118" w14:textId="77777777" w:rsidR="001A1DE2" w:rsidRDefault="00883705">
            <w:pPr>
              <w:numPr>
                <w:ilvl w:val="0"/>
                <w:numId w:val="4"/>
              </w:numPr>
              <w:shd w:val="clear" w:color="auto" w:fill="FFFFFF"/>
            </w:pPr>
            <w:r>
              <w:t>Overall, it was quite a challenge.</w:t>
            </w:r>
          </w:p>
        </w:tc>
      </w:tr>
      <w:tr w:rsidR="001A1DE2" w14:paraId="165AC87E" w14:textId="77777777">
        <w:trPr>
          <w:trHeight w:val="440"/>
        </w:trPr>
        <w:tc>
          <w:tcPr>
            <w:tcW w:w="2479" w:type="dxa"/>
            <w:shd w:val="clear" w:color="auto" w:fill="auto"/>
            <w:tcMar>
              <w:top w:w="100" w:type="dxa"/>
              <w:left w:w="100" w:type="dxa"/>
              <w:bottom w:w="100" w:type="dxa"/>
              <w:right w:w="100" w:type="dxa"/>
            </w:tcMar>
          </w:tcPr>
          <w:p w14:paraId="0000011B" w14:textId="77777777" w:rsidR="001A1DE2" w:rsidRDefault="001A1DE2">
            <w:pPr>
              <w:widowControl w:val="0"/>
              <w:spacing w:line="240" w:lineRule="auto"/>
              <w:jc w:val="center"/>
            </w:pPr>
          </w:p>
          <w:p w14:paraId="0000011C" w14:textId="77777777" w:rsidR="001A1DE2" w:rsidRDefault="001A1DE2">
            <w:pPr>
              <w:widowControl w:val="0"/>
              <w:spacing w:line="240" w:lineRule="auto"/>
              <w:jc w:val="center"/>
            </w:pPr>
          </w:p>
          <w:p w14:paraId="0000011D" w14:textId="77777777" w:rsidR="001A1DE2" w:rsidRDefault="001A1DE2">
            <w:pPr>
              <w:widowControl w:val="0"/>
              <w:spacing w:line="240" w:lineRule="auto"/>
              <w:jc w:val="center"/>
            </w:pPr>
          </w:p>
          <w:p w14:paraId="0000011E" w14:textId="77777777" w:rsidR="001A1DE2" w:rsidRDefault="001A1DE2">
            <w:pPr>
              <w:widowControl w:val="0"/>
              <w:spacing w:line="240" w:lineRule="auto"/>
              <w:jc w:val="center"/>
            </w:pPr>
          </w:p>
          <w:p w14:paraId="0000011F" w14:textId="2AE66D09" w:rsidR="001A1DE2" w:rsidRDefault="00883705">
            <w:pPr>
              <w:widowControl w:val="0"/>
              <w:spacing w:line="240" w:lineRule="auto"/>
              <w:jc w:val="center"/>
            </w:pPr>
            <w:r>
              <w:t xml:space="preserve">Areas Identified </w:t>
            </w:r>
            <w:r w:rsidR="00EA27C2">
              <w:t>as</w:t>
            </w:r>
            <w:r>
              <w:t xml:space="preserve"> Weak Areas?</w:t>
            </w:r>
          </w:p>
        </w:tc>
        <w:tc>
          <w:tcPr>
            <w:tcW w:w="6880" w:type="dxa"/>
            <w:shd w:val="clear" w:color="auto" w:fill="auto"/>
            <w:tcMar>
              <w:top w:w="100" w:type="dxa"/>
              <w:left w:w="100" w:type="dxa"/>
              <w:bottom w:w="100" w:type="dxa"/>
              <w:right w:w="100" w:type="dxa"/>
            </w:tcMar>
          </w:tcPr>
          <w:p w14:paraId="00000120" w14:textId="77777777" w:rsidR="001A1DE2" w:rsidRDefault="00883705">
            <w:pPr>
              <w:numPr>
                <w:ilvl w:val="0"/>
                <w:numId w:val="6"/>
              </w:numPr>
              <w:shd w:val="clear" w:color="auto" w:fill="FFFFFF"/>
            </w:pPr>
            <w:r>
              <w:t>Finding relevant academic papers was quite hard. This is because not much research being done for ‘post-covid’ related. There are some but not in my topic of interest.</w:t>
            </w:r>
          </w:p>
          <w:p w14:paraId="00000121" w14:textId="77777777" w:rsidR="001A1DE2" w:rsidRDefault="00883705">
            <w:pPr>
              <w:numPr>
                <w:ilvl w:val="0"/>
                <w:numId w:val="6"/>
              </w:numPr>
              <w:shd w:val="clear" w:color="auto" w:fill="FFFFFF"/>
            </w:pPr>
            <w:r>
              <w:t>Should have come up or searched for more suitable questions to be asked in the questionn</w:t>
            </w:r>
            <w:r>
              <w:t>aire. The questionnaire done was good, but I think it can be improved with better questions in the future which will relate to what the research wants.</w:t>
            </w:r>
          </w:p>
        </w:tc>
      </w:tr>
      <w:tr w:rsidR="001A1DE2" w14:paraId="33CA4664" w14:textId="77777777">
        <w:trPr>
          <w:trHeight w:val="440"/>
        </w:trPr>
        <w:tc>
          <w:tcPr>
            <w:tcW w:w="2479" w:type="dxa"/>
            <w:shd w:val="clear" w:color="auto" w:fill="auto"/>
            <w:tcMar>
              <w:top w:w="100" w:type="dxa"/>
              <w:left w:w="100" w:type="dxa"/>
              <w:bottom w:w="100" w:type="dxa"/>
              <w:right w:w="100" w:type="dxa"/>
            </w:tcMar>
          </w:tcPr>
          <w:p w14:paraId="00000124" w14:textId="77777777" w:rsidR="001A1DE2" w:rsidRDefault="001A1DE2">
            <w:pPr>
              <w:widowControl w:val="0"/>
              <w:spacing w:line="240" w:lineRule="auto"/>
              <w:jc w:val="center"/>
            </w:pPr>
          </w:p>
          <w:p w14:paraId="00000125" w14:textId="77777777" w:rsidR="001A1DE2" w:rsidRDefault="001A1DE2">
            <w:pPr>
              <w:widowControl w:val="0"/>
              <w:spacing w:line="240" w:lineRule="auto"/>
              <w:jc w:val="center"/>
            </w:pPr>
          </w:p>
          <w:p w14:paraId="00000126" w14:textId="77777777" w:rsidR="001A1DE2" w:rsidRDefault="001A1DE2">
            <w:pPr>
              <w:widowControl w:val="0"/>
              <w:spacing w:line="240" w:lineRule="auto"/>
              <w:jc w:val="center"/>
            </w:pPr>
          </w:p>
          <w:p w14:paraId="00000127" w14:textId="77777777" w:rsidR="001A1DE2" w:rsidRDefault="001A1DE2">
            <w:pPr>
              <w:widowControl w:val="0"/>
              <w:spacing w:line="240" w:lineRule="auto"/>
              <w:jc w:val="center"/>
            </w:pPr>
          </w:p>
          <w:p w14:paraId="00000128" w14:textId="77777777" w:rsidR="001A1DE2" w:rsidRDefault="001A1DE2">
            <w:pPr>
              <w:widowControl w:val="0"/>
              <w:spacing w:line="240" w:lineRule="auto"/>
              <w:jc w:val="center"/>
            </w:pPr>
          </w:p>
          <w:p w14:paraId="00000129" w14:textId="77777777" w:rsidR="001A1DE2" w:rsidRDefault="001A1DE2">
            <w:pPr>
              <w:widowControl w:val="0"/>
              <w:spacing w:line="240" w:lineRule="auto"/>
              <w:jc w:val="center"/>
            </w:pPr>
          </w:p>
          <w:p w14:paraId="0000012A" w14:textId="77777777" w:rsidR="001A1DE2" w:rsidRDefault="001A1DE2">
            <w:pPr>
              <w:widowControl w:val="0"/>
              <w:spacing w:line="240" w:lineRule="auto"/>
              <w:jc w:val="center"/>
            </w:pPr>
          </w:p>
          <w:p w14:paraId="0000012B" w14:textId="77777777" w:rsidR="001A1DE2" w:rsidRDefault="001A1DE2">
            <w:pPr>
              <w:widowControl w:val="0"/>
              <w:spacing w:line="240" w:lineRule="auto"/>
              <w:jc w:val="center"/>
            </w:pPr>
          </w:p>
          <w:p w14:paraId="0000012C" w14:textId="77777777" w:rsidR="001A1DE2" w:rsidRDefault="001A1DE2">
            <w:pPr>
              <w:widowControl w:val="0"/>
              <w:spacing w:line="240" w:lineRule="auto"/>
              <w:jc w:val="center"/>
            </w:pPr>
          </w:p>
          <w:p w14:paraId="0000012D" w14:textId="77777777" w:rsidR="001A1DE2" w:rsidRDefault="00883705">
            <w:pPr>
              <w:widowControl w:val="0"/>
              <w:spacing w:line="240" w:lineRule="auto"/>
              <w:jc w:val="center"/>
            </w:pPr>
            <w:r>
              <w:t>How Can I Improve Those Weak Areas?</w:t>
            </w:r>
          </w:p>
        </w:tc>
        <w:tc>
          <w:tcPr>
            <w:tcW w:w="6880" w:type="dxa"/>
            <w:shd w:val="clear" w:color="auto" w:fill="auto"/>
            <w:tcMar>
              <w:top w:w="100" w:type="dxa"/>
              <w:left w:w="100" w:type="dxa"/>
              <w:bottom w:w="100" w:type="dxa"/>
              <w:right w:w="100" w:type="dxa"/>
            </w:tcMar>
          </w:tcPr>
          <w:p w14:paraId="0000012E" w14:textId="77777777" w:rsidR="001A1DE2" w:rsidRDefault="00883705">
            <w:pPr>
              <w:numPr>
                <w:ilvl w:val="0"/>
                <w:numId w:val="1"/>
              </w:numPr>
              <w:shd w:val="clear" w:color="auto" w:fill="FFFFFF"/>
            </w:pPr>
            <w:r>
              <w:t>Improve in terms of communication. Communication is key to do research, because it is hard to conduct a research alone based on my experience, therefore, communicating with others might help for the research and gain new perspectives.</w:t>
            </w:r>
          </w:p>
          <w:p w14:paraId="0000012F" w14:textId="77777777" w:rsidR="001A1DE2" w:rsidRDefault="00883705">
            <w:pPr>
              <w:numPr>
                <w:ilvl w:val="0"/>
                <w:numId w:val="1"/>
              </w:numPr>
              <w:shd w:val="clear" w:color="auto" w:fill="FFFFFF"/>
            </w:pPr>
            <w:r>
              <w:t>Getting in touch with</w:t>
            </w:r>
            <w:r>
              <w:t xml:space="preserve"> experienced people that are experts in conducting research will be crucial for me since I have little to no knowledge in this field. The Internet could help, but to what extent? So, real people's experience will help me to learn more.</w:t>
            </w:r>
          </w:p>
          <w:p w14:paraId="00000130" w14:textId="77777777" w:rsidR="001A1DE2" w:rsidRDefault="00883705">
            <w:pPr>
              <w:numPr>
                <w:ilvl w:val="0"/>
                <w:numId w:val="1"/>
              </w:numPr>
              <w:shd w:val="clear" w:color="auto" w:fill="FFFFFF"/>
            </w:pPr>
            <w:r>
              <w:t xml:space="preserve">Spend time learning </w:t>
            </w:r>
            <w:r>
              <w:t>how to effectively develop search skills to help improve the research. All sources are readily available, but how to get access to them all is still quite a challenge for me. If I can learn to do that, it will help me improve in my searching and writing sk</w:t>
            </w:r>
            <w:r>
              <w:t>ills.</w:t>
            </w:r>
          </w:p>
        </w:tc>
      </w:tr>
    </w:tbl>
    <w:p w14:paraId="00000133" w14:textId="77777777" w:rsidR="001A1DE2" w:rsidRDefault="001A1DE2"/>
    <w:sectPr w:rsidR="001A1DE2">
      <w:footerReference w:type="default" r:id="rId9"/>
      <w:footerReference w:type="first" r:id="rId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7B8EE" w14:textId="77777777" w:rsidR="00883705" w:rsidRDefault="00883705">
      <w:pPr>
        <w:spacing w:line="240" w:lineRule="auto"/>
      </w:pPr>
      <w:r>
        <w:separator/>
      </w:r>
    </w:p>
  </w:endnote>
  <w:endnote w:type="continuationSeparator" w:id="0">
    <w:p w14:paraId="210F23C9" w14:textId="77777777" w:rsidR="00883705" w:rsidRDefault="008837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35" w14:textId="7A44341C" w:rsidR="001A1DE2" w:rsidRDefault="00883705">
    <w:pPr>
      <w:jc w:val="right"/>
    </w:pPr>
    <w:r>
      <w:fldChar w:fldCharType="begin"/>
    </w:r>
    <w:r>
      <w:instrText>PAGE</w:instrText>
    </w:r>
    <w:r>
      <w:fldChar w:fldCharType="separate"/>
    </w:r>
    <w:r w:rsidR="00EA27C2">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34" w14:textId="77777777" w:rsidR="001A1DE2" w:rsidRDefault="001A1DE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55818B" w14:textId="77777777" w:rsidR="00883705" w:rsidRDefault="00883705">
      <w:pPr>
        <w:spacing w:line="240" w:lineRule="auto"/>
      </w:pPr>
      <w:r>
        <w:separator/>
      </w:r>
    </w:p>
  </w:footnote>
  <w:footnote w:type="continuationSeparator" w:id="0">
    <w:p w14:paraId="77917C81" w14:textId="77777777" w:rsidR="00883705" w:rsidRDefault="0088370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B2229"/>
    <w:multiLevelType w:val="multilevel"/>
    <w:tmpl w:val="591C0B9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49A7342"/>
    <w:multiLevelType w:val="multilevel"/>
    <w:tmpl w:val="DCC4CE0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97C475A"/>
    <w:multiLevelType w:val="multilevel"/>
    <w:tmpl w:val="38BE2A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C30055"/>
    <w:multiLevelType w:val="multilevel"/>
    <w:tmpl w:val="CABE82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3E6BD5"/>
    <w:multiLevelType w:val="multilevel"/>
    <w:tmpl w:val="3DD43A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7E51ADF"/>
    <w:multiLevelType w:val="multilevel"/>
    <w:tmpl w:val="00C279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C0960B5"/>
    <w:multiLevelType w:val="multilevel"/>
    <w:tmpl w:val="7750D0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5487EDD"/>
    <w:multiLevelType w:val="multilevel"/>
    <w:tmpl w:val="8C3C80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FAA2C03"/>
    <w:multiLevelType w:val="multilevel"/>
    <w:tmpl w:val="518829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70A53477"/>
    <w:multiLevelType w:val="multilevel"/>
    <w:tmpl w:val="0C70920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744B3AAC"/>
    <w:multiLevelType w:val="multilevel"/>
    <w:tmpl w:val="115C5A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751446EB"/>
    <w:multiLevelType w:val="multilevel"/>
    <w:tmpl w:val="D00E2D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5"/>
  </w:num>
  <w:num w:numId="3">
    <w:abstractNumId w:val="2"/>
  </w:num>
  <w:num w:numId="4">
    <w:abstractNumId w:val="7"/>
  </w:num>
  <w:num w:numId="5">
    <w:abstractNumId w:val="4"/>
  </w:num>
  <w:num w:numId="6">
    <w:abstractNumId w:val="11"/>
  </w:num>
  <w:num w:numId="7">
    <w:abstractNumId w:val="10"/>
  </w:num>
  <w:num w:numId="8">
    <w:abstractNumId w:val="1"/>
  </w:num>
  <w:num w:numId="9">
    <w:abstractNumId w:val="0"/>
  </w:num>
  <w:num w:numId="10">
    <w:abstractNumId w:val="8"/>
  </w:num>
  <w:num w:numId="11">
    <w:abstractNumId w:val="9"/>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1DE2"/>
    <w:rsid w:val="001A1DE2"/>
    <w:rsid w:val="00883705"/>
    <w:rsid w:val="00EA27C2"/>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93DF717-5634-406B-8F1E-C23BD6163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SG"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unhideWhenUsed/>
    <w:qFormat/>
    <w:pPr>
      <w:keepNext/>
      <w:keepLines/>
      <w:spacing w:before="320" w:after="80"/>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Pages>
  <Words>5598</Words>
  <Characters>31912</Characters>
  <Application>Microsoft Office Word</Application>
  <DocSecurity>0</DocSecurity>
  <Lines>265</Lines>
  <Paragraphs>74</Paragraphs>
  <ScaleCrop>false</ScaleCrop>
  <Company/>
  <LinksUpToDate>false</LinksUpToDate>
  <CharactersWithSpaces>37436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SHARIFAH INTAN NUR SUFI BINTI SYED AZHAR</cp:lastModifiedBy>
  <cp:revision>3</cp:revision>
  <dcterms:created xsi:type="dcterms:W3CDTF">2023-12-07T14:11:00Z</dcterms:created>
  <dcterms:modified xsi:type="dcterms:W3CDTF">2023-12-07T14:13:00Z</dcterms:modified>
</cp:coreProperties>
</file>