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344AA56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8391F">
              <w:rPr>
                <w:b/>
                <w:color w:val="auto"/>
                <w:sz w:val="32"/>
              </w:rPr>
              <w:t>Rhys</w:t>
            </w:r>
            <w:r w:rsidR="00E92057">
              <w:rPr>
                <w:b/>
                <w:color w:val="auto"/>
                <w:sz w:val="32"/>
              </w:rPr>
              <w:t xml:space="preserve"> </w:t>
            </w:r>
            <w:bookmarkStart w:id="0" w:name="_GoBack"/>
            <w:bookmarkEnd w:id="0"/>
            <w:r w:rsidR="00D8391F">
              <w:rPr>
                <w:b/>
                <w:color w:val="auto"/>
                <w:sz w:val="32"/>
              </w:rPr>
              <w:t>Neal</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5AF67C" w:rsidR="005A1BA3" w:rsidRDefault="005A1BA3" w:rsidP="00340E9A">
            <w:pPr>
              <w:overflowPunct/>
              <w:autoSpaceDE/>
              <w:autoSpaceDN/>
              <w:adjustRightInd/>
              <w:ind w:right="237"/>
              <w:textAlignment w:val="auto"/>
              <w:rPr>
                <w:b/>
                <w:color w:val="auto"/>
                <w:sz w:val="32"/>
              </w:rPr>
            </w:pPr>
            <w:r>
              <w:rPr>
                <w:b/>
                <w:color w:val="auto"/>
                <w:sz w:val="32"/>
              </w:rPr>
              <w:t>_____________</w:t>
            </w:r>
            <w:r w:rsidR="00E92057">
              <w:rPr>
                <w:b/>
                <w:color w:val="auto"/>
                <w:sz w:val="32"/>
              </w:rPr>
              <w:t>2031277</w:t>
            </w:r>
            <w:r>
              <w:rPr>
                <w:b/>
                <w:color w:val="auto"/>
                <w:sz w:val="32"/>
              </w:rPr>
              <w:t>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DB6D90"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ACBF3B7" w14:textId="77777777" w:rsidR="00265E8A" w:rsidRPr="00F13E4E" w:rsidRDefault="00265E8A" w:rsidP="00F13E4E">
      <w:pPr>
        <w:spacing w:line="276" w:lineRule="auto"/>
        <w:rPr>
          <w:rFonts w:asciiTheme="minorHAnsi" w:hAnsiTheme="minorHAnsi" w:cstheme="minorHAnsi"/>
          <w:color w:val="auto"/>
          <w:sz w:val="24"/>
          <w:szCs w:val="24"/>
        </w:rPr>
      </w:pPr>
      <w:r w:rsidRPr="00F13E4E">
        <w:rPr>
          <w:rFonts w:asciiTheme="minorHAnsi" w:hAnsiTheme="minorHAnsi" w:cstheme="minorHAnsi"/>
          <w:sz w:val="24"/>
          <w:szCs w:val="24"/>
        </w:rPr>
        <w:t xml:space="preserve">In this section of the workbook, I will be discussing the importance of wellbeing and resilience and the coping strategies I have used to overcome the challenges I faced in my tutorship period. Firstly, understanding the definition of resilience is important to properly discuss how I have developed my resilience in the early stages of my career. According to the ‘Review in Clinical Gerontology’ conducted by Professor Gill Windle on the concept of resilience (May 2011), the term means to “bounce back in the face of adversity”. It has also been defined by Helen Herrman in a review conducted alongside several other psychiatrists in the Canadian Journal of Psychiatry (May 2011) as the ability to persevere despite experiencing difficult challenges which could otherwise have a detrimental effect on a person’s wellbeing. Understanding what resilience is has helped me to adapt the necessary coping strategies that are appropriate for me to practice this and implement it in all aspects of life and career. </w:t>
      </w:r>
    </w:p>
    <w:p w14:paraId="02E71706" w14:textId="77777777" w:rsidR="00265E8A" w:rsidRPr="00F13E4E" w:rsidRDefault="00265E8A" w:rsidP="00F13E4E">
      <w:pPr>
        <w:spacing w:line="276" w:lineRule="auto"/>
        <w:rPr>
          <w:rFonts w:asciiTheme="minorHAnsi" w:hAnsiTheme="minorHAnsi" w:cstheme="minorHAnsi"/>
          <w:sz w:val="24"/>
          <w:szCs w:val="24"/>
        </w:rPr>
      </w:pPr>
    </w:p>
    <w:p w14:paraId="5D519CC1" w14:textId="03F5AC7E" w:rsidR="00265E8A" w:rsidRPr="00F13E4E" w:rsidRDefault="00265E8A" w:rsidP="00F13E4E">
      <w:pPr>
        <w:spacing w:line="276" w:lineRule="auto"/>
        <w:rPr>
          <w:rFonts w:asciiTheme="minorHAnsi" w:hAnsiTheme="minorHAnsi" w:cstheme="minorHAnsi"/>
          <w:sz w:val="24"/>
          <w:szCs w:val="24"/>
        </w:rPr>
      </w:pPr>
      <w:r w:rsidRPr="00F13E4E">
        <w:rPr>
          <w:rFonts w:asciiTheme="minorHAnsi" w:hAnsiTheme="minorHAnsi" w:cstheme="minorHAnsi"/>
          <w:sz w:val="24"/>
          <w:szCs w:val="24"/>
        </w:rPr>
        <w:t>During my tutorship period I had to develop coping strategies to combat the challenges faced by new police officers and build the resilience to push forward at the most difficult times. Having certain coping strategies in place to maintain a healthy mindset and wellbeing is detrimental in such a stressful career which is surrounded by negativity. The phrase coping strategy is described by many including Dickson Carr (2007) in an article he wrote discussing the importance of coping mechanisms in times of crisis as a person’s mental and physical effort to overcome negative emotions to situations that they perceive as stressful or threatening.</w:t>
      </w:r>
    </w:p>
    <w:p w14:paraId="132F8DAB" w14:textId="77777777" w:rsidR="00F13E4E" w:rsidRPr="00F13E4E" w:rsidRDefault="00F13E4E" w:rsidP="00F13E4E">
      <w:pPr>
        <w:spacing w:line="276" w:lineRule="auto"/>
        <w:rPr>
          <w:rFonts w:asciiTheme="minorHAnsi" w:hAnsiTheme="minorHAnsi" w:cstheme="minorHAnsi"/>
          <w:sz w:val="24"/>
          <w:szCs w:val="24"/>
        </w:rPr>
      </w:pPr>
    </w:p>
    <w:p w14:paraId="08128CC6" w14:textId="508093BE" w:rsidR="00F13E4E" w:rsidRDefault="00265E8A" w:rsidP="00F13E4E">
      <w:pPr>
        <w:spacing w:line="276" w:lineRule="auto"/>
        <w:rPr>
          <w:rFonts w:asciiTheme="minorHAnsi" w:hAnsiTheme="minorHAnsi" w:cstheme="minorHAnsi"/>
          <w:sz w:val="24"/>
          <w:szCs w:val="24"/>
        </w:rPr>
      </w:pPr>
      <w:r w:rsidRPr="00F13E4E">
        <w:rPr>
          <w:rFonts w:asciiTheme="minorHAnsi" w:hAnsiTheme="minorHAnsi" w:cstheme="minorHAnsi"/>
          <w:sz w:val="24"/>
          <w:szCs w:val="24"/>
        </w:rPr>
        <w:t xml:space="preserve">During my tutorship, I recall an incident where I messed up the caution when reporting someone for a traffic offence report. When going home that evening, I felt deflated and worried that my mistake may have consequences either on the progression of reporting the offence itself or on my personal performance as a police constable. However, I realised that </w:t>
      </w:r>
      <w:r w:rsidRPr="00F13E4E">
        <w:rPr>
          <w:rFonts w:asciiTheme="minorHAnsi" w:hAnsiTheme="minorHAnsi" w:cstheme="minorHAnsi"/>
          <w:sz w:val="24"/>
          <w:szCs w:val="24"/>
        </w:rPr>
        <w:lastRenderedPageBreak/>
        <w:t>instead of fearing what has already happened, I must implement mechanisms to cope with my emotions towards the situation to overcome it and re-attend work with a positive mindset.</w:t>
      </w:r>
    </w:p>
    <w:p w14:paraId="6FB0CEEA" w14:textId="77777777" w:rsidR="00F13E4E" w:rsidRPr="00F13E4E" w:rsidRDefault="00F13E4E" w:rsidP="00F13E4E">
      <w:pPr>
        <w:spacing w:line="276" w:lineRule="auto"/>
        <w:rPr>
          <w:rFonts w:asciiTheme="minorHAnsi" w:hAnsiTheme="minorHAnsi" w:cstheme="minorHAnsi"/>
          <w:sz w:val="24"/>
          <w:szCs w:val="24"/>
        </w:rPr>
      </w:pPr>
    </w:p>
    <w:p w14:paraId="170941BC" w14:textId="225A94FE" w:rsidR="00265E8A" w:rsidRPr="00F13E4E" w:rsidRDefault="00265E8A" w:rsidP="00F13E4E">
      <w:pPr>
        <w:spacing w:line="276" w:lineRule="auto"/>
        <w:rPr>
          <w:rFonts w:asciiTheme="minorHAnsi" w:hAnsiTheme="minorHAnsi" w:cstheme="minorHAnsi"/>
          <w:sz w:val="24"/>
          <w:szCs w:val="24"/>
        </w:rPr>
      </w:pPr>
      <w:r w:rsidRPr="00F13E4E">
        <w:rPr>
          <w:rFonts w:asciiTheme="minorHAnsi" w:hAnsiTheme="minorHAnsi" w:cstheme="minorHAnsi"/>
          <w:sz w:val="24"/>
          <w:szCs w:val="24"/>
        </w:rPr>
        <w:t xml:space="preserve">One coping strategy I use to aid me through this scenario was watching comedy. Comedy has always been a way for me to escape reality and distract myself from the stresses of life. Millicent Abel (2008) concludes in her article ‘ Humour, stress, and coping strategies’ that there is a positive connection between using humour as a coping strategy, as laughter can alter certain hormones such as dopamine and serotonin which are known as ‘happy hormones’ to help the brain feel more relaxed. Abel states that using comedy changes a person’s perspective when reflecting on negative life events to a more positive outlook and increases their chances of actively seeking out alternative solutions to problems as to avoid feeling like that going forward. </w:t>
      </w:r>
    </w:p>
    <w:p w14:paraId="3F47994C" w14:textId="77777777" w:rsidR="00F13E4E" w:rsidRPr="00F13E4E" w:rsidRDefault="00F13E4E" w:rsidP="00F13E4E">
      <w:pPr>
        <w:spacing w:line="276" w:lineRule="auto"/>
        <w:rPr>
          <w:rFonts w:asciiTheme="minorHAnsi" w:hAnsiTheme="minorHAnsi" w:cstheme="minorHAnsi"/>
          <w:sz w:val="24"/>
          <w:szCs w:val="24"/>
        </w:rPr>
      </w:pPr>
    </w:p>
    <w:p w14:paraId="592B97F8" w14:textId="4AAF39C2" w:rsidR="00265E8A" w:rsidRPr="00F13E4E" w:rsidRDefault="00265E8A" w:rsidP="00F13E4E">
      <w:pPr>
        <w:spacing w:line="276" w:lineRule="auto"/>
        <w:rPr>
          <w:rFonts w:asciiTheme="minorHAnsi" w:hAnsiTheme="minorHAnsi" w:cstheme="minorHAnsi"/>
          <w:sz w:val="24"/>
          <w:szCs w:val="24"/>
        </w:rPr>
      </w:pPr>
      <w:r w:rsidRPr="00F13E4E">
        <w:rPr>
          <w:rFonts w:asciiTheme="minorHAnsi" w:hAnsiTheme="minorHAnsi" w:cstheme="minorHAnsi"/>
          <w:sz w:val="24"/>
          <w:szCs w:val="24"/>
        </w:rPr>
        <w:t>Subsequently, using this strategy has helped me to reflect on this incident with a clearer outlook and more positive perspective to perform better in future. The following day I was faced with a similar situation whereby I had to caution somebody to report them for a traffic offence. However, after using this coping strategy to build on my resilience I was able to successfully carry out the caution on this occasion as my mindset was in a better place to deal with the situation and not affected by negative emotions.</w:t>
      </w:r>
    </w:p>
    <w:p w14:paraId="402BC02C" w14:textId="77777777" w:rsidR="00F13E4E" w:rsidRPr="00F13E4E" w:rsidRDefault="00F13E4E" w:rsidP="00F13E4E">
      <w:pPr>
        <w:spacing w:line="276" w:lineRule="auto"/>
        <w:rPr>
          <w:rFonts w:asciiTheme="minorHAnsi" w:hAnsiTheme="minorHAnsi" w:cstheme="minorHAnsi"/>
          <w:sz w:val="24"/>
          <w:szCs w:val="24"/>
        </w:rPr>
      </w:pPr>
    </w:p>
    <w:p w14:paraId="7871FAA7" w14:textId="38D0DFF0" w:rsidR="00265E8A" w:rsidRPr="00F13E4E" w:rsidRDefault="00265E8A" w:rsidP="00F13E4E">
      <w:pPr>
        <w:spacing w:line="276" w:lineRule="auto"/>
        <w:rPr>
          <w:rFonts w:asciiTheme="minorHAnsi" w:hAnsiTheme="minorHAnsi" w:cstheme="minorHAnsi"/>
          <w:sz w:val="24"/>
          <w:szCs w:val="24"/>
        </w:rPr>
      </w:pPr>
      <w:r w:rsidRPr="00F13E4E">
        <w:rPr>
          <w:rFonts w:asciiTheme="minorHAnsi" w:hAnsiTheme="minorHAnsi" w:cstheme="minorHAnsi"/>
          <w:sz w:val="24"/>
          <w:szCs w:val="24"/>
        </w:rPr>
        <w:t xml:space="preserve">Another coping strategy I have used throughout my tutorship period has been maintaining a consistent sleeping pattern. I believe improving my quality and consistency of sleep has helped me to gain a greater standard of wellbeing and helped me to stay mentally and physically energised to deal with my day-to-day responsibilities as a police constable. An article done by Pharmacist Support (September 2021) on the importance of monitoring sleep by keeping a diary to track key features of your sleep such as sleeping times shows how this can improve wellbeing and resilience. Analysing my sleep has allowed me to understand what changes I can make in my lifestyle such as learning to switch off in the time before bed, to improve my quality of sleep which has led to better mental health and the ability to work on my resilience. Sleeping better reduces my anxiety towards negative events. Therefore, as a result of using the coping strategy of a diary to monitor and improve on this fundamental aspect of my life, it has allowed me to approach situations with a clearer mindset to persevere through the challenges that I am faced with as a police constable despite how negative they may seem. </w:t>
      </w:r>
    </w:p>
    <w:p w14:paraId="47A9D8A5" w14:textId="77777777" w:rsidR="00265E8A" w:rsidRDefault="00265E8A" w:rsidP="00265E8A"/>
    <w:p w14:paraId="59E91512" w14:textId="77777777" w:rsidR="00265E8A" w:rsidRDefault="00265E8A" w:rsidP="00265E8A">
      <w:r>
        <w:t>Word Count: 768</w:t>
      </w:r>
    </w:p>
    <w:p w14:paraId="5DDA394A" w14:textId="77777777" w:rsidR="00265E8A" w:rsidRDefault="00265E8A" w:rsidP="00265E8A"/>
    <w:p w14:paraId="17D4BF5A" w14:textId="77777777" w:rsidR="00265E8A" w:rsidRDefault="00265E8A" w:rsidP="00265E8A"/>
    <w:p w14:paraId="57BD8FA6" w14:textId="77777777" w:rsidR="00265E8A" w:rsidRDefault="00265E8A" w:rsidP="00265E8A"/>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E850552" w14:textId="77777777" w:rsidR="00BE571A" w:rsidRPr="00977AB8" w:rsidRDefault="00BE571A" w:rsidP="00977AB8">
      <w:pPr>
        <w:spacing w:line="276" w:lineRule="auto"/>
        <w:rPr>
          <w:rFonts w:asciiTheme="minorHAnsi" w:hAnsiTheme="minorHAnsi" w:cstheme="minorHAnsi"/>
          <w:color w:val="auto"/>
          <w:sz w:val="24"/>
          <w:szCs w:val="24"/>
        </w:rPr>
      </w:pPr>
      <w:r w:rsidRPr="00977AB8">
        <w:rPr>
          <w:rFonts w:asciiTheme="minorHAnsi" w:hAnsiTheme="minorHAnsi" w:cstheme="minorHAnsi"/>
          <w:sz w:val="24"/>
          <w:szCs w:val="24"/>
        </w:rPr>
        <w:t>In this section of the workbook, I will be discussing an incident I have attended in my tutorship period whereby I have been faced with a victim of domestic abuse. I will discuss how I dealt with the victim’s vulnerability due to the unsafe environment, the importance of safeguarding the victim by using policing powers to protect the victim from further risk and how I effectively communicated with the victim.</w:t>
      </w:r>
    </w:p>
    <w:p w14:paraId="68E8E3C7" w14:textId="77777777" w:rsidR="00BE571A" w:rsidRPr="00977AB8" w:rsidRDefault="00BE571A" w:rsidP="00977AB8">
      <w:pPr>
        <w:spacing w:line="276" w:lineRule="auto"/>
        <w:rPr>
          <w:rFonts w:asciiTheme="minorHAnsi" w:hAnsiTheme="minorHAnsi" w:cstheme="minorHAnsi"/>
          <w:sz w:val="24"/>
          <w:szCs w:val="24"/>
        </w:rPr>
      </w:pPr>
    </w:p>
    <w:p w14:paraId="1029ED97" w14:textId="362C9F52"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 xml:space="preserve">I attended a call with my tutor to an address after there was an abandoned 999 call with sounds of a disturbance occurring in the background. When my tutor and I arrived at the call it was clear that something had taken place as there was a female looking out of the window trying to gain our attention. The female looked extremely distressed and alarmed and so my initial priority was to ensure her safety. My tutor and I rushed into the address to </w:t>
      </w:r>
      <w:r w:rsidRPr="00977AB8">
        <w:rPr>
          <w:rFonts w:asciiTheme="minorHAnsi" w:hAnsiTheme="minorHAnsi" w:cstheme="minorHAnsi"/>
          <w:sz w:val="24"/>
          <w:szCs w:val="24"/>
        </w:rPr>
        <w:lastRenderedPageBreak/>
        <w:t>find out what had happened. When inside the property there were three men moving furniture. I decided that the men should be taken outside as during a domestic violence incident it is best practice and a standard principle in policing for the offender to be separated from the victim. This enabled us to speak freely with the female in private as I believed she would be more likely to disclose any issues knowing the men couldn’t overhear the conversation and feel intimidated or feared.</w:t>
      </w:r>
    </w:p>
    <w:p w14:paraId="4D6F2730" w14:textId="77777777" w:rsidR="00977AB8" w:rsidRDefault="00977AB8" w:rsidP="00977AB8">
      <w:pPr>
        <w:spacing w:line="276" w:lineRule="auto"/>
        <w:rPr>
          <w:rFonts w:asciiTheme="minorHAnsi" w:hAnsiTheme="minorHAnsi" w:cstheme="minorHAnsi"/>
          <w:sz w:val="24"/>
          <w:szCs w:val="24"/>
        </w:rPr>
      </w:pPr>
    </w:p>
    <w:p w14:paraId="338C6251" w14:textId="38451624"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 xml:space="preserve">When speaking to the female it was clear that she was distressed as she was physically shaking, and her eyes were red from where she had been crying. She disclosed to myself and my colleague that one of the men is her ex-husband and that he had just threatened to kill her with a knife prior to police arriving at the address. As a result of this new information, we told the female to stay in a room where she was safe while myself and my colleague went outside to speak to her ex-husband. Upon risk assessing the level of severity of the issue and considering that the threat of harm included a serious weapon, I used my discretion to immediately arrest the ex-partner on suspicion of threats to kill. I did this to ensure that the incident would not escalate, and to avoid further risk imposed on the victim, myself, and my colleague. </w:t>
      </w:r>
    </w:p>
    <w:p w14:paraId="7FA1C66F" w14:textId="77777777" w:rsidR="00BE571A" w:rsidRPr="00977AB8" w:rsidRDefault="00BE571A" w:rsidP="00977AB8">
      <w:pPr>
        <w:spacing w:line="276" w:lineRule="auto"/>
        <w:rPr>
          <w:rFonts w:asciiTheme="minorHAnsi" w:hAnsiTheme="minorHAnsi" w:cstheme="minorHAnsi"/>
          <w:sz w:val="24"/>
          <w:szCs w:val="24"/>
        </w:rPr>
      </w:pPr>
    </w:p>
    <w:p w14:paraId="2BA49A90" w14:textId="49774513"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 xml:space="preserve">Despite the immediacy of the arrest, I still recognise the importance to acting ethically when arresting someone and abiding by the Code of Practice. This policing power regulation guideline which is outlined under Code G in the Police and Criminal Evidence Act 1984 ensures that police use their powers of arrest only when necessary and ethically. I then called for another unit to come and take him to custody so that we could continue to safeguard the victim. Throughout this incident, there were no relevant cultural, language or ethnicity issues that would have an adverse effect on how I dealt with the people involved and therefore, on the outcome of the situation. </w:t>
      </w:r>
    </w:p>
    <w:p w14:paraId="3C036745" w14:textId="77777777" w:rsidR="00BE571A" w:rsidRPr="00977AB8" w:rsidRDefault="00BE571A" w:rsidP="00977AB8">
      <w:pPr>
        <w:spacing w:line="276" w:lineRule="auto"/>
        <w:rPr>
          <w:rFonts w:asciiTheme="minorHAnsi" w:hAnsiTheme="minorHAnsi" w:cstheme="minorHAnsi"/>
          <w:sz w:val="24"/>
          <w:szCs w:val="24"/>
        </w:rPr>
      </w:pPr>
    </w:p>
    <w:p w14:paraId="64CA57AF" w14:textId="7C469D09"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 xml:space="preserve">I believe I effectively engaged with the victim using a variety of communicational skills to properly establish what events had taken place and to gain the relevant information to safeguard them. Firstly, I recognised that being a male police officer may cause the victim to feel uneasy or uncomfortable in comparison to dealing with a female officer due to the violence she had suffered from a male partner. Therefore, I made sure to speak softly, with a calm and reassuring tone to ease her mind. When dealing with the victim, I adapted my way of communicating to come across in a friendly and open manner due to how distressed she was from being a victim of a serious crime. I did this by using multiple communicational techniques, one being adjusting my body language. Initially, the victim was sat down on the bottom stair in the hallway. </w:t>
      </w:r>
    </w:p>
    <w:p w14:paraId="5B148BC0" w14:textId="77777777" w:rsidR="00BE571A" w:rsidRPr="00977AB8" w:rsidRDefault="00BE571A" w:rsidP="00977AB8">
      <w:pPr>
        <w:spacing w:line="276" w:lineRule="auto"/>
        <w:rPr>
          <w:rFonts w:asciiTheme="minorHAnsi" w:hAnsiTheme="minorHAnsi" w:cstheme="minorHAnsi"/>
          <w:sz w:val="24"/>
          <w:szCs w:val="24"/>
        </w:rPr>
      </w:pPr>
    </w:p>
    <w:p w14:paraId="4192B874" w14:textId="699D856D"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 xml:space="preserve">Again, I believed that by having another two males standing over her when she’s trying to explain a serious incident whereby, she has been threatened by a male, it was inappropriate and could come across as intimidating to be standing over them. Therefore, to make the </w:t>
      </w:r>
      <w:r w:rsidRPr="00977AB8">
        <w:rPr>
          <w:rFonts w:asciiTheme="minorHAnsi" w:hAnsiTheme="minorHAnsi" w:cstheme="minorHAnsi"/>
          <w:sz w:val="24"/>
          <w:szCs w:val="24"/>
        </w:rPr>
        <w:lastRenderedPageBreak/>
        <w:t>victim feel at ease when speaking to myself and my colleague I have adjusted my body language by crouching down beside them to be at the same height. This also allowed me to make effective eye contact with the victim to show that I was actively listening to them and their concerns. Vahid Jahromi, among others, states in an article on active listening (2016) that practicing active listening is crucial to achieve effective communication as it requires you to focus on the intent and feeling of the speaker. Using this in this incident was vital for me to fully grasp the content of what the victim was saying and how she felt expressing it so that I could proceed in the most appropriate way.</w:t>
      </w:r>
    </w:p>
    <w:p w14:paraId="0AD88A4E" w14:textId="77777777" w:rsidR="00BE571A" w:rsidRPr="00977AB8" w:rsidRDefault="00BE571A" w:rsidP="00977AB8">
      <w:pPr>
        <w:spacing w:line="276" w:lineRule="auto"/>
        <w:rPr>
          <w:rFonts w:asciiTheme="minorHAnsi" w:hAnsiTheme="minorHAnsi" w:cstheme="minorHAnsi"/>
          <w:sz w:val="24"/>
          <w:szCs w:val="24"/>
        </w:rPr>
      </w:pPr>
    </w:p>
    <w:p w14:paraId="34BB18DA" w14:textId="3E4226D5"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Another way I used effective communication was using open questions which is highly encouraged by the College of Policing (2020). By asking open questions this allowed the victim to express their concerns openly and without feeling restricted to only share information that fit a narrow scope. By allowing the victim to answer in this manner it also gave myself scope to ask follow-up and probing questions to what was discussed. This allowed me to gain a greater knowledge of the incident and understand what actions needed to be taken moving forward to safeguard the victim. Due to identifying that the female was vulnerable in this situation I have ensured that safeguarding measures were put in place to ensure victim safety. I identified that the home was not a safe environment for the victim to be in as it belonged to the perpetrator and therefore, he and the other two males that were present upon arrival would still be on the premises. As a result, I made the decision to take the victim to another address where she felt safe and to eliminate any further risk to the victim’s safety as this is the priority of my role as a police constable. Whilst at the new address I then continued to safeguard the victim.</w:t>
      </w:r>
    </w:p>
    <w:p w14:paraId="6A9D42DA" w14:textId="77777777" w:rsidR="00BE571A" w:rsidRPr="00977AB8" w:rsidRDefault="00BE571A" w:rsidP="00977AB8">
      <w:pPr>
        <w:spacing w:line="276" w:lineRule="auto"/>
        <w:rPr>
          <w:rFonts w:asciiTheme="minorHAnsi" w:hAnsiTheme="minorHAnsi" w:cstheme="minorHAnsi"/>
          <w:sz w:val="24"/>
          <w:szCs w:val="24"/>
        </w:rPr>
      </w:pPr>
    </w:p>
    <w:p w14:paraId="08B52D74" w14:textId="303E8C68"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 xml:space="preserve">To safeguard a victim of domestic abuse there are many procedures and powers that a police constable has, to do this. One of our primary procedures as a form of public protection, as it protects the victim and anyone associated with them in the incident by gathering vital information on the situation, is to complete a domestic abuse, harassment, and stalking (DASH) form (2009). This form consists of 27 questions that allows the officer to ask appropriate questions to gain more valuable information and properly safeguard the victim. It helps me to do this by assessing the level of risk towards the victim and allows me to share this information with partnership agencies so that they have the necessary resources to further support the victim. The questions on a DASH form can be of sensitive nature therefore it was important that I took this into consideration and adapted my form of communication to be more considerate of her feeling and emotions. </w:t>
      </w:r>
    </w:p>
    <w:p w14:paraId="4C9BEA81" w14:textId="77777777" w:rsidR="00BE571A" w:rsidRPr="00977AB8" w:rsidRDefault="00BE571A" w:rsidP="00977AB8">
      <w:pPr>
        <w:spacing w:line="276" w:lineRule="auto"/>
        <w:rPr>
          <w:rFonts w:asciiTheme="minorHAnsi" w:hAnsiTheme="minorHAnsi" w:cstheme="minorHAnsi"/>
          <w:sz w:val="24"/>
          <w:szCs w:val="24"/>
        </w:rPr>
      </w:pPr>
    </w:p>
    <w:p w14:paraId="299D6ED8" w14:textId="2E1A9391"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 xml:space="preserve">Further from completing a DASH form I have also used my discretion and decision-making skills based on the grading of this risk assessment to apply for a Domestic Violence Protection Notice (DVPN) (2014). This notice gives the victim immediate emergency protection from the offender as it ensures that the perpetrator cannot contact or attend the address of the victim within a specified period. I decided this was the most appropriate </w:t>
      </w:r>
      <w:r w:rsidRPr="00977AB8">
        <w:rPr>
          <w:rFonts w:asciiTheme="minorHAnsi" w:hAnsiTheme="minorHAnsi" w:cstheme="minorHAnsi"/>
          <w:sz w:val="24"/>
          <w:szCs w:val="24"/>
        </w:rPr>
        <w:lastRenderedPageBreak/>
        <w:t xml:space="preserve">course of positive action for the victim to safely disclose relevant information and time to reflect on what to do going forward without pressure or fear of intimidation. Under section 24 of the Crime and Security Act 2010, it is in my powers as a police constable to submit these types of protection notices, but it is neither mandatory nor dependent on the victim’s consent for me to do so. Therefore, it is a crucial decision I must make independently to further protect the female in this incident to ensure I have taken positive action in giving her every opportunity to feel safe. </w:t>
      </w:r>
    </w:p>
    <w:p w14:paraId="17B214AF" w14:textId="77777777" w:rsidR="00BE571A" w:rsidRPr="00977AB8" w:rsidRDefault="00BE571A" w:rsidP="00977AB8">
      <w:pPr>
        <w:spacing w:line="276" w:lineRule="auto"/>
        <w:rPr>
          <w:rFonts w:asciiTheme="minorHAnsi" w:hAnsiTheme="minorHAnsi" w:cstheme="minorHAnsi"/>
          <w:sz w:val="24"/>
          <w:szCs w:val="24"/>
        </w:rPr>
      </w:pPr>
    </w:p>
    <w:p w14:paraId="25D04A9A" w14:textId="77777777" w:rsidR="00BE571A" w:rsidRPr="00977AB8" w:rsidRDefault="00BE571A" w:rsidP="00977AB8">
      <w:pPr>
        <w:spacing w:line="276" w:lineRule="auto"/>
        <w:rPr>
          <w:rFonts w:asciiTheme="minorHAnsi" w:hAnsiTheme="minorHAnsi" w:cstheme="minorHAnsi"/>
          <w:sz w:val="24"/>
          <w:szCs w:val="24"/>
        </w:rPr>
      </w:pPr>
      <w:r w:rsidRPr="00977AB8">
        <w:rPr>
          <w:rFonts w:asciiTheme="minorHAnsi" w:hAnsiTheme="minorHAnsi" w:cstheme="minorHAnsi"/>
          <w:sz w:val="24"/>
          <w:szCs w:val="24"/>
        </w:rPr>
        <w:t>Word Count: 1,367</w:t>
      </w:r>
    </w:p>
    <w:p w14:paraId="42CAC54B" w14:textId="77777777" w:rsidR="00BE571A" w:rsidRDefault="00BE571A" w:rsidP="00BE571A"/>
    <w:p w14:paraId="77FFB5CB" w14:textId="77777777" w:rsidR="00BE571A" w:rsidRDefault="00BE571A" w:rsidP="00BE571A"/>
    <w:p w14:paraId="7FF10E10" w14:textId="77777777" w:rsidR="00BE571A" w:rsidRDefault="00BE571A" w:rsidP="00BE571A"/>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6B5C58B" w14:textId="77777777" w:rsidR="001A7AA5" w:rsidRPr="001A7AA5" w:rsidRDefault="001A7AA5" w:rsidP="001A7AA5">
      <w:pPr>
        <w:spacing w:line="276" w:lineRule="auto"/>
        <w:rPr>
          <w:rFonts w:asciiTheme="minorHAnsi" w:hAnsiTheme="minorHAnsi" w:cstheme="minorHAnsi"/>
          <w:color w:val="auto"/>
          <w:sz w:val="24"/>
          <w:szCs w:val="24"/>
        </w:rPr>
      </w:pPr>
      <w:r w:rsidRPr="001A7AA5">
        <w:rPr>
          <w:rFonts w:asciiTheme="minorHAnsi" w:hAnsiTheme="minorHAnsi" w:cstheme="minorHAnsi"/>
          <w:sz w:val="24"/>
          <w:szCs w:val="24"/>
        </w:rPr>
        <w:t xml:space="preserve">In this section of the workbook, I will be discussing a suspect interview I have conducted and reflect on what happened. I will be breaking the interview down and using the PEACE framework (2013) to explain each section. The PEACE framework consists of 5 phases which include planning and preparation, engaging and explanation, the account, clarification and challenge stage, closure, and finally the evaluation. Mary Schollum, a Policing Consultant, explains how this framework, which was originally adopted by police forces in the UK in 1992 (2017), allows officers to ensure that all topics are covered in an interview and allows them to analyse and evaluate their performance. I will be discussing an interview relating to a domestic violence incident that took place the night before. In this incident a male has been arrested and his detention authorised following an incident whereby he has assaulted his wife and has caused criminal damage to the home.  </w:t>
      </w:r>
    </w:p>
    <w:p w14:paraId="0278BE81" w14:textId="77777777" w:rsidR="001A7AA5" w:rsidRPr="001A7AA5" w:rsidRDefault="001A7AA5" w:rsidP="001A7AA5">
      <w:pPr>
        <w:spacing w:line="276" w:lineRule="auto"/>
        <w:rPr>
          <w:rFonts w:asciiTheme="minorHAnsi" w:hAnsiTheme="minorHAnsi" w:cstheme="minorHAnsi"/>
          <w:sz w:val="24"/>
          <w:szCs w:val="24"/>
        </w:rPr>
      </w:pPr>
    </w:p>
    <w:p w14:paraId="56682A0E" w14:textId="083F60FF" w:rsidR="001A7AA5" w:rsidRPr="001A7AA5" w:rsidRDefault="001A7AA5" w:rsidP="001A7AA5">
      <w:pPr>
        <w:spacing w:line="276" w:lineRule="auto"/>
        <w:rPr>
          <w:rFonts w:asciiTheme="minorHAnsi" w:hAnsiTheme="minorHAnsi" w:cstheme="minorHAnsi"/>
          <w:sz w:val="24"/>
          <w:szCs w:val="24"/>
        </w:rPr>
      </w:pPr>
      <w:r w:rsidRPr="001A7AA5">
        <w:rPr>
          <w:rFonts w:asciiTheme="minorHAnsi" w:hAnsiTheme="minorHAnsi" w:cstheme="minorHAnsi"/>
          <w:sz w:val="24"/>
          <w:szCs w:val="24"/>
        </w:rPr>
        <w:t xml:space="preserve">The incident initially took place as the male and his wife were out drinking in their local town. When they arrived home later that night the male has become angry and assaulted his wife in doing so. This has resulted in the wife calling the police and the male being arrested. I have chosen to discuss this interview as throughout the interview the male gave </w:t>
      </w:r>
      <w:r w:rsidRPr="001A7AA5">
        <w:rPr>
          <w:rFonts w:asciiTheme="minorHAnsi" w:hAnsiTheme="minorHAnsi" w:cstheme="minorHAnsi"/>
          <w:sz w:val="24"/>
          <w:szCs w:val="24"/>
        </w:rPr>
        <w:lastRenderedPageBreak/>
        <w:t>a thorough and detailed account of the night and the events leading up to the interview stage. His co-operation and willingness to provide enough detail gave me the opportunity to expand my questioning based on his answers and practice good interviewing skills to improve for future instances. I am now going to be discussing the PEACE model and each section of it to explain how it was used during my interview.</w:t>
      </w:r>
    </w:p>
    <w:p w14:paraId="0BE38999" w14:textId="77777777" w:rsidR="001A7AA5" w:rsidRPr="001A7AA5" w:rsidRDefault="001A7AA5" w:rsidP="001A7AA5">
      <w:pPr>
        <w:spacing w:line="276" w:lineRule="auto"/>
        <w:rPr>
          <w:rFonts w:asciiTheme="minorHAnsi" w:hAnsiTheme="minorHAnsi" w:cstheme="minorHAnsi"/>
          <w:sz w:val="24"/>
          <w:szCs w:val="24"/>
        </w:rPr>
      </w:pPr>
    </w:p>
    <w:p w14:paraId="75223CA4" w14:textId="6D310040" w:rsidR="001A7AA5" w:rsidRPr="001A7AA5" w:rsidRDefault="001A7AA5" w:rsidP="001A7AA5">
      <w:pPr>
        <w:spacing w:line="276" w:lineRule="auto"/>
        <w:rPr>
          <w:rFonts w:asciiTheme="minorHAnsi" w:hAnsiTheme="minorHAnsi" w:cstheme="minorHAnsi"/>
          <w:sz w:val="24"/>
          <w:szCs w:val="24"/>
        </w:rPr>
      </w:pPr>
      <w:r w:rsidRPr="001A7AA5">
        <w:rPr>
          <w:rFonts w:asciiTheme="minorHAnsi" w:hAnsiTheme="minorHAnsi" w:cstheme="minorHAnsi"/>
          <w:sz w:val="24"/>
          <w:szCs w:val="24"/>
        </w:rPr>
        <w:t xml:space="preserve">The initial section to the PEACE framework is ‘P’ which stands for the planning and preparation element of the interview process. To conduct a successful interview, it is important that I examine all the evidence available to me and gather and conduct enquiries to retrieve all outstanding relevant information. This is an important part of the interview as my role as a police constable is to gather evidence and remain impartial. After gathering and reviewing the evidence that is available, I can prepare an interview plan. The context of my interview plan consists of many different topics relating to the incident. I believe that having a variety of topics to be discussed allows me to ensure that all topics are covered when interviewing and there is structure to my questions. </w:t>
      </w:r>
    </w:p>
    <w:p w14:paraId="4875ED59" w14:textId="77777777" w:rsidR="001A7AA5" w:rsidRPr="001A7AA5" w:rsidRDefault="001A7AA5" w:rsidP="001A7AA5">
      <w:pPr>
        <w:spacing w:line="276" w:lineRule="auto"/>
        <w:rPr>
          <w:rFonts w:asciiTheme="minorHAnsi" w:hAnsiTheme="minorHAnsi" w:cstheme="minorHAnsi"/>
          <w:sz w:val="24"/>
          <w:szCs w:val="24"/>
        </w:rPr>
      </w:pPr>
    </w:p>
    <w:p w14:paraId="3D7D4C73" w14:textId="33225DD1" w:rsidR="001A7AA5" w:rsidRPr="001A7AA5" w:rsidRDefault="001A7AA5" w:rsidP="001A7AA5">
      <w:pPr>
        <w:spacing w:line="276" w:lineRule="auto"/>
        <w:rPr>
          <w:rFonts w:asciiTheme="minorHAnsi" w:hAnsiTheme="minorHAnsi" w:cstheme="minorHAnsi"/>
          <w:sz w:val="24"/>
          <w:szCs w:val="24"/>
        </w:rPr>
      </w:pPr>
      <w:r w:rsidRPr="001A7AA5">
        <w:rPr>
          <w:rFonts w:asciiTheme="minorHAnsi" w:hAnsiTheme="minorHAnsi" w:cstheme="minorHAnsi"/>
          <w:sz w:val="24"/>
          <w:szCs w:val="24"/>
        </w:rPr>
        <w:t>To effectively prepare for the suspect interview, it is important that the suspect is asked whether they would like legal representation. This is crucial to uphold the suspects human right to a fair trial, which is covered under Article 6 of the Human Rights Act 1998. This article states that the suspect has the right to be defended by themselves or legal assistance. As a result of the suspect in this incident requesting to be defended by a solicitor, I have created an MG6A form (2020), which is a record of pre-interview briefing given to a solicitor. This document includes information such as why the defendant is being interviewed, what offences have been committed and what evidence have the police got available to them supporting the accusations. It was important at this stage of the preparation for me to be honest and transparent with the solicitors to act in line with the with the Code of Ethics (2014) principles of openness and honesty.</w:t>
      </w:r>
    </w:p>
    <w:p w14:paraId="1D277B97" w14:textId="77777777" w:rsidR="001A7AA5" w:rsidRPr="001A7AA5" w:rsidRDefault="001A7AA5" w:rsidP="001A7AA5">
      <w:pPr>
        <w:spacing w:line="276" w:lineRule="auto"/>
        <w:rPr>
          <w:rFonts w:asciiTheme="minorHAnsi" w:hAnsiTheme="minorHAnsi" w:cstheme="minorHAnsi"/>
          <w:sz w:val="24"/>
          <w:szCs w:val="24"/>
        </w:rPr>
      </w:pPr>
    </w:p>
    <w:p w14:paraId="0AEAAEC6" w14:textId="6F1F41AD" w:rsidR="001A7AA5" w:rsidRPr="001A7AA5" w:rsidRDefault="001A7AA5" w:rsidP="001A7AA5">
      <w:pPr>
        <w:spacing w:line="276" w:lineRule="auto"/>
        <w:rPr>
          <w:rFonts w:asciiTheme="minorHAnsi" w:hAnsiTheme="minorHAnsi" w:cstheme="minorHAnsi"/>
          <w:sz w:val="24"/>
          <w:szCs w:val="24"/>
        </w:rPr>
      </w:pPr>
      <w:r w:rsidRPr="001A7AA5">
        <w:rPr>
          <w:rFonts w:asciiTheme="minorHAnsi" w:hAnsiTheme="minorHAnsi" w:cstheme="minorHAnsi"/>
          <w:sz w:val="24"/>
          <w:szCs w:val="24"/>
        </w:rPr>
        <w:t>The second stage is to engage and explain. This stage is a key element of any interview process and I ensured that this was covered effectively during my interview. After the planning and preparation was completed for the interview, this then allowed me to conduct the interview itself. When interviewing, I believe that it’s extremely important to engage at the earliest stage with the suspect to build a rapport. I did this during the initial time in the interview by using my active listening skills and using good eye contact to engage effectively with the suspect. After beginning to build a rapport with the suspect this then allowed me to begin with my interview plan, which included the aide memoire (2020). The aide memoire is a key aspect of the interview as it allowed me to continue with the fundamental elements of the engage and explain stage. These include the reason for the interview, the objectives that will be covered and the routines and expectations. I have begun by explaining to the suspect the reason for the interview, explaining that they have been arrested on suspicion of common assault and causing criminal damage.</w:t>
      </w:r>
    </w:p>
    <w:p w14:paraId="086E74EE" w14:textId="77777777" w:rsidR="001A7AA5" w:rsidRPr="001A7AA5" w:rsidRDefault="001A7AA5" w:rsidP="001A7AA5">
      <w:pPr>
        <w:spacing w:line="276" w:lineRule="auto"/>
        <w:rPr>
          <w:rFonts w:asciiTheme="minorHAnsi" w:hAnsiTheme="minorHAnsi" w:cstheme="minorHAnsi"/>
          <w:sz w:val="24"/>
          <w:szCs w:val="24"/>
        </w:rPr>
      </w:pPr>
    </w:p>
    <w:p w14:paraId="683F90FC" w14:textId="0EBD1F82" w:rsidR="001A7AA5" w:rsidRPr="001A7AA5" w:rsidRDefault="001A7AA5" w:rsidP="001A7AA5">
      <w:pPr>
        <w:spacing w:line="276" w:lineRule="auto"/>
        <w:rPr>
          <w:rFonts w:asciiTheme="minorHAnsi" w:hAnsiTheme="minorHAnsi" w:cstheme="minorHAnsi"/>
          <w:sz w:val="24"/>
          <w:szCs w:val="24"/>
        </w:rPr>
      </w:pPr>
      <w:r w:rsidRPr="001A7AA5">
        <w:rPr>
          <w:rFonts w:asciiTheme="minorHAnsi" w:hAnsiTheme="minorHAnsi" w:cstheme="minorHAnsi"/>
          <w:sz w:val="24"/>
          <w:szCs w:val="24"/>
        </w:rPr>
        <w:t xml:space="preserve">Additionally, I have then explained the objectives of the interview mentioning the topics that will be covered and in what order. I believe that this was effective during the interview as the suspect could see that I was being transparent and upholding values of the code of ethics therefore this further built my rapport with the suspect. The Code of Ethics are a set of standards that were created and introduced by the College of Policing to ensure that every person working for the police work in a fair and ethical manner. Finally, I have explained the routines of the interview explaining to the suspect that during the interview, I would be making notes to keep a running record of what is being said. I have also explained the expectations to the suspect, stating that during the interview I require verbal answers only as making gestures or nodding their head will lead to me asking them to further explain what is meant by these gestures. I have also explained that the interview is their time to explain their degree of involvement. </w:t>
      </w:r>
    </w:p>
    <w:p w14:paraId="5D9D8080" w14:textId="77777777" w:rsidR="001A7AA5" w:rsidRPr="001A7AA5" w:rsidRDefault="001A7AA5" w:rsidP="001A7AA5">
      <w:pPr>
        <w:spacing w:line="276" w:lineRule="auto"/>
        <w:rPr>
          <w:rFonts w:asciiTheme="minorHAnsi" w:hAnsiTheme="minorHAnsi" w:cstheme="minorHAnsi"/>
          <w:sz w:val="24"/>
          <w:szCs w:val="24"/>
        </w:rPr>
      </w:pPr>
    </w:p>
    <w:p w14:paraId="69A9F015" w14:textId="10887281" w:rsidR="001A7AA5" w:rsidRPr="001A7AA5" w:rsidRDefault="001A7AA5" w:rsidP="001A7AA5">
      <w:pPr>
        <w:spacing w:line="276" w:lineRule="auto"/>
        <w:rPr>
          <w:rFonts w:asciiTheme="minorHAnsi" w:hAnsiTheme="minorHAnsi" w:cstheme="minorHAnsi"/>
          <w:sz w:val="24"/>
          <w:szCs w:val="24"/>
        </w:rPr>
      </w:pPr>
      <w:r w:rsidRPr="001A7AA5">
        <w:rPr>
          <w:rFonts w:asciiTheme="minorHAnsi" w:hAnsiTheme="minorHAnsi" w:cstheme="minorHAnsi"/>
          <w:sz w:val="24"/>
          <w:szCs w:val="24"/>
        </w:rPr>
        <w:t xml:space="preserve">The third stage is ‘A’ which stands for the account, clarification, and challenge stage of the interview. This stage leads on from the explain stage and begins the process of asking questions and receiving an account from the suspect of their involvement. During this stage of the interview, it is important to cover all topics in a methodical way to ensure all points have been covered. It is also important to use the correct method of questioning to avoid any confusion when the suspect is answering. Throughout my interview I have used a variety of open-ended questions (2020) as these gave the suspect the time and ability to answer in as much detail as he deemed necessary. As Gavin Oxburgh explains (2010), using open-ended questions allows the suspect to feel less restricted when speaking. This then allowed me to further probe, clarify and challenge his account. During the interview I also used a variety of specific-closed questions to further clarify some key points mentioned in the interview. Using specifically closed questions are a good way for the interviewer to regain control of the interview and to be able to clarify aspects of the suspect’s account. </w:t>
      </w:r>
    </w:p>
    <w:p w14:paraId="7FC2BB84" w14:textId="77777777" w:rsidR="001A7AA5" w:rsidRPr="001A7AA5" w:rsidRDefault="001A7AA5" w:rsidP="001A7AA5">
      <w:pPr>
        <w:spacing w:line="276" w:lineRule="auto"/>
        <w:rPr>
          <w:rFonts w:asciiTheme="minorHAnsi" w:hAnsiTheme="minorHAnsi" w:cstheme="minorHAnsi"/>
          <w:sz w:val="24"/>
          <w:szCs w:val="24"/>
        </w:rPr>
      </w:pPr>
    </w:p>
    <w:p w14:paraId="376C3BFB" w14:textId="7E578CD5" w:rsidR="001A7AA5" w:rsidRPr="001A7AA5" w:rsidRDefault="001A7AA5" w:rsidP="001A7AA5">
      <w:pPr>
        <w:spacing w:line="276" w:lineRule="auto"/>
        <w:rPr>
          <w:rFonts w:asciiTheme="minorHAnsi" w:hAnsiTheme="minorHAnsi" w:cstheme="minorHAnsi"/>
          <w:sz w:val="24"/>
          <w:szCs w:val="24"/>
        </w:rPr>
      </w:pPr>
      <w:r w:rsidRPr="001A7AA5">
        <w:rPr>
          <w:rFonts w:asciiTheme="minorHAnsi" w:hAnsiTheme="minorHAnsi" w:cstheme="minorHAnsi"/>
          <w:sz w:val="24"/>
          <w:szCs w:val="24"/>
        </w:rPr>
        <w:t xml:space="preserve">Following this, the next step is C, which stands for the closure of the interview. When closing an interview, it is important that it does not end abruptly. To do this, I gave a summary of the key points that were made during the interview and asked the suspect if they had anything to add as it’s important that they feel like they have had a fair chance to express their account of the events. I finally finished off the interview by stating the finishing time and announced to all in the room that the interview is being concluded. The final stage is the evaluation. This is the stage when I was able to reflect upon my performance throughout the interview, asking myself questions such as, what worked well? What could I have done better? Is there anything else that needs to be done? I believe that its beneficial for me to reflect upon my performance as it allows me to identify my own areas of weakness to further improve on in the future. This stage also covers the result of the interview. For example, because of the conclusion of this interview I evaluated the answers </w:t>
      </w:r>
      <w:r w:rsidRPr="001A7AA5">
        <w:rPr>
          <w:rFonts w:asciiTheme="minorHAnsi" w:hAnsiTheme="minorHAnsi" w:cstheme="minorHAnsi"/>
          <w:sz w:val="24"/>
          <w:szCs w:val="24"/>
        </w:rPr>
        <w:lastRenderedPageBreak/>
        <w:t>given by the suspect and decided on what the outcome was going to be and what needs to be done next to achieve this.</w:t>
      </w:r>
    </w:p>
    <w:p w14:paraId="4E45EAAB" w14:textId="77777777" w:rsidR="001A7AA5" w:rsidRPr="001A7AA5" w:rsidRDefault="001A7AA5" w:rsidP="001A7AA5">
      <w:pPr>
        <w:spacing w:line="276" w:lineRule="auto"/>
        <w:rPr>
          <w:rFonts w:asciiTheme="minorHAnsi" w:hAnsiTheme="minorHAnsi" w:cstheme="minorHAnsi"/>
          <w:sz w:val="24"/>
          <w:szCs w:val="24"/>
        </w:rPr>
      </w:pPr>
    </w:p>
    <w:p w14:paraId="6B487DD5" w14:textId="77777777" w:rsidR="001A7AA5" w:rsidRPr="001A7AA5" w:rsidRDefault="001A7AA5" w:rsidP="001A7AA5">
      <w:pPr>
        <w:spacing w:line="276" w:lineRule="auto"/>
        <w:rPr>
          <w:rFonts w:asciiTheme="minorHAnsi" w:hAnsiTheme="minorHAnsi" w:cstheme="minorHAnsi"/>
          <w:sz w:val="24"/>
          <w:szCs w:val="24"/>
        </w:rPr>
      </w:pPr>
      <w:r w:rsidRPr="001A7AA5">
        <w:rPr>
          <w:rFonts w:asciiTheme="minorHAnsi" w:hAnsiTheme="minorHAnsi" w:cstheme="minorHAnsi"/>
          <w:sz w:val="24"/>
          <w:szCs w:val="24"/>
        </w:rPr>
        <w:t>Word Count: 1,372</w:t>
      </w:r>
    </w:p>
    <w:p w14:paraId="57103ACE" w14:textId="77777777" w:rsidR="001A7AA5" w:rsidRDefault="001A7AA5" w:rsidP="001A7AA5"/>
    <w:p w14:paraId="24ACD65E" w14:textId="77777777" w:rsidR="001A7AA5" w:rsidRDefault="001A7AA5" w:rsidP="001A7AA5"/>
    <w:p w14:paraId="15A88C59" w14:textId="77777777" w:rsidR="001A7AA5" w:rsidRDefault="001A7AA5" w:rsidP="001A7AA5"/>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7B53E8EF" w14:textId="77777777" w:rsidR="00500B94" w:rsidRPr="00181839" w:rsidRDefault="00500B94" w:rsidP="00181839">
      <w:pPr>
        <w:spacing w:line="276" w:lineRule="auto"/>
        <w:rPr>
          <w:rFonts w:asciiTheme="minorHAnsi" w:hAnsiTheme="minorHAnsi" w:cstheme="minorHAnsi"/>
          <w:color w:val="auto"/>
          <w:sz w:val="24"/>
          <w:szCs w:val="24"/>
        </w:rPr>
      </w:pPr>
      <w:r w:rsidRPr="00181839">
        <w:rPr>
          <w:rFonts w:asciiTheme="minorHAnsi" w:hAnsiTheme="minorHAnsi" w:cstheme="minorHAnsi"/>
          <w:sz w:val="24"/>
          <w:szCs w:val="24"/>
        </w:rPr>
        <w:t xml:space="preserve">In this section of the workbook, I will discuss an incident that has been ongoing whereby I have dealt with a group of youths who were causing anti-social behaviour (ASB) in an area which was affecting the local community. I will explain what actions I took in this incident and how I enforced them. </w:t>
      </w:r>
    </w:p>
    <w:p w14:paraId="55DC2F97" w14:textId="77777777" w:rsidR="00181839" w:rsidRDefault="00181839" w:rsidP="00181839">
      <w:pPr>
        <w:spacing w:line="276" w:lineRule="auto"/>
        <w:rPr>
          <w:rFonts w:asciiTheme="minorHAnsi" w:hAnsiTheme="minorHAnsi" w:cstheme="minorHAnsi"/>
          <w:sz w:val="24"/>
          <w:szCs w:val="24"/>
        </w:rPr>
      </w:pPr>
    </w:p>
    <w:p w14:paraId="5D1C14C1" w14:textId="23A6ECEE"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lastRenderedPageBreak/>
        <w:t>ASB is such a complex issue that covers a variety of offences ranging from low level crime such as graffiti, swearing and shouting and petty theft to more serious offences such as illegal use of motorised vehicles and on street sex work. Some of these offences can also overlap with others such as people acting in a drunk and disorderly manner when on a night out, which can make it challenging to pinpoint what ASB means exactly. Because of this, many academics and official policing agencies may define and describe this issue in different ways. I will choose a definition that I believe best fits my perception of what ASB means and one that is most accurate to represent the many interpretations of the term. According to an article published by the Home Office in relation to ‘defining and measuring anti-social behaviour’, ASB is defined as “acting in a manner that caused or was likely to cause harassment, alarm or distress to one or more persons not of the same household as (the defendant)” (2004). This is the definition that best describes the ASB that I was faced with in this incident.</w:t>
      </w:r>
    </w:p>
    <w:p w14:paraId="317CB5D3" w14:textId="77777777" w:rsidR="00181839" w:rsidRPr="00181839" w:rsidRDefault="00181839" w:rsidP="00181839">
      <w:pPr>
        <w:spacing w:line="276" w:lineRule="auto"/>
        <w:rPr>
          <w:rFonts w:asciiTheme="minorHAnsi" w:hAnsiTheme="minorHAnsi" w:cstheme="minorHAnsi"/>
          <w:sz w:val="24"/>
          <w:szCs w:val="24"/>
        </w:rPr>
      </w:pPr>
    </w:p>
    <w:p w14:paraId="19552621" w14:textId="33872A02"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t>The incident I have dealt involved a large group of youths congregating in an area on a regular basis creating a lot of noise and committing low level crime, which as a result affected the surrounding community. This incident, using the definition provided by the home office was classified as ASB due to the actions of the youths causing the people of the local community to feel harassed, alarmed and distressed. The youths in question in this incident were between the ages of 14-16 years and were congregating in a local housing estate. In this housing estate there was variety of local shops and takeaways. There was also a community centre w</w:t>
      </w:r>
      <w:r w:rsidR="00181839" w:rsidRPr="00181839">
        <w:rPr>
          <w:rFonts w:asciiTheme="minorHAnsi" w:hAnsiTheme="minorHAnsi" w:cstheme="minorHAnsi"/>
          <w:sz w:val="24"/>
          <w:szCs w:val="24"/>
        </w:rPr>
        <w:t>h</w:t>
      </w:r>
      <w:r w:rsidRPr="00181839">
        <w:rPr>
          <w:rFonts w:asciiTheme="minorHAnsi" w:hAnsiTheme="minorHAnsi" w:cstheme="minorHAnsi"/>
          <w:sz w:val="24"/>
          <w:szCs w:val="24"/>
        </w:rPr>
        <w:t>ere there was a fenced football arena. Police often received a high volume of calls from residents and business owners of this housing estate complaining about the youths and their behaviour.</w:t>
      </w:r>
    </w:p>
    <w:p w14:paraId="0B82C9DF" w14:textId="77777777" w:rsidR="00181839" w:rsidRPr="00181839" w:rsidRDefault="00181839" w:rsidP="00181839">
      <w:pPr>
        <w:spacing w:line="276" w:lineRule="auto"/>
        <w:rPr>
          <w:rFonts w:asciiTheme="minorHAnsi" w:hAnsiTheme="minorHAnsi" w:cstheme="minorHAnsi"/>
          <w:sz w:val="24"/>
          <w:szCs w:val="24"/>
        </w:rPr>
      </w:pPr>
    </w:p>
    <w:p w14:paraId="72A476AF" w14:textId="7553AF81"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t xml:space="preserve">During my initial 2 months as a police constable, I had received several calls to the area concerning youths. After a couple of months of attending the area and speaking to the victims of this ASB, it was clear that it was having an </w:t>
      </w:r>
      <w:r w:rsidR="00181839" w:rsidRPr="00181839">
        <w:rPr>
          <w:rFonts w:asciiTheme="minorHAnsi" w:hAnsiTheme="minorHAnsi" w:cstheme="minorHAnsi"/>
          <w:sz w:val="24"/>
          <w:szCs w:val="24"/>
        </w:rPr>
        <w:t>e</w:t>
      </w:r>
      <w:r w:rsidRPr="00181839">
        <w:rPr>
          <w:rFonts w:asciiTheme="minorHAnsi" w:hAnsiTheme="minorHAnsi" w:cstheme="minorHAnsi"/>
          <w:sz w:val="24"/>
          <w:szCs w:val="24"/>
        </w:rPr>
        <w:t>ffect on their wellbeing. The calls differed from noise complaints to inappropriate behaviour. In keeping with Gwent Police priorities set out in Gwent Police &amp; Crime Plan 2017-2021 (2019) I believed the best way to support the victims was to tackle the ASB head on in an efficient and effective manner. In order to do this, I decided that it was important to gather as much evidence as possible such as photos of the youths, CCTV footage and statements. By doing this it allowed me to identify the youths and work alongside partnership agencies and other departments within the police in order to combat this.</w:t>
      </w:r>
    </w:p>
    <w:p w14:paraId="37B8C3ED" w14:textId="77777777" w:rsidR="00181839" w:rsidRPr="00181839" w:rsidRDefault="00181839" w:rsidP="00181839">
      <w:pPr>
        <w:spacing w:line="276" w:lineRule="auto"/>
        <w:rPr>
          <w:rFonts w:asciiTheme="minorHAnsi" w:hAnsiTheme="minorHAnsi" w:cstheme="minorHAnsi"/>
          <w:sz w:val="24"/>
          <w:szCs w:val="24"/>
        </w:rPr>
      </w:pPr>
    </w:p>
    <w:p w14:paraId="2A6A0858" w14:textId="2680D6AF"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t xml:space="preserve">I firstly contacted the local school liaison officers within the force to identify the youths on the photos and CCTV footage. As a result of doing this several youths were identified and the schools that they attended. Due to this, I was able to work alongside the school liaison officers in order to attend the schools and educate the youths on the importance of behaving respectfully towards members of the community. Also, understanding the severity </w:t>
      </w:r>
      <w:r w:rsidRPr="00181839">
        <w:rPr>
          <w:rFonts w:asciiTheme="minorHAnsi" w:hAnsiTheme="minorHAnsi" w:cstheme="minorHAnsi"/>
          <w:sz w:val="24"/>
          <w:szCs w:val="24"/>
        </w:rPr>
        <w:lastRenderedPageBreak/>
        <w:t>of the consequences that their behaviour has on others. During the school visit they were also educated on the criminal justice system and the detrimental effect that committing offences can have on their future. As a result of this school visit there was a noticeable decrease in calls to the area for a short amount of time however, the call volume then began increasing again.</w:t>
      </w:r>
    </w:p>
    <w:p w14:paraId="4F1FC6C8" w14:textId="77777777" w:rsidR="00181839" w:rsidRPr="00181839" w:rsidRDefault="00181839" w:rsidP="00181839">
      <w:pPr>
        <w:spacing w:line="276" w:lineRule="auto"/>
        <w:rPr>
          <w:rFonts w:asciiTheme="minorHAnsi" w:hAnsiTheme="minorHAnsi" w:cstheme="minorHAnsi"/>
          <w:sz w:val="24"/>
          <w:szCs w:val="24"/>
        </w:rPr>
      </w:pPr>
    </w:p>
    <w:p w14:paraId="40CED9AE" w14:textId="46413875"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t>Following this new information I then decided to find a new prevention strategy to combat this issue. I decided that I would work alongside my neighbourhood policing team in order to carry out high visibility patrols. This action was constituted by the increase of calls from residents stating that there were several low-level crimes still being committed. I began by preparing a briefing and sent it out to all officers and police community support officers (PCSO’s) on the local neighbourhood team. The briefing included key information in relation to the incident such as photo’s, CCTV footage, names of the youths, schools and locations. By doing this, it allowed all involved officers to understand the issues and who the offenders were. I then began carrying out the high visibility patrols in the area alongside my colleagues from the neighbourhood department and were communicating on a regular basis with the resident and business owners in order to gain a better understanding of their views and needs. By doing this I was again acting in line with the forces priorities and values of supporting victims and tackling ASB.</w:t>
      </w:r>
    </w:p>
    <w:p w14:paraId="23A17DD2" w14:textId="77777777" w:rsidR="00181839" w:rsidRPr="00181839" w:rsidRDefault="00181839" w:rsidP="00181839">
      <w:pPr>
        <w:spacing w:line="276" w:lineRule="auto"/>
        <w:rPr>
          <w:rFonts w:asciiTheme="minorHAnsi" w:hAnsiTheme="minorHAnsi" w:cstheme="minorHAnsi"/>
          <w:sz w:val="24"/>
          <w:szCs w:val="24"/>
        </w:rPr>
      </w:pPr>
    </w:p>
    <w:p w14:paraId="5A81CD83" w14:textId="1119BE2D"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t xml:space="preserve">During our engagement with the local community it was clear that there were still outstanding issues with the youths in the area. It was expressed by a local store owner that there had been several incidents whereby the youths have been stood outside the store in a large group swearing and shouting amongst each other. As a result of this, the store owner mentioned that he has seen a loss of sales due to members of the local community being afraid to walk past the youths and enter the store. After receiving this information it was clear that something needed to be done in order to regain the trust of the local community. I therefore decided to apply for a community protection warning (CPW) which is outlined by the City of York Council (2022). This is a protection notice that is served upon an individual or individuals if an officer believes that their behaviour is beginning to have a negative effect on the surrounding community. The CPW sets out clearly the issues that have been raised and how the individual can overcome them. I applied for a CPW which was granted and served it upon individuals who had been named as the ones that were causing the issues. This initially worked; however the issues began arising again soon after. </w:t>
      </w:r>
    </w:p>
    <w:p w14:paraId="00807FCD" w14:textId="77777777" w:rsidR="00181839" w:rsidRPr="00181839" w:rsidRDefault="00181839" w:rsidP="00181839">
      <w:pPr>
        <w:spacing w:line="276" w:lineRule="auto"/>
        <w:rPr>
          <w:rFonts w:asciiTheme="minorHAnsi" w:hAnsiTheme="minorHAnsi" w:cstheme="minorHAnsi"/>
          <w:sz w:val="24"/>
          <w:szCs w:val="24"/>
        </w:rPr>
      </w:pPr>
    </w:p>
    <w:p w14:paraId="40B60A9C" w14:textId="0564A0FB"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t xml:space="preserve">As a result of this, I then decided to apply for a CPN (2022). This is the step up from a CPW and allows an officer to act against the offender who breaches the order. My application for a CPN was granted as part of Gwent Police’s positive action against ASB. I then served it upon the prolific offenders within the group. When serving it upon the offenders I ensured that they understood that there can be consequences to their actions if they were to breach the order. Soon after, two of the four offenders breached the CPN and as a result were </w:t>
      </w:r>
      <w:r w:rsidRPr="00181839">
        <w:rPr>
          <w:rFonts w:asciiTheme="minorHAnsi" w:hAnsiTheme="minorHAnsi" w:cstheme="minorHAnsi"/>
          <w:sz w:val="24"/>
          <w:szCs w:val="24"/>
        </w:rPr>
        <w:lastRenderedPageBreak/>
        <w:t>issued with fixed penalty notices, which Rachel Armitage explains in an article on tackling ASB as an immediate fine to deter people from committing low level offences (2002). They were then referred to the youth offending services. The youth offending service, which is outlined in an official government article, helps and advises youths who have been involved in crime and work with them to remain on the right track.</w:t>
      </w:r>
    </w:p>
    <w:p w14:paraId="6C80547A" w14:textId="77777777" w:rsidR="00181839" w:rsidRPr="00181839" w:rsidRDefault="00181839" w:rsidP="00181839">
      <w:pPr>
        <w:spacing w:line="276" w:lineRule="auto"/>
        <w:rPr>
          <w:rFonts w:asciiTheme="minorHAnsi" w:hAnsiTheme="minorHAnsi" w:cstheme="minorHAnsi"/>
          <w:sz w:val="24"/>
          <w:szCs w:val="24"/>
        </w:rPr>
      </w:pPr>
    </w:p>
    <w:p w14:paraId="22C1CB5B" w14:textId="5CB37AF1"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t xml:space="preserve">When issuing the two youths with the fixed penalty notices I engaged with them to see why they were prolifically offending and try to build a rapport with them. They mentioned that they had nothing else to do and that’s why they all congregate together in the estate. They also raised an issue, stating that the football arena is never open out of school hours. I asked the youths if they would find it beneficial to have a place to meet up and hangout to which they stated it would. I therefore decided I would get in touch with the local council in order to enquire about changing the opening hour of the football arena as this was something, they expressed interest in. Following this request, I managed to get the hours changed for the football arena. </w:t>
      </w:r>
    </w:p>
    <w:p w14:paraId="34C6047F" w14:textId="77777777" w:rsidR="00181839" w:rsidRPr="00181839" w:rsidRDefault="00181839" w:rsidP="00181839">
      <w:pPr>
        <w:spacing w:line="276" w:lineRule="auto"/>
        <w:rPr>
          <w:rFonts w:asciiTheme="minorHAnsi" w:hAnsiTheme="minorHAnsi" w:cstheme="minorHAnsi"/>
          <w:sz w:val="24"/>
          <w:szCs w:val="24"/>
        </w:rPr>
      </w:pPr>
    </w:p>
    <w:p w14:paraId="7FA31CE0" w14:textId="49F921C4" w:rsidR="00500B94" w:rsidRPr="00181839" w:rsidRDefault="00500B94" w:rsidP="00181839">
      <w:pPr>
        <w:spacing w:line="276" w:lineRule="auto"/>
        <w:rPr>
          <w:rFonts w:asciiTheme="minorHAnsi" w:hAnsiTheme="minorHAnsi" w:cstheme="minorHAnsi"/>
          <w:sz w:val="24"/>
          <w:szCs w:val="24"/>
        </w:rPr>
      </w:pPr>
      <w:r w:rsidRPr="00181839">
        <w:rPr>
          <w:rFonts w:asciiTheme="minorHAnsi" w:hAnsiTheme="minorHAnsi" w:cstheme="minorHAnsi"/>
          <w:sz w:val="24"/>
          <w:szCs w:val="24"/>
        </w:rPr>
        <w:t>As a result of this, the youths began slowly using the football arena and there were less youths walking around the estate and congregating outside the shops. Although this was successful, I understood that this was a temporary fix. To successfully create a more permanent and effective solution to the issue, I contacted the local councillor to see if they would be able to create a youth club as one did not exists already that would help the youths socialise positively rather than turning to ASB. They were fully willing to support this as they were aware of the prior ongoing ASB issues. In the space of a week there was a youth club being run in the local community hall located next to the football arena. The youth club conducted a range of activities for the youth to participate in such as sports, gaming, leisure games and others. To ensure that the community felt fully supported by the police, I again worked alongside my colleague in the local neighbourhood team in order to conduct patrols in the area. I also set a date whereby we would attend the club on a weekly basis to engage with the youths and address any issues that arose.</w:t>
      </w:r>
    </w:p>
    <w:p w14:paraId="4CF650DD" w14:textId="77777777" w:rsidR="00181839" w:rsidRPr="00181839" w:rsidRDefault="00181839" w:rsidP="00181839">
      <w:pPr>
        <w:spacing w:line="276" w:lineRule="auto"/>
        <w:rPr>
          <w:rFonts w:asciiTheme="minorHAnsi" w:hAnsiTheme="minorHAnsi" w:cstheme="minorHAnsi"/>
          <w:sz w:val="24"/>
          <w:szCs w:val="24"/>
        </w:rPr>
      </w:pPr>
    </w:p>
    <w:p w14:paraId="2F97ADC5" w14:textId="2BA751B5" w:rsidR="00500B94" w:rsidRPr="00181839" w:rsidRDefault="00500B94" w:rsidP="00181839">
      <w:pPr>
        <w:spacing w:line="276" w:lineRule="auto"/>
        <w:rPr>
          <w:rFonts w:asciiTheme="minorHAnsi" w:hAnsiTheme="minorHAnsi" w:cstheme="minorHAnsi"/>
          <w:color w:val="FF0000"/>
          <w:sz w:val="24"/>
          <w:szCs w:val="24"/>
        </w:rPr>
      </w:pPr>
      <w:r w:rsidRPr="00181839">
        <w:rPr>
          <w:rFonts w:asciiTheme="minorHAnsi" w:hAnsiTheme="minorHAnsi" w:cstheme="minorHAnsi"/>
          <w:sz w:val="24"/>
          <w:szCs w:val="24"/>
        </w:rPr>
        <w:t>After tackling this issue, I believed that it was important to keep the victims up to date with what progress had been made. I informed the local people concerned to explain what had been done in order to help and support them. I believe that this made the victims feel valued and supported as they expressed that they felt that their concerns had been met and that they felt safer in the community. When speaking to the store owner that had suffered financial loss as a result of the ASB, he stated that there have been no further issues as a result of police actions.</w:t>
      </w:r>
    </w:p>
    <w:p w14:paraId="44AD5DED" w14:textId="77777777" w:rsidR="00181839" w:rsidRPr="00181839" w:rsidRDefault="00181839" w:rsidP="00181839">
      <w:pPr>
        <w:spacing w:line="276" w:lineRule="auto"/>
        <w:rPr>
          <w:rFonts w:asciiTheme="minorHAnsi" w:hAnsiTheme="minorHAnsi" w:cstheme="minorHAnsi"/>
          <w:sz w:val="24"/>
          <w:szCs w:val="24"/>
        </w:rPr>
      </w:pPr>
    </w:p>
    <w:p w14:paraId="68F223B9" w14:textId="20890C66" w:rsidR="00500B94" w:rsidRPr="00181839" w:rsidRDefault="00500B94" w:rsidP="00181839">
      <w:pPr>
        <w:spacing w:line="276" w:lineRule="auto"/>
        <w:rPr>
          <w:rFonts w:asciiTheme="minorHAnsi" w:hAnsiTheme="minorHAnsi" w:cstheme="minorHAnsi"/>
          <w:color w:val="auto"/>
          <w:sz w:val="24"/>
          <w:szCs w:val="24"/>
        </w:rPr>
      </w:pPr>
      <w:r w:rsidRPr="00181839">
        <w:rPr>
          <w:rFonts w:asciiTheme="minorHAnsi" w:hAnsiTheme="minorHAnsi" w:cstheme="minorHAnsi"/>
          <w:sz w:val="24"/>
          <w:szCs w:val="24"/>
        </w:rPr>
        <w:t xml:space="preserve">Throughout this investigation, I believe that I had used my discretion in order to support the youths that were causing the issue as well as support the local community. The youth’s initial behaviour amounted to minor offences which would possibly lead to them receiving a </w:t>
      </w:r>
      <w:r w:rsidRPr="00181839">
        <w:rPr>
          <w:rFonts w:asciiTheme="minorHAnsi" w:hAnsiTheme="minorHAnsi" w:cstheme="minorHAnsi"/>
          <w:sz w:val="24"/>
          <w:szCs w:val="24"/>
        </w:rPr>
        <w:lastRenderedPageBreak/>
        <w:t>criminal record. I believed that by doing this, it could encourage them to carry on due to them already being in the criminal justice system. This would not have benefitted the local community either as the issue would have still been present. Using my discretion in order to deal with the offences and support the youths lead to the ASB issues in the area significantly decreasing and the residents and business owners feeling safe in their community.</w:t>
      </w:r>
    </w:p>
    <w:p w14:paraId="2C516326" w14:textId="77777777" w:rsidR="00500B94" w:rsidRDefault="00500B94" w:rsidP="00500B94"/>
    <w:p w14:paraId="55E8513B" w14:textId="77777777" w:rsidR="00025650" w:rsidRPr="00270EEB" w:rsidRDefault="00025650" w:rsidP="00340E9A">
      <w:pPr>
        <w:ind w:right="237"/>
        <w:jc w:val="both"/>
        <w:rPr>
          <w:sz w:val="24"/>
          <w:szCs w:val="24"/>
        </w:rPr>
      </w:pPr>
    </w:p>
    <w:p w14:paraId="4C811AD3" w14:textId="636102EB" w:rsidR="00025650" w:rsidRPr="00181839" w:rsidRDefault="00181839" w:rsidP="00340E9A">
      <w:pPr>
        <w:ind w:right="237"/>
        <w:jc w:val="both"/>
        <w:rPr>
          <w:sz w:val="22"/>
          <w:szCs w:val="22"/>
        </w:rPr>
      </w:pPr>
      <w:r w:rsidRPr="00181839">
        <w:rPr>
          <w:sz w:val="22"/>
          <w:szCs w:val="22"/>
        </w:rPr>
        <w:t>Word Count: 1,822</w:t>
      </w: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33708E83" w14:textId="77777777" w:rsidR="003D4DCF" w:rsidRPr="00D8391F" w:rsidRDefault="003D4DCF" w:rsidP="003D4DCF">
      <w:pPr>
        <w:rPr>
          <w:rFonts w:asciiTheme="minorHAnsi" w:hAnsiTheme="minorHAnsi" w:cstheme="minorHAnsi"/>
          <w:sz w:val="22"/>
          <w:szCs w:val="22"/>
        </w:rPr>
      </w:pPr>
      <w:r w:rsidRPr="00D8391F">
        <w:rPr>
          <w:rFonts w:asciiTheme="minorHAnsi" w:hAnsiTheme="minorHAnsi" w:cstheme="minorHAnsi"/>
          <w:sz w:val="22"/>
          <w:szCs w:val="22"/>
        </w:rPr>
        <w:t xml:space="preserve">Abel, Millicent H. (2002) </w:t>
      </w:r>
      <w:r w:rsidRPr="00D8391F">
        <w:rPr>
          <w:rFonts w:asciiTheme="minorHAnsi" w:hAnsiTheme="minorHAnsi" w:cstheme="minorHAnsi"/>
          <w:i/>
          <w:iCs/>
          <w:sz w:val="22"/>
          <w:szCs w:val="22"/>
        </w:rPr>
        <w:t>Humor, stress, and coping strategies</w:t>
      </w:r>
      <w:r w:rsidRPr="00D8391F">
        <w:rPr>
          <w:rFonts w:asciiTheme="minorHAnsi" w:hAnsiTheme="minorHAnsi" w:cstheme="minorHAnsi"/>
          <w:sz w:val="22"/>
          <w:szCs w:val="22"/>
        </w:rPr>
        <w:t>. Viol. 15, No. 4. Pp 365-381 (Task 1)</w:t>
      </w:r>
    </w:p>
    <w:p w14:paraId="54D8594B" w14:textId="77777777" w:rsidR="003D4DCF" w:rsidRPr="00D8391F" w:rsidRDefault="003D4DCF" w:rsidP="003D4DCF">
      <w:pPr>
        <w:rPr>
          <w:rFonts w:asciiTheme="minorHAnsi" w:hAnsiTheme="minorHAnsi" w:cstheme="minorHAnsi"/>
          <w:sz w:val="22"/>
          <w:szCs w:val="22"/>
        </w:rPr>
      </w:pPr>
    </w:p>
    <w:p w14:paraId="0018145B" w14:textId="1C49C35C" w:rsidR="003D4DCF" w:rsidRPr="00D8391F" w:rsidRDefault="003D4DCF" w:rsidP="003D4DCF">
      <w:pPr>
        <w:rPr>
          <w:rFonts w:asciiTheme="minorHAnsi" w:hAnsiTheme="minorHAnsi" w:cstheme="minorHAnsi"/>
          <w:sz w:val="22"/>
          <w:szCs w:val="22"/>
        </w:rPr>
      </w:pPr>
      <w:r w:rsidRPr="00D8391F">
        <w:rPr>
          <w:rFonts w:asciiTheme="minorHAnsi" w:hAnsiTheme="minorHAnsi" w:cstheme="minorHAnsi"/>
          <w:sz w:val="22"/>
          <w:szCs w:val="22"/>
        </w:rPr>
        <w:t xml:space="preserve">Carr, D. Pudrovska, T. (2007) </w:t>
      </w:r>
      <w:r w:rsidRPr="00D8391F">
        <w:rPr>
          <w:rFonts w:asciiTheme="minorHAnsi" w:hAnsiTheme="minorHAnsi" w:cstheme="minorHAnsi"/>
          <w:i/>
          <w:iCs/>
          <w:sz w:val="22"/>
          <w:szCs w:val="22"/>
        </w:rPr>
        <w:t>Mid-Life and Later-Life Crises</w:t>
      </w:r>
      <w:r w:rsidRPr="00D8391F">
        <w:rPr>
          <w:rFonts w:asciiTheme="minorHAnsi" w:hAnsiTheme="minorHAnsi" w:cstheme="minorHAnsi"/>
          <w:sz w:val="22"/>
          <w:szCs w:val="22"/>
        </w:rPr>
        <w:t xml:space="preserve">. Encyclopaedia of Gerontology (Second Edition). Page, 184. Available at: </w:t>
      </w:r>
      <w:hyperlink r:id="rId20" w:history="1">
        <w:r w:rsidRPr="00D8391F">
          <w:rPr>
            <w:rStyle w:val="Hyperlink"/>
            <w:rFonts w:asciiTheme="minorHAnsi" w:hAnsiTheme="minorHAnsi" w:cstheme="minorHAnsi"/>
            <w:sz w:val="22"/>
            <w:szCs w:val="22"/>
          </w:rPr>
          <w:t>https://reader.elsevier.com/reader/sd/pii/B0123708702001268?token=FF7055A434F641A1F34FF2C92AAE9C8DAEBD90BC093C5BE5C82986992FED5372774F6EB40699519551579A463D23D7E8&amp;originRegion=eu-west-1&amp;originCreation=20220420093740</w:t>
        </w:r>
      </w:hyperlink>
      <w:r w:rsidRPr="00D8391F">
        <w:rPr>
          <w:rFonts w:asciiTheme="minorHAnsi" w:hAnsiTheme="minorHAnsi" w:cstheme="minorHAnsi"/>
          <w:sz w:val="22"/>
          <w:szCs w:val="22"/>
        </w:rPr>
        <w:t xml:space="preserve"> (Task 1)</w:t>
      </w:r>
    </w:p>
    <w:p w14:paraId="44070296" w14:textId="77777777" w:rsidR="003D4DCF" w:rsidRPr="00D8391F" w:rsidRDefault="003D4DCF" w:rsidP="003D4DCF">
      <w:pPr>
        <w:rPr>
          <w:rFonts w:asciiTheme="minorHAnsi" w:hAnsiTheme="minorHAnsi" w:cstheme="minorHAnsi"/>
          <w:sz w:val="22"/>
          <w:szCs w:val="22"/>
        </w:rPr>
      </w:pPr>
    </w:p>
    <w:p w14:paraId="36D19597" w14:textId="0AE666EB" w:rsidR="003D4DCF" w:rsidRPr="00D8391F" w:rsidRDefault="003D4DCF" w:rsidP="003D4DCF">
      <w:pPr>
        <w:rPr>
          <w:rFonts w:asciiTheme="minorHAnsi" w:hAnsiTheme="minorHAnsi" w:cstheme="minorHAnsi"/>
          <w:sz w:val="22"/>
          <w:szCs w:val="22"/>
        </w:rPr>
      </w:pPr>
      <w:r w:rsidRPr="00D8391F">
        <w:rPr>
          <w:rFonts w:asciiTheme="minorHAnsi" w:hAnsiTheme="minorHAnsi" w:cstheme="minorHAnsi"/>
          <w:sz w:val="22"/>
          <w:szCs w:val="22"/>
        </w:rPr>
        <w:t xml:space="preserve">Herrman, H. Stewart, D. Diaz-Granados, N. et al. (2011) </w:t>
      </w:r>
      <w:r w:rsidRPr="00D8391F">
        <w:rPr>
          <w:rFonts w:asciiTheme="minorHAnsi" w:hAnsiTheme="minorHAnsi" w:cstheme="minorHAnsi"/>
          <w:i/>
          <w:iCs/>
          <w:sz w:val="22"/>
          <w:szCs w:val="22"/>
        </w:rPr>
        <w:t>What is Resilience</w:t>
      </w:r>
      <w:r w:rsidRPr="00D8391F">
        <w:rPr>
          <w:rFonts w:asciiTheme="minorHAnsi" w:hAnsiTheme="minorHAnsi" w:cstheme="minorHAnsi"/>
          <w:sz w:val="22"/>
          <w:szCs w:val="22"/>
        </w:rPr>
        <w:t xml:space="preserve">. The Canadian Journal of Psychiatry. Vol. 56, No. 5. Available at: </w:t>
      </w:r>
      <w:hyperlink r:id="rId21" w:history="1">
        <w:r w:rsidRPr="00D8391F">
          <w:rPr>
            <w:rStyle w:val="Hyperlink"/>
            <w:rFonts w:asciiTheme="minorHAnsi" w:hAnsiTheme="minorHAnsi" w:cstheme="minorHAnsi"/>
            <w:sz w:val="22"/>
            <w:szCs w:val="22"/>
          </w:rPr>
          <w:t>https://journals.sagepub.com/doi/pdf/10.1177/070674371105600504</w:t>
        </w:r>
      </w:hyperlink>
      <w:r w:rsidRPr="00D8391F">
        <w:rPr>
          <w:rStyle w:val="Hyperlink"/>
          <w:rFonts w:asciiTheme="minorHAnsi" w:hAnsiTheme="minorHAnsi" w:cstheme="minorHAnsi"/>
          <w:sz w:val="22"/>
          <w:szCs w:val="22"/>
        </w:rPr>
        <w:t xml:space="preserve"> </w:t>
      </w:r>
      <w:r w:rsidRPr="00D8391F">
        <w:rPr>
          <w:rStyle w:val="Hyperlink"/>
          <w:rFonts w:asciiTheme="minorHAnsi" w:hAnsiTheme="minorHAnsi" w:cstheme="minorHAnsi"/>
          <w:color w:val="auto"/>
          <w:sz w:val="22"/>
          <w:szCs w:val="22"/>
        </w:rPr>
        <w:t>(Task 1)</w:t>
      </w:r>
    </w:p>
    <w:p w14:paraId="4BAEEA0A" w14:textId="77777777" w:rsidR="003D4DCF" w:rsidRPr="00D8391F" w:rsidRDefault="003D4DCF" w:rsidP="003D4DCF">
      <w:pPr>
        <w:rPr>
          <w:rFonts w:asciiTheme="minorHAnsi" w:hAnsiTheme="minorHAnsi" w:cstheme="minorHAnsi"/>
          <w:sz w:val="22"/>
          <w:szCs w:val="22"/>
        </w:rPr>
      </w:pPr>
    </w:p>
    <w:p w14:paraId="216493FB" w14:textId="5BFB1DB1" w:rsidR="003D4DCF" w:rsidRPr="00D8391F" w:rsidRDefault="003D4DCF" w:rsidP="003D4DCF">
      <w:pPr>
        <w:rPr>
          <w:rFonts w:asciiTheme="minorHAnsi" w:hAnsiTheme="minorHAnsi" w:cstheme="minorHAnsi"/>
          <w:sz w:val="22"/>
          <w:szCs w:val="22"/>
        </w:rPr>
      </w:pPr>
      <w:r w:rsidRPr="00D8391F">
        <w:rPr>
          <w:rFonts w:asciiTheme="minorHAnsi" w:hAnsiTheme="minorHAnsi" w:cstheme="minorHAnsi"/>
          <w:sz w:val="22"/>
          <w:szCs w:val="22"/>
        </w:rPr>
        <w:t xml:space="preserve">Pharmacist Support. (2012) </w:t>
      </w:r>
      <w:r w:rsidRPr="00D8391F">
        <w:rPr>
          <w:rFonts w:asciiTheme="minorHAnsi" w:hAnsiTheme="minorHAnsi" w:cstheme="minorHAnsi"/>
          <w:i/>
          <w:iCs/>
          <w:sz w:val="22"/>
          <w:szCs w:val="22"/>
        </w:rPr>
        <w:t>Sleep.</w:t>
      </w:r>
      <w:r w:rsidRPr="00D8391F">
        <w:rPr>
          <w:rFonts w:asciiTheme="minorHAnsi" w:hAnsiTheme="minorHAnsi" w:cstheme="minorHAnsi"/>
          <w:sz w:val="22"/>
          <w:szCs w:val="22"/>
        </w:rPr>
        <w:t xml:space="preserve"> (Online Article) Available at: </w:t>
      </w:r>
      <w:hyperlink r:id="rId22" w:history="1">
        <w:r w:rsidRPr="00D8391F">
          <w:rPr>
            <w:rStyle w:val="Hyperlink"/>
            <w:rFonts w:asciiTheme="minorHAnsi" w:hAnsiTheme="minorHAnsi" w:cstheme="minorHAnsi"/>
            <w:sz w:val="22"/>
            <w:szCs w:val="22"/>
          </w:rPr>
          <w:t>Sleep - Pharmacist Support</w:t>
        </w:r>
      </w:hyperlink>
      <w:r w:rsidRPr="00D8391F">
        <w:rPr>
          <w:rFonts w:asciiTheme="minorHAnsi" w:hAnsiTheme="minorHAnsi" w:cstheme="minorHAnsi"/>
          <w:sz w:val="22"/>
          <w:szCs w:val="22"/>
        </w:rPr>
        <w:t xml:space="preserve"> (Task 1)</w:t>
      </w:r>
    </w:p>
    <w:p w14:paraId="357224D4" w14:textId="77777777" w:rsidR="003D4DCF" w:rsidRPr="00D8391F" w:rsidRDefault="003D4DCF" w:rsidP="003D4DCF">
      <w:pPr>
        <w:rPr>
          <w:rFonts w:asciiTheme="minorHAnsi" w:hAnsiTheme="minorHAnsi" w:cstheme="minorHAnsi"/>
          <w:sz w:val="22"/>
          <w:szCs w:val="22"/>
        </w:rPr>
      </w:pPr>
    </w:p>
    <w:p w14:paraId="2A8DC84C" w14:textId="57CA2A27" w:rsidR="003D4DCF" w:rsidRPr="00D8391F" w:rsidRDefault="003D4DCF" w:rsidP="003D4DCF">
      <w:pPr>
        <w:rPr>
          <w:rFonts w:asciiTheme="minorHAnsi" w:hAnsiTheme="minorHAnsi" w:cstheme="minorHAnsi"/>
          <w:sz w:val="22"/>
          <w:szCs w:val="22"/>
        </w:rPr>
      </w:pPr>
      <w:r w:rsidRPr="00D8391F">
        <w:rPr>
          <w:rFonts w:asciiTheme="minorHAnsi" w:hAnsiTheme="minorHAnsi" w:cstheme="minorHAnsi"/>
          <w:sz w:val="22"/>
          <w:szCs w:val="22"/>
        </w:rPr>
        <w:t xml:space="preserve">Windle, G. (2011). </w:t>
      </w:r>
      <w:r w:rsidRPr="00D8391F">
        <w:rPr>
          <w:rFonts w:asciiTheme="minorHAnsi" w:hAnsiTheme="minorHAnsi" w:cstheme="minorHAnsi"/>
          <w:i/>
          <w:iCs/>
          <w:sz w:val="22"/>
          <w:szCs w:val="22"/>
        </w:rPr>
        <w:t>What is resilience? A review and concept analysis.</w:t>
      </w:r>
      <w:r w:rsidRPr="00D8391F">
        <w:rPr>
          <w:rFonts w:asciiTheme="minorHAnsi" w:hAnsiTheme="minorHAnsi" w:cstheme="minorHAnsi"/>
          <w:sz w:val="22"/>
          <w:szCs w:val="22"/>
        </w:rPr>
        <w:t xml:space="preserve"> Reviews in Clinical Gerontology. Cambridge University Press. (Task 1)</w:t>
      </w:r>
    </w:p>
    <w:p w14:paraId="01C007F1" w14:textId="3EFD6000" w:rsidR="00BE571A" w:rsidRPr="00D8391F" w:rsidRDefault="00BE571A" w:rsidP="003D4DCF">
      <w:pPr>
        <w:rPr>
          <w:rFonts w:asciiTheme="minorHAnsi" w:hAnsiTheme="minorHAnsi" w:cstheme="minorHAnsi"/>
          <w:sz w:val="22"/>
          <w:szCs w:val="22"/>
        </w:rPr>
      </w:pPr>
    </w:p>
    <w:p w14:paraId="787FFC93" w14:textId="77777777" w:rsidR="00BE571A" w:rsidRPr="00D8391F" w:rsidRDefault="00BE571A" w:rsidP="00BE571A">
      <w:pPr>
        <w:rPr>
          <w:rFonts w:asciiTheme="minorHAnsi" w:hAnsiTheme="minorHAnsi" w:cstheme="minorHAnsi"/>
          <w:sz w:val="22"/>
          <w:szCs w:val="22"/>
        </w:rPr>
      </w:pPr>
      <w:r w:rsidRPr="00D8391F">
        <w:rPr>
          <w:rFonts w:asciiTheme="minorHAnsi" w:hAnsiTheme="minorHAnsi" w:cstheme="minorHAnsi"/>
          <w:sz w:val="22"/>
          <w:szCs w:val="22"/>
        </w:rPr>
        <w:t xml:space="preserve">College of Policing. (2020). </w:t>
      </w:r>
      <w:r w:rsidRPr="00D8391F">
        <w:rPr>
          <w:rFonts w:asciiTheme="minorHAnsi" w:hAnsiTheme="minorHAnsi" w:cstheme="minorHAnsi"/>
          <w:i/>
          <w:iCs/>
          <w:sz w:val="22"/>
          <w:szCs w:val="22"/>
        </w:rPr>
        <w:t>Witnesses’ Own Words and Open Questioning</w:t>
      </w:r>
      <w:r w:rsidRPr="00D8391F">
        <w:rPr>
          <w:rFonts w:asciiTheme="minorHAnsi" w:hAnsiTheme="minorHAnsi" w:cstheme="minorHAnsi"/>
          <w:sz w:val="22"/>
          <w:szCs w:val="22"/>
        </w:rPr>
        <w:t xml:space="preserve">. Available at: </w:t>
      </w:r>
      <w:hyperlink r:id="rId23" w:anchor=":~:text=An%20open%2Dended%20question%2C%20for,control%20the%20flow%20of%20information" w:history="1">
        <w:r w:rsidRPr="00D8391F">
          <w:rPr>
            <w:rStyle w:val="Hyperlink"/>
            <w:rFonts w:asciiTheme="minorHAnsi" w:hAnsiTheme="minorHAnsi" w:cstheme="minorHAnsi"/>
            <w:sz w:val="22"/>
            <w:szCs w:val="22"/>
          </w:rPr>
          <w:t>https://www.college.police.uk/guidance/obtaining-initial-accounts/witnesses-own-words-and-open-questioning#:~:text=An%20open%2Dended%20question%2C%20for,control%20the%20flow%20of%20information</w:t>
        </w:r>
      </w:hyperlink>
      <w:r w:rsidRPr="00D8391F">
        <w:rPr>
          <w:rFonts w:asciiTheme="minorHAnsi" w:hAnsiTheme="minorHAnsi" w:cstheme="minorHAnsi"/>
          <w:sz w:val="22"/>
          <w:szCs w:val="22"/>
        </w:rPr>
        <w:t xml:space="preserve">. (Task 2) </w:t>
      </w:r>
    </w:p>
    <w:p w14:paraId="7BCB2BF8" w14:textId="77777777" w:rsidR="001A7AA5" w:rsidRPr="00D8391F" w:rsidRDefault="001A7AA5" w:rsidP="00BE571A">
      <w:pPr>
        <w:rPr>
          <w:rFonts w:asciiTheme="minorHAnsi" w:hAnsiTheme="minorHAnsi" w:cstheme="minorHAnsi"/>
          <w:sz w:val="22"/>
          <w:szCs w:val="22"/>
        </w:rPr>
      </w:pPr>
    </w:p>
    <w:p w14:paraId="610992C7" w14:textId="650B410B" w:rsidR="00BE571A" w:rsidRPr="00D8391F" w:rsidRDefault="00BE571A" w:rsidP="00BE571A">
      <w:pPr>
        <w:rPr>
          <w:rFonts w:asciiTheme="minorHAnsi" w:hAnsiTheme="minorHAnsi" w:cstheme="minorHAnsi"/>
          <w:sz w:val="22"/>
          <w:szCs w:val="22"/>
        </w:rPr>
      </w:pPr>
      <w:r w:rsidRPr="00D8391F">
        <w:rPr>
          <w:rFonts w:asciiTheme="minorHAnsi" w:hAnsiTheme="minorHAnsi" w:cstheme="minorHAnsi"/>
          <w:sz w:val="22"/>
          <w:szCs w:val="22"/>
        </w:rPr>
        <w:t>Crime and Security Act 2010. Section 24. (Task 2)</w:t>
      </w:r>
    </w:p>
    <w:p w14:paraId="31D1BCD0" w14:textId="77777777" w:rsidR="001A7AA5" w:rsidRPr="00D8391F" w:rsidRDefault="001A7AA5" w:rsidP="00BE571A">
      <w:pPr>
        <w:rPr>
          <w:rFonts w:asciiTheme="minorHAnsi" w:hAnsiTheme="minorHAnsi" w:cstheme="minorHAnsi"/>
          <w:sz w:val="22"/>
          <w:szCs w:val="22"/>
        </w:rPr>
      </w:pPr>
    </w:p>
    <w:p w14:paraId="4750D467" w14:textId="3C62B54A" w:rsidR="00BE571A" w:rsidRPr="00D8391F" w:rsidRDefault="00BE571A" w:rsidP="00BE571A">
      <w:pPr>
        <w:rPr>
          <w:rFonts w:asciiTheme="minorHAnsi" w:hAnsiTheme="minorHAnsi" w:cstheme="minorHAnsi"/>
          <w:sz w:val="22"/>
          <w:szCs w:val="22"/>
        </w:rPr>
      </w:pPr>
      <w:r w:rsidRPr="00D8391F">
        <w:rPr>
          <w:rFonts w:asciiTheme="minorHAnsi" w:hAnsiTheme="minorHAnsi" w:cstheme="minorHAnsi"/>
          <w:sz w:val="22"/>
          <w:szCs w:val="22"/>
        </w:rPr>
        <w:t xml:space="preserve">Gov.co.uk. (2012). </w:t>
      </w:r>
      <w:r w:rsidRPr="00D8391F">
        <w:rPr>
          <w:rFonts w:asciiTheme="minorHAnsi" w:hAnsiTheme="minorHAnsi" w:cstheme="minorHAnsi"/>
          <w:i/>
          <w:iCs/>
          <w:sz w:val="22"/>
          <w:szCs w:val="22"/>
        </w:rPr>
        <w:t>Police and Criminal Evidence Act 1984. Code G. Revised: Code of Practice for the Statutory Power of Arrest by Police Officers</w:t>
      </w:r>
      <w:r w:rsidRPr="00D8391F">
        <w:rPr>
          <w:rFonts w:asciiTheme="minorHAnsi" w:hAnsiTheme="minorHAnsi" w:cstheme="minorHAnsi"/>
          <w:sz w:val="22"/>
          <w:szCs w:val="22"/>
        </w:rPr>
        <w:t xml:space="preserve">. Commencement – Transnational Arrangements. The Stationary Office (TSO). Available at: </w:t>
      </w:r>
      <w:hyperlink r:id="rId24" w:history="1">
        <w:r w:rsidRPr="00D8391F">
          <w:rPr>
            <w:rStyle w:val="Hyperlink"/>
            <w:rFonts w:asciiTheme="minorHAnsi" w:hAnsiTheme="minorHAnsi" w:cstheme="minorHAnsi"/>
            <w:sz w:val="22"/>
            <w:szCs w:val="22"/>
          </w:rPr>
          <w:t>https://assets.publishing.service.gov.uk/government/uploads/system/uploads/attachment_data/file/903814/pace-code-g-2012.pdf</w:t>
        </w:r>
      </w:hyperlink>
      <w:r w:rsidRPr="00D8391F">
        <w:rPr>
          <w:rFonts w:asciiTheme="minorHAnsi" w:hAnsiTheme="minorHAnsi" w:cstheme="minorHAnsi"/>
          <w:sz w:val="22"/>
          <w:szCs w:val="22"/>
        </w:rPr>
        <w:t xml:space="preserve"> (Task 2) </w:t>
      </w:r>
    </w:p>
    <w:p w14:paraId="02F153C8" w14:textId="77777777" w:rsidR="00BE571A" w:rsidRPr="00D8391F" w:rsidRDefault="00BE571A" w:rsidP="00BE571A">
      <w:pPr>
        <w:rPr>
          <w:rFonts w:asciiTheme="minorHAnsi" w:hAnsiTheme="minorHAnsi" w:cstheme="minorHAnsi"/>
          <w:sz w:val="22"/>
          <w:szCs w:val="22"/>
        </w:rPr>
      </w:pPr>
    </w:p>
    <w:p w14:paraId="7F27C365" w14:textId="77777777" w:rsidR="00BE571A" w:rsidRPr="00D8391F" w:rsidRDefault="00BE571A" w:rsidP="00BE571A">
      <w:pPr>
        <w:rPr>
          <w:rFonts w:asciiTheme="minorHAnsi" w:hAnsiTheme="minorHAnsi" w:cstheme="minorHAnsi"/>
          <w:sz w:val="22"/>
          <w:szCs w:val="22"/>
        </w:rPr>
      </w:pPr>
      <w:r w:rsidRPr="00D8391F">
        <w:rPr>
          <w:rFonts w:asciiTheme="minorHAnsi" w:hAnsiTheme="minorHAnsi" w:cstheme="minorHAnsi"/>
          <w:sz w:val="22"/>
          <w:szCs w:val="22"/>
        </w:rPr>
        <w:t xml:space="preserve">Home Office. (Updated 2020) </w:t>
      </w:r>
      <w:r w:rsidRPr="00D8391F">
        <w:rPr>
          <w:rFonts w:asciiTheme="minorHAnsi" w:hAnsiTheme="minorHAnsi" w:cstheme="minorHAnsi"/>
          <w:i/>
          <w:iCs/>
          <w:sz w:val="22"/>
          <w:szCs w:val="22"/>
        </w:rPr>
        <w:t>Domestic Violence Protection Notices (DVPNs) and Domestic Violence Protection Orders (DVPOs) guidance.</w:t>
      </w:r>
      <w:r w:rsidRPr="00D8391F">
        <w:rPr>
          <w:rFonts w:asciiTheme="minorHAnsi" w:hAnsiTheme="minorHAnsi" w:cstheme="minorHAnsi"/>
          <w:sz w:val="22"/>
          <w:szCs w:val="22"/>
        </w:rPr>
        <w:t xml:space="preserve"> Subsections 1.2 and 1.3. Gov.co.uk. Available at: </w:t>
      </w:r>
      <w:hyperlink r:id="rId25" w:history="1">
        <w:r w:rsidRPr="00D8391F">
          <w:rPr>
            <w:rStyle w:val="Hyperlink"/>
            <w:rFonts w:asciiTheme="minorHAnsi" w:hAnsiTheme="minorHAnsi" w:cstheme="minorHAnsi"/>
            <w:sz w:val="22"/>
            <w:szCs w:val="22"/>
          </w:rPr>
          <w:t>https://www.gov.uk/government/publications/domestic-violence-protection-orders/domestic-violence-protection-notices-dvpns-and-domestic-violence-protection-orders-dvpos-guidance-sections-24-33-crime-and-security-act-2010</w:t>
        </w:r>
      </w:hyperlink>
      <w:r w:rsidRPr="00D8391F">
        <w:rPr>
          <w:rFonts w:asciiTheme="minorHAnsi" w:hAnsiTheme="minorHAnsi" w:cstheme="minorHAnsi"/>
          <w:sz w:val="22"/>
          <w:szCs w:val="22"/>
        </w:rPr>
        <w:t xml:space="preserve"> (Task 2)</w:t>
      </w:r>
    </w:p>
    <w:p w14:paraId="337FEC2F" w14:textId="77777777" w:rsidR="00BE571A" w:rsidRPr="00D8391F" w:rsidRDefault="00BE571A" w:rsidP="00BE571A">
      <w:pPr>
        <w:rPr>
          <w:rFonts w:asciiTheme="minorHAnsi" w:hAnsiTheme="minorHAnsi" w:cstheme="minorHAnsi"/>
          <w:sz w:val="22"/>
          <w:szCs w:val="22"/>
        </w:rPr>
      </w:pPr>
    </w:p>
    <w:p w14:paraId="4D94A69B" w14:textId="77777777" w:rsidR="00BE571A" w:rsidRPr="00D8391F" w:rsidRDefault="00BE571A" w:rsidP="00BE571A">
      <w:pPr>
        <w:rPr>
          <w:rFonts w:asciiTheme="minorHAnsi" w:hAnsiTheme="minorHAnsi" w:cstheme="minorHAnsi"/>
          <w:sz w:val="22"/>
          <w:szCs w:val="22"/>
        </w:rPr>
      </w:pPr>
      <w:r w:rsidRPr="00D8391F">
        <w:rPr>
          <w:rFonts w:asciiTheme="minorHAnsi" w:hAnsiTheme="minorHAnsi" w:cstheme="minorHAnsi"/>
          <w:sz w:val="22"/>
          <w:szCs w:val="22"/>
        </w:rPr>
        <w:t xml:space="preserve">Kohpeima Jahromi, V., Tabatabaee, S.S., Esmaeili, Z. and Rajabi, M. (2016). </w:t>
      </w:r>
      <w:r w:rsidRPr="00D8391F">
        <w:rPr>
          <w:rFonts w:asciiTheme="minorHAnsi" w:hAnsiTheme="minorHAnsi" w:cstheme="minorHAnsi"/>
          <w:i/>
          <w:sz w:val="22"/>
          <w:szCs w:val="22"/>
        </w:rPr>
        <w:t>Active Listening: The Key of Successful Communication in Hospital Managers</w:t>
      </w:r>
      <w:r w:rsidRPr="00D8391F">
        <w:rPr>
          <w:rFonts w:asciiTheme="minorHAnsi" w:hAnsiTheme="minorHAnsi" w:cstheme="minorHAnsi"/>
          <w:sz w:val="22"/>
          <w:szCs w:val="22"/>
        </w:rPr>
        <w:t xml:space="preserve">. Electronic Physician. National Library of Medicine. Available at: </w:t>
      </w:r>
      <w:hyperlink r:id="rId26" w:history="1">
        <w:r w:rsidRPr="00D8391F">
          <w:rPr>
            <w:rStyle w:val="Hyperlink"/>
            <w:rFonts w:asciiTheme="minorHAnsi" w:hAnsiTheme="minorHAnsi" w:cstheme="minorHAnsi"/>
            <w:sz w:val="22"/>
            <w:szCs w:val="22"/>
          </w:rPr>
          <w:t>https://www.ncbi.nlm.nih.gov/pmc/articles/PMC4844478/</w:t>
        </w:r>
      </w:hyperlink>
      <w:r w:rsidRPr="00D8391F">
        <w:rPr>
          <w:rFonts w:asciiTheme="minorHAnsi" w:hAnsiTheme="minorHAnsi" w:cstheme="minorHAnsi"/>
          <w:sz w:val="22"/>
          <w:szCs w:val="22"/>
        </w:rPr>
        <w:t xml:space="preserve"> (Task 2)</w:t>
      </w:r>
    </w:p>
    <w:p w14:paraId="6D3BBC3D" w14:textId="77777777" w:rsidR="007E6583" w:rsidRPr="00D8391F" w:rsidRDefault="007E6583" w:rsidP="00BE571A">
      <w:pPr>
        <w:rPr>
          <w:rFonts w:asciiTheme="minorHAnsi" w:hAnsiTheme="minorHAnsi" w:cstheme="minorHAnsi"/>
          <w:sz w:val="22"/>
          <w:szCs w:val="22"/>
        </w:rPr>
      </w:pPr>
    </w:p>
    <w:p w14:paraId="5AC878D9" w14:textId="3A125B0C" w:rsidR="00BE571A" w:rsidRPr="00D8391F" w:rsidRDefault="00BE571A" w:rsidP="00BE571A">
      <w:pPr>
        <w:rPr>
          <w:rFonts w:asciiTheme="minorHAnsi" w:hAnsiTheme="minorHAnsi" w:cstheme="minorHAnsi"/>
          <w:sz w:val="22"/>
          <w:szCs w:val="22"/>
        </w:rPr>
      </w:pPr>
      <w:r w:rsidRPr="00D8391F">
        <w:rPr>
          <w:rFonts w:asciiTheme="minorHAnsi" w:hAnsiTheme="minorHAnsi" w:cstheme="minorHAnsi"/>
          <w:sz w:val="22"/>
          <w:szCs w:val="22"/>
        </w:rPr>
        <w:t>Police and Criminal Evidence Act 1984. Section 24. (Amended by the Serious Organised Crime and Police Act 2005. Section 110).  (Task 2)</w:t>
      </w:r>
    </w:p>
    <w:p w14:paraId="57D1164A" w14:textId="77777777" w:rsidR="00BE571A" w:rsidRPr="00D8391F" w:rsidRDefault="00BE571A" w:rsidP="00BE571A">
      <w:pPr>
        <w:rPr>
          <w:rFonts w:asciiTheme="minorHAnsi" w:hAnsiTheme="minorHAnsi" w:cstheme="minorHAnsi"/>
          <w:sz w:val="22"/>
          <w:szCs w:val="22"/>
        </w:rPr>
      </w:pPr>
    </w:p>
    <w:p w14:paraId="0B50FF96" w14:textId="2630FB0E" w:rsidR="00BE571A" w:rsidRPr="00D8391F" w:rsidRDefault="00BE571A" w:rsidP="00BE571A">
      <w:pPr>
        <w:rPr>
          <w:rFonts w:asciiTheme="minorHAnsi" w:hAnsiTheme="minorHAnsi" w:cstheme="minorHAnsi"/>
          <w:sz w:val="22"/>
          <w:szCs w:val="22"/>
        </w:rPr>
      </w:pPr>
      <w:r w:rsidRPr="00D8391F">
        <w:rPr>
          <w:rFonts w:asciiTheme="minorHAnsi" w:hAnsiTheme="minorHAnsi" w:cstheme="minorHAnsi"/>
          <w:sz w:val="22"/>
          <w:szCs w:val="22"/>
        </w:rPr>
        <w:t xml:space="preserve">Richards, L. (2009). </w:t>
      </w:r>
      <w:r w:rsidRPr="00D8391F">
        <w:rPr>
          <w:rFonts w:asciiTheme="minorHAnsi" w:hAnsiTheme="minorHAnsi" w:cstheme="minorHAnsi"/>
          <w:i/>
          <w:iCs/>
          <w:sz w:val="22"/>
          <w:szCs w:val="22"/>
        </w:rPr>
        <w:t>Domestic Abuse, Stalking and Honour Based Violence (DASH, 2009) Risk Identification and Assessment and management Model.</w:t>
      </w:r>
      <w:r w:rsidRPr="00D8391F">
        <w:rPr>
          <w:rFonts w:asciiTheme="minorHAnsi" w:hAnsiTheme="minorHAnsi" w:cstheme="minorHAnsi"/>
          <w:sz w:val="22"/>
          <w:szCs w:val="22"/>
        </w:rPr>
        <w:t xml:space="preserve"> Accredited by the National Police Chief Council (NPCC) Available at: </w:t>
      </w:r>
      <w:hyperlink r:id="rId27" w:history="1">
        <w:r w:rsidRPr="00D8391F">
          <w:rPr>
            <w:rStyle w:val="Hyperlink"/>
            <w:rFonts w:asciiTheme="minorHAnsi" w:hAnsiTheme="minorHAnsi" w:cstheme="minorHAnsi"/>
            <w:sz w:val="22"/>
            <w:szCs w:val="22"/>
          </w:rPr>
          <w:t>https://proceduresonline.com/trixcms/media/6627/dash-risk-assessment.pdf</w:t>
        </w:r>
      </w:hyperlink>
      <w:r w:rsidRPr="00D8391F">
        <w:rPr>
          <w:rFonts w:asciiTheme="minorHAnsi" w:hAnsiTheme="minorHAnsi" w:cstheme="minorHAnsi"/>
          <w:sz w:val="22"/>
          <w:szCs w:val="22"/>
        </w:rPr>
        <w:t xml:space="preserve"> (Task 2)</w:t>
      </w:r>
    </w:p>
    <w:p w14:paraId="401C2080" w14:textId="1217B53B" w:rsidR="001A7AA5" w:rsidRPr="00D8391F" w:rsidRDefault="001A7AA5" w:rsidP="00BE571A">
      <w:pPr>
        <w:rPr>
          <w:rFonts w:asciiTheme="minorHAnsi" w:hAnsiTheme="minorHAnsi" w:cstheme="minorHAnsi"/>
          <w:sz w:val="22"/>
          <w:szCs w:val="22"/>
        </w:rPr>
      </w:pPr>
    </w:p>
    <w:p w14:paraId="64E81960" w14:textId="77777777" w:rsidR="001A7AA5" w:rsidRPr="00D8391F" w:rsidRDefault="001A7AA5" w:rsidP="001A7AA5">
      <w:pPr>
        <w:rPr>
          <w:rFonts w:asciiTheme="minorHAnsi" w:hAnsiTheme="minorHAnsi" w:cstheme="minorHAnsi"/>
          <w:sz w:val="22"/>
          <w:szCs w:val="22"/>
        </w:rPr>
      </w:pPr>
      <w:r w:rsidRPr="00D8391F">
        <w:rPr>
          <w:rFonts w:asciiTheme="minorHAnsi" w:hAnsiTheme="minorHAnsi" w:cstheme="minorHAnsi"/>
          <w:sz w:val="22"/>
          <w:szCs w:val="22"/>
        </w:rPr>
        <w:t>College of Policing. (2013; updated in 2022)</w:t>
      </w:r>
      <w:r w:rsidRPr="00D8391F">
        <w:rPr>
          <w:rFonts w:asciiTheme="minorHAnsi" w:hAnsiTheme="minorHAnsi" w:cstheme="minorHAnsi"/>
          <w:i/>
          <w:iCs/>
          <w:sz w:val="22"/>
          <w:szCs w:val="22"/>
        </w:rPr>
        <w:t>. Investigative Interviewing</w:t>
      </w:r>
      <w:r w:rsidRPr="00D8391F">
        <w:rPr>
          <w:rFonts w:asciiTheme="minorHAnsi" w:hAnsiTheme="minorHAnsi" w:cstheme="minorHAnsi"/>
          <w:sz w:val="22"/>
          <w:szCs w:val="22"/>
        </w:rPr>
        <w:t xml:space="preserve">. Section 4. College of Policing. Available at: </w:t>
      </w:r>
      <w:hyperlink r:id="rId28" w:history="1">
        <w:r w:rsidRPr="00D8391F">
          <w:rPr>
            <w:rStyle w:val="Hyperlink"/>
            <w:rFonts w:asciiTheme="minorHAnsi" w:hAnsiTheme="minorHAnsi" w:cstheme="minorHAnsi"/>
            <w:sz w:val="22"/>
            <w:szCs w:val="22"/>
          </w:rPr>
          <w:t>https://www.app.college.police.uk/app-content/investigations/investigative-interviewing/</w:t>
        </w:r>
      </w:hyperlink>
      <w:r w:rsidRPr="00D8391F">
        <w:rPr>
          <w:rFonts w:asciiTheme="minorHAnsi" w:hAnsiTheme="minorHAnsi" w:cstheme="minorHAnsi"/>
          <w:sz w:val="22"/>
          <w:szCs w:val="22"/>
        </w:rPr>
        <w:t xml:space="preserve">  (Task 3)</w:t>
      </w:r>
    </w:p>
    <w:p w14:paraId="6E7C854A" w14:textId="77777777" w:rsidR="007E6583" w:rsidRPr="00D8391F" w:rsidRDefault="007E6583" w:rsidP="001A7AA5">
      <w:pPr>
        <w:rPr>
          <w:rFonts w:asciiTheme="minorHAnsi" w:hAnsiTheme="minorHAnsi" w:cstheme="minorHAnsi"/>
          <w:sz w:val="22"/>
          <w:szCs w:val="22"/>
        </w:rPr>
      </w:pPr>
    </w:p>
    <w:p w14:paraId="3722602D" w14:textId="20300D57" w:rsidR="001A7AA5" w:rsidRPr="00D8391F" w:rsidRDefault="001A7AA5" w:rsidP="001A7AA5">
      <w:pPr>
        <w:rPr>
          <w:rFonts w:asciiTheme="minorHAnsi" w:hAnsiTheme="minorHAnsi" w:cstheme="minorHAnsi"/>
          <w:sz w:val="22"/>
          <w:szCs w:val="22"/>
        </w:rPr>
      </w:pPr>
      <w:r w:rsidRPr="00D8391F">
        <w:rPr>
          <w:rFonts w:asciiTheme="minorHAnsi" w:hAnsiTheme="minorHAnsi" w:cstheme="minorHAnsi"/>
          <w:sz w:val="22"/>
          <w:szCs w:val="22"/>
        </w:rPr>
        <w:t xml:space="preserve">Schollum, M. (2017). </w:t>
      </w:r>
      <w:r w:rsidRPr="00D8391F">
        <w:rPr>
          <w:rFonts w:asciiTheme="minorHAnsi" w:hAnsiTheme="minorHAnsi" w:cstheme="minorHAnsi"/>
          <w:i/>
          <w:iCs/>
          <w:sz w:val="22"/>
          <w:szCs w:val="22"/>
        </w:rPr>
        <w:t xml:space="preserve">Bringing Peace to the United States: A framework for Investigative Interviewing. </w:t>
      </w:r>
      <w:r w:rsidRPr="00D8391F">
        <w:rPr>
          <w:rFonts w:asciiTheme="minorHAnsi" w:hAnsiTheme="minorHAnsi" w:cstheme="minorHAnsi"/>
          <w:sz w:val="22"/>
          <w:szCs w:val="22"/>
        </w:rPr>
        <w:t xml:space="preserve">The Police Chief Magazine. Available at: </w:t>
      </w:r>
      <w:hyperlink r:id="rId29" w:history="1">
        <w:r w:rsidRPr="00D8391F">
          <w:rPr>
            <w:rStyle w:val="Hyperlink"/>
            <w:rFonts w:asciiTheme="minorHAnsi" w:hAnsiTheme="minorHAnsi" w:cstheme="minorHAnsi"/>
            <w:sz w:val="22"/>
            <w:szCs w:val="22"/>
          </w:rPr>
          <w:t>https://www.fis-international.com/assets/Uploads/resources/Schollum-PEACE.pdf</w:t>
        </w:r>
      </w:hyperlink>
      <w:r w:rsidRPr="00D8391F">
        <w:rPr>
          <w:rFonts w:asciiTheme="minorHAnsi" w:hAnsiTheme="minorHAnsi" w:cstheme="minorHAnsi"/>
          <w:sz w:val="22"/>
          <w:szCs w:val="22"/>
        </w:rPr>
        <w:t xml:space="preserve"> (Task 3)</w:t>
      </w:r>
    </w:p>
    <w:p w14:paraId="3CD07231" w14:textId="77777777" w:rsidR="001A7AA5" w:rsidRPr="00D8391F" w:rsidRDefault="001A7AA5" w:rsidP="001A7AA5">
      <w:pPr>
        <w:rPr>
          <w:rFonts w:asciiTheme="minorHAnsi" w:hAnsiTheme="minorHAnsi" w:cstheme="minorHAnsi"/>
          <w:sz w:val="22"/>
          <w:szCs w:val="22"/>
        </w:rPr>
      </w:pPr>
    </w:p>
    <w:p w14:paraId="23B9A575" w14:textId="77777777" w:rsidR="001A7AA5" w:rsidRPr="00D8391F" w:rsidRDefault="001A7AA5" w:rsidP="001A7AA5">
      <w:pPr>
        <w:rPr>
          <w:rFonts w:asciiTheme="minorHAnsi" w:hAnsiTheme="minorHAnsi" w:cstheme="minorHAnsi"/>
          <w:sz w:val="22"/>
          <w:szCs w:val="22"/>
        </w:rPr>
      </w:pPr>
      <w:r w:rsidRPr="00D8391F">
        <w:rPr>
          <w:rFonts w:asciiTheme="minorHAnsi" w:hAnsiTheme="minorHAnsi" w:cstheme="minorHAnsi"/>
          <w:sz w:val="22"/>
          <w:szCs w:val="22"/>
        </w:rPr>
        <w:t>Human Rights Act 1998, Article 6. Section 3(c). (Task 3)</w:t>
      </w:r>
    </w:p>
    <w:p w14:paraId="18E18ECD" w14:textId="77777777" w:rsidR="007E6583" w:rsidRPr="00D8391F" w:rsidRDefault="007E6583" w:rsidP="001A7AA5">
      <w:pPr>
        <w:rPr>
          <w:rFonts w:asciiTheme="minorHAnsi" w:hAnsiTheme="minorHAnsi" w:cstheme="minorHAnsi"/>
          <w:sz w:val="22"/>
          <w:szCs w:val="22"/>
        </w:rPr>
      </w:pPr>
    </w:p>
    <w:p w14:paraId="240D434F" w14:textId="5CCF544A" w:rsidR="001A7AA5" w:rsidRPr="00D8391F" w:rsidRDefault="001A7AA5" w:rsidP="001A7AA5">
      <w:pPr>
        <w:rPr>
          <w:rFonts w:asciiTheme="minorHAnsi" w:hAnsiTheme="minorHAnsi" w:cstheme="minorHAnsi"/>
          <w:sz w:val="22"/>
          <w:szCs w:val="22"/>
        </w:rPr>
      </w:pPr>
      <w:r w:rsidRPr="00D8391F">
        <w:rPr>
          <w:rFonts w:asciiTheme="minorHAnsi" w:hAnsiTheme="minorHAnsi" w:cstheme="minorHAnsi"/>
          <w:sz w:val="22"/>
          <w:szCs w:val="22"/>
        </w:rPr>
        <w:t xml:space="preserve">Home Office. (2020) </w:t>
      </w:r>
      <w:r w:rsidRPr="00D8391F">
        <w:rPr>
          <w:rFonts w:asciiTheme="minorHAnsi" w:hAnsiTheme="minorHAnsi" w:cstheme="minorHAnsi"/>
          <w:i/>
          <w:iCs/>
          <w:sz w:val="22"/>
          <w:szCs w:val="22"/>
        </w:rPr>
        <w:t>Manual of Guidance and MG forms.</w:t>
      </w:r>
      <w:r w:rsidRPr="00D8391F">
        <w:rPr>
          <w:rFonts w:asciiTheme="minorHAnsi" w:hAnsiTheme="minorHAnsi" w:cstheme="minorHAnsi"/>
          <w:sz w:val="22"/>
          <w:szCs w:val="22"/>
        </w:rPr>
        <w:t xml:space="preserve"> Page 13. Available at: </w:t>
      </w:r>
      <w:hyperlink r:id="rId30" w:history="1">
        <w:r w:rsidRPr="00D8391F">
          <w:rPr>
            <w:rStyle w:val="Hyperlink"/>
            <w:rFonts w:asciiTheme="minorHAnsi" w:hAnsiTheme="minorHAnsi" w:cstheme="minorHAnsi"/>
            <w:sz w:val="22"/>
            <w:szCs w:val="22"/>
          </w:rPr>
          <w:t>https://assets.publishing.service.gov.uk/government/uploads/system/uploads/attachment_data/file/891370/Manual-of-guidance-MG-forms-v11ext.pdf</w:t>
        </w:r>
      </w:hyperlink>
      <w:r w:rsidRPr="00D8391F">
        <w:rPr>
          <w:rFonts w:asciiTheme="minorHAnsi" w:hAnsiTheme="minorHAnsi" w:cstheme="minorHAnsi"/>
          <w:sz w:val="22"/>
          <w:szCs w:val="22"/>
        </w:rPr>
        <w:t xml:space="preserve"> (Task 3)</w:t>
      </w:r>
    </w:p>
    <w:p w14:paraId="2BDC0451" w14:textId="77777777" w:rsidR="001A7AA5" w:rsidRPr="00D8391F" w:rsidRDefault="001A7AA5" w:rsidP="001A7AA5">
      <w:pPr>
        <w:rPr>
          <w:rFonts w:asciiTheme="minorHAnsi" w:hAnsiTheme="minorHAnsi" w:cstheme="minorHAnsi"/>
          <w:sz w:val="22"/>
          <w:szCs w:val="22"/>
        </w:rPr>
      </w:pPr>
    </w:p>
    <w:p w14:paraId="329E705E" w14:textId="77777777" w:rsidR="001A7AA5" w:rsidRPr="00D8391F" w:rsidRDefault="001A7AA5" w:rsidP="001A7AA5">
      <w:pPr>
        <w:rPr>
          <w:rFonts w:asciiTheme="minorHAnsi" w:hAnsiTheme="minorHAnsi" w:cstheme="minorHAnsi"/>
          <w:sz w:val="22"/>
          <w:szCs w:val="22"/>
        </w:rPr>
      </w:pPr>
      <w:r w:rsidRPr="00D8391F">
        <w:rPr>
          <w:rFonts w:asciiTheme="minorHAnsi" w:hAnsiTheme="minorHAnsi" w:cstheme="minorHAnsi"/>
          <w:sz w:val="22"/>
          <w:szCs w:val="22"/>
        </w:rPr>
        <w:t xml:space="preserve">College of Policing. (2014). </w:t>
      </w:r>
      <w:r w:rsidRPr="00D8391F">
        <w:rPr>
          <w:rFonts w:asciiTheme="minorHAnsi" w:hAnsiTheme="minorHAnsi" w:cstheme="minorHAnsi"/>
          <w:i/>
          <w:iCs/>
          <w:sz w:val="22"/>
          <w:szCs w:val="22"/>
        </w:rPr>
        <w:t>Code of Ethics: A code of Practice for the Principles and Standards of Professional Behaviour for the Policing Profession of England and Wales</w:t>
      </w:r>
      <w:r w:rsidRPr="00D8391F">
        <w:rPr>
          <w:rFonts w:asciiTheme="minorHAnsi" w:hAnsiTheme="minorHAnsi" w:cstheme="minorHAnsi"/>
          <w:sz w:val="22"/>
          <w:szCs w:val="22"/>
        </w:rPr>
        <w:t xml:space="preserve">. Pages 3 and 5. College.police.uk. Available at: </w:t>
      </w:r>
      <w:hyperlink r:id="rId31" w:history="1">
        <w:r w:rsidRPr="00D8391F">
          <w:rPr>
            <w:rStyle w:val="Hyperlink"/>
            <w:rFonts w:asciiTheme="minorHAnsi" w:hAnsiTheme="minorHAnsi" w:cstheme="minorHAnsi"/>
            <w:sz w:val="22"/>
            <w:szCs w:val="22"/>
          </w:rPr>
          <w:t>https://assets.college.police.uk/s3fs-public/2021-02/code_of_ethics.pdf</w:t>
        </w:r>
      </w:hyperlink>
      <w:r w:rsidRPr="00D8391F">
        <w:rPr>
          <w:rFonts w:asciiTheme="minorHAnsi" w:hAnsiTheme="minorHAnsi" w:cstheme="minorHAnsi"/>
          <w:sz w:val="22"/>
          <w:szCs w:val="22"/>
        </w:rPr>
        <w:t xml:space="preserve"> (Task 3)</w:t>
      </w:r>
    </w:p>
    <w:p w14:paraId="034990EE" w14:textId="77777777" w:rsidR="001A7AA5" w:rsidRPr="00D8391F" w:rsidRDefault="001A7AA5" w:rsidP="001A7AA5">
      <w:pPr>
        <w:rPr>
          <w:rFonts w:asciiTheme="minorHAnsi" w:hAnsiTheme="minorHAnsi" w:cstheme="minorHAnsi"/>
          <w:sz w:val="22"/>
          <w:szCs w:val="22"/>
        </w:rPr>
      </w:pPr>
    </w:p>
    <w:p w14:paraId="3849B894" w14:textId="77777777" w:rsidR="001A7AA5" w:rsidRPr="00D8391F" w:rsidRDefault="001A7AA5" w:rsidP="001A7AA5">
      <w:pPr>
        <w:rPr>
          <w:rFonts w:asciiTheme="minorHAnsi" w:hAnsiTheme="minorHAnsi" w:cstheme="minorHAnsi"/>
          <w:sz w:val="22"/>
          <w:szCs w:val="22"/>
        </w:rPr>
      </w:pPr>
      <w:r w:rsidRPr="00D8391F">
        <w:rPr>
          <w:rFonts w:asciiTheme="minorHAnsi" w:hAnsiTheme="minorHAnsi" w:cstheme="minorHAnsi"/>
          <w:sz w:val="22"/>
          <w:szCs w:val="22"/>
        </w:rPr>
        <w:t xml:space="preserve">Home Office. (2020). </w:t>
      </w:r>
      <w:r w:rsidRPr="00D8391F">
        <w:rPr>
          <w:rFonts w:asciiTheme="minorHAnsi" w:hAnsiTheme="minorHAnsi" w:cstheme="minorHAnsi"/>
          <w:i/>
          <w:iCs/>
          <w:sz w:val="22"/>
          <w:szCs w:val="22"/>
        </w:rPr>
        <w:t>Interviewing Suspects</w:t>
      </w:r>
      <w:r w:rsidRPr="00D8391F">
        <w:rPr>
          <w:rFonts w:asciiTheme="minorHAnsi" w:hAnsiTheme="minorHAnsi" w:cstheme="minorHAnsi"/>
          <w:sz w:val="22"/>
          <w:szCs w:val="22"/>
        </w:rPr>
        <w:t xml:space="preserve">. Page 30. Available at: </w:t>
      </w:r>
      <w:hyperlink r:id="rId32" w:history="1">
        <w:r w:rsidRPr="00D8391F">
          <w:rPr>
            <w:rStyle w:val="Hyperlink"/>
            <w:rFonts w:asciiTheme="minorHAnsi" w:hAnsiTheme="minorHAnsi" w:cstheme="minorHAnsi"/>
            <w:sz w:val="22"/>
            <w:szCs w:val="22"/>
          </w:rPr>
          <w:t>https://assets.publishing.service.gov.uk/government/uploads/system/uploads/attachment_data/file/864940/interviewing-suspects-v7.0.pdf</w:t>
        </w:r>
      </w:hyperlink>
      <w:r w:rsidRPr="00D8391F">
        <w:rPr>
          <w:rFonts w:asciiTheme="minorHAnsi" w:hAnsiTheme="minorHAnsi" w:cstheme="minorHAnsi"/>
          <w:sz w:val="22"/>
          <w:szCs w:val="22"/>
        </w:rPr>
        <w:t xml:space="preserve"> (Task 3)</w:t>
      </w:r>
    </w:p>
    <w:p w14:paraId="7F3ACF7E" w14:textId="77777777" w:rsidR="001A7AA5" w:rsidRPr="00D8391F" w:rsidRDefault="001A7AA5" w:rsidP="001A7AA5">
      <w:pPr>
        <w:rPr>
          <w:rFonts w:asciiTheme="minorHAnsi" w:hAnsiTheme="minorHAnsi" w:cstheme="minorHAnsi"/>
          <w:sz w:val="22"/>
          <w:szCs w:val="22"/>
        </w:rPr>
      </w:pPr>
    </w:p>
    <w:p w14:paraId="0E3721CB" w14:textId="77777777" w:rsidR="001A7AA5" w:rsidRPr="00D8391F" w:rsidRDefault="001A7AA5" w:rsidP="001A7AA5">
      <w:pPr>
        <w:rPr>
          <w:rFonts w:asciiTheme="minorHAnsi" w:hAnsiTheme="minorHAnsi" w:cstheme="minorHAnsi"/>
          <w:sz w:val="22"/>
          <w:szCs w:val="22"/>
        </w:rPr>
      </w:pPr>
      <w:r w:rsidRPr="00D8391F">
        <w:rPr>
          <w:rFonts w:asciiTheme="minorHAnsi" w:hAnsiTheme="minorHAnsi" w:cstheme="minorHAnsi"/>
          <w:sz w:val="22"/>
          <w:szCs w:val="22"/>
        </w:rPr>
        <w:t xml:space="preserve">College of Policing. (2020). </w:t>
      </w:r>
      <w:r w:rsidRPr="00D8391F">
        <w:rPr>
          <w:rFonts w:asciiTheme="minorHAnsi" w:hAnsiTheme="minorHAnsi" w:cstheme="minorHAnsi"/>
          <w:i/>
          <w:iCs/>
          <w:sz w:val="22"/>
          <w:szCs w:val="22"/>
        </w:rPr>
        <w:t>Witnesses’ Own Words and Open Questioning.</w:t>
      </w:r>
      <w:r w:rsidRPr="00D8391F">
        <w:rPr>
          <w:rFonts w:asciiTheme="minorHAnsi" w:hAnsiTheme="minorHAnsi" w:cstheme="minorHAnsi"/>
          <w:sz w:val="22"/>
          <w:szCs w:val="22"/>
        </w:rPr>
        <w:t xml:space="preserve"> Available at: </w:t>
      </w:r>
      <w:hyperlink r:id="rId33" w:anchor=":~:text=An%20open%2Dended%20question%2C%20for,control%20the%20flow%20of%20information" w:history="1">
        <w:r w:rsidRPr="00D8391F">
          <w:rPr>
            <w:rStyle w:val="Hyperlink"/>
            <w:rFonts w:asciiTheme="minorHAnsi" w:hAnsiTheme="minorHAnsi" w:cstheme="minorHAnsi"/>
            <w:sz w:val="22"/>
            <w:szCs w:val="22"/>
          </w:rPr>
          <w:t>https://www.college.police.uk/guidance/obtaining-initial-accounts/witnesses-own-words-and-open-questioning#:~:text=An%20open%2Dended%20question%2C%20for,control%20the%20flow%20of%20information</w:t>
        </w:r>
      </w:hyperlink>
      <w:r w:rsidRPr="00D8391F">
        <w:rPr>
          <w:rFonts w:asciiTheme="minorHAnsi" w:hAnsiTheme="minorHAnsi" w:cstheme="minorHAnsi"/>
          <w:sz w:val="22"/>
          <w:szCs w:val="22"/>
        </w:rPr>
        <w:t>. (Task 3)</w:t>
      </w:r>
    </w:p>
    <w:p w14:paraId="38385B17" w14:textId="77777777" w:rsidR="001A7AA5" w:rsidRPr="00D8391F" w:rsidRDefault="001A7AA5" w:rsidP="001A7AA5">
      <w:pPr>
        <w:rPr>
          <w:rFonts w:asciiTheme="minorHAnsi" w:hAnsiTheme="minorHAnsi" w:cstheme="minorHAnsi"/>
          <w:sz w:val="22"/>
          <w:szCs w:val="22"/>
        </w:rPr>
      </w:pPr>
    </w:p>
    <w:p w14:paraId="74181686" w14:textId="00C691AD" w:rsidR="001A7AA5" w:rsidRPr="00D8391F" w:rsidRDefault="001A7AA5" w:rsidP="001A7AA5">
      <w:pPr>
        <w:rPr>
          <w:rFonts w:asciiTheme="minorHAnsi" w:hAnsiTheme="minorHAnsi" w:cstheme="minorHAnsi"/>
          <w:sz w:val="22"/>
          <w:szCs w:val="22"/>
        </w:rPr>
      </w:pPr>
      <w:r w:rsidRPr="00D8391F">
        <w:rPr>
          <w:rFonts w:asciiTheme="minorHAnsi" w:hAnsiTheme="minorHAnsi" w:cstheme="minorHAnsi"/>
          <w:sz w:val="22"/>
          <w:szCs w:val="22"/>
        </w:rPr>
        <w:t xml:space="preserve">Oxburgh, G. Myklebust, T. et al. (2010). </w:t>
      </w:r>
      <w:r w:rsidRPr="00D8391F">
        <w:rPr>
          <w:rFonts w:asciiTheme="minorHAnsi" w:hAnsiTheme="minorHAnsi" w:cstheme="minorHAnsi"/>
          <w:i/>
          <w:iCs/>
          <w:sz w:val="22"/>
          <w:szCs w:val="22"/>
        </w:rPr>
        <w:t xml:space="preserve">The question of question types in police interviews: a review of the literature from a psychological and linguistic perspective. </w:t>
      </w:r>
      <w:r w:rsidRPr="00D8391F">
        <w:rPr>
          <w:rFonts w:asciiTheme="minorHAnsi" w:hAnsiTheme="minorHAnsi" w:cstheme="minorHAnsi"/>
          <w:sz w:val="22"/>
          <w:szCs w:val="22"/>
        </w:rPr>
        <w:t xml:space="preserve">Equinox Publishing. The International Journal of Speech, Language, and the Law. Available at: </w:t>
      </w:r>
      <w:hyperlink r:id="rId34" w:history="1">
        <w:r w:rsidRPr="00D8391F">
          <w:rPr>
            <w:rStyle w:val="Hyperlink"/>
            <w:rFonts w:asciiTheme="minorHAnsi" w:hAnsiTheme="minorHAnsi" w:cstheme="minorHAnsi"/>
            <w:sz w:val="22"/>
            <w:szCs w:val="22"/>
          </w:rPr>
          <w:t>https://www.researchgate.net/profile/Gavin-Oxburgh-2/publication/40764681_The_question_of_question_types_in_police_interviews_A_review_of_the_literature_from_a_psychological_and_linguistic_perspective/links/53e4e8890cf2fb748710fc6b/The-question-of-question-types-in-police-interviews-A-review-of-the-literature-from-a-psychological-and-linguistic-perspective.pdf</w:t>
        </w:r>
      </w:hyperlink>
      <w:r w:rsidRPr="00D8391F">
        <w:rPr>
          <w:rFonts w:asciiTheme="minorHAnsi" w:hAnsiTheme="minorHAnsi" w:cstheme="minorHAnsi"/>
          <w:sz w:val="22"/>
          <w:szCs w:val="22"/>
        </w:rPr>
        <w:t xml:space="preserve"> </w:t>
      </w:r>
      <w:r w:rsidR="007E6583" w:rsidRPr="00D8391F">
        <w:rPr>
          <w:rFonts w:asciiTheme="minorHAnsi" w:hAnsiTheme="minorHAnsi" w:cstheme="minorHAnsi"/>
          <w:sz w:val="22"/>
          <w:szCs w:val="22"/>
        </w:rPr>
        <w:t>(Task 3)</w:t>
      </w:r>
    </w:p>
    <w:p w14:paraId="32904D09" w14:textId="77777777" w:rsidR="001A7AA5" w:rsidRPr="00D8391F" w:rsidRDefault="001A7AA5" w:rsidP="00BE571A">
      <w:pPr>
        <w:rPr>
          <w:rFonts w:asciiTheme="minorHAnsi" w:hAnsiTheme="minorHAnsi" w:cstheme="minorHAnsi"/>
          <w:sz w:val="22"/>
          <w:szCs w:val="22"/>
        </w:rPr>
      </w:pPr>
    </w:p>
    <w:p w14:paraId="25054969" w14:textId="77777777" w:rsidR="00500B94" w:rsidRPr="00D8391F" w:rsidRDefault="00500B94" w:rsidP="00500B94">
      <w:pPr>
        <w:rPr>
          <w:rFonts w:asciiTheme="minorHAnsi" w:hAnsiTheme="minorHAnsi" w:cstheme="minorHAnsi"/>
          <w:sz w:val="22"/>
          <w:szCs w:val="22"/>
        </w:rPr>
      </w:pPr>
      <w:r w:rsidRPr="00D8391F">
        <w:rPr>
          <w:rFonts w:asciiTheme="minorHAnsi" w:hAnsiTheme="minorHAnsi" w:cstheme="minorHAnsi"/>
          <w:sz w:val="22"/>
          <w:szCs w:val="22"/>
        </w:rPr>
        <w:t xml:space="preserve">Home Office. (2004). </w:t>
      </w:r>
      <w:r w:rsidRPr="00D8391F">
        <w:rPr>
          <w:rFonts w:asciiTheme="minorHAnsi" w:hAnsiTheme="minorHAnsi" w:cstheme="minorHAnsi"/>
          <w:i/>
          <w:iCs/>
          <w:sz w:val="22"/>
          <w:szCs w:val="22"/>
        </w:rPr>
        <w:t>Defining and measuring anti-social behaviour.</w:t>
      </w:r>
      <w:r w:rsidRPr="00D8391F">
        <w:rPr>
          <w:rFonts w:asciiTheme="minorHAnsi" w:hAnsiTheme="minorHAnsi" w:cstheme="minorHAnsi"/>
          <w:sz w:val="22"/>
          <w:szCs w:val="22"/>
        </w:rPr>
        <w:t xml:space="preserve"> Page 2. Development and Practice Report. Home Office. Available at: </w:t>
      </w:r>
      <w:hyperlink r:id="rId35" w:history="1">
        <w:r w:rsidRPr="00D8391F">
          <w:rPr>
            <w:rStyle w:val="Hyperlink"/>
            <w:rFonts w:asciiTheme="minorHAnsi" w:hAnsiTheme="minorHAnsi" w:cstheme="minorHAnsi"/>
            <w:sz w:val="22"/>
            <w:szCs w:val="22"/>
          </w:rPr>
          <w:t>Defining and measuring anti-social behaviour (publishing.service.gov.uk)</w:t>
        </w:r>
      </w:hyperlink>
      <w:r w:rsidRPr="00D8391F">
        <w:rPr>
          <w:rFonts w:asciiTheme="minorHAnsi" w:hAnsiTheme="minorHAnsi" w:cstheme="minorHAnsi"/>
          <w:sz w:val="22"/>
          <w:szCs w:val="22"/>
        </w:rPr>
        <w:t xml:space="preserve"> (Task 4)</w:t>
      </w:r>
    </w:p>
    <w:p w14:paraId="3176DD9E" w14:textId="77777777" w:rsidR="00500B94" w:rsidRPr="00D8391F" w:rsidRDefault="00500B94" w:rsidP="00500B94">
      <w:pPr>
        <w:rPr>
          <w:rFonts w:asciiTheme="minorHAnsi" w:hAnsiTheme="minorHAnsi" w:cstheme="minorHAnsi"/>
          <w:sz w:val="22"/>
          <w:szCs w:val="22"/>
        </w:rPr>
      </w:pPr>
    </w:p>
    <w:p w14:paraId="56DE1883" w14:textId="14AFA5C3" w:rsidR="00500B94" w:rsidRPr="00D8391F" w:rsidRDefault="00500B94" w:rsidP="00500B94">
      <w:pPr>
        <w:rPr>
          <w:rFonts w:asciiTheme="minorHAnsi" w:hAnsiTheme="minorHAnsi" w:cstheme="minorHAnsi"/>
          <w:sz w:val="22"/>
          <w:szCs w:val="22"/>
        </w:rPr>
      </w:pPr>
      <w:r w:rsidRPr="00D8391F">
        <w:rPr>
          <w:rFonts w:asciiTheme="minorHAnsi" w:hAnsiTheme="minorHAnsi" w:cstheme="minorHAnsi"/>
          <w:sz w:val="22"/>
          <w:szCs w:val="22"/>
        </w:rPr>
        <w:t xml:space="preserve">Gwent Office of Police and Crime Commissioner. (2019). </w:t>
      </w:r>
      <w:r w:rsidRPr="00D8391F">
        <w:rPr>
          <w:rFonts w:asciiTheme="minorHAnsi" w:hAnsiTheme="minorHAnsi" w:cstheme="minorHAnsi"/>
          <w:i/>
          <w:iCs/>
          <w:sz w:val="22"/>
          <w:szCs w:val="22"/>
        </w:rPr>
        <w:t>Gwent Police and Crime Plan 2017 – 2021: Delivering a safer Gwent.</w:t>
      </w:r>
      <w:r w:rsidRPr="00D8391F">
        <w:rPr>
          <w:rFonts w:asciiTheme="minorHAnsi" w:hAnsiTheme="minorHAnsi" w:cstheme="minorHAnsi"/>
          <w:sz w:val="22"/>
          <w:szCs w:val="22"/>
        </w:rPr>
        <w:t xml:space="preserve"> Police and Crime Commissioner for Gwent. Available at: </w:t>
      </w:r>
      <w:hyperlink r:id="rId36" w:history="1">
        <w:r w:rsidRPr="00D8391F">
          <w:rPr>
            <w:rStyle w:val="Hyperlink"/>
            <w:rFonts w:asciiTheme="minorHAnsi" w:hAnsiTheme="minorHAnsi" w:cstheme="minorHAnsi"/>
            <w:sz w:val="22"/>
            <w:szCs w:val="22"/>
          </w:rPr>
          <w:t>police_and_crime_plan_update_final.pdf (apccs.police.uk)</w:t>
        </w:r>
      </w:hyperlink>
      <w:r w:rsidRPr="00D8391F">
        <w:rPr>
          <w:rFonts w:asciiTheme="minorHAnsi" w:hAnsiTheme="minorHAnsi" w:cstheme="minorHAnsi"/>
          <w:sz w:val="22"/>
          <w:szCs w:val="22"/>
        </w:rPr>
        <w:t xml:space="preserve"> (Task 4)</w:t>
      </w:r>
    </w:p>
    <w:p w14:paraId="5B15C608" w14:textId="77777777" w:rsidR="00500B94" w:rsidRPr="00D8391F" w:rsidRDefault="00500B94" w:rsidP="00500B94">
      <w:pPr>
        <w:rPr>
          <w:rFonts w:asciiTheme="minorHAnsi" w:hAnsiTheme="minorHAnsi" w:cstheme="minorHAnsi"/>
          <w:sz w:val="22"/>
          <w:szCs w:val="22"/>
        </w:rPr>
      </w:pPr>
    </w:p>
    <w:p w14:paraId="215F2B7D" w14:textId="3820BD95" w:rsidR="00500B94" w:rsidRPr="00D8391F" w:rsidRDefault="00500B94" w:rsidP="00500B94">
      <w:pPr>
        <w:rPr>
          <w:rFonts w:asciiTheme="minorHAnsi" w:hAnsiTheme="minorHAnsi" w:cstheme="minorHAnsi"/>
          <w:sz w:val="22"/>
          <w:szCs w:val="22"/>
        </w:rPr>
      </w:pPr>
      <w:r w:rsidRPr="00D8391F">
        <w:rPr>
          <w:rFonts w:asciiTheme="minorHAnsi" w:hAnsiTheme="minorHAnsi" w:cstheme="minorHAnsi"/>
          <w:sz w:val="22"/>
          <w:szCs w:val="22"/>
        </w:rPr>
        <w:lastRenderedPageBreak/>
        <w:t xml:space="preserve">City of York Council. (2022). </w:t>
      </w:r>
      <w:r w:rsidRPr="00D8391F">
        <w:rPr>
          <w:rFonts w:asciiTheme="minorHAnsi" w:hAnsiTheme="minorHAnsi" w:cstheme="minorHAnsi"/>
          <w:i/>
          <w:iCs/>
          <w:sz w:val="22"/>
          <w:szCs w:val="22"/>
        </w:rPr>
        <w:t xml:space="preserve">Community Protection Notice: Receiving a community protection warning (CPW). </w:t>
      </w:r>
      <w:r w:rsidRPr="00D8391F">
        <w:rPr>
          <w:rFonts w:asciiTheme="minorHAnsi" w:hAnsiTheme="minorHAnsi" w:cstheme="minorHAnsi"/>
          <w:sz w:val="22"/>
          <w:szCs w:val="22"/>
        </w:rPr>
        <w:t xml:space="preserve">City of York Council. Available at: </w:t>
      </w:r>
      <w:hyperlink r:id="rId37" w:anchor=":~:text=Receiving%20a%20Community%20Protection%20Warning,should%20do%20to%20change%20it" w:history="1">
        <w:r w:rsidRPr="00D8391F">
          <w:rPr>
            <w:rStyle w:val="Hyperlink"/>
            <w:rFonts w:asciiTheme="minorHAnsi" w:hAnsiTheme="minorHAnsi" w:cstheme="minorHAnsi"/>
            <w:sz w:val="22"/>
            <w:szCs w:val="22"/>
          </w:rPr>
          <w:t>Community Protection Notice – City of York Council</w:t>
        </w:r>
      </w:hyperlink>
      <w:r w:rsidRPr="00D8391F">
        <w:rPr>
          <w:rFonts w:asciiTheme="minorHAnsi" w:hAnsiTheme="minorHAnsi" w:cstheme="minorHAnsi"/>
          <w:sz w:val="22"/>
          <w:szCs w:val="22"/>
        </w:rPr>
        <w:t xml:space="preserve"> (Task 4)</w:t>
      </w:r>
    </w:p>
    <w:p w14:paraId="5A8DF24D" w14:textId="77777777" w:rsidR="00500B94" w:rsidRPr="00D8391F" w:rsidRDefault="00500B94" w:rsidP="00500B94">
      <w:pPr>
        <w:rPr>
          <w:rFonts w:asciiTheme="minorHAnsi" w:hAnsiTheme="minorHAnsi" w:cstheme="minorHAnsi"/>
          <w:sz w:val="22"/>
          <w:szCs w:val="22"/>
        </w:rPr>
      </w:pPr>
    </w:p>
    <w:p w14:paraId="5B142257" w14:textId="6D5B16FE" w:rsidR="00500B94" w:rsidRPr="00D8391F" w:rsidRDefault="00500B94" w:rsidP="00500B94">
      <w:pPr>
        <w:rPr>
          <w:rFonts w:asciiTheme="minorHAnsi" w:hAnsiTheme="minorHAnsi" w:cstheme="minorHAnsi"/>
          <w:sz w:val="22"/>
          <w:szCs w:val="22"/>
        </w:rPr>
      </w:pPr>
      <w:r w:rsidRPr="00D8391F">
        <w:rPr>
          <w:rFonts w:asciiTheme="minorHAnsi" w:hAnsiTheme="minorHAnsi" w:cstheme="minorHAnsi"/>
          <w:sz w:val="22"/>
          <w:szCs w:val="22"/>
        </w:rPr>
        <w:t xml:space="preserve">City of York Council. (2022) </w:t>
      </w:r>
      <w:r w:rsidRPr="00D8391F">
        <w:rPr>
          <w:rFonts w:asciiTheme="minorHAnsi" w:hAnsiTheme="minorHAnsi" w:cstheme="minorHAnsi"/>
          <w:i/>
          <w:iCs/>
          <w:sz w:val="22"/>
          <w:szCs w:val="22"/>
        </w:rPr>
        <w:t>Community Protection Notice: Receiving a community protection notice (CPN)</w:t>
      </w:r>
      <w:r w:rsidRPr="00D8391F">
        <w:rPr>
          <w:rFonts w:asciiTheme="minorHAnsi" w:hAnsiTheme="minorHAnsi" w:cstheme="minorHAnsi"/>
          <w:sz w:val="22"/>
          <w:szCs w:val="22"/>
        </w:rPr>
        <w:t xml:space="preserve">. City of York Council. Available at: </w:t>
      </w:r>
      <w:hyperlink r:id="rId38" w:anchor=":~:text=Receiving%20a%20Community%20Protection%20Warning,should%20do%20to%20change%20it" w:history="1">
        <w:r w:rsidRPr="00D8391F">
          <w:rPr>
            <w:rStyle w:val="Hyperlink"/>
            <w:rFonts w:asciiTheme="minorHAnsi" w:hAnsiTheme="minorHAnsi" w:cstheme="minorHAnsi"/>
            <w:sz w:val="22"/>
            <w:szCs w:val="22"/>
          </w:rPr>
          <w:t>Community Protection Notice – City of York Council</w:t>
        </w:r>
      </w:hyperlink>
      <w:r w:rsidRPr="00D8391F">
        <w:rPr>
          <w:rFonts w:asciiTheme="minorHAnsi" w:hAnsiTheme="minorHAnsi" w:cstheme="minorHAnsi"/>
          <w:sz w:val="22"/>
          <w:szCs w:val="22"/>
        </w:rPr>
        <w:t xml:space="preserve"> (Task 4)</w:t>
      </w:r>
    </w:p>
    <w:p w14:paraId="07AB55A6" w14:textId="77777777" w:rsidR="00500B94" w:rsidRPr="00D8391F" w:rsidRDefault="00500B94" w:rsidP="00500B94">
      <w:pPr>
        <w:rPr>
          <w:rFonts w:asciiTheme="minorHAnsi" w:hAnsiTheme="minorHAnsi" w:cstheme="minorHAnsi"/>
          <w:sz w:val="22"/>
          <w:szCs w:val="22"/>
        </w:rPr>
      </w:pPr>
    </w:p>
    <w:p w14:paraId="2E764BD5" w14:textId="129560B2" w:rsidR="00500B94" w:rsidRPr="00D8391F" w:rsidRDefault="00500B94" w:rsidP="00500B94">
      <w:pPr>
        <w:rPr>
          <w:rFonts w:asciiTheme="minorHAnsi" w:hAnsiTheme="minorHAnsi" w:cstheme="minorHAnsi"/>
          <w:sz w:val="22"/>
          <w:szCs w:val="22"/>
        </w:rPr>
      </w:pPr>
      <w:r w:rsidRPr="00D8391F">
        <w:rPr>
          <w:rFonts w:asciiTheme="minorHAnsi" w:hAnsiTheme="minorHAnsi" w:cstheme="minorHAnsi"/>
          <w:sz w:val="22"/>
          <w:szCs w:val="22"/>
        </w:rPr>
        <w:t xml:space="preserve">Gov.co.uk. Youth Offending Teams. Gov.co.uk. Available at: </w:t>
      </w:r>
      <w:hyperlink r:id="rId39" w:anchor=":~:text=Youth%20offending%20teams%20work%20with,run%20local%20crime%20prevention%20programmes" w:history="1">
        <w:r w:rsidRPr="00D8391F">
          <w:rPr>
            <w:rStyle w:val="Hyperlink"/>
            <w:rFonts w:asciiTheme="minorHAnsi" w:hAnsiTheme="minorHAnsi" w:cstheme="minorHAnsi"/>
            <w:sz w:val="22"/>
            <w:szCs w:val="22"/>
          </w:rPr>
          <w:t>Youth offending teams - GOV.UK (www.gov.uk)</w:t>
        </w:r>
      </w:hyperlink>
      <w:r w:rsidRPr="00D8391F">
        <w:rPr>
          <w:rFonts w:asciiTheme="minorHAnsi" w:hAnsiTheme="minorHAnsi" w:cstheme="minorHAnsi"/>
          <w:sz w:val="22"/>
          <w:szCs w:val="22"/>
        </w:rPr>
        <w:t xml:space="preserve"> (Task 4)</w:t>
      </w:r>
    </w:p>
    <w:p w14:paraId="797133C2" w14:textId="77777777" w:rsidR="00500B94" w:rsidRPr="00D8391F" w:rsidRDefault="00500B94" w:rsidP="00500B94">
      <w:pPr>
        <w:rPr>
          <w:rFonts w:asciiTheme="minorHAnsi" w:hAnsiTheme="minorHAnsi" w:cstheme="minorHAnsi"/>
          <w:sz w:val="22"/>
          <w:szCs w:val="22"/>
        </w:rPr>
      </w:pPr>
    </w:p>
    <w:p w14:paraId="0B47F742" w14:textId="530171A2" w:rsidR="00500B94" w:rsidRPr="00D8391F" w:rsidRDefault="00500B94" w:rsidP="00500B94">
      <w:pPr>
        <w:rPr>
          <w:rFonts w:asciiTheme="minorHAnsi" w:hAnsiTheme="minorHAnsi" w:cstheme="minorHAnsi"/>
          <w:sz w:val="22"/>
          <w:szCs w:val="22"/>
        </w:rPr>
      </w:pPr>
      <w:r w:rsidRPr="00D8391F">
        <w:rPr>
          <w:rFonts w:asciiTheme="minorHAnsi" w:hAnsiTheme="minorHAnsi" w:cstheme="minorHAnsi"/>
          <w:sz w:val="22"/>
          <w:szCs w:val="22"/>
        </w:rPr>
        <w:t xml:space="preserve">College of Policing. (2021). Communication: Building rapport. College of Policing. Available at: </w:t>
      </w:r>
      <w:hyperlink r:id="rId40" w:history="1">
        <w:r w:rsidRPr="00D8391F">
          <w:rPr>
            <w:rStyle w:val="Hyperlink"/>
            <w:rFonts w:asciiTheme="minorHAnsi" w:hAnsiTheme="minorHAnsi" w:cstheme="minorHAnsi"/>
            <w:sz w:val="22"/>
            <w:szCs w:val="22"/>
          </w:rPr>
          <w:t>Communication | College of Policing</w:t>
        </w:r>
      </w:hyperlink>
      <w:r w:rsidRPr="00D8391F">
        <w:rPr>
          <w:rFonts w:asciiTheme="minorHAnsi" w:hAnsiTheme="minorHAnsi" w:cstheme="minorHAnsi"/>
          <w:sz w:val="22"/>
          <w:szCs w:val="22"/>
        </w:rPr>
        <w:t xml:space="preserve"> (Task 4)</w:t>
      </w:r>
    </w:p>
    <w:p w14:paraId="2EC39B11" w14:textId="77777777" w:rsidR="00500B94" w:rsidRPr="00D8391F" w:rsidRDefault="00500B94" w:rsidP="00500B94">
      <w:pPr>
        <w:rPr>
          <w:rFonts w:asciiTheme="minorHAnsi" w:hAnsiTheme="minorHAnsi" w:cstheme="minorHAnsi"/>
          <w:sz w:val="22"/>
          <w:szCs w:val="22"/>
        </w:rPr>
      </w:pPr>
    </w:p>
    <w:p w14:paraId="62E56063" w14:textId="06DB8680" w:rsidR="00500B94" w:rsidRPr="00D8391F" w:rsidRDefault="00500B94" w:rsidP="00500B94">
      <w:pPr>
        <w:rPr>
          <w:rFonts w:asciiTheme="minorHAnsi" w:hAnsiTheme="minorHAnsi" w:cstheme="minorHAnsi"/>
          <w:sz w:val="22"/>
          <w:szCs w:val="22"/>
        </w:rPr>
      </w:pPr>
      <w:r w:rsidRPr="00D8391F">
        <w:rPr>
          <w:rFonts w:asciiTheme="minorHAnsi" w:hAnsiTheme="minorHAnsi" w:cstheme="minorHAnsi"/>
          <w:sz w:val="22"/>
          <w:szCs w:val="22"/>
        </w:rPr>
        <w:t xml:space="preserve">Armitage, R. (2002). </w:t>
      </w:r>
      <w:r w:rsidRPr="00D8391F">
        <w:rPr>
          <w:rFonts w:asciiTheme="minorHAnsi" w:hAnsiTheme="minorHAnsi" w:cstheme="minorHAnsi"/>
          <w:i/>
          <w:iCs/>
          <w:sz w:val="22"/>
          <w:szCs w:val="22"/>
        </w:rPr>
        <w:t>Tackling anti-social behaviour: what really works</w:t>
      </w:r>
      <w:r w:rsidRPr="00D8391F">
        <w:rPr>
          <w:rFonts w:asciiTheme="minorHAnsi" w:hAnsiTheme="minorHAnsi" w:cstheme="minorHAnsi"/>
          <w:sz w:val="22"/>
          <w:szCs w:val="22"/>
        </w:rPr>
        <w:t xml:space="preserve">. Nacro. Available at: </w:t>
      </w:r>
      <w:hyperlink r:id="rId41" w:history="1">
        <w:r w:rsidRPr="00D8391F">
          <w:rPr>
            <w:rStyle w:val="Hyperlink"/>
            <w:rFonts w:asciiTheme="minorHAnsi" w:hAnsiTheme="minorHAnsi" w:cstheme="minorHAnsi"/>
            <w:sz w:val="22"/>
            <w:szCs w:val="22"/>
          </w:rPr>
          <w:t>anti social behaviour.pdf (gov.wales)</w:t>
        </w:r>
      </w:hyperlink>
      <w:r w:rsidRPr="00D8391F">
        <w:rPr>
          <w:rFonts w:asciiTheme="minorHAnsi" w:hAnsiTheme="minorHAnsi" w:cstheme="minorHAnsi"/>
          <w:sz w:val="22"/>
          <w:szCs w:val="22"/>
        </w:rPr>
        <w:t xml:space="preserve"> (Task 4)</w:t>
      </w:r>
    </w:p>
    <w:p w14:paraId="1958A35E" w14:textId="77777777" w:rsidR="00BE571A" w:rsidRDefault="00BE571A" w:rsidP="003D4DCF"/>
    <w:p w14:paraId="6ED77802" w14:textId="77777777" w:rsidR="0093018C" w:rsidRPr="00294868" w:rsidRDefault="00BC5725" w:rsidP="003D4DCF">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2E13B8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w:t>
      </w:r>
      <w:r w:rsidR="00181839">
        <w:rPr>
          <w:rFonts w:eastAsia="Arial"/>
          <w:color w:val="000000" w:themeColor="text1"/>
          <w:sz w:val="24"/>
          <w:szCs w:val="24"/>
        </w:rPr>
        <w:t>R.Neal</w:t>
      </w:r>
      <w:r w:rsidRPr="5848403C">
        <w:rPr>
          <w:rFonts w:eastAsia="Arial"/>
          <w:color w:val="000000" w:themeColor="text1"/>
          <w:sz w:val="24"/>
          <w:szCs w:val="24"/>
        </w:rPr>
        <w:t xml:space="preserve"> _ _ _ _ _ _ _ _ _ _ _ _ (Learner</w:t>
      </w:r>
      <w:r w:rsidR="00181839">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503E15D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w:t>
      </w:r>
      <w:r w:rsidR="005A1CCA">
        <w:rPr>
          <w:rFonts w:eastAsia="Arial"/>
          <w:color w:val="000000" w:themeColor="text1"/>
          <w:sz w:val="24"/>
          <w:szCs w:val="24"/>
        </w:rPr>
        <w:t>24/04/2022</w:t>
      </w:r>
      <w:r w:rsidRPr="5848403C">
        <w:rPr>
          <w:rFonts w:eastAsia="Arial"/>
          <w:color w:val="000000" w:themeColor="text1"/>
          <w:sz w:val="24"/>
          <w:szCs w:val="24"/>
        </w:rPr>
        <w:t xml:space="preserve">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67A753FD"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w:t>
      </w:r>
      <w:r w:rsidR="00AC710C">
        <w:rPr>
          <w:rFonts w:eastAsia="Arial"/>
          <w:color w:val="000000" w:themeColor="text1"/>
          <w:sz w:val="24"/>
          <w:szCs w:val="24"/>
        </w:rPr>
        <w:t>R.Neal</w:t>
      </w:r>
      <w:r w:rsidRPr="5848403C">
        <w:rPr>
          <w:rFonts w:eastAsia="Arial"/>
          <w:color w:val="000000" w:themeColor="text1"/>
          <w:sz w:val="24"/>
          <w:szCs w:val="24"/>
        </w:rPr>
        <w:t xml:space="preserve"> _ _ _ _ _ _ _ _ _ _ (Learner)</w:t>
      </w:r>
    </w:p>
    <w:p w14:paraId="3EC01EFA" w14:textId="0F1AEED0" w:rsidR="5848403C" w:rsidRDefault="5848403C" w:rsidP="5848403C">
      <w:pPr>
        <w:jc w:val="both"/>
        <w:rPr>
          <w:rFonts w:eastAsia="Arial"/>
          <w:color w:val="000000" w:themeColor="text1"/>
          <w:sz w:val="24"/>
          <w:szCs w:val="24"/>
        </w:rPr>
      </w:pPr>
    </w:p>
    <w:p w14:paraId="6058463E" w14:textId="27AAB78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w:t>
      </w:r>
      <w:r w:rsidR="00AC710C">
        <w:rPr>
          <w:rFonts w:eastAsia="Arial"/>
          <w:color w:val="000000" w:themeColor="text1"/>
          <w:sz w:val="24"/>
          <w:szCs w:val="24"/>
        </w:rPr>
        <w:t>24/04/2022</w:t>
      </w:r>
      <w:r w:rsidRPr="5848403C">
        <w:rPr>
          <w:rFonts w:eastAsia="Arial"/>
          <w:color w:val="000000" w:themeColor="text1"/>
          <w:sz w:val="24"/>
          <w:szCs w:val="24"/>
        </w:rPr>
        <w:t xml:space="preserve"> _ _ _ _ _</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355A550" w:rsidR="5848403C" w:rsidRDefault="5848403C" w:rsidP="5848403C"/>
    <w:p w14:paraId="77B3B744" w14:textId="448A974D" w:rsidR="00797CFC" w:rsidRDefault="00797CFC" w:rsidP="5848403C"/>
    <w:p w14:paraId="13DB3885" w14:textId="730DB9E2" w:rsidR="00797CFC" w:rsidRDefault="00797CFC" w:rsidP="5848403C">
      <w:r>
        <w:rPr>
          <w:noProof/>
        </w:rPr>
        <w:drawing>
          <wp:inline distT="0" distB="0" distL="0" distR="0" wp14:anchorId="70A10BE2" wp14:editId="19F08D09">
            <wp:extent cx="5731510" cy="29559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955925"/>
                    </a:xfrm>
                    <a:prstGeom prst="rect">
                      <a:avLst/>
                    </a:prstGeom>
                  </pic:spPr>
                </pic:pic>
              </a:graphicData>
            </a:graphic>
          </wp:inline>
        </w:drawing>
      </w:r>
    </w:p>
    <w:sectPr w:rsidR="00797CF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B24E35" w14:textId="77777777" w:rsidR="00DB6D90" w:rsidRDefault="00DB6D90">
      <w:r>
        <w:separator/>
      </w:r>
    </w:p>
  </w:endnote>
  <w:endnote w:type="continuationSeparator" w:id="0">
    <w:p w14:paraId="37D053F1" w14:textId="77777777" w:rsidR="00DB6D90" w:rsidRDefault="00DB6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7F8795" w14:textId="77777777" w:rsidR="00C23A81" w:rsidRDefault="00C23A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D2B14" w14:textId="77777777" w:rsidR="00C23A81" w:rsidRDefault="00C23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9E18E" w14:textId="77777777" w:rsidR="00DB6D90" w:rsidRDefault="00DB6D90">
      <w:r>
        <w:separator/>
      </w:r>
    </w:p>
  </w:footnote>
  <w:footnote w:type="continuationSeparator" w:id="0">
    <w:p w14:paraId="581CDF0B" w14:textId="77777777" w:rsidR="00DB6D90" w:rsidRDefault="00DB6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FADA7" w14:textId="77777777" w:rsidR="00C23A81" w:rsidRDefault="00C23A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63125" w14:textId="77777777" w:rsidR="00C23A81" w:rsidRDefault="00C23A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8B216" w14:textId="77777777" w:rsidR="00C23A81" w:rsidRDefault="00C23A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81839"/>
    <w:rsid w:val="00190913"/>
    <w:rsid w:val="001961CF"/>
    <w:rsid w:val="001A59BB"/>
    <w:rsid w:val="001A6A51"/>
    <w:rsid w:val="001A79C4"/>
    <w:rsid w:val="001A7AA5"/>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5E8A"/>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4DCF"/>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0B94"/>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A1B4C"/>
    <w:rsid w:val="005A1BA3"/>
    <w:rsid w:val="005A1CCA"/>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C4F59"/>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97CFC"/>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E6583"/>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424C"/>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77AB8"/>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10C"/>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E571A"/>
    <w:rsid w:val="00BF75A9"/>
    <w:rsid w:val="00C01D14"/>
    <w:rsid w:val="00C025B4"/>
    <w:rsid w:val="00C115DA"/>
    <w:rsid w:val="00C11F61"/>
    <w:rsid w:val="00C161FD"/>
    <w:rsid w:val="00C23A81"/>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391F"/>
    <w:rsid w:val="00D8652C"/>
    <w:rsid w:val="00D876E6"/>
    <w:rsid w:val="00D93CA6"/>
    <w:rsid w:val="00D94C3D"/>
    <w:rsid w:val="00D951B9"/>
    <w:rsid w:val="00DA1025"/>
    <w:rsid w:val="00DA22EC"/>
    <w:rsid w:val="00DA5860"/>
    <w:rsid w:val="00DB0DCF"/>
    <w:rsid w:val="00DB2767"/>
    <w:rsid w:val="00DB6D90"/>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057"/>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13E4E"/>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229310">
      <w:bodyDiv w:val="1"/>
      <w:marLeft w:val="0"/>
      <w:marRight w:val="0"/>
      <w:marTop w:val="0"/>
      <w:marBottom w:val="0"/>
      <w:divBdr>
        <w:top w:val="none" w:sz="0" w:space="0" w:color="auto"/>
        <w:left w:val="none" w:sz="0" w:space="0" w:color="auto"/>
        <w:bottom w:val="none" w:sz="0" w:space="0" w:color="auto"/>
        <w:right w:val="none" w:sz="0" w:space="0" w:color="auto"/>
      </w:divBdr>
    </w:div>
    <w:div w:id="512307665">
      <w:bodyDiv w:val="1"/>
      <w:marLeft w:val="0"/>
      <w:marRight w:val="0"/>
      <w:marTop w:val="0"/>
      <w:marBottom w:val="0"/>
      <w:divBdr>
        <w:top w:val="none" w:sz="0" w:space="0" w:color="auto"/>
        <w:left w:val="none" w:sz="0" w:space="0" w:color="auto"/>
        <w:bottom w:val="none" w:sz="0" w:space="0" w:color="auto"/>
        <w:right w:val="none" w:sz="0" w:space="0" w:color="auto"/>
      </w:divBdr>
    </w:div>
    <w:div w:id="1014108115">
      <w:bodyDiv w:val="1"/>
      <w:marLeft w:val="0"/>
      <w:marRight w:val="0"/>
      <w:marTop w:val="0"/>
      <w:marBottom w:val="0"/>
      <w:divBdr>
        <w:top w:val="none" w:sz="0" w:space="0" w:color="auto"/>
        <w:left w:val="none" w:sz="0" w:space="0" w:color="auto"/>
        <w:bottom w:val="none" w:sz="0" w:space="0" w:color="auto"/>
        <w:right w:val="none" w:sz="0" w:space="0" w:color="auto"/>
      </w:divBdr>
    </w:div>
    <w:div w:id="10151843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cbi.nlm.nih.gov/pmc/articles/PMC4844478/" TargetMode="External"/><Relationship Id="rId39" Type="http://schemas.openxmlformats.org/officeDocument/2006/relationships/hyperlink" Target="https://www.gov.uk/youth-offending-team" TargetMode="External"/><Relationship Id="rId3" Type="http://schemas.openxmlformats.org/officeDocument/2006/relationships/customXml" Target="../customXml/item3.xml"/><Relationship Id="rId21" Type="http://schemas.openxmlformats.org/officeDocument/2006/relationships/hyperlink" Target="https://journals.sagepub.com/doi/pdf/10.1177/070674371105600504" TargetMode="External"/><Relationship Id="rId34" Type="http://schemas.openxmlformats.org/officeDocument/2006/relationships/hyperlink" Target="https://www.researchgate.net/profile/Gavin-Oxburgh-2/publication/40764681_The_question_of_question_types_in_police_interviews_A_review_of_the_literature_from_a_psychological_and_linguistic_perspective/links/53e4e8890cf2fb748710fc6b/The-question-of-question-types-in-police-interviews-A-review-of-the-literature-from-a-psychological-and-linguistic-perspective.pdf" TargetMode="External"/><Relationship Id="rId42"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3" Type="http://schemas.openxmlformats.org/officeDocument/2006/relationships/hyperlink" Target="https://www.college.police.uk/guidance/obtaining-initial-accounts/witnesses-own-words-and-open-questioning" TargetMode="External"/><Relationship Id="rId38" Type="http://schemas.openxmlformats.org/officeDocument/2006/relationships/hyperlink" Target="https://www.york.gov.uk/CP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reader.elsevier.com/reader/sd/pii/B0123708702001268?token=FF7055A434F641A1F34FF2C92AAE9C8DAEBD90BC093C5BE5C82986992FED5372774F6EB40699519551579A463D23D7E8&amp;originRegion=eu-west-1&amp;originCreation=20220420093740" TargetMode="External"/><Relationship Id="rId29" Type="http://schemas.openxmlformats.org/officeDocument/2006/relationships/hyperlink" Target="https://www.fis-international.com/assets/Uploads/resources/Schollum-PEACE.pdf" TargetMode="External"/><Relationship Id="rId41" Type="http://schemas.openxmlformats.org/officeDocument/2006/relationships/hyperlink" Target="https://businesswales.gov.wales/sites/business-wales/files/anti%20social%20behaviour.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903814/pace-code-g-2012.pdf" TargetMode="External"/><Relationship Id="rId32" Type="http://schemas.openxmlformats.org/officeDocument/2006/relationships/hyperlink" Target="https://assets.publishing.service.gov.uk/government/uploads/system/uploads/attachment_data/file/864940/interviewing-suspects-v7.0.pdf" TargetMode="External"/><Relationship Id="rId37" Type="http://schemas.openxmlformats.org/officeDocument/2006/relationships/hyperlink" Target="https://www.york.gov.uk/CPN" TargetMode="External"/><Relationship Id="rId40" Type="http://schemas.openxmlformats.org/officeDocument/2006/relationships/hyperlink" Target="https://www.college.police.uk/guidance/vulnerability-related-risks/communica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obtaining-initial-accounts/witnesses-own-words-and-open-questioning" TargetMode="External"/><Relationship Id="rId28" Type="http://schemas.openxmlformats.org/officeDocument/2006/relationships/hyperlink" Target="https://www.app.college.police.uk/app-content/investigations/investigative-interviewing/" TargetMode="External"/><Relationship Id="rId36" Type="http://schemas.openxmlformats.org/officeDocument/2006/relationships/hyperlink" Target="https://www.apccs.police.uk/media/5369/police_and_crime_plan_update_final.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college.police.uk/s3fs-public/2021-02/code_of_ethics.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harmacistsupport.org/i-need-help-managing-my/physical-health/sleep-2/?gclid=EAIaIQobChMIxuiE-f6Z9wIVCZftCh2cHA89EAAYAiAAEgK4X_D_BwE" TargetMode="External"/><Relationship Id="rId27" Type="http://schemas.openxmlformats.org/officeDocument/2006/relationships/hyperlink" Target="https://proceduresonline.com/trixcms/media/6627/dash-risk-assessment.pdf" TargetMode="External"/><Relationship Id="rId30" Type="http://schemas.openxmlformats.org/officeDocument/2006/relationships/hyperlink" Target="https://assets.publishing.service.gov.uk/government/uploads/system/uploads/attachment_data/file/891370/Manual-of-guidance-MG-forms-v11ext.pdf" TargetMode="External"/><Relationship Id="rId35" Type="http://schemas.openxmlformats.org/officeDocument/2006/relationships/hyperlink" Target="https://assets.publishing.service.gov.uk/government/uploads/system/uploads/attachment_data/file/116655/dpr26.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BD44C3-91C5-4252-9B9C-161B997D1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25</Pages>
  <Words>7985</Words>
  <Characters>45517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Neal, Rhys</cp:lastModifiedBy>
  <cp:revision>20</cp:revision>
  <cp:lastPrinted>2019-09-26T14:40:00Z</cp:lastPrinted>
  <dcterms:created xsi:type="dcterms:W3CDTF">2022-02-23T13:48:00Z</dcterms:created>
  <dcterms:modified xsi:type="dcterms:W3CDTF">2022-04-27T22:40:00Z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2022-02-23T13:48:04Z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9b029db5-5c2a-445a-b1c2-808385c64fdc</vt:lpwstr>
  </property>
  <property fmtid="{D5CDD505-2E9C-101B-9397-08002B2CF9AE}" pid="9" name="MSIP_Label_f2acd28b-79a3-4a0f-b0ff-4b75658b1549_ContentBits">
    <vt:lpwstr>0</vt:lpwstr>
  </property>
</Properties>
</file>