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3F596" w14:textId="77777777" w:rsidR="00965CB2" w:rsidRPr="00965CB2" w:rsidRDefault="00965CB2" w:rsidP="00B15E59">
      <w:pPr>
        <w:spacing w:after="0" w:line="360" w:lineRule="auto"/>
        <w:rPr>
          <w:rFonts w:ascii="Arial" w:eastAsia="Times New Roman" w:hAnsi="Arial" w:cs="Arial"/>
          <w:kern w:val="0"/>
          <w:sz w:val="36"/>
          <w:szCs w:val="36"/>
          <w:lang w:eastAsia="en-GB"/>
          <w14:ligatures w14:val="none"/>
        </w:rPr>
      </w:pPr>
      <w:r w:rsidRPr="00965CB2">
        <w:rPr>
          <w:rFonts w:ascii="Arial" w:eastAsia="Times New Roman" w:hAnsi="Arial" w:cs="Arial"/>
          <w:b/>
          <w:bCs/>
          <w:kern w:val="0"/>
          <w:sz w:val="36"/>
          <w:szCs w:val="36"/>
          <w:lang w:eastAsia="en-GB"/>
          <w14:ligatures w14:val="none"/>
        </w:rPr>
        <w:t>Health and Social Care Assignment</w:t>
      </w:r>
    </w:p>
    <w:p w14:paraId="08617482" w14:textId="77777777" w:rsidR="00965CB2" w:rsidRPr="00965CB2" w:rsidRDefault="00965CB2" w:rsidP="00B15E59">
      <w:pPr>
        <w:spacing w:after="224" w:line="360" w:lineRule="auto"/>
        <w:rPr>
          <w:rFonts w:ascii="Arial" w:eastAsia="Times New Roman" w:hAnsi="Arial" w:cs="Arial"/>
          <w:kern w:val="0"/>
          <w:sz w:val="36"/>
          <w:szCs w:val="36"/>
          <w:lang w:eastAsia="en-GB"/>
          <w14:ligatures w14:val="none"/>
        </w:rPr>
      </w:pPr>
      <w:r w:rsidRPr="00965CB2">
        <w:rPr>
          <w:rFonts w:ascii="Arial" w:eastAsia="Times New Roman" w:hAnsi="Arial" w:cs="Arial"/>
          <w:b/>
          <w:bCs/>
          <w:kern w:val="0"/>
          <w:sz w:val="36"/>
          <w:szCs w:val="36"/>
          <w:lang w:eastAsia="en-GB"/>
          <w14:ligatures w14:val="none"/>
        </w:rPr>
        <w:t>Part A: Annotated Bibliography &amp; Part B: Report</w:t>
      </w:r>
    </w:p>
    <w:p w14:paraId="1DBF50C2" w14:textId="77777777" w:rsidR="00965CB2" w:rsidRPr="00965CB2" w:rsidRDefault="00965CB2" w:rsidP="00B15E59">
      <w:pPr>
        <w:spacing w:after="0" w:line="360" w:lineRule="auto"/>
        <w:rPr>
          <w:rFonts w:ascii="Times New Roman" w:eastAsia="Times New Roman" w:hAnsi="Times New Roman" w:cs="Times New Roman"/>
          <w:color w:val="808080"/>
          <w:kern w:val="0"/>
          <w:sz w:val="28"/>
          <w:szCs w:val="28"/>
          <w:lang w:eastAsia="en-GB"/>
          <w14:ligatures w14:val="none"/>
        </w:rPr>
      </w:pPr>
    </w:p>
    <w:p w14:paraId="76409F0B" w14:textId="71513759" w:rsidR="00965CB2" w:rsidRPr="00965CB2" w:rsidRDefault="00965CB2" w:rsidP="00B15E59">
      <w:pPr>
        <w:spacing w:after="336" w:line="36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Student Name:</w:t>
      </w:r>
      <w:r w:rsidR="002C4B05" w:rsidRPr="00E241EE">
        <w:rPr>
          <w:rFonts w:ascii="Arial" w:eastAsia="Times New Roman" w:hAnsi="Arial" w:cs="Arial"/>
          <w:kern w:val="0"/>
          <w:sz w:val="28"/>
          <w:szCs w:val="28"/>
          <w:lang w:eastAsia="en-GB"/>
          <w14:ligatures w14:val="none"/>
        </w:rPr>
        <w:t xml:space="preserve"> Esanga Ikwa</w:t>
      </w:r>
    </w:p>
    <w:p w14:paraId="47F76035" w14:textId="08F95322" w:rsidR="00965CB2" w:rsidRPr="00965CB2" w:rsidRDefault="00965CB2" w:rsidP="00B15E59">
      <w:pPr>
        <w:spacing w:after="336" w:line="36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Student ID:</w:t>
      </w:r>
      <w:r w:rsidR="008B4D2D" w:rsidRPr="00E241EE">
        <w:rPr>
          <w:rFonts w:ascii="Arial" w:eastAsia="Times New Roman" w:hAnsi="Arial" w:cs="Arial"/>
          <w:kern w:val="0"/>
          <w:sz w:val="28"/>
          <w:szCs w:val="28"/>
          <w:lang w:eastAsia="en-GB"/>
          <w14:ligatures w14:val="none"/>
        </w:rPr>
        <w:t xml:space="preserve"> 2441441</w:t>
      </w:r>
    </w:p>
    <w:p w14:paraId="4AA9AB97" w14:textId="7522E724"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Module Code:</w:t>
      </w:r>
      <w:r w:rsidR="004B2A4D" w:rsidRPr="00E241EE">
        <w:rPr>
          <w:rFonts w:ascii="Arial" w:eastAsia="Times New Roman" w:hAnsi="Arial" w:cs="Arial"/>
          <w:kern w:val="0"/>
          <w:sz w:val="28"/>
          <w:szCs w:val="28"/>
          <w:lang w:eastAsia="en-GB"/>
          <w14:ligatures w14:val="none"/>
        </w:rPr>
        <w:t xml:space="preserve"> </w:t>
      </w:r>
      <w:r w:rsidR="004B2A4D" w:rsidRPr="00965CB2">
        <w:rPr>
          <w:rFonts w:ascii="Arial" w:eastAsia="Times New Roman" w:hAnsi="Arial" w:cs="Arial"/>
          <w:kern w:val="0"/>
          <w:sz w:val="28"/>
          <w:szCs w:val="28"/>
          <w:lang w:eastAsia="en-GB"/>
          <w14:ligatures w14:val="none"/>
        </w:rPr>
        <w:t>LCHS4010</w:t>
      </w:r>
    </w:p>
    <w:p w14:paraId="318EDF7E" w14:textId="05ED73D9" w:rsidR="00965CB2" w:rsidRPr="00965CB2" w:rsidRDefault="00965CB2" w:rsidP="00B15E59">
      <w:pPr>
        <w:spacing w:after="336" w:line="36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Module Title:</w:t>
      </w:r>
      <w:r w:rsidR="004B2A4D" w:rsidRPr="00E241EE">
        <w:rPr>
          <w:rFonts w:ascii="Arial" w:eastAsia="Times New Roman" w:hAnsi="Arial" w:cs="Arial"/>
          <w:kern w:val="0"/>
          <w:sz w:val="28"/>
          <w:szCs w:val="28"/>
          <w:lang w:eastAsia="en-GB"/>
          <w14:ligatures w14:val="none"/>
        </w:rPr>
        <w:t xml:space="preserve"> </w:t>
      </w:r>
      <w:r w:rsidRPr="00965CB2">
        <w:rPr>
          <w:rFonts w:ascii="Arial" w:eastAsia="Times New Roman" w:hAnsi="Arial" w:cs="Arial"/>
          <w:kern w:val="0"/>
          <w:sz w:val="28"/>
          <w:szCs w:val="28"/>
          <w:lang w:eastAsia="en-GB"/>
          <w14:ligatures w14:val="none"/>
        </w:rPr>
        <w:t>Psychology in Health and Social Care</w:t>
      </w:r>
    </w:p>
    <w:p w14:paraId="70BBD904" w14:textId="0803AA23" w:rsidR="00965CB2" w:rsidRPr="00965CB2" w:rsidRDefault="00965CB2" w:rsidP="00B15E59">
      <w:pPr>
        <w:spacing w:after="336" w:line="36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Lecturer:</w:t>
      </w:r>
      <w:r w:rsidR="00D355F5" w:rsidRPr="00E241EE">
        <w:rPr>
          <w:rFonts w:ascii="Arial" w:eastAsia="Times New Roman" w:hAnsi="Arial" w:cs="Arial"/>
          <w:kern w:val="0"/>
          <w:sz w:val="28"/>
          <w:szCs w:val="28"/>
          <w:lang w:eastAsia="en-GB"/>
          <w14:ligatures w14:val="none"/>
        </w:rPr>
        <w:t xml:space="preserve"> Pascal </w:t>
      </w:r>
      <w:proofErr w:type="spellStart"/>
      <w:r w:rsidR="008B4D2D" w:rsidRPr="00E241EE">
        <w:rPr>
          <w:rFonts w:ascii="Arial" w:eastAsia="Times New Roman" w:hAnsi="Arial" w:cs="Arial"/>
          <w:kern w:val="0"/>
          <w:sz w:val="28"/>
          <w:szCs w:val="28"/>
          <w:lang w:eastAsia="en-GB"/>
          <w14:ligatures w14:val="none"/>
        </w:rPr>
        <w:t>Navelle</w:t>
      </w:r>
      <w:proofErr w:type="spellEnd"/>
    </w:p>
    <w:p w14:paraId="094065AB" w14:textId="6449F030" w:rsidR="00965CB2" w:rsidRPr="00965CB2" w:rsidRDefault="00965CB2" w:rsidP="00B15E59">
      <w:pPr>
        <w:spacing w:after="336" w:line="360" w:lineRule="auto"/>
        <w:rPr>
          <w:rFonts w:ascii="Arial" w:eastAsia="Times New Roman" w:hAnsi="Arial" w:cs="Arial"/>
          <w:kern w:val="0"/>
          <w:sz w:val="28"/>
          <w:szCs w:val="28"/>
          <w:lang w:eastAsia="en-GB"/>
          <w14:ligatures w14:val="none"/>
        </w:rPr>
      </w:pPr>
      <w:r w:rsidRPr="00965CB2">
        <w:rPr>
          <w:rFonts w:ascii="Arial" w:eastAsia="Times New Roman" w:hAnsi="Arial" w:cs="Arial"/>
          <w:kern w:val="0"/>
          <w:sz w:val="28"/>
          <w:szCs w:val="28"/>
          <w:lang w:eastAsia="en-GB"/>
          <w14:ligatures w14:val="none"/>
        </w:rPr>
        <w:t>Date:</w:t>
      </w:r>
      <w:r w:rsidR="00CB4B0E" w:rsidRPr="00E241EE">
        <w:rPr>
          <w:rFonts w:ascii="Arial" w:eastAsia="Times New Roman" w:hAnsi="Arial" w:cs="Arial"/>
          <w:kern w:val="0"/>
          <w:sz w:val="28"/>
          <w:szCs w:val="28"/>
          <w:lang w:eastAsia="en-GB"/>
          <w14:ligatures w14:val="none"/>
        </w:rPr>
        <w:t xml:space="preserve"> 2</w:t>
      </w:r>
      <w:r w:rsidR="00E241EE">
        <w:rPr>
          <w:rFonts w:ascii="Arial" w:eastAsia="Times New Roman" w:hAnsi="Arial" w:cs="Arial"/>
          <w:kern w:val="0"/>
          <w:sz w:val="28"/>
          <w:szCs w:val="28"/>
          <w:lang w:eastAsia="en-GB"/>
          <w14:ligatures w14:val="none"/>
        </w:rPr>
        <w:t>1</w:t>
      </w:r>
      <w:r w:rsidR="00CB4B0E" w:rsidRPr="00E241EE">
        <w:rPr>
          <w:rFonts w:ascii="Arial" w:eastAsia="Times New Roman" w:hAnsi="Arial" w:cs="Arial"/>
          <w:kern w:val="0"/>
          <w:sz w:val="28"/>
          <w:szCs w:val="28"/>
          <w:lang w:eastAsia="en-GB"/>
          <w14:ligatures w14:val="none"/>
        </w:rPr>
        <w:t>/04/2026</w:t>
      </w:r>
    </w:p>
    <w:p w14:paraId="0688FC0F"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503A81FF" w14:textId="2694BA46" w:rsidR="00965CB2" w:rsidRPr="00965CB2" w:rsidRDefault="00965CB2" w:rsidP="00B15E59">
      <w:pPr>
        <w:spacing w:after="242"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P</w:t>
      </w:r>
      <w:r w:rsidR="00E241EE">
        <w:rPr>
          <w:rFonts w:ascii="Arial" w:eastAsia="Times New Roman" w:hAnsi="Arial" w:cs="Arial"/>
          <w:b/>
          <w:bCs/>
          <w:kern w:val="0"/>
          <w:sz w:val="28"/>
          <w:szCs w:val="28"/>
          <w:lang w:eastAsia="en-GB"/>
          <w14:ligatures w14:val="none"/>
        </w:rPr>
        <w:t>art</w:t>
      </w:r>
      <w:r w:rsidRPr="00965CB2">
        <w:rPr>
          <w:rFonts w:ascii="Arial" w:eastAsia="Times New Roman" w:hAnsi="Arial" w:cs="Arial"/>
          <w:b/>
          <w:bCs/>
          <w:kern w:val="0"/>
          <w:sz w:val="28"/>
          <w:szCs w:val="28"/>
          <w:lang w:eastAsia="en-GB"/>
          <w14:ligatures w14:val="none"/>
        </w:rPr>
        <w:t xml:space="preserve"> A: A</w:t>
      </w:r>
      <w:r w:rsidR="00C233AA">
        <w:rPr>
          <w:rFonts w:ascii="Arial" w:eastAsia="Times New Roman" w:hAnsi="Arial" w:cs="Arial"/>
          <w:b/>
          <w:bCs/>
          <w:kern w:val="0"/>
          <w:sz w:val="28"/>
          <w:szCs w:val="28"/>
          <w:lang w:eastAsia="en-GB"/>
          <w14:ligatures w14:val="none"/>
        </w:rPr>
        <w:t xml:space="preserve">nnotated </w:t>
      </w:r>
      <w:r w:rsidR="001E1920">
        <w:rPr>
          <w:rFonts w:ascii="Arial" w:eastAsia="Times New Roman" w:hAnsi="Arial" w:cs="Arial"/>
          <w:b/>
          <w:bCs/>
          <w:kern w:val="0"/>
          <w:sz w:val="28"/>
          <w:szCs w:val="28"/>
          <w:lang w:eastAsia="en-GB"/>
          <w14:ligatures w14:val="none"/>
        </w:rPr>
        <w:t xml:space="preserve">Bibliography </w:t>
      </w:r>
    </w:p>
    <w:p w14:paraId="6F99F677" w14:textId="77777777" w:rsidR="00965CB2" w:rsidRPr="00965CB2" w:rsidRDefault="00965CB2" w:rsidP="00B15E59">
      <w:pPr>
        <w:spacing w:after="0" w:line="360" w:lineRule="auto"/>
        <w:rPr>
          <w:rFonts w:ascii="Arial" w:eastAsia="Times New Roman" w:hAnsi="Arial" w:cs="Arial"/>
          <w:color w:val="808080"/>
          <w:kern w:val="0"/>
          <w:sz w:val="28"/>
          <w:szCs w:val="28"/>
          <w:lang w:eastAsia="en-GB"/>
          <w14:ligatures w14:val="none"/>
        </w:rPr>
      </w:pPr>
    </w:p>
    <w:p w14:paraId="0091237A" w14:textId="77777777" w:rsidR="00965CB2" w:rsidRPr="00965CB2" w:rsidRDefault="00965CB2" w:rsidP="00B15E59">
      <w:pPr>
        <w:spacing w:after="224" w:line="360" w:lineRule="auto"/>
        <w:rPr>
          <w:rFonts w:ascii="Arial" w:eastAsia="Times New Roman" w:hAnsi="Arial" w:cs="Arial"/>
          <w:kern w:val="0"/>
          <w:sz w:val="24"/>
          <w:szCs w:val="24"/>
          <w:lang w:eastAsia="en-GB"/>
          <w14:ligatures w14:val="none"/>
        </w:rPr>
      </w:pPr>
      <w:r w:rsidRPr="00965CB2">
        <w:rPr>
          <w:rFonts w:ascii="Arial" w:eastAsia="Times New Roman" w:hAnsi="Arial" w:cs="Arial"/>
          <w:b/>
          <w:bCs/>
          <w:kern w:val="0"/>
          <w:sz w:val="24"/>
          <w:szCs w:val="24"/>
          <w:lang w:eastAsia="en-GB"/>
          <w14:ligatures w14:val="none"/>
        </w:rPr>
        <w:t>1. Erikson, E. H. (1963)</w:t>
      </w:r>
    </w:p>
    <w:p w14:paraId="5B0AB6B1" w14:textId="77777777"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Erikson, E. H. (1963</w:t>
      </w:r>
      <w:r w:rsidRPr="00965CB2">
        <w:rPr>
          <w:rFonts w:ascii="Arial" w:eastAsia="Times New Roman" w:hAnsi="Arial" w:cs="Arial"/>
          <w:i/>
          <w:iCs/>
          <w:kern w:val="0"/>
          <w:sz w:val="24"/>
          <w:szCs w:val="24"/>
          <w:lang w:eastAsia="en-GB"/>
          <w14:ligatures w14:val="none"/>
        </w:rPr>
        <w:t>) Childhood and society</w:t>
      </w:r>
      <w:r w:rsidRPr="00965CB2">
        <w:rPr>
          <w:rFonts w:ascii="Arial" w:eastAsia="Times New Roman" w:hAnsi="Arial" w:cs="Arial"/>
          <w:kern w:val="0"/>
          <w:sz w:val="24"/>
          <w:szCs w:val="24"/>
          <w:lang w:eastAsia="en-GB"/>
          <w14:ligatures w14:val="none"/>
        </w:rPr>
        <w:t xml:space="preserve">. 2nd </w:t>
      </w:r>
      <w:proofErr w:type="spellStart"/>
      <w:r w:rsidRPr="00965CB2">
        <w:rPr>
          <w:rFonts w:ascii="Arial" w:eastAsia="Times New Roman" w:hAnsi="Arial" w:cs="Arial"/>
          <w:kern w:val="0"/>
          <w:sz w:val="24"/>
          <w:szCs w:val="24"/>
          <w:lang w:eastAsia="en-GB"/>
          <w14:ligatures w14:val="none"/>
        </w:rPr>
        <w:t>edn</w:t>
      </w:r>
      <w:proofErr w:type="spellEnd"/>
      <w:r w:rsidRPr="00965CB2">
        <w:rPr>
          <w:rFonts w:ascii="Arial" w:eastAsia="Times New Roman" w:hAnsi="Arial" w:cs="Arial"/>
          <w:kern w:val="0"/>
          <w:sz w:val="24"/>
          <w:szCs w:val="24"/>
          <w:lang w:eastAsia="en-GB"/>
          <w14:ligatures w14:val="none"/>
        </w:rPr>
        <w:t>. New York: W. W. Norton &amp; Company.</w:t>
      </w:r>
    </w:p>
    <w:p w14:paraId="450F870F" w14:textId="77777777"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Summary</w:t>
      </w:r>
      <w:r w:rsidRPr="00965CB2">
        <w:rPr>
          <w:rFonts w:ascii="TimesNewRomanPS-BoldMT" w:eastAsia="Times New Roman" w:hAnsi="TimesNewRomanPS-BoldMT" w:cs="Times New Roman"/>
          <w:b/>
          <w:bCs/>
          <w:kern w:val="0"/>
          <w:sz w:val="30"/>
          <w:szCs w:val="30"/>
          <w:lang w:eastAsia="en-GB"/>
          <w14:ligatures w14:val="none"/>
        </w:rPr>
        <w: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Erikson’s psychosocial theory outlines eight stages of development across the lifespan. In later adulthood, individuals experience ego integrity versus despair, where they reflect on life experiences. Successful resolution leads to fulfilment and wisdom, while unsuccessful resolution may result in regret and dissatisfaction.</w:t>
      </w:r>
    </w:p>
    <w:p w14:paraId="7FBD18D2" w14:textId="4CE7E45A"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 xml:space="preserve">This theory is relevant in health and social care as it supports interventions such as reminiscence therapy, helping older adults reflect positively on their lives. However, it may oversimplify ageing and does not fully account for cultural differences or </w:t>
      </w:r>
      <w:r w:rsidRPr="00965CB2">
        <w:rPr>
          <w:rFonts w:ascii="Arial" w:eastAsia="Times New Roman" w:hAnsi="Arial" w:cs="Arial"/>
          <w:kern w:val="0"/>
          <w:sz w:val="24"/>
          <w:szCs w:val="24"/>
          <w:lang w:eastAsia="en-GB"/>
          <w14:ligatures w14:val="none"/>
        </w:rPr>
        <w:lastRenderedPageBreak/>
        <w:t>cognitive impairment.</w:t>
      </w:r>
      <w:r w:rsidR="00FC78A8" w:rsidRPr="00FC78A8">
        <w:rPr>
          <w:color w:val="222222"/>
          <w:sz w:val="18"/>
          <w:szCs w:val="18"/>
          <w:shd w:val="clear" w:color="auto" w:fill="FFFFFF"/>
        </w:rPr>
        <w:t xml:space="preserve"> </w:t>
      </w:r>
      <w:r w:rsidR="00FC78A8" w:rsidRPr="00FC78A8">
        <w:rPr>
          <w:rFonts w:ascii="Arial" w:eastAsia="Times New Roman" w:hAnsi="Arial" w:cs="Arial"/>
          <w:kern w:val="0"/>
          <w:sz w:val="24"/>
          <w:szCs w:val="24"/>
          <w:lang w:eastAsia="en-GB"/>
          <w14:ligatures w14:val="none"/>
        </w:rPr>
        <w:t>Furthermore, this theory is useful for care professionals when supporting older adults who may be experiencing feelings of loss, isolation, or regret. By encouraging life review activities, such as reminiscence therapy or storytelling, practitioners can help individuals achieve a sense of closure and emotional wellbeing. However, the theory has been criticised for being stage-based and not fully reflecting the diverse and non-linear experiences of ageing across different cultures and health conditions.</w:t>
      </w:r>
    </w:p>
    <w:p w14:paraId="146E3058" w14:textId="77777777" w:rsidR="00965CB2" w:rsidRPr="00965CB2" w:rsidRDefault="00965CB2" w:rsidP="00B15E59">
      <w:pPr>
        <w:spacing w:after="0" w:line="360" w:lineRule="auto"/>
        <w:rPr>
          <w:rFonts w:ascii="Arial" w:eastAsia="Times New Roman" w:hAnsi="Arial" w:cs="Arial"/>
          <w:color w:val="808080"/>
          <w:kern w:val="0"/>
          <w:sz w:val="28"/>
          <w:szCs w:val="28"/>
          <w:lang w:eastAsia="en-GB"/>
          <w14:ligatures w14:val="none"/>
        </w:rPr>
      </w:pPr>
    </w:p>
    <w:p w14:paraId="624163C7"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2. Havighurst, R. J. (1961)</w:t>
      </w:r>
    </w:p>
    <w:p w14:paraId="019DB1E6" w14:textId="77777777"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Havighurst, R. J. (1961) ‘Successful aging’, </w:t>
      </w:r>
      <w:r w:rsidRPr="00965CB2">
        <w:rPr>
          <w:rFonts w:ascii="Arial" w:eastAsia="Times New Roman" w:hAnsi="Arial" w:cs="Arial"/>
          <w:i/>
          <w:iCs/>
          <w:kern w:val="0"/>
          <w:sz w:val="24"/>
          <w:szCs w:val="24"/>
          <w:lang w:eastAsia="en-GB"/>
          <w14:ligatures w14:val="none"/>
        </w:rPr>
        <w:t>The Gerontologist</w:t>
      </w:r>
      <w:r w:rsidRPr="00965CB2">
        <w:rPr>
          <w:rFonts w:ascii="Arial" w:eastAsia="Times New Roman" w:hAnsi="Arial" w:cs="Arial"/>
          <w:kern w:val="0"/>
          <w:sz w:val="24"/>
          <w:szCs w:val="24"/>
          <w:lang w:eastAsia="en-GB"/>
          <w14:ligatures w14:val="none"/>
        </w:rPr>
        <w:t>, 1(1), pp. 8–13.</w:t>
      </w:r>
    </w:p>
    <w:p w14:paraId="19BE678D" w14:textId="77777777"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Summary:</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Activity theory suggests that older adults maintain wellbeing through continued social, physical, and mental engagement. Maintaining or replacing roles helps preserve identity and life satisfaction.</w:t>
      </w:r>
    </w:p>
    <w:p w14:paraId="173B6D12" w14:textId="27D43AAC" w:rsidR="00543420" w:rsidRPr="00543420" w:rsidRDefault="00965CB2" w:rsidP="00B15E59">
      <w:pPr>
        <w:spacing w:line="360" w:lineRule="auto"/>
        <w:rPr>
          <w:rFonts w:ascii="Arial" w:eastAsia="Times New Roman" w:hAnsi="Arial" w:cs="Arial"/>
          <w:kern w:val="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This theory is widely applied in care settings to promote active ageing. However, it may not be suitable for individuals with physical or cognitive limitations.</w:t>
      </w:r>
      <w:r w:rsidR="00543420" w:rsidRPr="00543420">
        <w:rPr>
          <w:rFonts w:ascii="Times New Roman" w:eastAsia="Times New Roman" w:hAnsi="Times New Roman" w:cs="Times New Roman"/>
          <w:color w:val="222222"/>
          <w:kern w:val="0"/>
          <w:sz w:val="24"/>
          <w:szCs w:val="24"/>
          <w:lang w:eastAsia="en-GB"/>
          <w14:ligatures w14:val="none"/>
        </w:rPr>
        <w:t xml:space="preserve"> </w:t>
      </w:r>
      <w:r w:rsidR="00543420" w:rsidRPr="00543420">
        <w:rPr>
          <w:rFonts w:ascii="Arial" w:eastAsia="Times New Roman" w:hAnsi="Arial" w:cs="Arial"/>
          <w:kern w:val="0"/>
          <w:sz w:val="24"/>
          <w:szCs w:val="24"/>
          <w:lang w:eastAsia="en-GB"/>
          <w14:ligatures w14:val="none"/>
        </w:rPr>
        <w:t>In addition, Activity Theory is particularly valuable in promoting independence and social inclusion within care environments. It encourages care providers to design personalised activity programmes that reflect individual preferences and abilities. However, critics argue that the theory places too much emphasis on activity as the main source of wellbeing and may overlook the importance of rest, reflection, and acceptance in later life.</w:t>
      </w:r>
    </w:p>
    <w:p w14:paraId="38973908" w14:textId="5DD3F7BF"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p>
    <w:p w14:paraId="1C73BEB7"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1F682356"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3. Bowlby, J. (1969)</w:t>
      </w:r>
    </w:p>
    <w:p w14:paraId="79205E33" w14:textId="623212A1"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Bowlby, J. (1969) </w:t>
      </w:r>
      <w:r w:rsidRPr="00965CB2">
        <w:rPr>
          <w:rFonts w:ascii="Arial" w:eastAsia="Times New Roman" w:hAnsi="Arial" w:cs="Arial"/>
          <w:i/>
          <w:iCs/>
          <w:kern w:val="0"/>
          <w:sz w:val="24"/>
          <w:szCs w:val="24"/>
          <w:lang w:eastAsia="en-GB"/>
          <w14:ligatures w14:val="none"/>
        </w:rPr>
        <w:t>Attachment and loss: Vol</w:t>
      </w:r>
      <w:r w:rsidR="001872A9">
        <w:rPr>
          <w:rFonts w:ascii="Arial" w:eastAsia="Times New Roman" w:hAnsi="Arial" w:cs="Arial"/>
          <w:i/>
          <w:iCs/>
          <w:kern w:val="0"/>
          <w:sz w:val="24"/>
          <w:szCs w:val="24"/>
          <w:lang w:eastAsia="en-GB"/>
          <w14:ligatures w14:val="none"/>
        </w:rPr>
        <w:t>.</w:t>
      </w:r>
      <w:r w:rsidRPr="00965CB2">
        <w:rPr>
          <w:rFonts w:ascii="Arial" w:eastAsia="Times New Roman" w:hAnsi="Arial" w:cs="Arial"/>
          <w:i/>
          <w:iCs/>
          <w:kern w:val="0"/>
          <w:sz w:val="24"/>
          <w:szCs w:val="24"/>
          <w:lang w:eastAsia="en-GB"/>
          <w14:ligatures w14:val="none"/>
        </w:rPr>
        <w:t xml:space="preserve"> 1</w:t>
      </w:r>
      <w:r w:rsidR="00D91F84">
        <w:rPr>
          <w:rFonts w:ascii="Arial" w:eastAsia="Times New Roman" w:hAnsi="Arial" w:cs="Arial"/>
          <w:i/>
          <w:iCs/>
          <w:kern w:val="0"/>
          <w:sz w:val="24"/>
          <w:szCs w:val="24"/>
          <w:lang w:eastAsia="en-GB"/>
          <w14:ligatures w14:val="none"/>
        </w:rPr>
        <w:t>.</w:t>
      </w:r>
      <w:r w:rsidRPr="00965CB2">
        <w:rPr>
          <w:rFonts w:ascii="Arial" w:eastAsia="Times New Roman" w:hAnsi="Arial" w:cs="Arial"/>
          <w:i/>
          <w:iCs/>
          <w:kern w:val="0"/>
          <w:sz w:val="24"/>
          <w:szCs w:val="24"/>
          <w:lang w:eastAsia="en-GB"/>
          <w14:ligatures w14:val="none"/>
        </w:rPr>
        <w:t xml:space="preserve"> Attachment</w:t>
      </w:r>
      <w:r w:rsidRPr="00965CB2">
        <w:rPr>
          <w:rFonts w:ascii="Arial" w:eastAsia="Times New Roman" w:hAnsi="Arial" w:cs="Arial"/>
          <w:kern w:val="0"/>
          <w:sz w:val="24"/>
          <w:szCs w:val="24"/>
          <w:lang w:eastAsia="en-GB"/>
          <w14:ligatures w14:val="none"/>
        </w:rPr>
        <w:t>.  Basic Books.</w:t>
      </w:r>
    </w:p>
    <w:p w14:paraId="69CAC110" w14:textId="77777777"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Summary:</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 xml:space="preserve">Attachment theory explains how early caregiver relationships shape emotional </w:t>
      </w:r>
      <w:r w:rsidRPr="00965CB2">
        <w:rPr>
          <w:rFonts w:ascii="Arial" w:eastAsia="Times New Roman" w:hAnsi="Arial" w:cs="Arial"/>
          <w:kern w:val="0"/>
          <w:sz w:val="24"/>
          <w:szCs w:val="24"/>
          <w:lang w:eastAsia="en-GB"/>
          <w14:ligatures w14:val="none"/>
        </w:rPr>
        <w:lastRenderedPageBreak/>
        <w:t>development and future relationships. Secure attachment promotes confidence, while insecure attachment can lead to anxiety or avoidance.</w:t>
      </w:r>
    </w:p>
    <w:p w14:paraId="225D6A71" w14:textId="3DFDF35A"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This theory is useful in understanding emotional needs in care settings, particularly during loss and transition. However, it focuses mainly on early life and may not fully explain later-life emotional adaptation.</w:t>
      </w:r>
      <w:r w:rsidR="00587910" w:rsidRPr="00587910">
        <w:t xml:space="preserve"> </w:t>
      </w:r>
      <w:r w:rsidR="00587910" w:rsidRPr="00587910">
        <w:rPr>
          <w:rFonts w:ascii="Arial" w:eastAsia="Times New Roman" w:hAnsi="Arial" w:cs="Arial"/>
          <w:kern w:val="0"/>
          <w:sz w:val="24"/>
          <w:szCs w:val="24"/>
          <w:lang w:eastAsia="en-GB"/>
          <w14:ligatures w14:val="none"/>
        </w:rPr>
        <w:t>In health and social care settings, this theory is especially relevant when supporting individuals who are transitioning into residential care, as they may experience separation anxiety or emotional distress. Developing consistent and trusting relationships with caregivers can help reduce these feelings. Nevertheless, the theory has been criticised for focusing heavily on early childhood experiences and not fully considering the impact of later-life relationships and changing social circumstances.</w:t>
      </w:r>
    </w:p>
    <w:p w14:paraId="74C92C8A"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64BEB2E0"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4. Seligman, M. E. P. (2002)</w:t>
      </w:r>
    </w:p>
    <w:p w14:paraId="02E12840" w14:textId="77777777"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Seligman, M. E. P. (2002) </w:t>
      </w:r>
      <w:r w:rsidRPr="00965CB2">
        <w:rPr>
          <w:rFonts w:ascii="Arial" w:eastAsia="Times New Roman" w:hAnsi="Arial" w:cs="Arial"/>
          <w:i/>
          <w:iCs/>
          <w:kern w:val="0"/>
          <w:sz w:val="24"/>
          <w:szCs w:val="24"/>
          <w:lang w:eastAsia="en-GB"/>
          <w14:ligatures w14:val="none"/>
        </w:rPr>
        <w:t>Authentic happiness</w:t>
      </w:r>
      <w:r w:rsidRPr="00965CB2">
        <w:rPr>
          <w:rFonts w:ascii="Arial" w:eastAsia="Times New Roman" w:hAnsi="Arial" w:cs="Arial"/>
          <w:kern w:val="0"/>
          <w:sz w:val="24"/>
          <w:szCs w:val="24"/>
          <w:lang w:eastAsia="en-GB"/>
          <w14:ligatures w14:val="none"/>
        </w:rPr>
        <w:t>. New York: Free Press.</w:t>
      </w:r>
    </w:p>
    <w:p w14:paraId="12D1CFCE" w14:textId="77777777"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Summary:</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Positive psychology focuses on improving wellbeing through strengths, positive emotions, and meaning. It emphasises resilience and life satisfaction.</w:t>
      </w:r>
    </w:p>
    <w:p w14:paraId="161DE04B" w14:textId="0AD7F7AB"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This approach supports person-centred care but may underestimate structural issues such as illness and disability.</w:t>
      </w:r>
      <w:r w:rsidR="00B400C8" w:rsidRPr="00B400C8">
        <w:t xml:space="preserve"> </w:t>
      </w:r>
      <w:r w:rsidR="00B400C8" w:rsidRPr="00B400C8">
        <w:rPr>
          <w:rFonts w:ascii="Arial" w:eastAsia="Times New Roman" w:hAnsi="Arial" w:cs="Arial"/>
          <w:kern w:val="0"/>
          <w:sz w:val="24"/>
          <w:szCs w:val="24"/>
          <w:lang w:eastAsia="en-GB"/>
          <w14:ligatures w14:val="none"/>
        </w:rPr>
        <w:t>Additionally, Seligman’s PERMA model (Positive Emotion, Engagement, Relationships, Meaning, and Achievement) provides a structured framework that can be applied in care settings to enhance wellbeing. Care providers can use this model to design interventions that promote happiness and life satisfaction. However, critics argue that positive psychology may underestimate external factors such as poverty, illness, and social inequality, which can significantly impact an individual’s ability to experience wellbeing.</w:t>
      </w:r>
    </w:p>
    <w:p w14:paraId="1332482F"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0B07E9A0"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5. Lem, K. et al. (2021)</w:t>
      </w:r>
    </w:p>
    <w:p w14:paraId="499A5B98" w14:textId="77777777"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lastRenderedPageBreak/>
        <w:t xml:space="preserve">Lem, K., McGilton, K. S., </w:t>
      </w:r>
      <w:proofErr w:type="spellStart"/>
      <w:r w:rsidRPr="00965CB2">
        <w:rPr>
          <w:rFonts w:ascii="Arial" w:eastAsia="Times New Roman" w:hAnsi="Arial" w:cs="Arial"/>
          <w:kern w:val="0"/>
          <w:sz w:val="24"/>
          <w:szCs w:val="24"/>
          <w:lang w:eastAsia="en-GB"/>
          <w14:ligatures w14:val="none"/>
        </w:rPr>
        <w:t>Aelick</w:t>
      </w:r>
      <w:proofErr w:type="spellEnd"/>
      <w:r w:rsidRPr="00965CB2">
        <w:rPr>
          <w:rFonts w:ascii="Arial" w:eastAsia="Times New Roman" w:hAnsi="Arial" w:cs="Arial"/>
          <w:kern w:val="0"/>
          <w:sz w:val="24"/>
          <w:szCs w:val="24"/>
          <w:lang w:eastAsia="en-GB"/>
          <w14:ligatures w14:val="none"/>
        </w:rPr>
        <w:t xml:space="preserve">, K., et al. (2021) ‘Social connection and physical health outcomes among long-term care home residents: a scoping review’, </w:t>
      </w:r>
      <w:r w:rsidRPr="00965CB2">
        <w:rPr>
          <w:rFonts w:ascii="Arial" w:eastAsia="Times New Roman" w:hAnsi="Arial" w:cs="Arial"/>
          <w:i/>
          <w:iCs/>
          <w:kern w:val="0"/>
          <w:sz w:val="24"/>
          <w:szCs w:val="24"/>
          <w:lang w:eastAsia="en-GB"/>
          <w14:ligatures w14:val="none"/>
        </w:rPr>
        <w:t>BMC Geriatrics</w:t>
      </w:r>
      <w:r w:rsidRPr="00965CB2">
        <w:rPr>
          <w:rFonts w:ascii="Arial" w:eastAsia="Times New Roman" w:hAnsi="Arial" w:cs="Arial"/>
          <w:kern w:val="0"/>
          <w:sz w:val="24"/>
          <w:szCs w:val="24"/>
          <w:lang w:eastAsia="en-GB"/>
          <w14:ligatures w14:val="none"/>
        </w:rPr>
        <w:t>, 21, p. 722.</w:t>
      </w:r>
    </w:p>
    <w:p w14:paraId="41B8A019" w14:textId="77777777"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Summary:</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This study shows that social connection improves physical health, reduces cognitive decline, and enhances wellbeing in care home residents.</w:t>
      </w:r>
    </w:p>
    <w:p w14:paraId="62E2BCAA" w14:textId="1A9774A3" w:rsidR="00965CB2" w:rsidRPr="00965CB2" w:rsidRDefault="00965CB2" w:rsidP="00B15E59">
      <w:pPr>
        <w:spacing w:after="180" w:line="360" w:lineRule="auto"/>
        <w:rPr>
          <w:rFonts w:ascii="Times New Roman" w:eastAsia="Times New Roman" w:hAnsi="Times New Roman" w:cs="Times New Roman"/>
          <w:kern w:val="0"/>
          <w:sz w:val="30"/>
          <w:szCs w:val="30"/>
          <w:lang w:eastAsia="en-GB"/>
          <w14:ligatures w14:val="none"/>
        </w:rPr>
      </w:pPr>
      <w:r w:rsidRPr="00965CB2">
        <w:rPr>
          <w:rFonts w:ascii="Arial" w:eastAsia="Times New Roman" w:hAnsi="Arial" w:cs="Arial"/>
          <w:b/>
          <w:bCs/>
          <w:kern w:val="0"/>
          <w:sz w:val="28"/>
          <w:szCs w:val="28"/>
          <w:lang w:eastAsia="en-GB"/>
          <w14:ligatures w14:val="none"/>
        </w:rPr>
        <w:t>Critical comment:</w:t>
      </w:r>
      <w:r w:rsidRPr="00965CB2">
        <w:rPr>
          <w:rFonts w:ascii="Times New Roman" w:eastAsia="Times New Roman" w:hAnsi="Times New Roman" w:cs="Times New Roman"/>
          <w:kern w:val="0"/>
          <w:sz w:val="18"/>
          <w:szCs w:val="18"/>
          <w:lang w:eastAsia="en-GB"/>
          <w14:ligatures w14:val="none"/>
        </w:rPr>
        <w:br/>
      </w:r>
      <w:r w:rsidRPr="00965CB2">
        <w:rPr>
          <w:rFonts w:ascii="Arial" w:eastAsia="Times New Roman" w:hAnsi="Arial" w:cs="Arial"/>
          <w:kern w:val="0"/>
          <w:sz w:val="24"/>
          <w:szCs w:val="24"/>
          <w:lang w:eastAsia="en-GB"/>
          <w14:ligatures w14:val="none"/>
        </w:rPr>
        <w:t>It supports Activity Theory but is a scoping review, meaning it summarises research rather than collecting new primary data.</w:t>
      </w:r>
      <w:r w:rsidR="00111461" w:rsidRPr="00111461">
        <w:t xml:space="preserve"> </w:t>
      </w:r>
      <w:r w:rsidR="00111461" w:rsidRPr="00111461">
        <w:rPr>
          <w:rFonts w:ascii="Arial" w:eastAsia="Times New Roman" w:hAnsi="Arial" w:cs="Arial"/>
          <w:kern w:val="0"/>
          <w:sz w:val="24"/>
          <w:szCs w:val="24"/>
          <w:lang w:eastAsia="en-GB"/>
          <w14:ligatures w14:val="none"/>
        </w:rPr>
        <w:t>This research is highly relevant to current health and social care practice as it provides evidence-based support for promoting social interaction in care homes. It highlights the importance of relationships in maintaining both physical and psychological health. However, as a scoping review, it does not provide detailed analysis of cause-and-effect relationships, and further primary research would be beneficial to strengthen these findings.</w:t>
      </w:r>
    </w:p>
    <w:p w14:paraId="2F6CC0F1"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7A32A8B3" w14:textId="7A3AA345" w:rsidR="00965CB2" w:rsidRPr="00965CB2" w:rsidRDefault="00965CB2" w:rsidP="00B15E59">
      <w:pPr>
        <w:spacing w:after="242" w:line="360" w:lineRule="auto"/>
        <w:rPr>
          <w:rFonts w:ascii="Arial" w:eastAsia="Times New Roman" w:hAnsi="Arial" w:cs="Arial"/>
          <w:kern w:val="0"/>
          <w:sz w:val="36"/>
          <w:szCs w:val="36"/>
          <w:lang w:eastAsia="en-GB"/>
          <w14:ligatures w14:val="none"/>
        </w:rPr>
      </w:pPr>
      <w:r w:rsidRPr="00965CB2">
        <w:rPr>
          <w:rFonts w:ascii="Arial" w:eastAsia="Times New Roman" w:hAnsi="Arial" w:cs="Arial"/>
          <w:b/>
          <w:bCs/>
          <w:kern w:val="0"/>
          <w:sz w:val="36"/>
          <w:szCs w:val="36"/>
          <w:lang w:eastAsia="en-GB"/>
          <w14:ligatures w14:val="none"/>
        </w:rPr>
        <w:t xml:space="preserve">PART B: SHORT REPORT </w:t>
      </w:r>
    </w:p>
    <w:p w14:paraId="047EE25A"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12BE4BF9" w14:textId="77777777" w:rsidR="00965CB2" w:rsidRPr="00965CB2" w:rsidRDefault="00965CB2" w:rsidP="00B15E59">
      <w:pPr>
        <w:spacing w:after="224" w:line="360" w:lineRule="auto"/>
        <w:rPr>
          <w:rFonts w:ascii="Arial" w:eastAsia="Times New Roman" w:hAnsi="Arial" w:cs="Arial"/>
          <w:kern w:val="0"/>
          <w:sz w:val="36"/>
          <w:szCs w:val="36"/>
          <w:lang w:eastAsia="en-GB"/>
          <w14:ligatures w14:val="none"/>
        </w:rPr>
      </w:pPr>
      <w:r w:rsidRPr="00965CB2">
        <w:rPr>
          <w:rFonts w:ascii="Arial" w:eastAsia="Times New Roman" w:hAnsi="Arial" w:cs="Arial"/>
          <w:b/>
          <w:bCs/>
          <w:kern w:val="0"/>
          <w:sz w:val="36"/>
          <w:szCs w:val="36"/>
          <w:lang w:eastAsia="en-GB"/>
          <w14:ligatures w14:val="none"/>
        </w:rPr>
        <w:t>Using Activity Theory to Improve Psychological Well-being in Older Adults</w:t>
      </w:r>
    </w:p>
    <w:p w14:paraId="2975488E"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136D32CD"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Introduction</w:t>
      </w:r>
    </w:p>
    <w:p w14:paraId="5F429353" w14:textId="44D25FED"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Activity theory suggests that continued engagement in meaningful activities is essential for maintaining psychological wellbeing in older adults. In health and social care settings this theory provides a useful framework for supporting residents in maintaining identity purpose and life satisfaction.</w:t>
      </w:r>
      <w:r w:rsidR="00E66FBD" w:rsidRPr="00E66FBD">
        <w:t xml:space="preserve"> </w:t>
      </w:r>
      <w:r w:rsidR="00E66FBD" w:rsidRPr="00E66FBD">
        <w:rPr>
          <w:rFonts w:ascii="Arial" w:eastAsia="Times New Roman" w:hAnsi="Arial" w:cs="Arial"/>
          <w:kern w:val="0"/>
          <w:sz w:val="24"/>
          <w:szCs w:val="24"/>
          <w:lang w:eastAsia="en-GB"/>
          <w14:ligatures w14:val="none"/>
        </w:rPr>
        <w:t>This is particularly important in the UK, where an ageing population has increased the demand for high-quality health and social care services. Supporting psychological wellbeing is now a key priority, making theories such as Activity Theory highly relevant in modern care practice.</w:t>
      </w:r>
    </w:p>
    <w:p w14:paraId="181AC17A"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557D357E"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lastRenderedPageBreak/>
        <w:t>Explanation of Theory</w:t>
      </w:r>
    </w:p>
    <w:p w14:paraId="3F7A0A40" w14:textId="78D6F0FB"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Activity theory proposes that older adults experience higher wellbeing when they remain socially physically and mentally active. As people </w:t>
      </w:r>
      <w:r w:rsidR="00531398" w:rsidRPr="00965CB2">
        <w:rPr>
          <w:rFonts w:ascii="Arial" w:eastAsia="Times New Roman" w:hAnsi="Arial" w:cs="Arial"/>
          <w:kern w:val="0"/>
          <w:sz w:val="24"/>
          <w:szCs w:val="24"/>
          <w:lang w:eastAsia="en-GB"/>
          <w14:ligatures w14:val="none"/>
        </w:rPr>
        <w:t>age,</w:t>
      </w:r>
      <w:r w:rsidRPr="00965CB2">
        <w:rPr>
          <w:rFonts w:ascii="Arial" w:eastAsia="Times New Roman" w:hAnsi="Arial" w:cs="Arial"/>
          <w:kern w:val="0"/>
          <w:sz w:val="24"/>
          <w:szCs w:val="24"/>
          <w:lang w:eastAsia="en-GB"/>
          <w14:ligatures w14:val="none"/>
        </w:rPr>
        <w:t xml:space="preserve"> they may lose roles due to retirement illness or relocation. Replacing these roles with meaningful activities helps maintain identity and purpose. This links with Erikson’s ego integrity versus despair stage where reflection on life experiences supports wellbeing in later life. Seligman’s positive psychology also reinforces this idea by emphasising optimism resilience and meaning</w:t>
      </w:r>
      <w:r w:rsidR="00531398">
        <w:rPr>
          <w:rFonts w:ascii="Arial" w:eastAsia="Times New Roman" w:hAnsi="Arial" w:cs="Arial"/>
          <w:kern w:val="0"/>
          <w:sz w:val="24"/>
          <w:szCs w:val="24"/>
          <w:lang w:eastAsia="en-GB"/>
          <w14:ligatures w14:val="none"/>
        </w:rPr>
        <w:t xml:space="preserve"> </w:t>
      </w:r>
      <w:r w:rsidR="00744950" w:rsidRPr="00744950">
        <w:rPr>
          <w:rFonts w:ascii="Arial" w:eastAsia="Times New Roman" w:hAnsi="Arial" w:cs="Arial"/>
          <w:kern w:val="0"/>
          <w:sz w:val="24"/>
          <w:szCs w:val="24"/>
          <w:lang w:eastAsia="en-GB"/>
          <w14:ligatures w14:val="none"/>
        </w:rPr>
        <w:t>in contrast to Activity Theory, Disengagement Theory suggests that it is natural for older adults to withdraw from social roles and relationships as they age. However, this approach has been widely criticised for promoting passivity and potentially leading to isolation. Activity Theory provides a more positive and proactive perspective, encouraging continued participation and engagement to maintain wellbeing.</w:t>
      </w:r>
    </w:p>
    <w:p w14:paraId="47E80D2B"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2C4E153F"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Application to Care Home Setting</w:t>
      </w:r>
    </w:p>
    <w:p w14:paraId="4A91D792" w14:textId="17E08D4D"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In residential care Activity Theory can be applied through person-centred approaches that encourage participation in meaningful activities. Staff can identify interests and past roles through life history assessments. Structured routines support identity and reduce uncertainty. Activities such as gardening</w:t>
      </w:r>
      <w:r w:rsidR="00773DBC">
        <w:rPr>
          <w:rFonts w:ascii="Arial" w:eastAsia="Times New Roman" w:hAnsi="Arial" w:cs="Arial"/>
          <w:kern w:val="0"/>
          <w:sz w:val="24"/>
          <w:szCs w:val="24"/>
          <w:lang w:eastAsia="en-GB"/>
          <w14:ligatures w14:val="none"/>
        </w:rPr>
        <w:t>,</w:t>
      </w:r>
      <w:r w:rsidRPr="00965CB2">
        <w:rPr>
          <w:rFonts w:ascii="Arial" w:eastAsia="Times New Roman" w:hAnsi="Arial" w:cs="Arial"/>
          <w:kern w:val="0"/>
          <w:sz w:val="24"/>
          <w:szCs w:val="24"/>
          <w:lang w:eastAsia="en-GB"/>
          <w14:ligatures w14:val="none"/>
        </w:rPr>
        <w:t xml:space="preserve"> music reading and group discussions encourage engagement and interaction. Bowlby’s attachment theory is also relevant as secure caregiver relationships reduce anxiety during transition. Lem et al (2021) further demonstrate that social connection improves physical and cognitive health outcomes in care home residents.</w:t>
      </w:r>
      <w:r w:rsidR="00CF463D" w:rsidRPr="00CF463D">
        <w:t xml:space="preserve"> </w:t>
      </w:r>
      <w:r w:rsidR="00CF463D" w:rsidRPr="00CF463D">
        <w:rPr>
          <w:rFonts w:ascii="Arial" w:eastAsia="Times New Roman" w:hAnsi="Arial" w:cs="Arial"/>
          <w:kern w:val="0"/>
          <w:sz w:val="24"/>
          <w:szCs w:val="24"/>
          <w:lang w:eastAsia="en-GB"/>
          <w14:ligatures w14:val="none"/>
        </w:rPr>
        <w:t>For example, care homes can organise structured group activities such as exercise classes, arts and crafts sessions, and social events to encourage participation. Staff play a key role in motivating residents and adapting activities to suit different abilities. Encouraging family involvement and maintaining connections with the wider community can also enhance a resident’s sense of belonging and identity.</w:t>
      </w:r>
    </w:p>
    <w:p w14:paraId="5807D308"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3F37AF53"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Case Study: Mrs Evans</w:t>
      </w:r>
    </w:p>
    <w:p w14:paraId="6AB0F734" w14:textId="3991D4F9" w:rsidR="00C25AB6" w:rsidRPr="00C25AB6" w:rsidRDefault="00965CB2" w:rsidP="00B15E59">
      <w:pPr>
        <w:spacing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lastRenderedPageBreak/>
        <w:t>Mrs Evans is an 80-year-old resident who has become socially withdrawn since entering a care home. She spends most of her time alone and shows reduced wellbeing. This may be due to loss of familiar environment and age-related changes.</w:t>
      </w:r>
      <w:r w:rsidR="00C25AB6" w:rsidRPr="00C25AB6">
        <w:t xml:space="preserve"> </w:t>
      </w:r>
      <w:r w:rsidR="00C25AB6" w:rsidRPr="00C25AB6">
        <w:rPr>
          <w:rFonts w:ascii="Arial" w:eastAsia="Times New Roman" w:hAnsi="Arial" w:cs="Arial"/>
          <w:kern w:val="0"/>
          <w:sz w:val="24"/>
          <w:szCs w:val="24"/>
          <w:lang w:eastAsia="en-GB"/>
          <w14:ligatures w14:val="none"/>
        </w:rPr>
        <w:t>She may also be experiencing feelings of loneliness, anxiety, or loss of independence, which are common during transitions into care settings. These emotional factors can significantly impact her willingness to engage with others.</w:t>
      </w:r>
    </w:p>
    <w:p w14:paraId="564DDFB0" w14:textId="22087589" w:rsidR="00965CB2" w:rsidRPr="00965CB2" w:rsidRDefault="00965CB2" w:rsidP="00B15E59">
      <w:pPr>
        <w:spacing w:after="180" w:line="360" w:lineRule="auto"/>
        <w:rPr>
          <w:rFonts w:ascii="Arial" w:eastAsia="Times New Roman" w:hAnsi="Arial" w:cs="Arial"/>
          <w:kern w:val="0"/>
          <w:sz w:val="24"/>
          <w:szCs w:val="24"/>
          <w:lang w:eastAsia="en-GB"/>
          <w14:ligatures w14:val="none"/>
        </w:rPr>
      </w:pPr>
    </w:p>
    <w:p w14:paraId="048B494B"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6E877A5D"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Application to Case</w:t>
      </w:r>
    </w:p>
    <w:p w14:paraId="5E6E43DC" w14:textId="70C9D106"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Staff should adopt a person-centred approach based on Mrs Evans’ interests. A life history assessment may identify hobbies such as knitting or music. One-to-one support should be introduced first to build trust before progressing to group activities. A buddy system may also help reduce isolation and encourage engagement.</w:t>
      </w:r>
      <w:r w:rsidR="00725769" w:rsidRPr="00725769">
        <w:t xml:space="preserve"> </w:t>
      </w:r>
      <w:r w:rsidR="00725769" w:rsidRPr="00725769">
        <w:rPr>
          <w:rFonts w:ascii="Arial" w:eastAsia="Times New Roman" w:hAnsi="Arial" w:cs="Arial"/>
          <w:kern w:val="0"/>
          <w:sz w:val="24"/>
          <w:szCs w:val="24"/>
          <w:lang w:eastAsia="en-GB"/>
          <w14:ligatures w14:val="none"/>
        </w:rPr>
        <w:t>In addition, involving family members in her care plan could provide emotional reassurance and strengthen her sense of connection. Gradual exposure to group settings, supported by familiar staff, may help build her confidence over time.</w:t>
      </w:r>
    </w:p>
    <w:p w14:paraId="472E3559"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52C17CC9"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Challenge</w:t>
      </w:r>
    </w:p>
    <w:p w14:paraId="63DD029C" w14:textId="77777777"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Mrs Evans may resist participation due to low mood anxiety or physical limitations. She may also struggle to adjust to the new environment which can reduce motivation.</w:t>
      </w:r>
    </w:p>
    <w:p w14:paraId="30BA017A"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6AD760E3"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Strategy</w:t>
      </w:r>
    </w:p>
    <w:p w14:paraId="63ACCDD0" w14:textId="708BEF36"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Staff should use a gradual flexible approach. Building trust is essential. Activities should be adapted to her </w:t>
      </w:r>
      <w:r w:rsidR="00996DE9" w:rsidRPr="00996DE9">
        <w:rPr>
          <w:rFonts w:ascii="Arial" w:eastAsia="Times New Roman" w:hAnsi="Arial" w:cs="Arial"/>
          <w:kern w:val="0"/>
          <w:sz w:val="24"/>
          <w:szCs w:val="24"/>
          <w:lang w:eastAsia="en-GB"/>
          <w14:ligatures w14:val="none"/>
        </w:rPr>
        <w:t>abilities,</w:t>
      </w:r>
      <w:r w:rsidRPr="00965CB2">
        <w:rPr>
          <w:rFonts w:ascii="Arial" w:eastAsia="Times New Roman" w:hAnsi="Arial" w:cs="Arial"/>
          <w:kern w:val="0"/>
          <w:sz w:val="24"/>
          <w:szCs w:val="24"/>
          <w:lang w:eastAsia="en-GB"/>
          <w14:ligatures w14:val="none"/>
        </w:rPr>
        <w:t xml:space="preserve"> and she should be given choice and control. This supports autonomy and increases engagement over time.</w:t>
      </w:r>
    </w:p>
    <w:p w14:paraId="77608D62"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4E1CED39" w14:textId="77777777" w:rsidR="00965CB2" w:rsidRPr="00965CB2" w:rsidRDefault="00965CB2" w:rsidP="00B15E59">
      <w:pPr>
        <w:spacing w:after="224"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Evaluation of Approach</w:t>
      </w:r>
    </w:p>
    <w:p w14:paraId="46C59107" w14:textId="39207BBB"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Activity Theory is effective in promoting wellbeing but may not fully apply to individuals with severe cognitive or physical impairments. In such cases alternative </w:t>
      </w:r>
      <w:r w:rsidRPr="00965CB2">
        <w:rPr>
          <w:rFonts w:ascii="Arial" w:eastAsia="Times New Roman" w:hAnsi="Arial" w:cs="Arial"/>
          <w:kern w:val="0"/>
          <w:sz w:val="24"/>
          <w:szCs w:val="24"/>
          <w:lang w:eastAsia="en-GB"/>
          <w14:ligatures w14:val="none"/>
        </w:rPr>
        <w:lastRenderedPageBreak/>
        <w:t xml:space="preserve">approaches are required. </w:t>
      </w:r>
      <w:r w:rsidR="00996DE9" w:rsidRPr="00996DE9">
        <w:rPr>
          <w:rFonts w:ascii="Arial" w:eastAsia="Times New Roman" w:hAnsi="Arial" w:cs="Arial"/>
          <w:kern w:val="0"/>
          <w:sz w:val="24"/>
          <w:szCs w:val="24"/>
          <w:lang w:eastAsia="en-GB"/>
          <w14:ligatures w14:val="none"/>
        </w:rPr>
        <w:t>However,</w:t>
      </w:r>
      <w:r w:rsidRPr="00965CB2">
        <w:rPr>
          <w:rFonts w:ascii="Arial" w:eastAsia="Times New Roman" w:hAnsi="Arial" w:cs="Arial"/>
          <w:kern w:val="0"/>
          <w:sz w:val="24"/>
          <w:szCs w:val="24"/>
          <w:lang w:eastAsia="en-GB"/>
          <w14:ligatures w14:val="none"/>
        </w:rPr>
        <w:t xml:space="preserve"> it remains valuable in supporting identity purpose and social engagement in later life.</w:t>
      </w:r>
      <w:r w:rsidR="002A18C8" w:rsidRPr="002A18C8">
        <w:t xml:space="preserve"> </w:t>
      </w:r>
      <w:r w:rsidR="002A18C8" w:rsidRPr="002A18C8">
        <w:rPr>
          <w:rFonts w:ascii="Arial" w:eastAsia="Times New Roman" w:hAnsi="Arial" w:cs="Arial"/>
          <w:kern w:val="0"/>
          <w:sz w:val="24"/>
          <w:szCs w:val="24"/>
          <w:lang w:eastAsia="en-GB"/>
          <w14:ligatures w14:val="none"/>
        </w:rPr>
        <w:t xml:space="preserve">Additionally, Activity Theory may not </w:t>
      </w:r>
      <w:r w:rsidR="00117F95" w:rsidRPr="002A18C8">
        <w:rPr>
          <w:rFonts w:ascii="Arial" w:eastAsia="Times New Roman" w:hAnsi="Arial" w:cs="Arial"/>
          <w:kern w:val="0"/>
          <w:sz w:val="24"/>
          <w:szCs w:val="24"/>
          <w:lang w:eastAsia="en-GB"/>
          <w14:ligatures w14:val="none"/>
        </w:rPr>
        <w:t>consider</w:t>
      </w:r>
      <w:r w:rsidR="002A18C8" w:rsidRPr="002A18C8">
        <w:rPr>
          <w:rFonts w:ascii="Arial" w:eastAsia="Times New Roman" w:hAnsi="Arial" w:cs="Arial"/>
          <w:kern w:val="0"/>
          <w:sz w:val="24"/>
          <w:szCs w:val="24"/>
          <w:lang w:eastAsia="en-GB"/>
          <w14:ligatures w14:val="none"/>
        </w:rPr>
        <w:t xml:space="preserve"> individual preferences, as some older adults may choose solitude over social interaction. This highlights the importance of a person-centred approach, where care is tailored to the individual rather than applying a one-size-fits-all model. Combining Activity Theory with other approaches can provide a more balanced and inclusive framework for supporting wellbeing.</w:t>
      </w:r>
    </w:p>
    <w:p w14:paraId="245993E9"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251C4AFF" w14:textId="7BBB4EBB" w:rsidR="00E4520C" w:rsidRPr="00965CB2" w:rsidRDefault="00965CB2" w:rsidP="00B15E59">
      <w:pPr>
        <w:spacing w:after="224" w:line="360" w:lineRule="auto"/>
        <w:rPr>
          <w:rFonts w:ascii="Arial" w:eastAsia="Times New Roman" w:hAnsi="Arial" w:cs="Arial"/>
          <w:b/>
          <w:bCs/>
          <w:kern w:val="0"/>
          <w:sz w:val="28"/>
          <w:szCs w:val="28"/>
          <w:lang w:eastAsia="en-GB"/>
          <w14:ligatures w14:val="none"/>
        </w:rPr>
      </w:pPr>
      <w:r w:rsidRPr="00965CB2">
        <w:rPr>
          <w:rFonts w:ascii="Arial" w:eastAsia="Times New Roman" w:hAnsi="Arial" w:cs="Arial"/>
          <w:b/>
          <w:bCs/>
          <w:kern w:val="0"/>
          <w:sz w:val="28"/>
          <w:szCs w:val="28"/>
          <w:lang w:eastAsia="en-GB"/>
          <w14:ligatures w14:val="none"/>
        </w:rPr>
        <w:t>Conclusion</w:t>
      </w:r>
    </w:p>
    <w:p w14:paraId="6603840D" w14:textId="47817D75" w:rsidR="00965CB2" w:rsidRPr="00965CB2" w:rsidRDefault="00965CB2" w:rsidP="00B15E59">
      <w:pPr>
        <w:spacing w:after="180" w:line="360" w:lineRule="auto"/>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Activity Theory provides an effective framework for improving psychological wellbeing in older adults. When combined with other psychological theories it supports a holistic approach to care. This enhances quality of life and promotes dignity</w:t>
      </w:r>
      <w:r w:rsidR="00992B28">
        <w:rPr>
          <w:rFonts w:ascii="Arial" w:eastAsia="Times New Roman" w:hAnsi="Arial" w:cs="Arial"/>
          <w:kern w:val="0"/>
          <w:sz w:val="24"/>
          <w:szCs w:val="24"/>
          <w:lang w:eastAsia="en-GB"/>
          <w14:ligatures w14:val="none"/>
        </w:rPr>
        <w:t>,</w:t>
      </w:r>
      <w:r w:rsidRPr="00965CB2">
        <w:rPr>
          <w:rFonts w:ascii="Arial" w:eastAsia="Times New Roman" w:hAnsi="Arial" w:cs="Arial"/>
          <w:kern w:val="0"/>
          <w:sz w:val="24"/>
          <w:szCs w:val="24"/>
          <w:lang w:eastAsia="en-GB"/>
          <w14:ligatures w14:val="none"/>
        </w:rPr>
        <w:t xml:space="preserve"> independence and social inclusion in residential care settings.</w:t>
      </w:r>
      <w:r w:rsidR="0086238D" w:rsidRPr="0086238D">
        <w:t xml:space="preserve"> </w:t>
      </w:r>
      <w:r w:rsidR="0086238D" w:rsidRPr="0086238D">
        <w:rPr>
          <w:rFonts w:ascii="Arial" w:eastAsia="Times New Roman" w:hAnsi="Arial" w:cs="Arial"/>
          <w:kern w:val="0"/>
          <w:sz w:val="24"/>
          <w:szCs w:val="24"/>
          <w:lang w:eastAsia="en-GB"/>
          <w14:ligatures w14:val="none"/>
        </w:rPr>
        <w:t>Overall, applying psychological theories in practice enables care professionals to deliver more effective and compassionate care, ultimately improving outcomes for older adults in residential settings.</w:t>
      </w:r>
    </w:p>
    <w:p w14:paraId="2FEDDDEF" w14:textId="77777777" w:rsidR="00965CB2" w:rsidRPr="00965CB2" w:rsidRDefault="00965CB2" w:rsidP="00B15E59">
      <w:pPr>
        <w:spacing w:after="0" w:line="360" w:lineRule="auto"/>
        <w:rPr>
          <w:rFonts w:ascii="Times New Roman" w:eastAsia="Times New Roman" w:hAnsi="Times New Roman" w:cs="Times New Roman"/>
          <w:color w:val="808080"/>
          <w:kern w:val="0"/>
          <w:sz w:val="18"/>
          <w:szCs w:val="18"/>
          <w:lang w:eastAsia="en-GB"/>
          <w14:ligatures w14:val="none"/>
        </w:rPr>
      </w:pPr>
    </w:p>
    <w:p w14:paraId="5367F34A" w14:textId="09E7673B" w:rsidR="00965CB2" w:rsidRPr="00965CB2" w:rsidRDefault="00965CB2" w:rsidP="00B15E59">
      <w:pPr>
        <w:spacing w:after="242" w:line="360" w:lineRule="auto"/>
        <w:rPr>
          <w:rFonts w:ascii="Arial" w:eastAsia="Times New Roman" w:hAnsi="Arial" w:cs="Arial"/>
          <w:kern w:val="0"/>
          <w:sz w:val="28"/>
          <w:szCs w:val="28"/>
          <w:lang w:eastAsia="en-GB"/>
          <w14:ligatures w14:val="none"/>
        </w:rPr>
      </w:pPr>
      <w:r w:rsidRPr="00965CB2">
        <w:rPr>
          <w:rFonts w:ascii="Arial" w:eastAsia="Times New Roman" w:hAnsi="Arial" w:cs="Arial"/>
          <w:b/>
          <w:bCs/>
          <w:kern w:val="0"/>
          <w:sz w:val="28"/>
          <w:szCs w:val="28"/>
          <w:lang w:eastAsia="en-GB"/>
          <w14:ligatures w14:val="none"/>
        </w:rPr>
        <w:t xml:space="preserve">REFERENCE </w:t>
      </w:r>
    </w:p>
    <w:p w14:paraId="55ED3313" w14:textId="0B23C9B8" w:rsidR="00965CB2" w:rsidRPr="00965CB2" w:rsidRDefault="00965CB2" w:rsidP="007D6C35">
      <w:pPr>
        <w:spacing w:after="180" w:line="360" w:lineRule="auto"/>
        <w:ind w:left="720" w:hanging="720"/>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Erikson, E. H. (1963) </w:t>
      </w:r>
      <w:r w:rsidRPr="00965CB2">
        <w:rPr>
          <w:rFonts w:ascii="Arial" w:eastAsia="Times New Roman" w:hAnsi="Arial" w:cs="Arial"/>
          <w:i/>
          <w:iCs/>
          <w:kern w:val="0"/>
          <w:sz w:val="24"/>
          <w:szCs w:val="24"/>
          <w:lang w:eastAsia="en-GB"/>
          <w14:ligatures w14:val="none"/>
        </w:rPr>
        <w:t>Childhood and society</w:t>
      </w:r>
      <w:r w:rsidRPr="00965CB2">
        <w:rPr>
          <w:rFonts w:ascii="Arial" w:eastAsia="Times New Roman" w:hAnsi="Arial" w:cs="Arial"/>
          <w:kern w:val="0"/>
          <w:sz w:val="24"/>
          <w:szCs w:val="24"/>
          <w:lang w:eastAsia="en-GB"/>
          <w14:ligatures w14:val="none"/>
        </w:rPr>
        <w:t>. 2</w:t>
      </w:r>
      <w:r w:rsidR="00943D60" w:rsidRPr="00965CB2">
        <w:rPr>
          <w:rFonts w:ascii="Arial" w:eastAsia="Times New Roman" w:hAnsi="Arial" w:cs="Arial"/>
          <w:kern w:val="0"/>
          <w:sz w:val="24"/>
          <w:szCs w:val="24"/>
          <w:lang w:eastAsia="en-GB"/>
          <w14:ligatures w14:val="none"/>
        </w:rPr>
        <w:t>nd</w:t>
      </w:r>
      <w:r w:rsidR="00943D60">
        <w:rPr>
          <w:rFonts w:ascii="Arial" w:eastAsia="Times New Roman" w:hAnsi="Arial" w:cs="Arial"/>
          <w:kern w:val="0"/>
          <w:sz w:val="24"/>
          <w:szCs w:val="24"/>
          <w:lang w:eastAsia="en-GB"/>
          <w14:ligatures w14:val="none"/>
        </w:rPr>
        <w:t xml:space="preserve"> </w:t>
      </w:r>
      <w:proofErr w:type="spellStart"/>
      <w:r w:rsidR="00943D60" w:rsidRPr="00965CB2">
        <w:rPr>
          <w:rFonts w:ascii="Arial" w:eastAsia="Times New Roman" w:hAnsi="Arial" w:cs="Arial"/>
          <w:kern w:val="0"/>
          <w:sz w:val="24"/>
          <w:szCs w:val="24"/>
          <w:lang w:eastAsia="en-GB"/>
          <w14:ligatures w14:val="none"/>
        </w:rPr>
        <w:t>edn</w:t>
      </w:r>
      <w:proofErr w:type="spellEnd"/>
      <w:r w:rsidRPr="00965CB2">
        <w:rPr>
          <w:rFonts w:ascii="Arial" w:eastAsia="Times New Roman" w:hAnsi="Arial" w:cs="Arial"/>
          <w:kern w:val="0"/>
          <w:sz w:val="24"/>
          <w:szCs w:val="24"/>
          <w:lang w:eastAsia="en-GB"/>
          <w14:ligatures w14:val="none"/>
        </w:rPr>
        <w:t>. New York: W. W. Norton &amp; Company.</w:t>
      </w:r>
    </w:p>
    <w:p w14:paraId="07CD4DE7" w14:textId="77777777" w:rsidR="00965CB2" w:rsidRPr="00965CB2" w:rsidRDefault="00965CB2" w:rsidP="007D6C35">
      <w:pPr>
        <w:spacing w:after="180" w:line="360" w:lineRule="auto"/>
        <w:ind w:left="720" w:hanging="720"/>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Havighurst, R. J. (1961) ‘Successful aging’, </w:t>
      </w:r>
      <w:r w:rsidRPr="00965CB2">
        <w:rPr>
          <w:rFonts w:ascii="Arial" w:eastAsia="Times New Roman" w:hAnsi="Arial" w:cs="Arial"/>
          <w:i/>
          <w:iCs/>
          <w:kern w:val="0"/>
          <w:sz w:val="24"/>
          <w:szCs w:val="24"/>
          <w:lang w:eastAsia="en-GB"/>
          <w14:ligatures w14:val="none"/>
        </w:rPr>
        <w:t>The Gerontologist</w:t>
      </w:r>
      <w:r w:rsidRPr="00965CB2">
        <w:rPr>
          <w:rFonts w:ascii="Arial" w:eastAsia="Times New Roman" w:hAnsi="Arial" w:cs="Arial"/>
          <w:kern w:val="0"/>
          <w:sz w:val="24"/>
          <w:szCs w:val="24"/>
          <w:lang w:eastAsia="en-GB"/>
          <w14:ligatures w14:val="none"/>
        </w:rPr>
        <w:t>, 1(1), pp. 8–13.</w:t>
      </w:r>
    </w:p>
    <w:p w14:paraId="6A323CE8" w14:textId="6720041D" w:rsidR="00965CB2" w:rsidRPr="00965CB2" w:rsidRDefault="00965CB2" w:rsidP="007D6C35">
      <w:pPr>
        <w:spacing w:after="180" w:line="360" w:lineRule="auto"/>
        <w:ind w:left="720" w:hanging="720"/>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Bowlby, J. (1969)</w:t>
      </w:r>
      <w:r w:rsidR="002E253E">
        <w:rPr>
          <w:rFonts w:ascii="Arial" w:eastAsia="Times New Roman" w:hAnsi="Arial" w:cs="Arial"/>
          <w:kern w:val="0"/>
          <w:sz w:val="24"/>
          <w:szCs w:val="24"/>
          <w:lang w:eastAsia="en-GB"/>
          <w14:ligatures w14:val="none"/>
        </w:rPr>
        <w:t>.</w:t>
      </w:r>
      <w:r w:rsidRPr="00965CB2">
        <w:rPr>
          <w:rFonts w:ascii="Arial" w:eastAsia="Times New Roman" w:hAnsi="Arial" w:cs="Arial"/>
          <w:kern w:val="0"/>
          <w:sz w:val="24"/>
          <w:szCs w:val="24"/>
          <w:lang w:eastAsia="en-GB"/>
          <w14:ligatures w14:val="none"/>
        </w:rPr>
        <w:t xml:space="preserve"> </w:t>
      </w:r>
      <w:r w:rsidRPr="00965CB2">
        <w:rPr>
          <w:rFonts w:ascii="Arial" w:eastAsia="Times New Roman" w:hAnsi="Arial" w:cs="Arial"/>
          <w:i/>
          <w:iCs/>
          <w:kern w:val="0"/>
          <w:sz w:val="24"/>
          <w:szCs w:val="24"/>
          <w:lang w:eastAsia="en-GB"/>
          <w14:ligatures w14:val="none"/>
        </w:rPr>
        <w:t>Attachment and loss: Vol 1</w:t>
      </w:r>
      <w:r w:rsidR="003E7778">
        <w:rPr>
          <w:rFonts w:ascii="Arial" w:eastAsia="Times New Roman" w:hAnsi="Arial" w:cs="Arial"/>
          <w:i/>
          <w:iCs/>
          <w:kern w:val="0"/>
          <w:sz w:val="24"/>
          <w:szCs w:val="24"/>
          <w:lang w:eastAsia="en-GB"/>
          <w14:ligatures w14:val="none"/>
        </w:rPr>
        <w:t>.</w:t>
      </w:r>
      <w:r w:rsidRPr="00965CB2">
        <w:rPr>
          <w:rFonts w:ascii="Arial" w:eastAsia="Times New Roman" w:hAnsi="Arial" w:cs="Arial"/>
          <w:i/>
          <w:iCs/>
          <w:kern w:val="0"/>
          <w:sz w:val="24"/>
          <w:szCs w:val="24"/>
          <w:lang w:eastAsia="en-GB"/>
          <w14:ligatures w14:val="none"/>
        </w:rPr>
        <w:t xml:space="preserve"> Attachment</w:t>
      </w:r>
      <w:r w:rsidRPr="00965CB2">
        <w:rPr>
          <w:rFonts w:ascii="Arial" w:eastAsia="Times New Roman" w:hAnsi="Arial" w:cs="Arial"/>
          <w:kern w:val="0"/>
          <w:sz w:val="24"/>
          <w:szCs w:val="24"/>
          <w:lang w:eastAsia="en-GB"/>
          <w14:ligatures w14:val="none"/>
        </w:rPr>
        <w:t>. Basic Books.</w:t>
      </w:r>
    </w:p>
    <w:p w14:paraId="24576DA5" w14:textId="77777777" w:rsidR="00965CB2" w:rsidRPr="00965CB2" w:rsidRDefault="00965CB2" w:rsidP="007D6C35">
      <w:pPr>
        <w:spacing w:after="180" w:line="360" w:lineRule="auto"/>
        <w:ind w:left="720" w:hanging="720"/>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Seligman, M. E. P. (2002) Authentic happiness. New York: Free Press.</w:t>
      </w:r>
    </w:p>
    <w:p w14:paraId="491612DB" w14:textId="431C6279" w:rsidR="00965CB2" w:rsidRPr="00965CB2" w:rsidRDefault="00965CB2" w:rsidP="007D6C35">
      <w:pPr>
        <w:spacing w:after="180" w:line="360" w:lineRule="auto"/>
        <w:ind w:left="720" w:hanging="720"/>
        <w:rPr>
          <w:rFonts w:ascii="Arial" w:eastAsia="Times New Roman" w:hAnsi="Arial" w:cs="Arial"/>
          <w:kern w:val="0"/>
          <w:sz w:val="24"/>
          <w:szCs w:val="24"/>
          <w:lang w:eastAsia="en-GB"/>
          <w14:ligatures w14:val="none"/>
        </w:rPr>
      </w:pPr>
      <w:r w:rsidRPr="00965CB2">
        <w:rPr>
          <w:rFonts w:ascii="Arial" w:eastAsia="Times New Roman" w:hAnsi="Arial" w:cs="Arial"/>
          <w:kern w:val="0"/>
          <w:sz w:val="24"/>
          <w:szCs w:val="24"/>
          <w:lang w:eastAsia="en-GB"/>
          <w14:ligatures w14:val="none"/>
        </w:rPr>
        <w:t xml:space="preserve">Lem, K., McGilton, K. S., </w:t>
      </w:r>
      <w:proofErr w:type="spellStart"/>
      <w:r w:rsidRPr="00965CB2">
        <w:rPr>
          <w:rFonts w:ascii="Arial" w:eastAsia="Times New Roman" w:hAnsi="Arial" w:cs="Arial"/>
          <w:kern w:val="0"/>
          <w:sz w:val="24"/>
          <w:szCs w:val="24"/>
          <w:lang w:eastAsia="en-GB"/>
          <w14:ligatures w14:val="none"/>
        </w:rPr>
        <w:t>Aelick</w:t>
      </w:r>
      <w:proofErr w:type="spellEnd"/>
      <w:r w:rsidRPr="00965CB2">
        <w:rPr>
          <w:rFonts w:ascii="Arial" w:eastAsia="Times New Roman" w:hAnsi="Arial" w:cs="Arial"/>
          <w:kern w:val="0"/>
          <w:sz w:val="24"/>
          <w:szCs w:val="24"/>
          <w:lang w:eastAsia="en-GB"/>
          <w14:ligatures w14:val="none"/>
        </w:rPr>
        <w:t xml:space="preserve">, K., et al. (2021) ‘Social connection and physical health outcomes among long-term care home residents: a scoping review’, </w:t>
      </w:r>
      <w:r w:rsidRPr="00965CB2">
        <w:rPr>
          <w:rFonts w:ascii="Arial" w:eastAsia="Times New Roman" w:hAnsi="Arial" w:cs="Arial"/>
          <w:i/>
          <w:iCs/>
          <w:kern w:val="0"/>
          <w:sz w:val="24"/>
          <w:szCs w:val="24"/>
          <w:lang w:eastAsia="en-GB"/>
          <w14:ligatures w14:val="none"/>
        </w:rPr>
        <w:t>BMC Geriatrics</w:t>
      </w:r>
      <w:r w:rsidRPr="00965CB2">
        <w:rPr>
          <w:rFonts w:ascii="Arial" w:eastAsia="Times New Roman" w:hAnsi="Arial" w:cs="Arial"/>
          <w:kern w:val="0"/>
          <w:sz w:val="24"/>
          <w:szCs w:val="24"/>
          <w:lang w:eastAsia="en-GB"/>
          <w14:ligatures w14:val="none"/>
        </w:rPr>
        <w:t>, 21, p. 7</w:t>
      </w:r>
      <w:r w:rsidR="006F4847" w:rsidRPr="004C7211">
        <w:rPr>
          <w:rFonts w:ascii="Arial" w:eastAsia="Times New Roman" w:hAnsi="Arial" w:cs="Arial"/>
          <w:kern w:val="0"/>
          <w:sz w:val="24"/>
          <w:szCs w:val="24"/>
          <w:lang w:eastAsia="en-GB"/>
          <w14:ligatures w14:val="none"/>
        </w:rPr>
        <w:t>22</w:t>
      </w:r>
      <w:r w:rsidR="002C4B05" w:rsidRPr="004C7211">
        <w:rPr>
          <w:rFonts w:ascii="Arial" w:eastAsia="Times New Roman" w:hAnsi="Arial" w:cs="Arial"/>
          <w:kern w:val="0"/>
          <w:sz w:val="24"/>
          <w:szCs w:val="24"/>
          <w:lang w:eastAsia="en-GB"/>
          <w14:ligatures w14:val="none"/>
        </w:rPr>
        <w:t>.</w:t>
      </w:r>
    </w:p>
    <w:p w14:paraId="303D61A4" w14:textId="77777777" w:rsidR="0012663C" w:rsidRDefault="0012663C"/>
    <w:p w14:paraId="3AF80BDC" w14:textId="77777777" w:rsidR="00B80844" w:rsidRDefault="00B80844"/>
    <w:p w14:paraId="4020657A" w14:textId="77777777" w:rsidR="00420964" w:rsidRDefault="00420964"/>
    <w:sectPr w:rsidR="0042096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44E9A" w14:textId="77777777" w:rsidR="006E29AE" w:rsidRDefault="006E29AE" w:rsidP="00784CD9">
      <w:pPr>
        <w:spacing w:after="0" w:line="240" w:lineRule="auto"/>
      </w:pPr>
      <w:r>
        <w:separator/>
      </w:r>
    </w:p>
  </w:endnote>
  <w:endnote w:type="continuationSeparator" w:id="0">
    <w:p w14:paraId="78215A7B" w14:textId="77777777" w:rsidR="006E29AE" w:rsidRDefault="006E29AE" w:rsidP="00784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BoldM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92339" w14:textId="77777777" w:rsidR="006E29AE" w:rsidRDefault="006E29AE" w:rsidP="00784CD9">
      <w:pPr>
        <w:spacing w:after="0" w:line="240" w:lineRule="auto"/>
      </w:pPr>
      <w:r>
        <w:separator/>
      </w:r>
    </w:p>
  </w:footnote>
  <w:footnote w:type="continuationSeparator" w:id="0">
    <w:p w14:paraId="138D943C" w14:textId="77777777" w:rsidR="006E29AE" w:rsidRDefault="006E29AE" w:rsidP="00784C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4341094"/>
      <w:docPartObj>
        <w:docPartGallery w:val="Page Numbers (Top of Page)"/>
        <w:docPartUnique/>
      </w:docPartObj>
    </w:sdtPr>
    <w:sdtEndPr>
      <w:rPr>
        <w:noProof/>
      </w:rPr>
    </w:sdtEndPr>
    <w:sdtContent>
      <w:p w14:paraId="76A38216" w14:textId="336FC2D8" w:rsidR="00784CD9" w:rsidRDefault="00784CD9">
        <w:pPr>
          <w:pStyle w:val="Header"/>
        </w:pPr>
        <w:r>
          <w:fldChar w:fldCharType="begin"/>
        </w:r>
        <w:r>
          <w:instrText xml:space="preserve"> PAGE   \* MERGEFORMAT </w:instrText>
        </w:r>
        <w:r>
          <w:fldChar w:fldCharType="separate"/>
        </w:r>
        <w:r>
          <w:rPr>
            <w:noProof/>
          </w:rPr>
          <w:t>2</w:t>
        </w:r>
        <w:r>
          <w:rPr>
            <w:noProof/>
          </w:rPr>
          <w:fldChar w:fldCharType="end"/>
        </w:r>
      </w:p>
    </w:sdtContent>
  </w:sdt>
  <w:p w14:paraId="0A84C67B" w14:textId="77777777" w:rsidR="00784CD9" w:rsidRDefault="00784C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248"/>
    <w:rsid w:val="00010DCD"/>
    <w:rsid w:val="00111461"/>
    <w:rsid w:val="00117F95"/>
    <w:rsid w:val="0012663C"/>
    <w:rsid w:val="001872A9"/>
    <w:rsid w:val="001E1920"/>
    <w:rsid w:val="002A18C8"/>
    <w:rsid w:val="002C4B05"/>
    <w:rsid w:val="002E253E"/>
    <w:rsid w:val="00317B56"/>
    <w:rsid w:val="003A2505"/>
    <w:rsid w:val="003E7778"/>
    <w:rsid w:val="00420964"/>
    <w:rsid w:val="004B2A4D"/>
    <w:rsid w:val="004C7211"/>
    <w:rsid w:val="00531398"/>
    <w:rsid w:val="00543420"/>
    <w:rsid w:val="00587910"/>
    <w:rsid w:val="005934E8"/>
    <w:rsid w:val="006E29AE"/>
    <w:rsid w:val="006F4847"/>
    <w:rsid w:val="00717906"/>
    <w:rsid w:val="00725769"/>
    <w:rsid w:val="00744950"/>
    <w:rsid w:val="007735D2"/>
    <w:rsid w:val="00773DBC"/>
    <w:rsid w:val="00784CD9"/>
    <w:rsid w:val="0079296F"/>
    <w:rsid w:val="007B0AE6"/>
    <w:rsid w:val="007C7464"/>
    <w:rsid w:val="007D6C35"/>
    <w:rsid w:val="008159D8"/>
    <w:rsid w:val="008211D3"/>
    <w:rsid w:val="0086238D"/>
    <w:rsid w:val="008B4D2D"/>
    <w:rsid w:val="00943D60"/>
    <w:rsid w:val="00965CB2"/>
    <w:rsid w:val="00992B28"/>
    <w:rsid w:val="00996DE9"/>
    <w:rsid w:val="00B11A40"/>
    <w:rsid w:val="00B15E59"/>
    <w:rsid w:val="00B400C8"/>
    <w:rsid w:val="00B80844"/>
    <w:rsid w:val="00C108CC"/>
    <w:rsid w:val="00C233AA"/>
    <w:rsid w:val="00C25AB6"/>
    <w:rsid w:val="00C837A3"/>
    <w:rsid w:val="00CB4B0E"/>
    <w:rsid w:val="00CB4CB2"/>
    <w:rsid w:val="00CF463D"/>
    <w:rsid w:val="00D355F5"/>
    <w:rsid w:val="00D606E1"/>
    <w:rsid w:val="00D76C60"/>
    <w:rsid w:val="00D91F84"/>
    <w:rsid w:val="00E241EE"/>
    <w:rsid w:val="00E4520C"/>
    <w:rsid w:val="00E66FBD"/>
    <w:rsid w:val="00E759E9"/>
    <w:rsid w:val="00EE0B94"/>
    <w:rsid w:val="00F15248"/>
    <w:rsid w:val="00FC4F6F"/>
    <w:rsid w:val="00FC78A8"/>
    <w:rsid w:val="00FE17DE"/>
    <w:rsid w:val="00FF4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E73BF"/>
  <w15:chartTrackingRefBased/>
  <w15:docId w15:val="{2CE7E296-8DDF-4F94-A991-35EE50D0D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24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1524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524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52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52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52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2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2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2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24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152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524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524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524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52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2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2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248"/>
    <w:rPr>
      <w:rFonts w:eastAsiaTheme="majorEastAsia" w:cstheme="majorBidi"/>
      <w:color w:val="272727" w:themeColor="text1" w:themeTint="D8"/>
    </w:rPr>
  </w:style>
  <w:style w:type="paragraph" w:styleId="Title">
    <w:name w:val="Title"/>
    <w:basedOn w:val="Normal"/>
    <w:next w:val="Normal"/>
    <w:link w:val="TitleChar"/>
    <w:uiPriority w:val="10"/>
    <w:qFormat/>
    <w:rsid w:val="00F152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2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2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2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248"/>
    <w:pPr>
      <w:spacing w:before="160"/>
      <w:jc w:val="center"/>
    </w:pPr>
    <w:rPr>
      <w:i/>
      <w:iCs/>
      <w:color w:val="404040" w:themeColor="text1" w:themeTint="BF"/>
    </w:rPr>
  </w:style>
  <w:style w:type="character" w:customStyle="1" w:styleId="QuoteChar">
    <w:name w:val="Quote Char"/>
    <w:basedOn w:val="DefaultParagraphFont"/>
    <w:link w:val="Quote"/>
    <w:uiPriority w:val="29"/>
    <w:rsid w:val="00F15248"/>
    <w:rPr>
      <w:i/>
      <w:iCs/>
      <w:color w:val="404040" w:themeColor="text1" w:themeTint="BF"/>
    </w:rPr>
  </w:style>
  <w:style w:type="paragraph" w:styleId="ListParagraph">
    <w:name w:val="List Paragraph"/>
    <w:basedOn w:val="Normal"/>
    <w:uiPriority w:val="34"/>
    <w:qFormat/>
    <w:rsid w:val="00F15248"/>
    <w:pPr>
      <w:ind w:left="720"/>
      <w:contextualSpacing/>
    </w:pPr>
  </w:style>
  <w:style w:type="character" w:styleId="IntenseEmphasis">
    <w:name w:val="Intense Emphasis"/>
    <w:basedOn w:val="DefaultParagraphFont"/>
    <w:uiPriority w:val="21"/>
    <w:qFormat/>
    <w:rsid w:val="00F15248"/>
    <w:rPr>
      <w:i/>
      <w:iCs/>
      <w:color w:val="2F5496" w:themeColor="accent1" w:themeShade="BF"/>
    </w:rPr>
  </w:style>
  <w:style w:type="paragraph" w:styleId="IntenseQuote">
    <w:name w:val="Intense Quote"/>
    <w:basedOn w:val="Normal"/>
    <w:next w:val="Normal"/>
    <w:link w:val="IntenseQuoteChar"/>
    <w:uiPriority w:val="30"/>
    <w:qFormat/>
    <w:rsid w:val="00F152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5248"/>
    <w:rPr>
      <w:i/>
      <w:iCs/>
      <w:color w:val="2F5496" w:themeColor="accent1" w:themeShade="BF"/>
    </w:rPr>
  </w:style>
  <w:style w:type="character" w:styleId="IntenseReference">
    <w:name w:val="Intense Reference"/>
    <w:basedOn w:val="DefaultParagraphFont"/>
    <w:uiPriority w:val="32"/>
    <w:qFormat/>
    <w:rsid w:val="00F15248"/>
    <w:rPr>
      <w:b/>
      <w:bCs/>
      <w:smallCaps/>
      <w:color w:val="2F5496" w:themeColor="accent1" w:themeShade="BF"/>
      <w:spacing w:val="5"/>
    </w:rPr>
  </w:style>
  <w:style w:type="paragraph" w:styleId="NormalWeb">
    <w:name w:val="Normal (Web)"/>
    <w:basedOn w:val="Normal"/>
    <w:uiPriority w:val="99"/>
    <w:semiHidden/>
    <w:unhideWhenUsed/>
    <w:rsid w:val="00543420"/>
    <w:rPr>
      <w:rFonts w:ascii="Times New Roman" w:hAnsi="Times New Roman" w:cs="Times New Roman"/>
      <w:sz w:val="24"/>
      <w:szCs w:val="24"/>
    </w:rPr>
  </w:style>
  <w:style w:type="paragraph" w:styleId="Header">
    <w:name w:val="header"/>
    <w:basedOn w:val="Normal"/>
    <w:link w:val="HeaderChar"/>
    <w:uiPriority w:val="99"/>
    <w:unhideWhenUsed/>
    <w:rsid w:val="00784C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CD9"/>
  </w:style>
  <w:style w:type="paragraph" w:styleId="Footer">
    <w:name w:val="footer"/>
    <w:basedOn w:val="Normal"/>
    <w:link w:val="FooterChar"/>
    <w:uiPriority w:val="99"/>
    <w:unhideWhenUsed/>
    <w:rsid w:val="00784C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587</TotalTime>
  <Pages>7</Pages>
  <Words>1692</Words>
  <Characters>9651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Esanga Ikwa</dc:creator>
  <cp:keywords/>
  <dc:description/>
  <cp:lastModifiedBy>Esanga Ikwa</cp:lastModifiedBy>
  <cp:revision>59</cp:revision>
  <dcterms:created xsi:type="dcterms:W3CDTF">2026-04-20T17:40:00Z</dcterms:created>
  <dcterms:modified xsi:type="dcterms:W3CDTF">2026-04-21T03:48:00Z</dcterms:modified>
</cp:coreProperties>
</file>