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D79BE" w14:textId="1779E005" w:rsidR="0042378A" w:rsidRDefault="0042378A" w:rsidP="0042378A">
      <w:pPr>
        <w:pStyle w:val="Nornal"/>
        <w:spacing w:after="120" w:line="276" w:lineRule="auto"/>
        <w:rPr>
          <w:rFonts w:ascii="Trebuchet MS" w:hAnsi="Trebuchet MS" w:cstheme="minorHAnsi"/>
          <w:bCs/>
        </w:rPr>
      </w:pPr>
      <w:r w:rsidRPr="00DA6CE8">
        <w:rPr>
          <w:rFonts w:ascii="Trebuchet MS" w:hAnsi="Trebuchet MS" w:cstheme="minorHAnsi"/>
          <w:bCs/>
        </w:rPr>
        <w:t>AC 1.1</w:t>
      </w:r>
      <w:r w:rsidR="00434729">
        <w:rPr>
          <w:rFonts w:ascii="Trebuchet MS" w:hAnsi="Trebuchet MS" w:cstheme="minorHAnsi"/>
          <w:bCs/>
        </w:rPr>
        <w:t xml:space="preserve"> </w:t>
      </w:r>
    </w:p>
    <w:p w14:paraId="5948B3CD" w14:textId="1C5452C0" w:rsidR="008C4EE4" w:rsidRDefault="00C40718" w:rsidP="0042378A">
      <w:pPr>
        <w:pStyle w:val="Nornal"/>
        <w:spacing w:after="120" w:line="276" w:lineRule="auto"/>
        <w:rPr>
          <w:rFonts w:asciiTheme="minorHAnsi" w:hAnsiTheme="minorHAnsi" w:cstheme="minorHAnsi"/>
          <w:bCs/>
        </w:rPr>
      </w:pPr>
      <w:r>
        <w:rPr>
          <w:rFonts w:asciiTheme="minorHAnsi" w:hAnsiTheme="minorHAnsi" w:cstheme="minorHAnsi"/>
          <w:bCs/>
        </w:rPr>
        <w:t>One wellbeing theory that examines how job and workplace characteristics can have an impact on employee wellbeing is Bakker and Demerouti’s Job Demands-Resources Model. The model splits job factors between two categories, job resources and job demands, that positively and negatively impact employee wellbeing and engagement (</w:t>
      </w:r>
      <w:r w:rsidR="00FF6F51">
        <w:rPr>
          <w:rFonts w:asciiTheme="minorHAnsi" w:hAnsiTheme="minorHAnsi" w:cstheme="minorHAnsi"/>
          <w:bCs/>
        </w:rPr>
        <w:t>Wilkinson</w:t>
      </w:r>
      <w:r>
        <w:rPr>
          <w:rFonts w:asciiTheme="minorHAnsi" w:hAnsiTheme="minorHAnsi" w:cstheme="minorHAnsi"/>
          <w:bCs/>
        </w:rPr>
        <w:t>, 2022</w:t>
      </w:r>
      <w:r w:rsidR="00FF6F51">
        <w:rPr>
          <w:rFonts w:asciiTheme="minorHAnsi" w:hAnsiTheme="minorHAnsi" w:cstheme="minorHAnsi"/>
          <w:bCs/>
        </w:rPr>
        <w:t>, p. 235</w:t>
      </w:r>
      <w:r>
        <w:rPr>
          <w:rFonts w:asciiTheme="minorHAnsi" w:hAnsiTheme="minorHAnsi" w:cstheme="minorHAnsi"/>
          <w:bCs/>
        </w:rPr>
        <w:t xml:space="preserve">). </w:t>
      </w:r>
    </w:p>
    <w:p w14:paraId="2E1E1C9B" w14:textId="01811629" w:rsidR="00C40718" w:rsidRDefault="008C4EE4" w:rsidP="0042378A">
      <w:pPr>
        <w:pStyle w:val="Nornal"/>
        <w:spacing w:after="120" w:line="276" w:lineRule="auto"/>
        <w:rPr>
          <w:rFonts w:asciiTheme="minorHAnsi" w:hAnsiTheme="minorHAnsi"/>
        </w:rPr>
      </w:pPr>
      <w:r>
        <w:rPr>
          <w:rFonts w:asciiTheme="minorHAnsi" w:hAnsiTheme="minorHAnsi" w:cstheme="minorHAnsi"/>
          <w:bCs/>
        </w:rPr>
        <w:t xml:space="preserve">Modern workplaces have seen an increase in pace and workload, demanding more from workers in terms of tight deadlines, resource constraints and higher productivity and performance expectations, resulting in stress, dissatisfaction and burnout (Mauno et al, 2023). </w:t>
      </w:r>
      <w:r w:rsidR="003537A3">
        <w:rPr>
          <w:rFonts w:asciiTheme="minorHAnsi" w:hAnsiTheme="minorHAnsi" w:cstheme="minorHAnsi"/>
          <w:bCs/>
        </w:rPr>
        <w:t xml:space="preserve">Work-life balance, or work-family conflict, has become a common issue for workers with external </w:t>
      </w:r>
      <w:r w:rsidR="003537A3" w:rsidRPr="003537A3">
        <w:rPr>
          <w:rFonts w:asciiTheme="minorHAnsi" w:hAnsiTheme="minorHAnsi" w:cstheme="minorHAnsi"/>
          <w:bCs/>
        </w:rPr>
        <w:t>demands such as caring responsibilities and financial strain negatively affecting wellbeing (</w:t>
      </w:r>
      <w:r w:rsidR="003537A3" w:rsidRPr="003537A3">
        <w:rPr>
          <w:rFonts w:asciiTheme="minorHAnsi" w:hAnsiTheme="minorHAnsi"/>
        </w:rPr>
        <w:t>Brandão and Matias, 2024;</w:t>
      </w:r>
      <w:r w:rsidR="003537A3">
        <w:t xml:space="preserve"> </w:t>
      </w:r>
      <w:r w:rsidR="003537A3" w:rsidRPr="003537A3">
        <w:rPr>
          <w:rFonts w:asciiTheme="minorHAnsi" w:hAnsiTheme="minorHAnsi"/>
        </w:rPr>
        <w:t xml:space="preserve">Spicer, 2024). </w:t>
      </w:r>
      <w:r w:rsidR="00D367CF">
        <w:rPr>
          <w:rFonts w:asciiTheme="minorHAnsi" w:hAnsiTheme="minorHAnsi"/>
        </w:rPr>
        <w:t xml:space="preserve">The model also explores how insufficient job resources impacts employee wellbeing; </w:t>
      </w:r>
      <w:r w:rsidR="007721B8">
        <w:rPr>
          <w:rFonts w:asciiTheme="minorHAnsi" w:hAnsiTheme="minorHAnsi"/>
        </w:rPr>
        <w:t>poor leadership styles and supervisor support and lack of psychological safety and opportunities for employee voice can all lead to lower employee wellbeing (Gauche, de Beer and Brink, 2017; Clarke et al, 2026).</w:t>
      </w:r>
    </w:p>
    <w:p w14:paraId="5BCF58C8" w14:textId="77777777" w:rsidR="00F429B1" w:rsidRDefault="00DC3EC5" w:rsidP="0042378A">
      <w:pPr>
        <w:pStyle w:val="Nornal"/>
        <w:spacing w:after="120" w:line="276" w:lineRule="auto"/>
        <w:rPr>
          <w:rFonts w:asciiTheme="minorHAnsi" w:hAnsiTheme="minorHAnsi"/>
        </w:rPr>
      </w:pPr>
      <w:r>
        <w:rPr>
          <w:rFonts w:asciiTheme="minorHAnsi" w:hAnsiTheme="minorHAnsi"/>
        </w:rPr>
        <w:t xml:space="preserve">Another theoretical framework for understanding employee wellbeing is Ryan and Deci’s Self-Determination Theory. </w:t>
      </w:r>
      <w:r w:rsidR="00960E0B">
        <w:rPr>
          <w:rFonts w:asciiTheme="minorHAnsi" w:hAnsiTheme="minorHAnsi"/>
        </w:rPr>
        <w:t xml:space="preserve">The key concept of self-determination is that people are driven to grow and require three basic psychological needs to be fulfilled to achieve it: autonomy, competence and relatedness (Ryan and Deci, 2020). </w:t>
      </w:r>
      <w:r w:rsidR="005E6C64">
        <w:rPr>
          <w:rFonts w:asciiTheme="minorHAnsi" w:hAnsiTheme="minorHAnsi"/>
        </w:rPr>
        <w:t xml:space="preserve">Employees who find meaning in their work, feel good at what they do and have the freedom to make their own decisions in their work are more motivated and, as such, have higher levels of wellbeing (Stothart, 2022). </w:t>
      </w:r>
    </w:p>
    <w:p w14:paraId="5F733906" w14:textId="584C7A9E" w:rsidR="00DC3EC5" w:rsidRPr="003537A3" w:rsidRDefault="00F429B1" w:rsidP="0042378A">
      <w:pPr>
        <w:pStyle w:val="Nornal"/>
        <w:spacing w:after="120" w:line="276" w:lineRule="auto"/>
        <w:rPr>
          <w:rFonts w:asciiTheme="minorHAnsi" w:hAnsiTheme="minorHAnsi" w:cstheme="minorHAnsi"/>
          <w:bCs/>
        </w:rPr>
      </w:pPr>
      <w:r>
        <w:rPr>
          <w:rFonts w:asciiTheme="minorHAnsi" w:hAnsiTheme="minorHAnsi"/>
        </w:rPr>
        <w:t xml:space="preserve">Hybrid and remote working </w:t>
      </w:r>
      <w:r w:rsidR="00451468">
        <w:rPr>
          <w:rFonts w:asciiTheme="minorHAnsi" w:hAnsiTheme="minorHAnsi"/>
        </w:rPr>
        <w:t>have</w:t>
      </w:r>
      <w:r>
        <w:rPr>
          <w:rFonts w:asciiTheme="minorHAnsi" w:hAnsiTheme="minorHAnsi"/>
        </w:rPr>
        <w:t xml:space="preserve"> introduced an increase in autonomy and flexibility for </w:t>
      </w:r>
      <w:r w:rsidR="0040122F">
        <w:rPr>
          <w:rFonts w:asciiTheme="minorHAnsi" w:hAnsiTheme="minorHAnsi"/>
        </w:rPr>
        <w:t>workers which</w:t>
      </w:r>
      <w:r>
        <w:rPr>
          <w:rFonts w:asciiTheme="minorHAnsi" w:hAnsiTheme="minorHAnsi"/>
        </w:rPr>
        <w:t xml:space="preserve"> improves wellbeing, however, some workers may feel isolated and lack the support needed to feel competent (Bantz, 2025). </w:t>
      </w:r>
      <w:r w:rsidR="0040122F">
        <w:rPr>
          <w:rFonts w:asciiTheme="minorHAnsi" w:hAnsiTheme="minorHAnsi"/>
        </w:rPr>
        <w:t xml:space="preserve">Workplace culture and relationships majorly feed into workers’ relatedness and feeling connected to others; toxic workplaces where trust, empathy and psychological safety are missing and the absence of quality working relationships negatively impacts workers’ sense of belonging, thus, undermining their wellbeing (Waller, 2020). </w:t>
      </w:r>
    </w:p>
    <w:p w14:paraId="15BE16B3" w14:textId="77777777" w:rsidR="0040122F" w:rsidRDefault="0040122F" w:rsidP="0040122F">
      <w:pPr>
        <w:pStyle w:val="Nornal"/>
        <w:spacing w:after="120" w:line="276" w:lineRule="auto"/>
        <w:rPr>
          <w:rFonts w:ascii="Trebuchet MS" w:hAnsi="Trebuchet MS" w:cstheme="minorHAnsi"/>
          <w:bCs/>
        </w:rPr>
      </w:pPr>
    </w:p>
    <w:p w14:paraId="521DE411" w14:textId="7A688777" w:rsidR="0040122F" w:rsidRDefault="0040122F" w:rsidP="0040122F">
      <w:pPr>
        <w:pStyle w:val="Nornal"/>
        <w:spacing w:after="120" w:line="276" w:lineRule="auto"/>
        <w:rPr>
          <w:rFonts w:ascii="Trebuchet MS" w:hAnsi="Trebuchet MS" w:cstheme="minorHAnsi"/>
          <w:bCs/>
        </w:rPr>
      </w:pPr>
      <w:r w:rsidRPr="00DA6CE8">
        <w:rPr>
          <w:rFonts w:ascii="Trebuchet MS" w:hAnsi="Trebuchet MS" w:cstheme="minorHAnsi"/>
          <w:bCs/>
        </w:rPr>
        <w:t>AC 1.2</w:t>
      </w:r>
    </w:p>
    <w:p w14:paraId="7A28594F" w14:textId="346C3DC7" w:rsidR="005359CC" w:rsidRDefault="005359CC" w:rsidP="0040122F">
      <w:pPr>
        <w:pStyle w:val="Nornal"/>
        <w:spacing w:after="120" w:line="276" w:lineRule="auto"/>
        <w:rPr>
          <w:rFonts w:asciiTheme="minorHAnsi" w:hAnsiTheme="minorHAnsi" w:cstheme="minorHAnsi"/>
          <w:bCs/>
        </w:rPr>
      </w:pPr>
      <w:r>
        <w:rPr>
          <w:rFonts w:asciiTheme="minorHAnsi" w:hAnsiTheme="minorHAnsi" w:cstheme="minorHAnsi"/>
          <w:bCs/>
        </w:rPr>
        <w:t xml:space="preserve">Wellbeing is a multidimensional concept with varying, interchangeable definitions; </w:t>
      </w:r>
      <w:r w:rsidR="00A91306">
        <w:rPr>
          <w:rFonts w:asciiTheme="minorHAnsi" w:hAnsiTheme="minorHAnsi" w:cstheme="minorHAnsi"/>
          <w:bCs/>
        </w:rPr>
        <w:t xml:space="preserve">the World Health Organisation’s </w:t>
      </w:r>
      <w:r w:rsidR="00AB7AA8">
        <w:rPr>
          <w:rFonts w:asciiTheme="minorHAnsi" w:hAnsiTheme="minorHAnsi" w:cstheme="minorHAnsi"/>
          <w:bCs/>
        </w:rPr>
        <w:t>(1948</w:t>
      </w:r>
      <w:r w:rsidR="00816880">
        <w:rPr>
          <w:rFonts w:asciiTheme="minorHAnsi" w:hAnsiTheme="minorHAnsi" w:cstheme="minorHAnsi"/>
          <w:bCs/>
        </w:rPr>
        <w:t>, pp.</w:t>
      </w:r>
      <w:r w:rsidR="00AB7AA8">
        <w:rPr>
          <w:rFonts w:asciiTheme="minorHAnsi" w:hAnsiTheme="minorHAnsi" w:cstheme="minorHAnsi"/>
          <w:bCs/>
        </w:rPr>
        <w:t xml:space="preserve"> 100) </w:t>
      </w:r>
      <w:r w:rsidR="00A91306">
        <w:rPr>
          <w:rFonts w:asciiTheme="minorHAnsi" w:hAnsiTheme="minorHAnsi" w:cstheme="minorHAnsi"/>
          <w:bCs/>
        </w:rPr>
        <w:t xml:space="preserve">constitution </w:t>
      </w:r>
      <w:r w:rsidR="00AB7AA8">
        <w:rPr>
          <w:rFonts w:asciiTheme="minorHAnsi" w:hAnsiTheme="minorHAnsi" w:cstheme="minorHAnsi"/>
          <w:bCs/>
        </w:rPr>
        <w:t>defines health as ‘</w:t>
      </w:r>
      <w:r w:rsidR="00AB7AA8" w:rsidRPr="00AB7AA8">
        <w:rPr>
          <w:rFonts w:asciiTheme="minorHAnsi" w:hAnsiTheme="minorHAnsi" w:cstheme="minorHAnsi"/>
        </w:rPr>
        <w:t>a state of complete physical, mental and social well-being and not merely the absence of disease or infirmity’</w:t>
      </w:r>
      <w:r w:rsidR="00AB7AA8" w:rsidRPr="00AB7AA8">
        <w:rPr>
          <w:rFonts w:asciiTheme="minorHAnsi" w:hAnsiTheme="minorHAnsi" w:cstheme="minorHAnsi"/>
          <w:bCs/>
        </w:rPr>
        <w:t>. </w:t>
      </w:r>
      <w:r w:rsidR="00816880">
        <w:rPr>
          <w:rFonts w:asciiTheme="minorHAnsi" w:hAnsiTheme="minorHAnsi" w:cstheme="minorHAnsi"/>
          <w:bCs/>
        </w:rPr>
        <w:t>T</w:t>
      </w:r>
      <w:r>
        <w:rPr>
          <w:rFonts w:asciiTheme="minorHAnsi" w:hAnsiTheme="minorHAnsi" w:cstheme="minorHAnsi"/>
          <w:bCs/>
        </w:rPr>
        <w:t>he CIPD views wellbeing at work as a holistic concept, encompassing the physical, mental, social and financial health of employees (Suff, 2025</w:t>
      </w:r>
      <w:r w:rsidR="00FC2918">
        <w:rPr>
          <w:rFonts w:asciiTheme="minorHAnsi" w:hAnsiTheme="minorHAnsi" w:cstheme="minorHAnsi"/>
          <w:bCs/>
        </w:rPr>
        <w:t>a</w:t>
      </w:r>
      <w:r>
        <w:rPr>
          <w:rFonts w:asciiTheme="minorHAnsi" w:hAnsiTheme="minorHAnsi" w:cstheme="minorHAnsi"/>
          <w:bCs/>
        </w:rPr>
        <w:t xml:space="preserve">). </w:t>
      </w:r>
      <w:r w:rsidR="005729F0">
        <w:rPr>
          <w:rFonts w:asciiTheme="minorHAnsi" w:hAnsiTheme="minorHAnsi" w:cstheme="minorHAnsi"/>
          <w:bCs/>
        </w:rPr>
        <w:t xml:space="preserve">Wellbeing </w:t>
      </w:r>
      <w:r w:rsidR="00451468">
        <w:rPr>
          <w:rFonts w:asciiTheme="minorHAnsi" w:hAnsiTheme="minorHAnsi" w:cstheme="minorHAnsi"/>
          <w:bCs/>
        </w:rPr>
        <w:t>should</w:t>
      </w:r>
      <w:r w:rsidR="005729F0">
        <w:rPr>
          <w:rFonts w:asciiTheme="minorHAnsi" w:hAnsiTheme="minorHAnsi" w:cstheme="minorHAnsi"/>
          <w:bCs/>
        </w:rPr>
        <w:t xml:space="preserve"> be at the top of the agenda for people professionals; when wellbeing at work is prioritised, individuals are motivated, engaged and both employees and the overall organisation perform better (Suff, 2025</w:t>
      </w:r>
      <w:r w:rsidR="00FC2918">
        <w:rPr>
          <w:rFonts w:asciiTheme="minorHAnsi" w:hAnsiTheme="minorHAnsi" w:cstheme="minorHAnsi"/>
          <w:bCs/>
        </w:rPr>
        <w:t>a</w:t>
      </w:r>
      <w:r w:rsidR="005729F0">
        <w:rPr>
          <w:rFonts w:asciiTheme="minorHAnsi" w:hAnsiTheme="minorHAnsi" w:cstheme="minorHAnsi"/>
          <w:bCs/>
        </w:rPr>
        <w:t xml:space="preserve">). </w:t>
      </w:r>
    </w:p>
    <w:p w14:paraId="32C75E04" w14:textId="7D1DEEE0" w:rsidR="00451468" w:rsidRDefault="00097629" w:rsidP="0040122F">
      <w:pPr>
        <w:pStyle w:val="Nornal"/>
        <w:spacing w:after="120" w:line="276" w:lineRule="auto"/>
        <w:rPr>
          <w:rFonts w:asciiTheme="minorHAnsi" w:hAnsiTheme="minorHAnsi" w:cstheme="minorHAnsi"/>
          <w:bCs/>
        </w:rPr>
      </w:pPr>
      <w:r>
        <w:rPr>
          <w:rFonts w:asciiTheme="minorHAnsi" w:hAnsiTheme="minorHAnsi" w:cstheme="minorHAnsi"/>
          <w:bCs/>
        </w:rPr>
        <w:t xml:space="preserve">The wellbeing of the workforce can be managed by people professionals to support organisational goals through a variety of processes. An effective, empathetic absence management process that proactively identifies sickness trends through data, supports employees back to work with adjustments and flexibility and line managers who approach absence with empathy and understanding results in lower absence rates, thus, limiting its costly impact on an </w:t>
      </w:r>
      <w:r w:rsidRPr="00097629">
        <w:rPr>
          <w:rFonts w:asciiTheme="minorHAnsi" w:hAnsiTheme="minorHAnsi" w:cstheme="minorHAnsi"/>
          <w:bCs/>
        </w:rPr>
        <w:t>organisation (</w:t>
      </w:r>
      <w:r w:rsidRPr="00097629">
        <w:rPr>
          <w:rFonts w:asciiTheme="minorHAnsi" w:hAnsiTheme="minorHAnsi"/>
        </w:rPr>
        <w:t>Hadjisolomou</w:t>
      </w:r>
      <w:r w:rsidRPr="00097629">
        <w:rPr>
          <w:rFonts w:asciiTheme="minorHAnsi" w:hAnsiTheme="minorHAnsi" w:cstheme="minorHAnsi"/>
          <w:bCs/>
        </w:rPr>
        <w:t xml:space="preserve"> et al, 2025</w:t>
      </w:r>
      <w:r>
        <w:rPr>
          <w:rFonts w:asciiTheme="minorHAnsi" w:hAnsiTheme="minorHAnsi" w:cstheme="minorHAnsi"/>
          <w:bCs/>
        </w:rPr>
        <w:t>; CIPD, 2026</w:t>
      </w:r>
      <w:r w:rsidR="00F64A6A">
        <w:rPr>
          <w:rFonts w:asciiTheme="minorHAnsi" w:hAnsiTheme="minorHAnsi" w:cstheme="minorHAnsi"/>
          <w:bCs/>
        </w:rPr>
        <w:t>a</w:t>
      </w:r>
      <w:r>
        <w:rPr>
          <w:rFonts w:asciiTheme="minorHAnsi" w:hAnsiTheme="minorHAnsi" w:cstheme="minorHAnsi"/>
          <w:bCs/>
        </w:rPr>
        <w:t>).</w:t>
      </w:r>
      <w:r w:rsidR="00F64A6A">
        <w:rPr>
          <w:rFonts w:asciiTheme="minorHAnsi" w:hAnsiTheme="minorHAnsi" w:cstheme="minorHAnsi"/>
          <w:bCs/>
        </w:rPr>
        <w:t xml:space="preserve"> Organisations can </w:t>
      </w:r>
      <w:r w:rsidR="00F64A6A">
        <w:rPr>
          <w:rFonts w:asciiTheme="minorHAnsi" w:hAnsiTheme="minorHAnsi" w:cstheme="minorHAnsi"/>
          <w:bCs/>
        </w:rPr>
        <w:lastRenderedPageBreak/>
        <w:t xml:space="preserve">offer services to their workers in support of their wellbeing that, ultimately, benefit the organisation as much as the individual; occupational health support, counselling, EAP programmes, physiotherapy and other specialist services can be used to support employees and pre-emptively address causes of absence (CIPD, 2026b). </w:t>
      </w:r>
    </w:p>
    <w:p w14:paraId="386296CC" w14:textId="15D084F0" w:rsidR="00D4636F" w:rsidRDefault="00D4636F" w:rsidP="0040122F">
      <w:pPr>
        <w:pStyle w:val="Nornal"/>
        <w:spacing w:after="120" w:line="276" w:lineRule="auto"/>
        <w:rPr>
          <w:rFonts w:asciiTheme="minorHAnsi" w:hAnsiTheme="minorHAnsi" w:cstheme="minorHAnsi"/>
          <w:bCs/>
        </w:rPr>
      </w:pPr>
      <w:r>
        <w:rPr>
          <w:rFonts w:asciiTheme="minorHAnsi" w:hAnsiTheme="minorHAnsi" w:cstheme="minorHAnsi"/>
          <w:bCs/>
        </w:rPr>
        <w:t xml:space="preserve">Organisations can adopt provisions such as policies, guidance and training that support employee wellbeing during different life stages such as bereavement, menopause, fertility treatment, childbirth and mental or physical health conditions (Sinclair and Suff, 2025). </w:t>
      </w:r>
      <w:r w:rsidR="009B0B9B">
        <w:rPr>
          <w:rFonts w:asciiTheme="minorHAnsi" w:hAnsiTheme="minorHAnsi" w:cstheme="minorHAnsi"/>
          <w:bCs/>
        </w:rPr>
        <w:t>Work-life balance policies</w:t>
      </w:r>
      <w:r w:rsidR="00211213">
        <w:rPr>
          <w:rFonts w:asciiTheme="minorHAnsi" w:hAnsiTheme="minorHAnsi" w:cstheme="minorHAnsi"/>
          <w:bCs/>
        </w:rPr>
        <w:t xml:space="preserve"> like flexible working, working from home and types of leave</w:t>
      </w:r>
      <w:r w:rsidR="009B0B9B">
        <w:rPr>
          <w:rFonts w:asciiTheme="minorHAnsi" w:hAnsiTheme="minorHAnsi" w:cstheme="minorHAnsi"/>
          <w:bCs/>
        </w:rPr>
        <w:t xml:space="preserve"> support organisational goals by assisting employees to be more productive, engaged and committed at work, ultimately improving the effectiveness of the organisation and its outputs (Yadav, Pandita and Singh, 2022). </w:t>
      </w:r>
      <w:r w:rsidR="005B48E0">
        <w:rPr>
          <w:rFonts w:asciiTheme="minorHAnsi" w:hAnsiTheme="minorHAnsi" w:cstheme="minorHAnsi"/>
          <w:bCs/>
        </w:rPr>
        <w:t xml:space="preserve">Preventive measures can be implemented such as risk assessments, stress audits and line manager training to identify and manage stress within their teams to </w:t>
      </w:r>
      <w:r w:rsidR="00F277C9">
        <w:rPr>
          <w:rFonts w:asciiTheme="minorHAnsi" w:hAnsiTheme="minorHAnsi" w:cstheme="minorHAnsi"/>
          <w:bCs/>
        </w:rPr>
        <w:t xml:space="preserve">provide more effective support and keep employees in work and contributing towards organisational goals (Sinclair and Suff, 2025). </w:t>
      </w:r>
    </w:p>
    <w:p w14:paraId="448A0AAF" w14:textId="77777777" w:rsidR="00F277C9" w:rsidRDefault="00F277C9" w:rsidP="00F277C9">
      <w:pPr>
        <w:pStyle w:val="Nornal"/>
        <w:spacing w:after="120" w:line="276" w:lineRule="auto"/>
        <w:rPr>
          <w:rFonts w:ascii="Trebuchet MS" w:hAnsi="Trebuchet MS" w:cstheme="minorHAnsi"/>
          <w:bCs/>
        </w:rPr>
      </w:pPr>
    </w:p>
    <w:p w14:paraId="565C66CD" w14:textId="5DD6E0D1" w:rsidR="00F277C9" w:rsidRDefault="00F277C9" w:rsidP="00F277C9">
      <w:pPr>
        <w:pStyle w:val="Nornal"/>
        <w:spacing w:after="120" w:line="276" w:lineRule="auto"/>
        <w:rPr>
          <w:rFonts w:ascii="Trebuchet MS" w:hAnsi="Trebuchet MS" w:cstheme="minorHAnsi"/>
          <w:bCs/>
        </w:rPr>
      </w:pPr>
      <w:r w:rsidRPr="00DA6CE8">
        <w:rPr>
          <w:rFonts w:ascii="Trebuchet MS" w:hAnsi="Trebuchet MS" w:cstheme="minorHAnsi"/>
          <w:bCs/>
        </w:rPr>
        <w:t>AC 1.3</w:t>
      </w:r>
    </w:p>
    <w:p w14:paraId="2A53722D" w14:textId="77777777" w:rsidR="00F214BE" w:rsidRDefault="002642C5" w:rsidP="00F214BE">
      <w:pPr>
        <w:pStyle w:val="Nornal"/>
        <w:spacing w:after="120" w:line="276" w:lineRule="auto"/>
        <w:rPr>
          <w:rFonts w:asciiTheme="minorHAnsi" w:hAnsiTheme="minorHAnsi" w:cstheme="minorHAnsi"/>
          <w:bCs/>
        </w:rPr>
      </w:pPr>
      <w:r>
        <w:rPr>
          <w:rFonts w:asciiTheme="minorHAnsi" w:hAnsiTheme="minorHAnsi" w:cstheme="minorHAnsi"/>
          <w:bCs/>
        </w:rPr>
        <w:t>Ultimately, employees have a legal obligation under employment law and health and safety regulations to provide a safe working environment where employees are treated and compensated fairly (Wilkinson, 2022, p. 238).</w:t>
      </w:r>
      <w:r w:rsidR="00C26213">
        <w:rPr>
          <w:rFonts w:asciiTheme="minorHAnsi" w:hAnsiTheme="minorHAnsi" w:cstheme="minorHAnsi"/>
          <w:bCs/>
        </w:rPr>
        <w:t xml:space="preserve"> Adopting wellbeing initiatives in the workplace improves employee mental health, such as reducing stress and burnout, and physical health by promoting physical activity that lowers the risk of chronic health conditions (Simpson et al, 2024; Marenus et al, 2024). </w:t>
      </w:r>
      <w:r w:rsidR="00F214BE">
        <w:rPr>
          <w:rFonts w:asciiTheme="minorHAnsi" w:hAnsiTheme="minorHAnsi" w:cstheme="minorHAnsi"/>
          <w:bCs/>
        </w:rPr>
        <w:t xml:space="preserve">Implementing wellbeing measures focused on identifying and preventing stress at work at its earliest manifestation ensures that issues contributing to stress or pressure can be addressed and eradicated, supporting employees to stay in work and reducing the risk of long-term absence (Suff, 2025b). </w:t>
      </w:r>
    </w:p>
    <w:p w14:paraId="0B607C9F" w14:textId="30F3ECC5" w:rsidR="00CD681F" w:rsidRDefault="002642C5" w:rsidP="00CD681F">
      <w:pPr>
        <w:pStyle w:val="Nornal"/>
        <w:spacing w:after="120" w:line="276" w:lineRule="auto"/>
        <w:rPr>
          <w:rFonts w:asciiTheme="minorHAnsi" w:hAnsiTheme="minorHAnsi" w:cstheme="minorHAnsi"/>
          <w:bCs/>
        </w:rPr>
      </w:pPr>
      <w:r>
        <w:rPr>
          <w:rFonts w:asciiTheme="minorHAnsi" w:hAnsiTheme="minorHAnsi" w:cstheme="minorHAnsi"/>
          <w:bCs/>
        </w:rPr>
        <w:t>Aside from the moral and legal impetus, p</w:t>
      </w:r>
      <w:r w:rsidR="00BC7AA4" w:rsidRPr="00BC7AA4">
        <w:rPr>
          <w:rFonts w:asciiTheme="minorHAnsi" w:hAnsiTheme="minorHAnsi" w:cstheme="minorHAnsi"/>
          <w:bCs/>
        </w:rPr>
        <w:t xml:space="preserve">rioritising </w:t>
      </w:r>
      <w:r w:rsidR="00BC7AA4">
        <w:rPr>
          <w:rFonts w:asciiTheme="minorHAnsi" w:hAnsiTheme="minorHAnsi" w:cstheme="minorHAnsi"/>
          <w:bCs/>
        </w:rPr>
        <w:t xml:space="preserve">wellbeing in the workplace as an employer reaps a myriad of benefits that are tangible and measurable, including improved performance, engagement and reduced levels of sickness absence (Sinclair and Suff, 2025). </w:t>
      </w:r>
      <w:r w:rsidR="00CF5B82">
        <w:rPr>
          <w:rFonts w:asciiTheme="minorHAnsi" w:hAnsiTheme="minorHAnsi" w:cstheme="minorHAnsi"/>
          <w:bCs/>
        </w:rPr>
        <w:t xml:space="preserve">Furthermore, declaring yourself as an organisation that champions employee wellbeing not only helps retain your existing staff but also attracts new and valuable talent as employees are increasingly seeking out an employer who supports their wellbeing (McIntyre, 2021). </w:t>
      </w:r>
      <w:r w:rsidR="00CD681F">
        <w:rPr>
          <w:rFonts w:asciiTheme="minorHAnsi" w:hAnsiTheme="minorHAnsi" w:cstheme="minorHAnsi"/>
          <w:bCs/>
        </w:rPr>
        <w:t xml:space="preserve">Comprehensive, effective wellbeing practices are directly linked to improved employee morale and motivation which contributes toward performance, both at an employee and organisational level (Dongre, 2024). Studies have shown that employees who are happy and healthy at work end up being more productive, improving both individual performance and the financial performance of the organisation (De Neve and Ward, 2026). </w:t>
      </w:r>
    </w:p>
    <w:p w14:paraId="6A07E62C" w14:textId="04EE1B2A" w:rsidR="00F172EA" w:rsidRDefault="00FC7131" w:rsidP="00F277C9">
      <w:pPr>
        <w:pStyle w:val="Nornal"/>
        <w:spacing w:after="120" w:line="276" w:lineRule="auto"/>
        <w:rPr>
          <w:rFonts w:asciiTheme="minorHAnsi" w:hAnsiTheme="minorHAnsi" w:cstheme="minorHAnsi"/>
          <w:bCs/>
        </w:rPr>
      </w:pPr>
      <w:r>
        <w:rPr>
          <w:rFonts w:asciiTheme="minorHAnsi" w:hAnsiTheme="minorHAnsi" w:cstheme="minorHAnsi"/>
          <w:bCs/>
        </w:rPr>
        <w:t xml:space="preserve">A workplace that prioritises wellbeing creates a healthy working environment and culture for employees, which fosters positive working relationships between colleagues (Day and Penney, 2017). Workplace wellbeing </w:t>
      </w:r>
      <w:r w:rsidR="00095AF7">
        <w:rPr>
          <w:rFonts w:asciiTheme="minorHAnsi" w:hAnsiTheme="minorHAnsi" w:cstheme="minorHAnsi"/>
          <w:bCs/>
        </w:rPr>
        <w:t>practices</w:t>
      </w:r>
      <w:r>
        <w:rPr>
          <w:rFonts w:asciiTheme="minorHAnsi" w:hAnsiTheme="minorHAnsi" w:cstheme="minorHAnsi"/>
          <w:bCs/>
        </w:rPr>
        <w:t xml:space="preserve"> that encourage interaction and community creates social connections built on trust and respect</w:t>
      </w:r>
      <w:r w:rsidR="00095AF7">
        <w:rPr>
          <w:rFonts w:asciiTheme="minorHAnsi" w:hAnsiTheme="minorHAnsi" w:cstheme="minorHAnsi"/>
          <w:bCs/>
        </w:rPr>
        <w:t xml:space="preserve"> and a culture that is psychologically safe and free from bullying and harassment enhances employee wellbeing (Day, Kelloway and Hurrell Jr, 2014; Click et al, 2019). </w:t>
      </w:r>
    </w:p>
    <w:p w14:paraId="198EDA8E" w14:textId="0220C5BB" w:rsidR="001A1E1F" w:rsidRPr="00434729" w:rsidRDefault="0098487E" w:rsidP="00434729">
      <w:pPr>
        <w:spacing w:after="120" w:line="276" w:lineRule="auto"/>
        <w:rPr>
          <w:rFonts w:ascii="Trebuchet MS" w:hAnsi="Trebuchet MS"/>
          <w:bCs/>
        </w:rPr>
      </w:pPr>
      <w:r w:rsidRPr="00434729">
        <w:rPr>
          <w:rFonts w:ascii="Trebuchet MS" w:hAnsi="Trebuchet MS"/>
          <w:bCs/>
        </w:rPr>
        <w:lastRenderedPageBreak/>
        <w:t>AC 2.1</w:t>
      </w:r>
    </w:p>
    <w:p w14:paraId="527B5DC7" w14:textId="4E5CA53D" w:rsidR="00750A89" w:rsidRDefault="00750A89">
      <w:r>
        <w:t>People professionals play a strategic role within their organisations in improving wellbeing at work by ensuring it is a core component of the people strategy and is embedded in every facet of an organisation, from the culture and leadership to the systems and practices in place (Suff, 2025</w:t>
      </w:r>
      <w:r w:rsidR="005F0F4F">
        <w:t>a</w:t>
      </w:r>
      <w:r>
        <w:t xml:space="preserve">). </w:t>
      </w:r>
      <w:r w:rsidR="00F60BEF">
        <w:t xml:space="preserve">People professionals can ensure processes such as recruitment and selection, training and development and performance management are conducted with employee wellbeing at the forefront (Guest, 2017). Practices designed to improve employee wellbeing can be implemented by people professionals such as mental health initiatives, occupational health services and effective absence management (Teoh, 2023; Sinclair and Suff, 2025). </w:t>
      </w:r>
    </w:p>
    <w:p w14:paraId="11D61EC0" w14:textId="2C6C821A" w:rsidR="00201A4D" w:rsidRDefault="005F0F4F">
      <w:r>
        <w:t xml:space="preserve">In partnership with people professionals, senior leadership can influence wellbeing at work strategically, ensuring wellbeing is a strategic priority, role modelling positive behaviours and encouraging conversations around wellbeing (Suff, 2025a). Senior leaders set the tone from the top, creating psychologically safe working cultures and providing resources that employees can access to improve their health and wellbeing (Hlupic, 2022). </w:t>
      </w:r>
      <w:r w:rsidR="0049443D">
        <w:t>Line managers can improve employee wellbeing at an operational level, observing their team members for signs of stress or burnout and managing absence empathetically (Suff, 2025a). With the right training, line managers can confidently provide support to employees by intervening early, creating safe spaces for difficult conversations and signposting to further resources and services</w:t>
      </w:r>
      <w:r w:rsidR="00C962DA">
        <w:t xml:space="preserve"> (Blake et al, 2023; Dulal-Arthur et al, 2024).</w:t>
      </w:r>
    </w:p>
    <w:p w14:paraId="1F62112C" w14:textId="647E7064" w:rsidR="00BE2E4B" w:rsidRDefault="00BE2E4B">
      <w:r>
        <w:t>The presence of trade union representatives and their role in employee voice has been shown to contribute to employee happiness, trust and overall wellbeing</w:t>
      </w:r>
      <w:r w:rsidR="00087065">
        <w:t xml:space="preserve"> (Lewis, 2015; Blanchflower, Bryson and Green, 2021). </w:t>
      </w:r>
      <w:r w:rsidR="009C2FA5">
        <w:t>Organisations are now increasingly training individuals as mental health first aiders who can raise awareness of mental health</w:t>
      </w:r>
      <w:r w:rsidR="00831A73">
        <w:t>, encourage conversations and signpost to support, although their effectiveness has produced mixed results (Read, 2019; Forthal et al, 2022). The UK Government’s agenda for wellbeing in the workplace is centered largely around its Keep Britain Working report and Healthy Working Lifecycle which aims to reduce long-term sickness rates and disab</w:t>
      </w:r>
      <w:r w:rsidR="005864DE">
        <w:t xml:space="preserve">ility </w:t>
      </w:r>
      <w:r w:rsidR="00831A73">
        <w:t xml:space="preserve">unemployment levels through prevention, early intervention and rehabilitation to return to work (Department for Work and Pensions, 2026). </w:t>
      </w:r>
    </w:p>
    <w:p w14:paraId="22E277A9" w14:textId="77777777" w:rsidR="001C65B2" w:rsidRDefault="001C65B2" w:rsidP="001C65B2">
      <w:pPr>
        <w:pStyle w:val="Nornal"/>
        <w:spacing w:after="120" w:line="276" w:lineRule="auto"/>
        <w:rPr>
          <w:rFonts w:ascii="Trebuchet MS" w:hAnsi="Trebuchet MS"/>
          <w:bCs/>
        </w:rPr>
      </w:pPr>
    </w:p>
    <w:p w14:paraId="25A9235F" w14:textId="0F31492B" w:rsidR="001C65B2" w:rsidRDefault="001C65B2" w:rsidP="001C65B2">
      <w:pPr>
        <w:pStyle w:val="Nornal"/>
        <w:spacing w:after="120" w:line="276" w:lineRule="auto"/>
        <w:rPr>
          <w:rFonts w:ascii="Trebuchet MS" w:hAnsi="Trebuchet MS"/>
          <w:bCs/>
        </w:rPr>
      </w:pPr>
      <w:r w:rsidRPr="00DA6CE8">
        <w:rPr>
          <w:rFonts w:ascii="Trebuchet MS" w:hAnsi="Trebuchet MS"/>
          <w:bCs/>
        </w:rPr>
        <w:t>AC 2.2</w:t>
      </w:r>
    </w:p>
    <w:p w14:paraId="519704FD" w14:textId="598FADD9" w:rsidR="009D0716" w:rsidRDefault="009D0716" w:rsidP="001C65B2">
      <w:pPr>
        <w:pStyle w:val="Nornal"/>
        <w:spacing w:after="120" w:line="276" w:lineRule="auto"/>
        <w:rPr>
          <w:rFonts w:asciiTheme="minorHAnsi" w:hAnsiTheme="minorHAnsi"/>
          <w:bCs/>
        </w:rPr>
      </w:pPr>
      <w:r w:rsidRPr="009D0716">
        <w:rPr>
          <w:rFonts w:asciiTheme="minorHAnsi" w:hAnsiTheme="minorHAnsi"/>
          <w:bCs/>
        </w:rPr>
        <w:t xml:space="preserve">Employee wellbeing </w:t>
      </w:r>
      <w:r>
        <w:rPr>
          <w:rFonts w:asciiTheme="minorHAnsi" w:hAnsiTheme="minorHAnsi"/>
          <w:bCs/>
        </w:rPr>
        <w:t xml:space="preserve">should be approached holistically by the people team and integrated into people management practices to support employees to be healthier and more productive workers (Suff, 2025a). </w:t>
      </w:r>
      <w:r w:rsidR="005B1B92">
        <w:rPr>
          <w:rFonts w:asciiTheme="minorHAnsi" w:hAnsiTheme="minorHAnsi"/>
          <w:bCs/>
        </w:rPr>
        <w:t>When employee wellbeing becomes the foundation of a people management strategy, practices such as performance management, learning and development</w:t>
      </w:r>
      <w:r w:rsidR="00473C59">
        <w:rPr>
          <w:rFonts w:asciiTheme="minorHAnsi" w:hAnsiTheme="minorHAnsi"/>
          <w:bCs/>
        </w:rPr>
        <w:t xml:space="preserve"> and</w:t>
      </w:r>
      <w:r w:rsidR="005B1B92">
        <w:rPr>
          <w:rFonts w:asciiTheme="minorHAnsi" w:hAnsiTheme="minorHAnsi"/>
          <w:bCs/>
        </w:rPr>
        <w:t xml:space="preserve"> talent acquisition </w:t>
      </w:r>
      <w:r w:rsidR="00473C59">
        <w:rPr>
          <w:rFonts w:asciiTheme="minorHAnsi" w:hAnsiTheme="minorHAnsi"/>
          <w:bCs/>
        </w:rPr>
        <w:t xml:space="preserve">enhance organisational performance and productivity by enhancing work and life satisfaction (Guest, 2002; Kowalski and Loretto, 2017). </w:t>
      </w:r>
    </w:p>
    <w:p w14:paraId="5E49F97A" w14:textId="5B65C42D" w:rsidR="007174A4" w:rsidRDefault="007174A4" w:rsidP="001C65B2">
      <w:pPr>
        <w:pStyle w:val="Nornal"/>
        <w:spacing w:after="120" w:line="276" w:lineRule="auto"/>
        <w:rPr>
          <w:rFonts w:asciiTheme="minorHAnsi" w:hAnsiTheme="minorHAnsi"/>
          <w:bCs/>
        </w:rPr>
      </w:pPr>
      <w:r>
        <w:rPr>
          <w:rFonts w:asciiTheme="minorHAnsi" w:hAnsiTheme="minorHAnsi"/>
          <w:bCs/>
        </w:rPr>
        <w:t xml:space="preserve">Organisations that prioritise safe and healthy working environments and practices </w:t>
      </w:r>
      <w:r w:rsidR="00DD68DA">
        <w:rPr>
          <w:rFonts w:asciiTheme="minorHAnsi" w:hAnsiTheme="minorHAnsi"/>
          <w:bCs/>
        </w:rPr>
        <w:t xml:space="preserve">support employee’s health and wellbeing in work; safe equipment and training, policies and risk assessments all contribute to an employer’s legal duty to provide a safe working environment (CIPD, 2025a). People practices can also ensure an inclusive work culture that makes employees feel psychologically safe; equality, diversity and inclusion (EDI) initiatives that work toward creating fair systems and eliminating prejudice and bias makes  employees feel respected and valued (Ali, 2026). </w:t>
      </w:r>
    </w:p>
    <w:p w14:paraId="30A4560F" w14:textId="4F873401" w:rsidR="00473C59" w:rsidRDefault="00423485" w:rsidP="001C65B2">
      <w:pPr>
        <w:pStyle w:val="Nornal"/>
        <w:spacing w:after="120" w:line="276" w:lineRule="auto"/>
        <w:rPr>
          <w:rFonts w:asciiTheme="minorHAnsi" w:hAnsiTheme="minorHAnsi"/>
          <w:bCs/>
        </w:rPr>
      </w:pPr>
      <w:r>
        <w:rPr>
          <w:rFonts w:asciiTheme="minorHAnsi" w:hAnsiTheme="minorHAnsi"/>
          <w:bCs/>
        </w:rPr>
        <w:lastRenderedPageBreak/>
        <w:t xml:space="preserve">Flexible working options have increasingly become a </w:t>
      </w:r>
      <w:r w:rsidR="00BC33FF">
        <w:rPr>
          <w:rFonts w:asciiTheme="minorHAnsi" w:hAnsiTheme="minorHAnsi"/>
          <w:bCs/>
        </w:rPr>
        <w:t xml:space="preserve">key, almost non-negotiable, requirement for the modern worker, particularly following COVID. Employees who are given the choice of hybrid working, working from home, condensed hours, part time working and other flexible working practices have displayed higher levels of job satisfaction and reduced absence rates (CIPD, 2026). </w:t>
      </w:r>
      <w:r w:rsidR="00B00ABE">
        <w:rPr>
          <w:rFonts w:asciiTheme="minorHAnsi" w:hAnsiTheme="minorHAnsi"/>
          <w:bCs/>
        </w:rPr>
        <w:t xml:space="preserve">Furthermore, flexible working contributes to overall absence management; an effective absence management process that considers employee wellbeing intervenes early to prevent long-term absence and support employees back to work (CIPD, 2026a). </w:t>
      </w:r>
    </w:p>
    <w:p w14:paraId="2D2A875C" w14:textId="20F2AE09" w:rsidR="00C80A83" w:rsidRDefault="00C80A83" w:rsidP="001C65B2">
      <w:pPr>
        <w:pStyle w:val="Nornal"/>
        <w:spacing w:after="120" w:line="276" w:lineRule="auto"/>
        <w:rPr>
          <w:rFonts w:asciiTheme="minorHAnsi" w:hAnsiTheme="minorHAnsi"/>
          <w:bCs/>
        </w:rPr>
      </w:pPr>
      <w:r>
        <w:rPr>
          <w:rFonts w:asciiTheme="minorHAnsi" w:hAnsiTheme="minorHAnsi"/>
          <w:bCs/>
        </w:rPr>
        <w:t>Performance management processes that are perceived as unfair, ambiguous or poorly structured can negatively impact employee wellbeing, therefore, a well-implemented system that provides clarity and constructive feedback can increase employees’ overall health and satisfaction (Levy et al, 2012; Beatson, 2023). Job design is a big factor in performance management and is linked to employee wellbeing and motivation; employees who understand their role and responsibilities</w:t>
      </w:r>
      <w:r w:rsidR="007254FC">
        <w:rPr>
          <w:rFonts w:asciiTheme="minorHAnsi" w:hAnsiTheme="minorHAnsi"/>
          <w:bCs/>
        </w:rPr>
        <w:t xml:space="preserve">, </w:t>
      </w:r>
      <w:r>
        <w:rPr>
          <w:rFonts w:asciiTheme="minorHAnsi" w:hAnsiTheme="minorHAnsi"/>
          <w:bCs/>
        </w:rPr>
        <w:t xml:space="preserve">feel that they are creating quality, purposeful work </w:t>
      </w:r>
      <w:r w:rsidR="007254FC">
        <w:rPr>
          <w:rFonts w:asciiTheme="minorHAnsi" w:hAnsiTheme="minorHAnsi"/>
          <w:bCs/>
        </w:rPr>
        <w:t>and have a sustainable workload are more fulfilled and healthy workers (CIPD, 2025</w:t>
      </w:r>
      <w:r w:rsidR="00DD68DA">
        <w:rPr>
          <w:rFonts w:asciiTheme="minorHAnsi" w:hAnsiTheme="minorHAnsi"/>
          <w:bCs/>
        </w:rPr>
        <w:t>b</w:t>
      </w:r>
      <w:r w:rsidR="007254FC">
        <w:rPr>
          <w:rFonts w:asciiTheme="minorHAnsi" w:hAnsiTheme="minorHAnsi"/>
          <w:bCs/>
        </w:rPr>
        <w:t xml:space="preserve">). </w:t>
      </w:r>
    </w:p>
    <w:p w14:paraId="0D028761" w14:textId="77777777" w:rsidR="0012140D" w:rsidRDefault="0012140D" w:rsidP="0012140D">
      <w:pPr>
        <w:pStyle w:val="Nornal"/>
        <w:spacing w:after="120" w:line="276" w:lineRule="auto"/>
        <w:rPr>
          <w:rFonts w:ascii="Trebuchet MS" w:hAnsi="Trebuchet MS"/>
          <w:bCs/>
        </w:rPr>
      </w:pPr>
      <w:bookmarkStart w:id="0" w:name="_Hlk123051299"/>
    </w:p>
    <w:p w14:paraId="3A7348EE" w14:textId="70ABF773" w:rsidR="0012140D" w:rsidRDefault="0012140D" w:rsidP="0012140D">
      <w:pPr>
        <w:pStyle w:val="Nornal"/>
        <w:spacing w:after="120" w:line="276" w:lineRule="auto"/>
        <w:rPr>
          <w:rFonts w:ascii="Trebuchet MS" w:hAnsi="Trebuchet MS"/>
          <w:bCs/>
        </w:rPr>
      </w:pPr>
      <w:r w:rsidRPr="00DA6CE8">
        <w:rPr>
          <w:rFonts w:ascii="Trebuchet MS" w:hAnsi="Trebuchet MS"/>
          <w:bCs/>
        </w:rPr>
        <w:t>AC 2.3</w:t>
      </w:r>
    </w:p>
    <w:p w14:paraId="1C6E7923" w14:textId="3AE8D3EE" w:rsidR="0012140D" w:rsidRDefault="00915226" w:rsidP="0012140D">
      <w:pPr>
        <w:pStyle w:val="Nornal"/>
        <w:spacing w:after="120" w:line="276" w:lineRule="auto"/>
        <w:rPr>
          <w:rFonts w:asciiTheme="minorHAnsi" w:hAnsiTheme="minorHAnsi"/>
          <w:bCs/>
        </w:rPr>
      </w:pPr>
      <w:r w:rsidRPr="00915226">
        <w:rPr>
          <w:rFonts w:asciiTheme="minorHAnsi" w:hAnsiTheme="minorHAnsi"/>
          <w:bCs/>
        </w:rPr>
        <w:t xml:space="preserve">Wellbeing </w:t>
      </w:r>
      <w:r w:rsidR="00B73BBE">
        <w:rPr>
          <w:rFonts w:asciiTheme="minorHAnsi" w:hAnsiTheme="minorHAnsi"/>
          <w:bCs/>
        </w:rPr>
        <w:t>strategies</w:t>
      </w:r>
      <w:r w:rsidRPr="00915226">
        <w:rPr>
          <w:rFonts w:asciiTheme="minorHAnsi" w:hAnsiTheme="minorHAnsi"/>
          <w:bCs/>
        </w:rPr>
        <w:t xml:space="preserve"> in organisations cannot be a ‘one-size-fits-all’ approach; </w:t>
      </w:r>
      <w:r>
        <w:rPr>
          <w:rFonts w:asciiTheme="minorHAnsi" w:hAnsiTheme="minorHAnsi"/>
          <w:bCs/>
        </w:rPr>
        <w:t xml:space="preserve">each organisation’s context is unique due to a number of characteristics such as workforce structure and size, sector, the needs of its workers and their ability to fund and support a healthy workforce (Kossek, Valcour and Lirio, 2014; Suff, 2025a).  </w:t>
      </w:r>
    </w:p>
    <w:p w14:paraId="394CAC24" w14:textId="77777777" w:rsidR="00D2682C" w:rsidRDefault="005A567E" w:rsidP="0012140D">
      <w:pPr>
        <w:pStyle w:val="Nornal"/>
        <w:spacing w:after="120" w:line="276" w:lineRule="auto"/>
        <w:rPr>
          <w:rFonts w:asciiTheme="minorHAnsi" w:hAnsiTheme="minorHAnsi"/>
          <w:bCs/>
        </w:rPr>
      </w:pPr>
      <w:r>
        <w:rPr>
          <w:rFonts w:asciiTheme="minorHAnsi" w:hAnsiTheme="minorHAnsi"/>
          <w:bCs/>
        </w:rPr>
        <w:t>Organisational structure can influence the health and wellbeing of workers; formal, centralised and bureaucratic structures are linked to poor wellbeing outcomes by disempowering employees and reducing role autonomy, whereas, flat structures and more flexible workplace structures produce greater employee wellbeing as employees feel more supported, competent and involved in decision-making (</w:t>
      </w:r>
      <w:r w:rsidR="005444EE">
        <w:rPr>
          <w:rFonts w:asciiTheme="minorHAnsi" w:hAnsiTheme="minorHAnsi"/>
          <w:bCs/>
        </w:rPr>
        <w:t xml:space="preserve">Powell, 2002; </w:t>
      </w:r>
      <w:r>
        <w:rPr>
          <w:rFonts w:asciiTheme="minorHAnsi" w:hAnsiTheme="minorHAnsi"/>
          <w:bCs/>
        </w:rPr>
        <w:t>Joyce et al, 2022</w:t>
      </w:r>
      <w:r w:rsidR="005444EE">
        <w:rPr>
          <w:rFonts w:asciiTheme="minorHAnsi" w:hAnsiTheme="minorHAnsi"/>
          <w:bCs/>
        </w:rPr>
        <w:t>). The culture within these organisational structures has a similarly significant effect on w</w:t>
      </w:r>
      <w:r w:rsidR="00114B25">
        <w:rPr>
          <w:rFonts w:asciiTheme="minorHAnsi" w:hAnsiTheme="minorHAnsi"/>
          <w:bCs/>
        </w:rPr>
        <w:t xml:space="preserve">ellbeing; toxic workplace environments that enable negative behaviours such as bullying, communication and trust breakdown and unethical practices cause a plethora of poor consequences on wellbeing such as stress, anxiety and burnout (Sulaeman et al, 2024). </w:t>
      </w:r>
    </w:p>
    <w:p w14:paraId="413490E3" w14:textId="4940BAE0" w:rsidR="005A567E" w:rsidRDefault="00DC4BD8" w:rsidP="0012140D">
      <w:pPr>
        <w:pStyle w:val="Nornal"/>
        <w:spacing w:after="120" w:line="276" w:lineRule="auto"/>
        <w:rPr>
          <w:rFonts w:asciiTheme="minorHAnsi" w:hAnsiTheme="minorHAnsi"/>
          <w:bCs/>
        </w:rPr>
      </w:pPr>
      <w:r>
        <w:rPr>
          <w:rFonts w:asciiTheme="minorHAnsi" w:hAnsiTheme="minorHAnsi"/>
          <w:bCs/>
        </w:rPr>
        <w:t>Large organisations are more likely to have the finances and resources</w:t>
      </w:r>
      <w:r w:rsidR="00D44FB3">
        <w:rPr>
          <w:rFonts w:asciiTheme="minorHAnsi" w:hAnsiTheme="minorHAnsi"/>
          <w:bCs/>
        </w:rPr>
        <w:t>,</w:t>
      </w:r>
      <w:r>
        <w:rPr>
          <w:rFonts w:asciiTheme="minorHAnsi" w:hAnsiTheme="minorHAnsi"/>
          <w:bCs/>
        </w:rPr>
        <w:t xml:space="preserve"> such as a dedicated people management team and occupational health services</w:t>
      </w:r>
      <w:r w:rsidR="00D44FB3">
        <w:rPr>
          <w:rFonts w:asciiTheme="minorHAnsi" w:hAnsiTheme="minorHAnsi"/>
          <w:bCs/>
        </w:rPr>
        <w:t>,</w:t>
      </w:r>
      <w:r>
        <w:rPr>
          <w:rFonts w:asciiTheme="minorHAnsi" w:hAnsiTheme="minorHAnsi"/>
          <w:bCs/>
        </w:rPr>
        <w:t xml:space="preserve"> to address employee wellbeing, whereas, smaller businesses would only have the capability to deal with immediate health issues and more informally than a comprehensive wellbeing package or strategy (Irvine and Suiter, 2023). </w:t>
      </w:r>
      <w:r w:rsidR="00D23CCE">
        <w:rPr>
          <w:rFonts w:asciiTheme="minorHAnsi" w:hAnsiTheme="minorHAnsi"/>
          <w:bCs/>
        </w:rPr>
        <w:t xml:space="preserve">Furthermore, the composition of an organisation’s workforce and differing demographics would dictate what to prioritise in terms of wellbeing. </w:t>
      </w:r>
      <w:r w:rsidR="000E6268">
        <w:rPr>
          <w:rFonts w:asciiTheme="minorHAnsi" w:hAnsiTheme="minorHAnsi"/>
          <w:bCs/>
        </w:rPr>
        <w:t xml:space="preserve">Different age groups in a workforce are affected by different health and wellbeing issues and would require distinct types of support such as menopause, </w:t>
      </w:r>
      <w:r w:rsidR="00271754">
        <w:rPr>
          <w:rFonts w:asciiTheme="minorHAnsi" w:hAnsiTheme="minorHAnsi"/>
          <w:bCs/>
        </w:rPr>
        <w:t xml:space="preserve">mental health conditions and caring responsibilities (Kinman, 2021). </w:t>
      </w:r>
      <w:r w:rsidR="00391D92">
        <w:rPr>
          <w:rFonts w:asciiTheme="minorHAnsi" w:hAnsiTheme="minorHAnsi"/>
          <w:bCs/>
        </w:rPr>
        <w:t xml:space="preserve">The introduction of remote and home working has meant organisations have had to adapt their wellbeing provisions to </w:t>
      </w:r>
      <w:r w:rsidR="0033654D">
        <w:rPr>
          <w:rFonts w:asciiTheme="minorHAnsi" w:hAnsiTheme="minorHAnsi"/>
          <w:bCs/>
        </w:rPr>
        <w:t>be accessible to all</w:t>
      </w:r>
      <w:r w:rsidR="00391D92">
        <w:rPr>
          <w:rFonts w:asciiTheme="minorHAnsi" w:hAnsiTheme="minorHAnsi"/>
          <w:bCs/>
        </w:rPr>
        <w:t xml:space="preserve"> and train managers </w:t>
      </w:r>
      <w:r w:rsidR="0033654D">
        <w:rPr>
          <w:rFonts w:asciiTheme="minorHAnsi" w:hAnsiTheme="minorHAnsi"/>
          <w:bCs/>
        </w:rPr>
        <w:t>to be proactive in</w:t>
      </w:r>
      <w:r w:rsidR="00391D92">
        <w:rPr>
          <w:rFonts w:asciiTheme="minorHAnsi" w:hAnsiTheme="minorHAnsi"/>
          <w:bCs/>
        </w:rPr>
        <w:t xml:space="preserve"> identifying </w:t>
      </w:r>
      <w:r w:rsidR="0033654D">
        <w:rPr>
          <w:rFonts w:asciiTheme="minorHAnsi" w:hAnsiTheme="minorHAnsi"/>
          <w:bCs/>
        </w:rPr>
        <w:t xml:space="preserve">those who need support from a distance (CIPD, 2020). </w:t>
      </w:r>
    </w:p>
    <w:p w14:paraId="5D12A0F9" w14:textId="34B6A378" w:rsidR="0033654D" w:rsidRDefault="00173509" w:rsidP="0012140D">
      <w:pPr>
        <w:pStyle w:val="Nornal"/>
        <w:spacing w:after="120" w:line="276" w:lineRule="auto"/>
        <w:rPr>
          <w:rFonts w:asciiTheme="minorHAnsi" w:hAnsiTheme="minorHAnsi"/>
          <w:bCs/>
        </w:rPr>
      </w:pPr>
      <w:r>
        <w:rPr>
          <w:rFonts w:asciiTheme="minorHAnsi" w:hAnsiTheme="minorHAnsi"/>
          <w:bCs/>
        </w:rPr>
        <w:t xml:space="preserve">Lastly, the sector of an organisation can determine how it approaches employee wellbeing and any supporting initiatives. Public sector organisations have been shown to be more proactive </w:t>
      </w:r>
      <w:r>
        <w:rPr>
          <w:rFonts w:asciiTheme="minorHAnsi" w:hAnsiTheme="minorHAnsi"/>
          <w:bCs/>
        </w:rPr>
        <w:lastRenderedPageBreak/>
        <w:t xml:space="preserve">overall in terms of implementing a strategic approach to wellbeing than private sector and more likely to utilise </w:t>
      </w:r>
      <w:r w:rsidR="00042095">
        <w:rPr>
          <w:rFonts w:asciiTheme="minorHAnsi" w:hAnsiTheme="minorHAnsi"/>
          <w:bCs/>
        </w:rPr>
        <w:t xml:space="preserve">available </w:t>
      </w:r>
      <w:r>
        <w:rPr>
          <w:rFonts w:asciiTheme="minorHAnsi" w:hAnsiTheme="minorHAnsi"/>
          <w:bCs/>
        </w:rPr>
        <w:t>programmes and schemes that support employee wellbeing</w:t>
      </w:r>
      <w:r w:rsidR="009B4BDB">
        <w:rPr>
          <w:rFonts w:asciiTheme="minorHAnsi" w:hAnsiTheme="minorHAnsi"/>
          <w:bCs/>
        </w:rPr>
        <w:t xml:space="preserve"> (CIPD, 2018). </w:t>
      </w:r>
      <w:r>
        <w:rPr>
          <w:rFonts w:asciiTheme="minorHAnsi" w:hAnsiTheme="minorHAnsi"/>
          <w:bCs/>
        </w:rPr>
        <w:t xml:space="preserve"> </w:t>
      </w:r>
    </w:p>
    <w:p w14:paraId="023311A4" w14:textId="0D3F0F64" w:rsidR="00452C79" w:rsidRPr="00915226" w:rsidRDefault="00452C79" w:rsidP="0012140D">
      <w:pPr>
        <w:pStyle w:val="Nornal"/>
        <w:spacing w:after="120" w:line="276" w:lineRule="auto"/>
        <w:rPr>
          <w:rFonts w:asciiTheme="minorHAnsi" w:hAnsiTheme="minorHAnsi"/>
          <w:bCs/>
        </w:rPr>
      </w:pPr>
      <w:r>
        <w:rPr>
          <w:rFonts w:asciiTheme="minorHAnsi" w:hAnsiTheme="minorHAnsi"/>
          <w:bCs/>
        </w:rPr>
        <w:t>Word count = 1977</w:t>
      </w:r>
    </w:p>
    <w:bookmarkEnd w:id="0"/>
    <w:p w14:paraId="36B5BFE7" w14:textId="77777777" w:rsidR="00452C79" w:rsidRDefault="00452C79" w:rsidP="00540CB1">
      <w:pPr>
        <w:pStyle w:val="Nornal"/>
        <w:spacing w:after="120" w:line="276" w:lineRule="auto"/>
        <w:rPr>
          <w:rFonts w:ascii="Trebuchet MS" w:hAnsi="Trebuchet MS"/>
          <w:bCs/>
        </w:rPr>
      </w:pPr>
    </w:p>
    <w:p w14:paraId="2B672EC3" w14:textId="473E28F3" w:rsidR="00540CB1" w:rsidRPr="00DA6CE8" w:rsidRDefault="00315510" w:rsidP="00540CB1">
      <w:pPr>
        <w:pStyle w:val="Nornal"/>
        <w:spacing w:after="120" w:line="276" w:lineRule="auto"/>
        <w:rPr>
          <w:rFonts w:ascii="Trebuchet MS" w:hAnsi="Trebuchet MS"/>
          <w:bCs/>
        </w:rPr>
      </w:pPr>
      <w:r>
        <w:rPr>
          <w:rFonts w:ascii="Trebuchet MS" w:hAnsi="Trebuchet MS"/>
          <w:bCs/>
        </w:rPr>
        <w:t xml:space="preserve">AC </w:t>
      </w:r>
      <w:r w:rsidR="00540CB1" w:rsidRPr="00DA6CE8">
        <w:rPr>
          <w:rFonts w:ascii="Trebuchet MS" w:hAnsi="Trebuchet MS"/>
          <w:bCs/>
        </w:rPr>
        <w:t>3.1</w:t>
      </w:r>
      <w:r w:rsidR="00A455B5">
        <w:rPr>
          <w:rFonts w:ascii="Trebuchet MS" w:hAnsi="Trebuchet MS"/>
          <w:bCs/>
        </w:rPr>
        <w:t xml:space="preserve"> </w:t>
      </w:r>
    </w:p>
    <w:p w14:paraId="045945D7" w14:textId="2943C69D" w:rsidR="0098487E" w:rsidRDefault="00A455B5">
      <w:r>
        <w:t xml:space="preserve">Following the research and anonymous survey I have conducted, I have identified three priority areas of wellbeing needs at Insursave: the increase in younger employees within the workforce demographic, the prevalence of mental health and musculoskeletal absences and inconsistent manager capability in handling wellbeing issues. </w:t>
      </w:r>
    </w:p>
    <w:p w14:paraId="11BC85B1" w14:textId="1ED94507" w:rsidR="00B15723" w:rsidRDefault="009C7BE2">
      <w:r>
        <w:t>The workforce is now predominantly aged 35 and under and will require wellbeing support specific to their needs; young people in today’s workforce</w:t>
      </w:r>
      <w:r w:rsidR="00754725">
        <w:t xml:space="preserve"> are</w:t>
      </w:r>
      <w:r>
        <w:t xml:space="preserve"> ‘prioritis</w:t>
      </w:r>
      <w:r w:rsidR="00754725">
        <w:t xml:space="preserve">ing </w:t>
      </w:r>
      <w:r>
        <w:t xml:space="preserve">health and wellbeing over career advancement’ and value policies and approaches based on flexibility, </w:t>
      </w:r>
      <w:r w:rsidR="00754725">
        <w:t xml:space="preserve">work-life balance and mental health support (Clemo, 2025; Mayne, 2025). </w:t>
      </w:r>
      <w:r w:rsidR="0049118A">
        <w:t>Mental health is one of the most prevalent reasons of absence and with longer serving employees</w:t>
      </w:r>
      <w:r w:rsidR="00BC4A9F">
        <w:t xml:space="preserve">, which could possibly explain the drop in tenure after five years. </w:t>
      </w:r>
      <w:r w:rsidR="00E62BC2">
        <w:t xml:space="preserve">This figure could indicate work-related stress, burnout, heavy workloads or poor management styles (Sinclair and Suff, 2025). Additionally, </w:t>
      </w:r>
      <w:r w:rsidR="00A1424E">
        <w:t xml:space="preserve">the </w:t>
      </w:r>
      <w:r w:rsidR="006F72F3">
        <w:t xml:space="preserve">frequency of </w:t>
      </w:r>
      <w:r w:rsidR="00E62BC2">
        <w:t xml:space="preserve">musculoskeletal absences </w:t>
      </w:r>
      <w:r w:rsidR="006F72F3">
        <w:t xml:space="preserve">in older employees would need to be addressed to prevent </w:t>
      </w:r>
      <w:r w:rsidR="00A1424E">
        <w:t xml:space="preserve">increased </w:t>
      </w:r>
      <w:r w:rsidR="006F72F3">
        <w:t xml:space="preserve">attrition and retain experienced workers (CIPD, 2022). </w:t>
      </w:r>
      <w:r w:rsidR="00A1424E">
        <w:t xml:space="preserve">Lastly, managers at Insursave need to become equipped with the skills and tools to identify wellbeing issues in the early stages and address them confidently and sensitively to provide consistent support to their teams (Sinclair and Suff, 2025). </w:t>
      </w:r>
    </w:p>
    <w:p w14:paraId="5E8D7C6C" w14:textId="3518D7A4" w:rsidR="009C7BE2" w:rsidRDefault="00D25B6B">
      <w:r>
        <w:t>Firstly, I would introduce a holistic wellbeing programme for employee to address the various physical and psychological needs of Insursave’s workforce.</w:t>
      </w:r>
      <w:r w:rsidR="000D3E3D">
        <w:t xml:space="preserve"> </w:t>
      </w:r>
      <w:r w:rsidR="00917AD7">
        <w:t xml:space="preserve">Partnering with an occupational health service provider </w:t>
      </w:r>
      <w:r w:rsidR="000D3E3D">
        <w:t xml:space="preserve">as part of a larger employee assistance programme (EAP) </w:t>
      </w:r>
      <w:r w:rsidR="00917AD7">
        <w:t>means we can offer our employees specialist support following a review; in particular, those employees with musculoskeletal conditions can arrange ergonomic workplace or desk assessments or be referred for physiotherapy and employees displaying poor mental health symptoms could undertake a stress audit or be referred for counselling (Suff, 2025</w:t>
      </w:r>
      <w:r w:rsidR="004D5C34">
        <w:t>c</w:t>
      </w:r>
      <w:r w:rsidR="00917AD7">
        <w:t xml:space="preserve">). </w:t>
      </w:r>
      <w:r w:rsidR="004D5C34">
        <w:t>I would revise Insursave’s flexible working policy and processes to ensure we are responding to flexible working requests swiftly a</w:t>
      </w:r>
      <w:r w:rsidR="00F53EEF">
        <w:t xml:space="preserve">nd raise awareness of what </w:t>
      </w:r>
      <w:r w:rsidR="00B20900">
        <w:t xml:space="preserve">we can </w:t>
      </w:r>
      <w:r w:rsidR="000D3E3D">
        <w:t>offer employees</w:t>
      </w:r>
      <w:r w:rsidR="00F53EEF">
        <w:t xml:space="preserve"> and how these arrangements could support employee wellbeing (McCartney, 2025). </w:t>
      </w:r>
      <w:r w:rsidR="005A3D41">
        <w:t xml:space="preserve">Building the resilience of our workforce would be </w:t>
      </w:r>
      <w:r w:rsidR="00662536">
        <w:t>a</w:t>
      </w:r>
      <w:r w:rsidR="005A3D41">
        <w:t xml:space="preserve"> </w:t>
      </w:r>
      <w:r w:rsidR="00F55011">
        <w:t>key</w:t>
      </w:r>
      <w:r w:rsidR="005A3D41">
        <w:t xml:space="preserve"> element of the wellbeing programme to address mental health, stress and burnout by </w:t>
      </w:r>
      <w:r w:rsidR="001917BB">
        <w:t>hosting</w:t>
      </w:r>
      <w:r w:rsidR="005A3D41">
        <w:t xml:space="preserve"> practical workshops on coping techniques, mindfulness and stress management (Suff, 2025b). </w:t>
      </w:r>
    </w:p>
    <w:p w14:paraId="6B8D3A3D" w14:textId="0DF32747" w:rsidR="00662536" w:rsidRDefault="00FD7AA9">
      <w:r>
        <w:t>The second wellbeing initiative I would implement is a manager mental health and wellbeing training programme, intended to equip managers with the knowledge, skills and confidence to have supportive conversations with their employees and address concerns consistently</w:t>
      </w:r>
      <w:r w:rsidR="00CF580D">
        <w:t xml:space="preserve"> (Mayne, 2024). </w:t>
      </w:r>
      <w:r>
        <w:t xml:space="preserve"> </w:t>
      </w:r>
      <w:r w:rsidR="00877F40">
        <w:t xml:space="preserve">Mental health awareness training is vital within this programme; Insursave’s managers must receive training on identifying the early signs of poor mental health, conducting sensitive conversations and signposting to resources or external support (Sinclair and Suff, 2025). </w:t>
      </w:r>
      <w:r w:rsidR="009D132D">
        <w:t xml:space="preserve">This training can then be expanded upon to include other people management processes that support employee wellbeing including </w:t>
      </w:r>
      <w:r w:rsidR="00FF530E">
        <w:t xml:space="preserve">sessions on absence management and </w:t>
      </w:r>
      <w:r w:rsidR="00FF530E">
        <w:lastRenderedPageBreak/>
        <w:t>return to work processes, flexible working practices</w:t>
      </w:r>
      <w:r w:rsidR="00D010FB">
        <w:t xml:space="preserve"> and</w:t>
      </w:r>
      <w:r w:rsidR="00FF530E">
        <w:t xml:space="preserve"> reasonable adjustments </w:t>
      </w:r>
      <w:r w:rsidR="00D010FB">
        <w:t xml:space="preserve">to establish supportive, consistent and competent management practices (CIPD, 2024). </w:t>
      </w:r>
    </w:p>
    <w:p w14:paraId="661E62AC" w14:textId="77777777" w:rsidR="00FC69AD" w:rsidRDefault="00FC69AD" w:rsidP="00315510">
      <w:pPr>
        <w:spacing w:after="240" w:line="276" w:lineRule="auto"/>
      </w:pPr>
    </w:p>
    <w:p w14:paraId="57F84A9A" w14:textId="70CDF486" w:rsidR="00315510" w:rsidRPr="00315510" w:rsidRDefault="00315510" w:rsidP="00315510">
      <w:pPr>
        <w:spacing w:after="240" w:line="276" w:lineRule="auto"/>
        <w:rPr>
          <w:rFonts w:ascii="Trebuchet MS" w:hAnsi="Trebuchet MS" w:cs="Arial"/>
          <w:bCs/>
        </w:rPr>
      </w:pPr>
      <w:r w:rsidRPr="00315510">
        <w:rPr>
          <w:rFonts w:ascii="Trebuchet MS" w:hAnsi="Trebuchet MS" w:cs="Arial"/>
          <w:bCs/>
        </w:rPr>
        <w:t>AC 3.2</w:t>
      </w:r>
    </w:p>
    <w:p w14:paraId="26A9B7AE" w14:textId="41B0AF61" w:rsidR="00315510" w:rsidRDefault="00A0398B">
      <w:r>
        <w:t xml:space="preserve">I propose introducing a wellbeing initiative targeted at Insursave employees in older age groups who have musculoskeletal-related absences. As an insurance company largely based in offices with desk-based call handling roles that involve long periods of sitting, our employees are </w:t>
      </w:r>
      <w:r w:rsidR="00F00694">
        <w:t>particularly at risk of</w:t>
      </w:r>
      <w:r>
        <w:t xml:space="preserve"> </w:t>
      </w:r>
      <w:r w:rsidR="00F00694">
        <w:t>reporting</w:t>
      </w:r>
      <w:r>
        <w:t xml:space="preserve"> </w:t>
      </w:r>
      <w:r w:rsidR="0075053A">
        <w:t>pain in their back, neck, joints/muscles</w:t>
      </w:r>
      <w:r>
        <w:t xml:space="preserve"> and possible injury, especially if exacerbated by </w:t>
      </w:r>
      <w:r w:rsidR="0075053A">
        <w:t>stress in work (</w:t>
      </w:r>
      <w:r w:rsidR="00F00694">
        <w:t xml:space="preserve">Bontrup et al, 2019; </w:t>
      </w:r>
      <w:r w:rsidR="0075053A">
        <w:t xml:space="preserve">Demissie, Bayih and Demmelash, 2024). </w:t>
      </w:r>
      <w:r w:rsidR="009A5097">
        <w:t xml:space="preserve">Therefore, this initiative aims to reduce the frequency of musculoskeletal absences through a combination of access to resources, awareness raising and external </w:t>
      </w:r>
      <w:r w:rsidR="00E84539">
        <w:t xml:space="preserve">specialist </w:t>
      </w:r>
      <w:r w:rsidR="009A5097">
        <w:t xml:space="preserve">support.  </w:t>
      </w:r>
    </w:p>
    <w:p w14:paraId="0A5B5A5E" w14:textId="7F5EBC97" w:rsidR="00FB1257" w:rsidRDefault="00FB1257">
      <w:r>
        <w:t xml:space="preserve">The programme is split into four components of support; </w:t>
      </w:r>
      <w:r w:rsidR="00B00E75">
        <w:t>workstation</w:t>
      </w:r>
      <w:r>
        <w:t xml:space="preserve"> assessments, ergonomic equipment support, a workplace-wide awareness campaign and occupational health services. </w:t>
      </w:r>
      <w:r w:rsidR="00B00E75">
        <w:t xml:space="preserve">Initially, all employees at Insursave will receive a workstation or desk assessment to identify any risks of musculoskeletal pain or injury including desk and chair positioning, screen and lighting adjustments and keyboard and mouse set-up to ensure the workstation is designed to ensure comfort and minimise risk </w:t>
      </w:r>
      <w:r w:rsidR="006A32D2">
        <w:t>(Health and Safety Executive, 2013). Following the assessment, ergonomic support equipment can be obtained</w:t>
      </w:r>
      <w:r w:rsidR="001C663C">
        <w:t xml:space="preserve"> as an early intervention strategy</w:t>
      </w:r>
      <w:r w:rsidR="006A32D2">
        <w:t xml:space="preserve"> for those identified as at risk of pain or injury such as </w:t>
      </w:r>
      <w:r w:rsidR="00C4531A">
        <w:t>wrist support pads, sit-stand desks, document holders and adjustable chairs (McKeown, 2018; De Waal, 2025).</w:t>
      </w:r>
      <w:r w:rsidR="00E6516E">
        <w:t xml:space="preserve"> In tandem with this, a campaign encouraging scheduled breaks away from desks and regular movement throughout the working day</w:t>
      </w:r>
      <w:r w:rsidR="005A2197">
        <w:t>, with the involvement and role-modelling of senior management, will be rolled out to combat the sedentary nature of desk work (Taylor et al, 2013; Gallacher, 2021).</w:t>
      </w:r>
      <w:r w:rsidR="00202EF6">
        <w:t xml:space="preserve"> Lastly, </w:t>
      </w:r>
      <w:r w:rsidR="009624D6">
        <w:t xml:space="preserve">employees who require more specialist support will be referred to our occupational health service who can assess the employee and determine what kind of treatment or therapy they require (Suff, 2025c). </w:t>
      </w:r>
    </w:p>
    <w:p w14:paraId="7FBED869" w14:textId="7710DA2C" w:rsidR="00062D8F" w:rsidRDefault="00062D8F">
      <w:r>
        <w:t xml:space="preserve">The employees most affected by this initiative are the older workers experiencing musculoskeletal absences, however, there could also be younger front-line </w:t>
      </w:r>
      <w:r w:rsidR="008F26DE">
        <w:t>employees</w:t>
      </w:r>
      <w:r>
        <w:t xml:space="preserve"> who are spending long periods of time seated and experiencing musculoskeletal pain and, potentially, flexible employees working hybrid or from home who have poor desk setups. </w:t>
      </w:r>
      <w:r w:rsidR="00434D44">
        <w:t xml:space="preserve">In order for this initiative to be executed successfully, it will require </w:t>
      </w:r>
      <w:r w:rsidR="00A33A47">
        <w:t>an integrated organisational approach involving</w:t>
      </w:r>
      <w:r w:rsidR="00434D44">
        <w:t xml:space="preserve"> line managers and senior management, the People team at Insursave, any Health and Safety and trade union representatives and the IT team in terms of desk/equipment support </w:t>
      </w:r>
      <w:r w:rsidR="00A33A47">
        <w:t xml:space="preserve">(Sinclair and Suff, 2025). </w:t>
      </w:r>
    </w:p>
    <w:p w14:paraId="1D772BD6" w14:textId="787C266D" w:rsidR="00340D55" w:rsidRDefault="00340D55">
      <w:r>
        <w:t xml:space="preserve">Implementing a substantial wellbeing initiative over four sites to over 4000 employees will take a significant amount of time and may incur higher costs, however, the </w:t>
      </w:r>
      <w:r w:rsidR="00797A6A">
        <w:t>benefits</w:t>
      </w:r>
      <w:r>
        <w:t xml:space="preserve"> in terms of workplace health and wellbeing via outcomes such as reduced absenteeism and increased productivity would overall be </w:t>
      </w:r>
      <w:r w:rsidR="00797A6A">
        <w:t xml:space="preserve">a </w:t>
      </w:r>
      <w:r>
        <w:t>more positive and cost-effective</w:t>
      </w:r>
      <w:r w:rsidR="00797A6A">
        <w:t xml:space="preserve"> return on investment (</w:t>
      </w:r>
      <w:r w:rsidR="00797A6A" w:rsidRPr="00794F20">
        <w:t>Molek-Winiarska</w:t>
      </w:r>
      <w:r w:rsidR="00797A6A">
        <w:t>, 2026</w:t>
      </w:r>
      <w:r w:rsidR="00334110">
        <w:t>, p. 53</w:t>
      </w:r>
      <w:r w:rsidR="00797A6A">
        <w:t>)</w:t>
      </w:r>
      <w:r>
        <w:t xml:space="preserve">.  </w:t>
      </w:r>
    </w:p>
    <w:p w14:paraId="3B382A1D" w14:textId="77777777" w:rsidR="00344662" w:rsidRDefault="00344662" w:rsidP="00344662">
      <w:pPr>
        <w:pStyle w:val="Nornal"/>
        <w:spacing w:after="120" w:line="276" w:lineRule="auto"/>
        <w:rPr>
          <w:rFonts w:ascii="Trebuchet MS" w:hAnsi="Trebuchet MS"/>
        </w:rPr>
      </w:pPr>
    </w:p>
    <w:p w14:paraId="7B511ABC" w14:textId="0066A374" w:rsidR="00344662" w:rsidRPr="00DA6CE8" w:rsidRDefault="00344662" w:rsidP="00344662">
      <w:pPr>
        <w:pStyle w:val="Nornal"/>
        <w:spacing w:after="120" w:line="276" w:lineRule="auto"/>
        <w:rPr>
          <w:rFonts w:ascii="Trebuchet MS" w:hAnsi="Trebuchet MS"/>
          <w:bCs/>
        </w:rPr>
      </w:pPr>
      <w:r w:rsidRPr="00DA6CE8">
        <w:rPr>
          <w:rFonts w:ascii="Trebuchet MS" w:hAnsi="Trebuchet MS"/>
        </w:rPr>
        <w:t>AC 3.3</w:t>
      </w:r>
    </w:p>
    <w:p w14:paraId="597F14E2" w14:textId="423E036C" w:rsidR="00344662" w:rsidRDefault="003C1EF3">
      <w:r>
        <w:lastRenderedPageBreak/>
        <w:t>In order to implement my wellbeing programme at Insursave successfully, I will need to plan the rollout carefully and tailor my approach. Launching the programme over four sites to a large workforce with a diverse demographic will</w:t>
      </w:r>
      <w:r w:rsidR="005A38CF">
        <w:t xml:space="preserve">, firstly, require understanding </w:t>
      </w:r>
      <w:r w:rsidR="00E02FEA">
        <w:t xml:space="preserve">of </w:t>
      </w:r>
      <w:r w:rsidR="005A38CF">
        <w:t xml:space="preserve">what exactly our workforce needs through </w:t>
      </w:r>
      <w:r w:rsidR="00E02FEA">
        <w:t>research</w:t>
      </w:r>
      <w:r w:rsidR="00AC0259">
        <w:t xml:space="preserve">, </w:t>
      </w:r>
      <w:r w:rsidR="00300CC3">
        <w:t xml:space="preserve">analysis and </w:t>
      </w:r>
      <w:r w:rsidR="005A38CF">
        <w:t>engaging multiple stakeholders and then ensur</w:t>
      </w:r>
      <w:r w:rsidR="00284A93">
        <w:t>ing</w:t>
      </w:r>
      <w:r w:rsidR="005A38CF">
        <w:t xml:space="preserve"> the programme is adaptable to the </w:t>
      </w:r>
      <w:r w:rsidR="0071537A">
        <w:t>varying</w:t>
      </w:r>
      <w:r w:rsidR="005A38CF">
        <w:t xml:space="preserve"> levels of need (Eliatamby, 2024). </w:t>
      </w:r>
    </w:p>
    <w:p w14:paraId="7E5F6E2A" w14:textId="48C4D60E" w:rsidR="005E30AB" w:rsidRDefault="005E30AB">
      <w:r>
        <w:t xml:space="preserve">I can attain a deeper and more rounded understanding of what Insursave’s workforce needs in terms of wellbeing interventions for musculoskeletal conditions from a </w:t>
      </w:r>
      <w:r w:rsidR="00F57338">
        <w:t>health</w:t>
      </w:r>
      <w:r>
        <w:t xml:space="preserve"> needs </w:t>
      </w:r>
      <w:r w:rsidR="00F57338">
        <w:t xml:space="preserve">assessment; by conducting </w:t>
      </w:r>
      <w:r w:rsidR="00867045">
        <w:t>staff surveys and interviews</w:t>
      </w:r>
      <w:r w:rsidR="00F57338">
        <w:t xml:space="preserve"> and analysing the results, I can gather information on the health and wellbeing needs of our employees that will help me structure my programme appropriately (Public Health England, 2017). </w:t>
      </w:r>
      <w:r w:rsidR="00C35531">
        <w:t xml:space="preserve">Each site may have different ‘subcultures’ </w:t>
      </w:r>
      <w:r w:rsidR="003E555C">
        <w:t xml:space="preserve">that result in different work practices, values, levels </w:t>
      </w:r>
      <w:r w:rsidR="00C35531">
        <w:t>of engagement and attitudes towards wellbeing which I can drill down into and analyse to assist a multi-site implementation</w:t>
      </w:r>
      <w:r w:rsidR="003E555C">
        <w:t xml:space="preserve"> (Hofstede, 1998; Davis et al, 2022)</w:t>
      </w:r>
      <w:r w:rsidR="00C35531">
        <w:t>. Once I have the organisational context</w:t>
      </w:r>
      <w:r w:rsidR="00D673F5">
        <w:t xml:space="preserve">, I will need to build the business case for senior management support as this is vital for any successful </w:t>
      </w:r>
      <w:r w:rsidR="00FA483D">
        <w:t xml:space="preserve">wellbeing programme. Not only do senior leadership provide the financial investment and resources </w:t>
      </w:r>
      <w:r w:rsidR="0014515E">
        <w:t xml:space="preserve">required to execute the programme but their involvement </w:t>
      </w:r>
      <w:r w:rsidR="00941DE5">
        <w:t xml:space="preserve">and advocacy </w:t>
      </w:r>
      <w:r w:rsidR="0014515E">
        <w:t xml:space="preserve">contributes towards the motivation and engagement of the workforce to ‘buy-in’ to the programme (Quirk et al, 2018). </w:t>
      </w:r>
    </w:p>
    <w:p w14:paraId="5A8D7B35" w14:textId="635E0A1C" w:rsidR="000C477A" w:rsidRDefault="00A50AD9">
      <w:r>
        <w:t>Effective governance of the programme will ensure that activities are coordinated</w:t>
      </w:r>
      <w:r w:rsidR="00E2180E">
        <w:t xml:space="preserve"> properly</w:t>
      </w:r>
      <w:r>
        <w:t xml:space="preserve"> and </w:t>
      </w:r>
      <w:r w:rsidR="00E2180E">
        <w:t>the programme has a</w:t>
      </w:r>
      <w:r w:rsidR="00913FC7">
        <w:t>n appropriate</w:t>
      </w:r>
      <w:r w:rsidR="00E2180E">
        <w:t xml:space="preserve"> level of accountability</w:t>
      </w:r>
      <w:r>
        <w:t xml:space="preserve"> which means </w:t>
      </w:r>
      <w:r w:rsidR="00B5378E">
        <w:t>some form</w:t>
      </w:r>
      <w:r w:rsidR="00BC05F3">
        <w:t xml:space="preserve"> of project management and </w:t>
      </w:r>
      <w:r>
        <w:t xml:space="preserve">multiple stakeholders need to be engaged in this process (Daniels et al, 2021). </w:t>
      </w:r>
      <w:r w:rsidR="00A4399E">
        <w:t xml:space="preserve">The collaboration of employees, line managers, health and safety representatives, trade unions, the Finance and IT departments and external providers such as occupational health services is key to ensuring the programme is both strategically aligned with Insursave’s goals and </w:t>
      </w:r>
      <w:r w:rsidR="00D91043">
        <w:t xml:space="preserve">our workforce’s needs (Kawakami et al, 2023; Suff, 2025a). </w:t>
      </w:r>
    </w:p>
    <w:p w14:paraId="16CCCAFA" w14:textId="532EF1A1" w:rsidR="00B5378E" w:rsidRDefault="00B5378E">
      <w:r>
        <w:t xml:space="preserve">Change is significant in any organisation and implementing a new wellbeing programme that requires changes in attitudes and work practices from employees needs to be managed effectively (CIPD, 2025). It will be my role to communicate with employees in regards to why the change in approach to wellbeing is happening, what the benefits are and empower them to take action within their roles (Roberts and Tracey, 2024). </w:t>
      </w:r>
      <w:r w:rsidR="005F0E51">
        <w:t xml:space="preserve">Employees feel valued and listened to when they are able to voice their opinions on matters that affect them in work, therefore, regular consultations and communication during the planning and implementation phases of the wellbeing programme is paramount to successfully building trust in the process and engaging employees in the initiative (CIPD, 2026d). </w:t>
      </w:r>
    </w:p>
    <w:p w14:paraId="4FD8F8ED" w14:textId="77777777" w:rsidR="00581128" w:rsidRDefault="00581128" w:rsidP="00AF3EE9">
      <w:pPr>
        <w:pStyle w:val="Nornal"/>
        <w:spacing w:after="120" w:line="276" w:lineRule="auto"/>
        <w:rPr>
          <w:rFonts w:ascii="Trebuchet MS" w:hAnsi="Trebuchet MS"/>
        </w:rPr>
      </w:pPr>
    </w:p>
    <w:p w14:paraId="02FF257C" w14:textId="071F8023" w:rsidR="00AF3EE9" w:rsidRDefault="00AF3EE9" w:rsidP="00AF3EE9">
      <w:pPr>
        <w:pStyle w:val="Nornal"/>
        <w:spacing w:after="120" w:line="276" w:lineRule="auto"/>
        <w:rPr>
          <w:rFonts w:ascii="Trebuchet MS" w:hAnsi="Trebuchet MS"/>
        </w:rPr>
      </w:pPr>
      <w:r w:rsidRPr="00DA6CE8">
        <w:rPr>
          <w:rFonts w:ascii="Trebuchet MS" w:hAnsi="Trebuchet MS"/>
        </w:rPr>
        <w:t>AC 3.4</w:t>
      </w:r>
    </w:p>
    <w:p w14:paraId="63A776B3" w14:textId="4D10C776" w:rsidR="00210DC3" w:rsidRDefault="00210DC3" w:rsidP="00AF3EE9">
      <w:pPr>
        <w:pStyle w:val="Nornal"/>
        <w:spacing w:after="120" w:line="276" w:lineRule="auto"/>
        <w:rPr>
          <w:rFonts w:asciiTheme="minorHAnsi" w:hAnsiTheme="minorHAnsi"/>
        </w:rPr>
      </w:pPr>
      <w:r w:rsidRPr="00210DC3">
        <w:rPr>
          <w:rFonts w:asciiTheme="minorHAnsi" w:hAnsiTheme="minorHAnsi"/>
        </w:rPr>
        <w:t>Evaluating</w:t>
      </w:r>
      <w:r>
        <w:rPr>
          <w:rFonts w:asciiTheme="minorHAnsi" w:hAnsiTheme="minorHAnsi"/>
        </w:rPr>
        <w:t xml:space="preserve"> and monitoring the wellbeing programme regularly is important </w:t>
      </w:r>
      <w:r w:rsidR="001013B5">
        <w:rPr>
          <w:rFonts w:asciiTheme="minorHAnsi" w:hAnsiTheme="minorHAnsi"/>
        </w:rPr>
        <w:t>in</w:t>
      </w:r>
      <w:r>
        <w:rPr>
          <w:rFonts w:asciiTheme="minorHAnsi" w:hAnsiTheme="minorHAnsi"/>
        </w:rPr>
        <w:t xml:space="preserve"> understand</w:t>
      </w:r>
      <w:r w:rsidR="001013B5">
        <w:rPr>
          <w:rFonts w:asciiTheme="minorHAnsi" w:hAnsiTheme="minorHAnsi"/>
        </w:rPr>
        <w:t>ing</w:t>
      </w:r>
      <w:r>
        <w:rPr>
          <w:rFonts w:asciiTheme="minorHAnsi" w:hAnsiTheme="minorHAnsi"/>
        </w:rPr>
        <w:t xml:space="preserve"> how the programme is performing both on an individual employee level and an organisational level which we can track through a variety of metrics (Sabharwal, Kiel and Hijal-Moghrabi, 2019). Using the data gathered through evaluation and monitoring, we can assess whether there is a return on investment and if the benefits outweigh the costs (Molek-Winiarska, 2026). </w:t>
      </w:r>
    </w:p>
    <w:p w14:paraId="6A3BECB8" w14:textId="0B2D9007" w:rsidR="00AE2BFA" w:rsidRDefault="004E79D0" w:rsidP="00AF3EE9">
      <w:pPr>
        <w:pStyle w:val="Nornal"/>
        <w:spacing w:after="120" w:line="276" w:lineRule="auto"/>
        <w:rPr>
          <w:rFonts w:asciiTheme="minorHAnsi" w:hAnsiTheme="minorHAnsi"/>
        </w:rPr>
      </w:pPr>
      <w:r>
        <w:rPr>
          <w:rFonts w:asciiTheme="minorHAnsi" w:hAnsiTheme="minorHAnsi"/>
        </w:rPr>
        <w:t xml:space="preserve">In terms of baseline data, there are several </w:t>
      </w:r>
      <w:r w:rsidR="000B1B26">
        <w:rPr>
          <w:rFonts w:asciiTheme="minorHAnsi" w:hAnsiTheme="minorHAnsi"/>
        </w:rPr>
        <w:t xml:space="preserve">quantitative </w:t>
      </w:r>
      <w:r>
        <w:rPr>
          <w:rFonts w:asciiTheme="minorHAnsi" w:hAnsiTheme="minorHAnsi"/>
        </w:rPr>
        <w:t>metrics I would collect both prior to the implementation of the programme</w:t>
      </w:r>
      <w:r w:rsidR="0043736D">
        <w:rPr>
          <w:rFonts w:asciiTheme="minorHAnsi" w:hAnsiTheme="minorHAnsi"/>
        </w:rPr>
        <w:t xml:space="preserve">, during and after </w:t>
      </w:r>
      <w:r>
        <w:rPr>
          <w:rFonts w:asciiTheme="minorHAnsi" w:hAnsiTheme="minorHAnsi"/>
        </w:rPr>
        <w:t xml:space="preserve">to monitor progress and </w:t>
      </w:r>
      <w:r w:rsidR="000C378C">
        <w:rPr>
          <w:rFonts w:asciiTheme="minorHAnsi" w:hAnsiTheme="minorHAnsi"/>
        </w:rPr>
        <w:t>compare</w:t>
      </w:r>
      <w:r>
        <w:rPr>
          <w:rFonts w:asciiTheme="minorHAnsi" w:hAnsiTheme="minorHAnsi"/>
        </w:rPr>
        <w:t xml:space="preserve"> impact</w:t>
      </w:r>
      <w:r w:rsidR="000C378C">
        <w:rPr>
          <w:rFonts w:asciiTheme="minorHAnsi" w:hAnsiTheme="minorHAnsi"/>
        </w:rPr>
        <w:t xml:space="preserve"> over time</w:t>
      </w:r>
      <w:r>
        <w:rPr>
          <w:rFonts w:asciiTheme="minorHAnsi" w:hAnsiTheme="minorHAnsi"/>
        </w:rPr>
        <w:t xml:space="preserve"> such as musculoskeletal-related absence rates, the duration of these absences, </w:t>
      </w:r>
      <w:r>
        <w:rPr>
          <w:rFonts w:asciiTheme="minorHAnsi" w:hAnsiTheme="minorHAnsi"/>
        </w:rPr>
        <w:lastRenderedPageBreak/>
        <w:t>workplace injury incidents</w:t>
      </w:r>
      <w:r w:rsidR="000C378C">
        <w:rPr>
          <w:rFonts w:asciiTheme="minorHAnsi" w:hAnsiTheme="minorHAnsi"/>
        </w:rPr>
        <w:t xml:space="preserve">, </w:t>
      </w:r>
      <w:r>
        <w:rPr>
          <w:rFonts w:asciiTheme="minorHAnsi" w:hAnsiTheme="minorHAnsi"/>
        </w:rPr>
        <w:t xml:space="preserve">employee turnover rates </w:t>
      </w:r>
      <w:r w:rsidR="000C378C">
        <w:rPr>
          <w:rFonts w:asciiTheme="minorHAnsi" w:hAnsiTheme="minorHAnsi"/>
        </w:rPr>
        <w:t xml:space="preserve">and occupational health referrals (Sinclair and Suff, 2025). </w:t>
      </w:r>
      <w:r w:rsidR="002F1C0B">
        <w:rPr>
          <w:rFonts w:asciiTheme="minorHAnsi" w:hAnsiTheme="minorHAnsi"/>
        </w:rPr>
        <w:t xml:space="preserve">Process evaluation during implementation can also be </w:t>
      </w:r>
      <w:r w:rsidR="0043736D">
        <w:rPr>
          <w:rFonts w:asciiTheme="minorHAnsi" w:hAnsiTheme="minorHAnsi"/>
        </w:rPr>
        <w:t>captured</w:t>
      </w:r>
      <w:r w:rsidR="002F1C0B">
        <w:rPr>
          <w:rFonts w:asciiTheme="minorHAnsi" w:hAnsiTheme="minorHAnsi"/>
        </w:rPr>
        <w:t xml:space="preserve"> through measuring the percentage of employees receiving workstation assessments, the rate of ergonomic equipment requested and compliance with breaks to ensure employees are actively participating in the programme (der Meer et al, 2024). </w:t>
      </w:r>
      <w:r w:rsidR="006A75C9">
        <w:rPr>
          <w:rFonts w:asciiTheme="minorHAnsi" w:hAnsiTheme="minorHAnsi"/>
        </w:rPr>
        <w:t xml:space="preserve">In tandem with this, I would also collect qualitative data directly from the workforce </w:t>
      </w:r>
      <w:r w:rsidR="00914A82">
        <w:rPr>
          <w:rFonts w:asciiTheme="minorHAnsi" w:hAnsiTheme="minorHAnsi"/>
        </w:rPr>
        <w:t xml:space="preserve">through a variety of means including surveys, focus groups and interviews. In terms of the survey, this would be conducted anonymously to ensure confidentiality, allowing employees to answer openly and honestly about the programme and their wellbeing which encourages higher engagement rates (Sylvester, 2019). </w:t>
      </w:r>
    </w:p>
    <w:p w14:paraId="5071CF97" w14:textId="0DC4911F" w:rsidR="004E79D0" w:rsidRDefault="00324C90" w:rsidP="00AF3EE9">
      <w:pPr>
        <w:pStyle w:val="Nornal"/>
        <w:spacing w:after="120" w:line="276" w:lineRule="auto"/>
        <w:rPr>
          <w:rFonts w:asciiTheme="minorHAnsi" w:hAnsiTheme="minorHAnsi"/>
        </w:rPr>
      </w:pPr>
      <w:r>
        <w:rPr>
          <w:rFonts w:asciiTheme="minorHAnsi" w:hAnsiTheme="minorHAnsi"/>
        </w:rPr>
        <w:t>To ensure a diverse perspective, I would follow up from the survey with focus groups and one-to-one discussions to give employees space to share their opinions or concerns and provide a more nuanced insight into employees’ experience of the wellbeing programme at Insursave (</w:t>
      </w:r>
      <w:r w:rsidR="00D53391">
        <w:rPr>
          <w:rFonts w:asciiTheme="minorHAnsi" w:hAnsiTheme="minorHAnsi"/>
        </w:rPr>
        <w:t xml:space="preserve">CIPD, 2025d). </w:t>
      </w:r>
      <w:r w:rsidR="00F21C55">
        <w:rPr>
          <w:rFonts w:asciiTheme="minorHAnsi" w:hAnsiTheme="minorHAnsi"/>
        </w:rPr>
        <w:t xml:space="preserve">This is particularly important in measuring presenteeism; employees may come to work in pain or discomfort, therefore, </w:t>
      </w:r>
      <w:r w:rsidR="009475E6">
        <w:rPr>
          <w:rFonts w:asciiTheme="minorHAnsi" w:hAnsiTheme="minorHAnsi"/>
        </w:rPr>
        <w:t xml:space="preserve">are </w:t>
      </w:r>
      <w:r w:rsidR="00F21C55">
        <w:rPr>
          <w:rFonts w:asciiTheme="minorHAnsi" w:hAnsiTheme="minorHAnsi"/>
        </w:rPr>
        <w:t>not contributing to the overall absence rate, however, it is an important metric to capture and monitor in order to understand if the programme’s interventions are positively affecting employee wellbeing outcomes (Grana et al, 2024).</w:t>
      </w:r>
      <w:r w:rsidR="00A10A03">
        <w:rPr>
          <w:rFonts w:asciiTheme="minorHAnsi" w:hAnsiTheme="minorHAnsi"/>
        </w:rPr>
        <w:t xml:space="preserve"> Pulse surveys at regular intervals throughout the year would allow me to </w:t>
      </w:r>
      <w:r w:rsidR="002F1C0B">
        <w:rPr>
          <w:rFonts w:asciiTheme="minorHAnsi" w:hAnsiTheme="minorHAnsi"/>
        </w:rPr>
        <w:t xml:space="preserve">continuously </w:t>
      </w:r>
      <w:r w:rsidR="00A10A03">
        <w:rPr>
          <w:rFonts w:asciiTheme="minorHAnsi" w:hAnsiTheme="minorHAnsi"/>
        </w:rPr>
        <w:t xml:space="preserve">monitor employee experience of the programme and </w:t>
      </w:r>
      <w:r w:rsidR="00C022AE">
        <w:rPr>
          <w:rFonts w:asciiTheme="minorHAnsi" w:hAnsiTheme="minorHAnsi"/>
        </w:rPr>
        <w:t xml:space="preserve">respond quickly with changes to any issues or concerns identified (Browes, 2021). </w:t>
      </w:r>
    </w:p>
    <w:p w14:paraId="217AE710" w14:textId="0F2166E8" w:rsidR="00AF3EE9" w:rsidRDefault="00077968" w:rsidP="007F1A10">
      <w:pPr>
        <w:pStyle w:val="Nornal"/>
        <w:spacing w:after="120" w:line="276" w:lineRule="auto"/>
        <w:rPr>
          <w:rFonts w:asciiTheme="minorHAnsi" w:hAnsiTheme="minorHAnsi"/>
        </w:rPr>
      </w:pPr>
      <w:r>
        <w:rPr>
          <w:rFonts w:asciiTheme="minorHAnsi" w:hAnsiTheme="minorHAnsi"/>
        </w:rPr>
        <w:t>Benchmarking would enable me to compare the performance of the wellbeing programme at Insursave and its outcomes to industry averages, competitive organisations in the sector</w:t>
      </w:r>
      <w:r w:rsidR="001013B5">
        <w:rPr>
          <w:rFonts w:asciiTheme="minorHAnsi" w:hAnsiTheme="minorHAnsi"/>
        </w:rPr>
        <w:t xml:space="preserve">, </w:t>
      </w:r>
      <w:r>
        <w:rPr>
          <w:rFonts w:asciiTheme="minorHAnsi" w:hAnsiTheme="minorHAnsi"/>
        </w:rPr>
        <w:t>national workforce statistics</w:t>
      </w:r>
      <w:r w:rsidR="001013B5">
        <w:rPr>
          <w:rFonts w:asciiTheme="minorHAnsi" w:hAnsiTheme="minorHAnsi"/>
        </w:rPr>
        <w:t xml:space="preserve"> and good practice guidance from bodies such as the Health and Safety Executive and CIPD</w:t>
      </w:r>
      <w:r>
        <w:rPr>
          <w:rFonts w:asciiTheme="minorHAnsi" w:hAnsiTheme="minorHAnsi"/>
        </w:rPr>
        <w:t xml:space="preserve"> in order to evaluate the programme’s effectiveness </w:t>
      </w:r>
      <w:r w:rsidR="001013B5">
        <w:rPr>
          <w:rFonts w:asciiTheme="minorHAnsi" w:hAnsiTheme="minorHAnsi"/>
        </w:rPr>
        <w:t xml:space="preserve">(Kinman and Wray, 2020). </w:t>
      </w:r>
      <w:r w:rsidR="006C16C4">
        <w:rPr>
          <w:rFonts w:asciiTheme="minorHAnsi" w:hAnsiTheme="minorHAnsi"/>
        </w:rPr>
        <w:t xml:space="preserve">All of the above data gathered can be collated and utilised in a cost-effectiveness or return on investment analysis to </w:t>
      </w:r>
      <w:r w:rsidR="002F1C0B">
        <w:rPr>
          <w:rFonts w:asciiTheme="minorHAnsi" w:hAnsiTheme="minorHAnsi"/>
        </w:rPr>
        <w:t>evaluate</w:t>
      </w:r>
      <w:r w:rsidR="006C16C4">
        <w:rPr>
          <w:rFonts w:asciiTheme="minorHAnsi" w:hAnsiTheme="minorHAnsi"/>
        </w:rPr>
        <w:t xml:space="preserve"> the economic impact of the wellbeing programme on absence costs, recruitment costs due to turnover and productivity costs (Jacobs et al, 2017).  </w:t>
      </w:r>
    </w:p>
    <w:p w14:paraId="2BD08A41" w14:textId="1C720E63" w:rsidR="00452C79" w:rsidRDefault="00452C79" w:rsidP="007F1A10">
      <w:pPr>
        <w:pStyle w:val="Nornal"/>
        <w:spacing w:after="120" w:line="276" w:lineRule="auto"/>
        <w:rPr>
          <w:rFonts w:asciiTheme="minorHAnsi" w:hAnsiTheme="minorHAnsi"/>
        </w:rPr>
      </w:pPr>
      <w:r>
        <w:rPr>
          <w:rFonts w:asciiTheme="minorHAnsi" w:hAnsiTheme="minorHAnsi"/>
        </w:rPr>
        <w:t>Word count = 1812</w:t>
      </w:r>
    </w:p>
    <w:p w14:paraId="07DE7223" w14:textId="6940EE06" w:rsidR="00452C79" w:rsidRDefault="00452C79" w:rsidP="007F1A10">
      <w:pPr>
        <w:pStyle w:val="Nornal"/>
        <w:spacing w:after="120" w:line="276" w:lineRule="auto"/>
        <w:rPr>
          <w:rFonts w:asciiTheme="minorHAnsi" w:hAnsiTheme="minorHAnsi"/>
        </w:rPr>
      </w:pPr>
      <w:r>
        <w:rPr>
          <w:rFonts w:asciiTheme="minorHAnsi" w:hAnsiTheme="minorHAnsi"/>
        </w:rPr>
        <w:t>Overall word count = 3789</w:t>
      </w:r>
    </w:p>
    <w:p w14:paraId="7EC9FF71" w14:textId="77777777" w:rsidR="005C4771" w:rsidRDefault="005C4771" w:rsidP="007F1A10">
      <w:pPr>
        <w:pStyle w:val="Nornal"/>
        <w:spacing w:after="120" w:line="276" w:lineRule="auto"/>
        <w:rPr>
          <w:rFonts w:asciiTheme="minorHAnsi" w:hAnsiTheme="minorHAnsi"/>
        </w:rPr>
      </w:pPr>
    </w:p>
    <w:p w14:paraId="5640EE4B" w14:textId="77777777" w:rsidR="005C4771" w:rsidRDefault="005C4771" w:rsidP="007F1A10">
      <w:pPr>
        <w:pStyle w:val="Nornal"/>
        <w:spacing w:after="120" w:line="276" w:lineRule="auto"/>
        <w:rPr>
          <w:rFonts w:asciiTheme="minorHAnsi" w:hAnsiTheme="minorHAnsi"/>
        </w:rPr>
      </w:pPr>
    </w:p>
    <w:p w14:paraId="4019801B" w14:textId="77777777" w:rsidR="005C4771" w:rsidRDefault="005C4771" w:rsidP="007F1A10">
      <w:pPr>
        <w:pStyle w:val="Nornal"/>
        <w:spacing w:after="120" w:line="276" w:lineRule="auto"/>
        <w:rPr>
          <w:rFonts w:asciiTheme="minorHAnsi" w:hAnsiTheme="minorHAnsi"/>
        </w:rPr>
      </w:pPr>
    </w:p>
    <w:p w14:paraId="18D24E3B" w14:textId="77777777" w:rsidR="005C4771" w:rsidRDefault="005C4771" w:rsidP="007F1A10">
      <w:pPr>
        <w:pStyle w:val="Nornal"/>
        <w:spacing w:after="120" w:line="276" w:lineRule="auto"/>
        <w:rPr>
          <w:rFonts w:asciiTheme="minorHAnsi" w:hAnsiTheme="minorHAnsi"/>
        </w:rPr>
      </w:pPr>
    </w:p>
    <w:p w14:paraId="191FA634" w14:textId="77777777" w:rsidR="005C4771" w:rsidRDefault="005C4771" w:rsidP="007F1A10">
      <w:pPr>
        <w:pStyle w:val="Nornal"/>
        <w:spacing w:after="120" w:line="276" w:lineRule="auto"/>
        <w:rPr>
          <w:rFonts w:asciiTheme="minorHAnsi" w:hAnsiTheme="minorHAnsi"/>
        </w:rPr>
      </w:pPr>
    </w:p>
    <w:p w14:paraId="71373AD2" w14:textId="77777777" w:rsidR="005C4771" w:rsidRDefault="005C4771" w:rsidP="007F1A10">
      <w:pPr>
        <w:pStyle w:val="Nornal"/>
        <w:spacing w:after="120" w:line="276" w:lineRule="auto"/>
        <w:rPr>
          <w:rFonts w:asciiTheme="minorHAnsi" w:hAnsiTheme="minorHAnsi"/>
        </w:rPr>
      </w:pPr>
    </w:p>
    <w:p w14:paraId="03E9D9AA" w14:textId="77777777" w:rsidR="005C4771" w:rsidRDefault="005C4771" w:rsidP="007F1A10">
      <w:pPr>
        <w:pStyle w:val="Nornal"/>
        <w:spacing w:after="120" w:line="276" w:lineRule="auto"/>
        <w:rPr>
          <w:rFonts w:asciiTheme="minorHAnsi" w:hAnsiTheme="minorHAnsi"/>
        </w:rPr>
      </w:pPr>
    </w:p>
    <w:p w14:paraId="3F33A356" w14:textId="77777777" w:rsidR="005C4771" w:rsidRDefault="005C4771" w:rsidP="007F1A10">
      <w:pPr>
        <w:pStyle w:val="Nornal"/>
        <w:spacing w:after="120" w:line="276" w:lineRule="auto"/>
        <w:rPr>
          <w:rFonts w:asciiTheme="minorHAnsi" w:hAnsiTheme="minorHAnsi"/>
        </w:rPr>
      </w:pPr>
    </w:p>
    <w:p w14:paraId="1E517E39" w14:textId="77777777" w:rsidR="005C4771" w:rsidRDefault="005C4771" w:rsidP="007F1A10">
      <w:pPr>
        <w:pStyle w:val="Nornal"/>
        <w:spacing w:after="120" w:line="276" w:lineRule="auto"/>
        <w:rPr>
          <w:rFonts w:asciiTheme="minorHAnsi" w:hAnsiTheme="minorHAnsi"/>
        </w:rPr>
      </w:pPr>
    </w:p>
    <w:p w14:paraId="12F5D144" w14:textId="77777777" w:rsidR="005C4771" w:rsidRDefault="005C4771" w:rsidP="007F1A10">
      <w:pPr>
        <w:pStyle w:val="Nornal"/>
        <w:spacing w:after="120" w:line="276" w:lineRule="auto"/>
        <w:rPr>
          <w:rFonts w:asciiTheme="minorHAnsi" w:hAnsiTheme="minorHAnsi"/>
        </w:rPr>
      </w:pPr>
    </w:p>
    <w:p w14:paraId="34B05E09" w14:textId="77777777" w:rsidR="005C4771" w:rsidRDefault="005C4771" w:rsidP="007F1A10">
      <w:pPr>
        <w:pStyle w:val="Nornal"/>
        <w:spacing w:after="120" w:line="276" w:lineRule="auto"/>
        <w:rPr>
          <w:rFonts w:asciiTheme="minorHAnsi" w:hAnsiTheme="minorHAnsi"/>
        </w:rPr>
      </w:pPr>
    </w:p>
    <w:p w14:paraId="3D5B5EFF" w14:textId="3A60A208" w:rsidR="005C4771" w:rsidRDefault="005C4771" w:rsidP="007F1A10">
      <w:pPr>
        <w:pStyle w:val="Nornal"/>
        <w:spacing w:after="120" w:line="276" w:lineRule="auto"/>
        <w:rPr>
          <w:rFonts w:asciiTheme="minorHAnsi" w:hAnsiTheme="minorHAnsi"/>
        </w:rPr>
      </w:pPr>
      <w:r>
        <w:rPr>
          <w:rFonts w:asciiTheme="minorHAnsi" w:hAnsiTheme="minorHAnsi"/>
        </w:rPr>
        <w:lastRenderedPageBreak/>
        <w:t>References</w:t>
      </w:r>
    </w:p>
    <w:p w14:paraId="3F3F68DC" w14:textId="77777777" w:rsidR="005C4771" w:rsidRPr="00EF64B5" w:rsidRDefault="005C4771" w:rsidP="005C4771">
      <w:bookmarkStart w:id="1" w:name="_Hlk228612529"/>
      <w:r>
        <w:t xml:space="preserve">Ali, L. (2026) </w:t>
      </w:r>
      <w:r>
        <w:rPr>
          <w:i/>
          <w:iCs/>
        </w:rPr>
        <w:t xml:space="preserve">Equality, diversity and inclusion (EDI) in the workplace. </w:t>
      </w:r>
      <w:r>
        <w:t xml:space="preserve">Available at: </w:t>
      </w:r>
      <w:hyperlink r:id="rId5" w:history="1">
        <w:r w:rsidRPr="008C66B1">
          <w:rPr>
            <w:rStyle w:val="Hyperlink"/>
          </w:rPr>
          <w:t>https://www.cipd.org/uk/knowledge/factsheets/diversity-factsheet/</w:t>
        </w:r>
      </w:hyperlink>
      <w:r>
        <w:t xml:space="preserve"> (Accessed: 23 May 2026). </w:t>
      </w:r>
    </w:p>
    <w:p w14:paraId="7EA6914A" w14:textId="77777777" w:rsidR="005C4771" w:rsidRPr="008B0B6A" w:rsidRDefault="005C4771" w:rsidP="005C4771">
      <w:r w:rsidRPr="00502858">
        <w:t>Bantz, T</w:t>
      </w:r>
      <w:r>
        <w:t>. (</w:t>
      </w:r>
      <w:r w:rsidRPr="00502858">
        <w:t>2025</w:t>
      </w:r>
      <w:r>
        <w:t>)</w:t>
      </w:r>
      <w:r w:rsidRPr="00502858">
        <w:t xml:space="preserve"> </w:t>
      </w:r>
      <w:r>
        <w:t>‘</w:t>
      </w:r>
      <w:r w:rsidRPr="00502858">
        <w:t>The psychological dynamics of hybrid work-exploring the role of work location, basic need satisfaction, and contextual aspects of telework in daily employee well-being</w:t>
      </w:r>
      <w:r>
        <w:t xml:space="preserve">’, </w:t>
      </w:r>
      <w:hyperlink r:id="rId6" w:history="1">
        <w:r w:rsidRPr="008B0B6A">
          <w:rPr>
            <w:rStyle w:val="Hyperlink"/>
            <w:i/>
            <w:iCs/>
            <w:color w:val="auto"/>
            <w:u w:val="none"/>
          </w:rPr>
          <w:t>JGU-Hochschulschriften</w:t>
        </w:r>
      </w:hyperlink>
      <w:r>
        <w:rPr>
          <w:i/>
          <w:iCs/>
        </w:rPr>
        <w:t xml:space="preserve">. </w:t>
      </w:r>
      <w:r>
        <w:t xml:space="preserve">Available at: </w:t>
      </w:r>
      <w:hyperlink r:id="rId7" w:tgtFrame="_blank" w:history="1">
        <w:r w:rsidRPr="008B0B6A">
          <w:rPr>
            <w:rStyle w:val="Hyperlink"/>
          </w:rPr>
          <w:t>https://doi.org/10.25358/openscience-12419</w:t>
        </w:r>
      </w:hyperlink>
    </w:p>
    <w:p w14:paraId="5720CE20" w14:textId="77777777" w:rsidR="005C4771" w:rsidRPr="00395978" w:rsidRDefault="005C4771" w:rsidP="005C4771">
      <w:r>
        <w:t xml:space="preserve">Beatson, M. (2023) </w:t>
      </w:r>
      <w:r>
        <w:rPr>
          <w:i/>
          <w:iCs/>
        </w:rPr>
        <w:t xml:space="preserve">Impact of performance management on employees. </w:t>
      </w:r>
      <w:r>
        <w:t xml:space="preserve">Available at: </w:t>
      </w:r>
      <w:hyperlink r:id="rId8" w:history="1">
        <w:r w:rsidRPr="008C66B1">
          <w:rPr>
            <w:rStyle w:val="Hyperlink"/>
          </w:rPr>
          <w:t>https://www.cipd.org/uk/views-and-insights/thought-leadership/cipd-voice/impact-performance-management-employees/</w:t>
        </w:r>
      </w:hyperlink>
      <w:r>
        <w:t xml:space="preserve"> (Accessed: 23 May 2026). </w:t>
      </w:r>
    </w:p>
    <w:p w14:paraId="20908069" w14:textId="77777777" w:rsidR="005C4771" w:rsidRDefault="005C4771" w:rsidP="005C4771">
      <w:r w:rsidRPr="005003B6">
        <w:t xml:space="preserve">Blake, H., Hassard, J., Bartle, C. and Thomson, L. </w:t>
      </w:r>
      <w:r>
        <w:t>(</w:t>
      </w:r>
      <w:r w:rsidRPr="005003B6">
        <w:t>2023</w:t>
      </w:r>
      <w:r>
        <w:t>)</w:t>
      </w:r>
      <w:r w:rsidRPr="005003B6">
        <w:t xml:space="preserve"> </w:t>
      </w:r>
      <w:r>
        <w:t>‘</w:t>
      </w:r>
      <w:r w:rsidRPr="005003B6">
        <w:t>Training for line managers should focus on primary prevention of mental ill-health at work</w:t>
      </w:r>
      <w:r>
        <w:t>’,</w:t>
      </w:r>
      <w:r w:rsidRPr="005003B6">
        <w:t> </w:t>
      </w:r>
      <w:r w:rsidRPr="005003B6">
        <w:rPr>
          <w:i/>
          <w:iCs/>
        </w:rPr>
        <w:t>Perspectives in Public Health</w:t>
      </w:r>
      <w:r w:rsidRPr="005003B6">
        <w:t>, </w:t>
      </w:r>
      <w:r w:rsidRPr="00464E60">
        <w:t>143</w:t>
      </w:r>
      <w:r w:rsidRPr="005003B6">
        <w:t>(3), pp.</w:t>
      </w:r>
      <w:r>
        <w:t xml:space="preserve"> </w:t>
      </w:r>
      <w:r w:rsidRPr="005003B6">
        <w:t>124-125.</w:t>
      </w:r>
      <w:r>
        <w:t xml:space="preserve"> Available at: </w:t>
      </w:r>
      <w:hyperlink r:id="rId9" w:history="1">
        <w:r w:rsidRPr="005003B6">
          <w:rPr>
            <w:rStyle w:val="Hyperlink"/>
          </w:rPr>
          <w:t>https://doi.org/10.1177/17579139231157528</w:t>
        </w:r>
      </w:hyperlink>
    </w:p>
    <w:p w14:paraId="629B0D5D" w14:textId="77777777" w:rsidR="005C4771" w:rsidRDefault="005C4771" w:rsidP="005C4771">
      <w:r w:rsidRPr="005B6409">
        <w:t>Blanchflower, D., Bryson, A. and Green, C.</w:t>
      </w:r>
      <w:r>
        <w:t xml:space="preserve"> (</w:t>
      </w:r>
      <w:r w:rsidRPr="005B6409">
        <w:t>2022</w:t>
      </w:r>
      <w:r>
        <w:t>)</w:t>
      </w:r>
      <w:r w:rsidRPr="005B6409">
        <w:t xml:space="preserve"> </w:t>
      </w:r>
      <w:r>
        <w:t>‘</w:t>
      </w:r>
      <w:r w:rsidRPr="005B6409">
        <w:t>Trade unions and the well</w:t>
      </w:r>
      <w:r w:rsidRPr="005B6409">
        <w:rPr>
          <w:rFonts w:ascii="Cambria Math" w:hAnsi="Cambria Math" w:cs="Cambria Math"/>
        </w:rPr>
        <w:t>‐</w:t>
      </w:r>
      <w:r w:rsidRPr="005B6409">
        <w:t>being of workers</w:t>
      </w:r>
      <w:r>
        <w:t xml:space="preserve">’, </w:t>
      </w:r>
      <w:r w:rsidRPr="005B6409">
        <w:rPr>
          <w:i/>
          <w:iCs/>
        </w:rPr>
        <w:t>British Journal of Industrial Relations</w:t>
      </w:r>
      <w:r w:rsidRPr="005B6409">
        <w:t>, </w:t>
      </w:r>
      <w:r w:rsidRPr="002E1073">
        <w:t>60</w:t>
      </w:r>
      <w:r w:rsidRPr="005B6409">
        <w:t>(2), pp.</w:t>
      </w:r>
      <w:r>
        <w:t xml:space="preserve"> </w:t>
      </w:r>
      <w:r w:rsidRPr="005B6409">
        <w:t>255-277.</w:t>
      </w:r>
      <w:r>
        <w:t xml:space="preserve"> Available at: </w:t>
      </w:r>
      <w:hyperlink r:id="rId10" w:history="1">
        <w:r w:rsidRPr="00CA796F">
          <w:rPr>
            <w:rStyle w:val="Hyperlink"/>
          </w:rPr>
          <w:t>https://doi.org/10.1111/bjir.12627</w:t>
        </w:r>
      </w:hyperlink>
      <w:r>
        <w:t xml:space="preserve"> </w:t>
      </w:r>
    </w:p>
    <w:p w14:paraId="715CA517" w14:textId="77777777" w:rsidR="005C4771" w:rsidRPr="005B6409" w:rsidRDefault="005C4771" w:rsidP="005C4771">
      <w:r>
        <w:t xml:space="preserve">Bontrup, C., Taylor, W., Fliesser, M., Visscher, R., Green, T., Wippert, P. and Zemp, R. (2019) ‘Low back pain and its relationship with sitting behaviour among sedentary office workers’, </w:t>
      </w:r>
      <w:r w:rsidRPr="00EA0EC6">
        <w:rPr>
          <w:i/>
          <w:iCs/>
        </w:rPr>
        <w:t>Applied Ergonomics</w:t>
      </w:r>
      <w:r>
        <w:t xml:space="preserve">, 81. Available at: </w:t>
      </w:r>
      <w:hyperlink r:id="rId11" w:history="1">
        <w:r w:rsidRPr="00CA796F">
          <w:rPr>
            <w:rStyle w:val="Hyperlink"/>
          </w:rPr>
          <w:t>https://doi.org/10.1016/j.apergo.2019.102894</w:t>
        </w:r>
      </w:hyperlink>
      <w:r>
        <w:t xml:space="preserve"> </w:t>
      </w:r>
    </w:p>
    <w:p w14:paraId="0A364A50" w14:textId="77777777" w:rsidR="005C4771" w:rsidRPr="00791C3B" w:rsidRDefault="005C4771" w:rsidP="005C4771">
      <w:pPr>
        <w:rPr>
          <w:color w:val="467886" w:themeColor="hyperlink"/>
          <w:u w:val="single"/>
        </w:rPr>
      </w:pPr>
      <w:r w:rsidRPr="00E467FF">
        <w:t>Brandão</w:t>
      </w:r>
      <w:r>
        <w:t xml:space="preserve">, </w:t>
      </w:r>
      <w:r w:rsidRPr="00E467FF">
        <w:t>L</w:t>
      </w:r>
      <w:r>
        <w:t>. and</w:t>
      </w:r>
      <w:r w:rsidRPr="00E467FF">
        <w:t xml:space="preserve"> Matias</w:t>
      </w:r>
      <w:r>
        <w:t xml:space="preserve">, </w:t>
      </w:r>
      <w:r w:rsidRPr="00E467FF">
        <w:t>M</w:t>
      </w:r>
      <w:bookmarkEnd w:id="1"/>
      <w:r w:rsidRPr="00E467FF">
        <w:t>.</w:t>
      </w:r>
      <w:r>
        <w:t xml:space="preserve"> (2024)</w:t>
      </w:r>
      <w:r w:rsidRPr="00E467FF">
        <w:t xml:space="preserve"> </w:t>
      </w:r>
      <w:r>
        <w:t>‘</w:t>
      </w:r>
      <w:r w:rsidRPr="001A7C8A">
        <w:t>Organizational and Individual Resources as Buffers of Work–Family Conflict Linkages to Affect: An Application of the Job Demands and Resources Health Impairment Model</w:t>
      </w:r>
      <w:r>
        <w:t>’</w:t>
      </w:r>
      <w:r>
        <w:rPr>
          <w:i/>
          <w:iCs/>
        </w:rPr>
        <w:t xml:space="preserve">, </w:t>
      </w:r>
      <w:r w:rsidRPr="001A7C8A">
        <w:rPr>
          <w:i/>
          <w:iCs/>
        </w:rPr>
        <w:t>Administrative Sciences</w:t>
      </w:r>
      <w:r>
        <w:t xml:space="preserve">, </w:t>
      </w:r>
      <w:r w:rsidRPr="00E467FF">
        <w:t>14(4)</w:t>
      </w:r>
      <w:r>
        <w:t xml:space="preserve">, pp. </w:t>
      </w:r>
      <w:r w:rsidRPr="00E467FF">
        <w:t>68.</w:t>
      </w:r>
      <w:r>
        <w:t xml:space="preserve"> Available at: </w:t>
      </w:r>
      <w:hyperlink r:id="rId12" w:history="1">
        <w:r w:rsidRPr="00C74EAE">
          <w:rPr>
            <w:rStyle w:val="Hyperlink"/>
          </w:rPr>
          <w:t>https://doi.org/10.3390/admsci14040068</w:t>
        </w:r>
      </w:hyperlink>
    </w:p>
    <w:p w14:paraId="5FCD825A" w14:textId="77777777" w:rsidR="005C4771" w:rsidRPr="00972C2A" w:rsidRDefault="005C4771" w:rsidP="005C4771">
      <w:r>
        <w:t xml:space="preserve">Browes, E. (2021) </w:t>
      </w:r>
      <w:r w:rsidRPr="00972C2A">
        <w:rPr>
          <w:i/>
          <w:iCs/>
        </w:rPr>
        <w:t>Masterclass: How to use pulse surveys effectively.</w:t>
      </w:r>
      <w:r>
        <w:rPr>
          <w:b/>
          <w:bCs/>
        </w:rPr>
        <w:t xml:space="preserve"> </w:t>
      </w:r>
      <w:r>
        <w:t xml:space="preserve">Available at: </w:t>
      </w:r>
      <w:hyperlink r:id="rId13" w:history="1">
        <w:r w:rsidRPr="00A90309">
          <w:rPr>
            <w:rStyle w:val="Hyperlink"/>
          </w:rPr>
          <w:t>https://www.peoplemanagement.co.uk/article/1741217/masterclass-how-to-use-pulse-surveys-effectively</w:t>
        </w:r>
      </w:hyperlink>
      <w:r>
        <w:t xml:space="preserve"> (Accessed: 30 May 2026). </w:t>
      </w:r>
    </w:p>
    <w:p w14:paraId="6A0EA5BD" w14:textId="77777777" w:rsidR="005C4771" w:rsidRPr="007A43E5" w:rsidRDefault="005C4771" w:rsidP="005C4771">
      <w:r>
        <w:t xml:space="preserve">CIPD. (2018) </w:t>
      </w:r>
      <w:r>
        <w:rPr>
          <w:i/>
          <w:iCs/>
        </w:rPr>
        <w:t xml:space="preserve">Health and Well-being at Work. </w:t>
      </w:r>
      <w:r>
        <w:t xml:space="preserve">Available at: </w:t>
      </w:r>
      <w:hyperlink r:id="rId14" w:history="1">
        <w:r w:rsidRPr="008C66B1">
          <w:rPr>
            <w:rStyle w:val="Hyperlink"/>
          </w:rPr>
          <w:t>https://www.cipd.org/globalassets/media/comms/news/ccccccccccccchealth-and-well-being-public-sector-summary_tcm18-41280.pdf</w:t>
        </w:r>
      </w:hyperlink>
      <w:r>
        <w:t xml:space="preserve"> (Accessed: 23 May 2026). </w:t>
      </w:r>
    </w:p>
    <w:p w14:paraId="4EF924D7" w14:textId="77777777" w:rsidR="005C4771" w:rsidRDefault="005C4771" w:rsidP="005C4771">
      <w:r>
        <w:t xml:space="preserve">CIPD. (2020) </w:t>
      </w:r>
      <w:r>
        <w:rPr>
          <w:i/>
          <w:iCs/>
        </w:rPr>
        <w:t xml:space="preserve">Managing the wellbeing of remote workers. </w:t>
      </w:r>
      <w:r>
        <w:t xml:space="preserve">Available at: </w:t>
      </w:r>
      <w:hyperlink r:id="rId15" w:history="1">
        <w:r w:rsidRPr="008C66B1">
          <w:rPr>
            <w:rStyle w:val="Hyperlink"/>
          </w:rPr>
          <w:t>https://www.cipd.org/uk/knowledge/podcasts/well-being-remote-workers/</w:t>
        </w:r>
      </w:hyperlink>
      <w:r>
        <w:t xml:space="preserve"> (Accessed: 23 May 2026). </w:t>
      </w:r>
    </w:p>
    <w:p w14:paraId="47073C7F" w14:textId="77777777" w:rsidR="005C4771" w:rsidRDefault="005C4771" w:rsidP="005C4771">
      <w:r w:rsidRPr="003853CE">
        <w:t xml:space="preserve">CIPD. (2022) </w:t>
      </w:r>
      <w:r w:rsidRPr="00260336">
        <w:rPr>
          <w:i/>
          <w:iCs/>
        </w:rPr>
        <w:t>Understanding older workers: analysis and recommendations to support longer and more fulfilling working lives</w:t>
      </w:r>
      <w:r w:rsidRPr="003853CE">
        <w:t>. Chartered Institute of Personnel and Development.</w:t>
      </w:r>
    </w:p>
    <w:p w14:paraId="7BA8BFA8" w14:textId="77777777" w:rsidR="005C4771" w:rsidRPr="00096729" w:rsidRDefault="005C4771" w:rsidP="005C4771">
      <w:r>
        <w:t xml:space="preserve">CIPD. (2024) </w:t>
      </w:r>
      <w:r>
        <w:rPr>
          <w:i/>
          <w:iCs/>
        </w:rPr>
        <w:t xml:space="preserve">Supporting mental health at work: Practical guidance. </w:t>
      </w:r>
      <w:r>
        <w:t xml:space="preserve">Available at: </w:t>
      </w:r>
      <w:hyperlink r:id="rId16" w:history="1">
        <w:r w:rsidRPr="00CA796F">
          <w:rPr>
            <w:rStyle w:val="Hyperlink"/>
          </w:rPr>
          <w:t>https://www.cipd.org/uk/knowledge/guides/mental-health-support-guide/</w:t>
        </w:r>
      </w:hyperlink>
      <w:r>
        <w:t xml:space="preserve"> (Accessed: 27 May 2026). </w:t>
      </w:r>
    </w:p>
    <w:p w14:paraId="13CD82F9" w14:textId="77777777" w:rsidR="005C4771" w:rsidRPr="00566ADC" w:rsidRDefault="005C4771" w:rsidP="005C4771">
      <w:r>
        <w:t xml:space="preserve">CIPD. (2025a) </w:t>
      </w:r>
      <w:r>
        <w:rPr>
          <w:i/>
          <w:iCs/>
        </w:rPr>
        <w:t xml:space="preserve">Health and safety at work. </w:t>
      </w:r>
      <w:r>
        <w:t xml:space="preserve">Available at: </w:t>
      </w:r>
      <w:hyperlink r:id="rId17" w:history="1">
        <w:r w:rsidRPr="008C66B1">
          <w:rPr>
            <w:rStyle w:val="Hyperlink"/>
          </w:rPr>
          <w:t>https://www.cipd.org/uk/knowledge/factsheets/health-safety-factsheet/</w:t>
        </w:r>
      </w:hyperlink>
      <w:r>
        <w:t xml:space="preserve"> (Accessed: 23 May 2026).</w:t>
      </w:r>
    </w:p>
    <w:p w14:paraId="4E265682" w14:textId="77777777" w:rsidR="005C4771" w:rsidRDefault="005C4771" w:rsidP="005C4771">
      <w:r>
        <w:lastRenderedPageBreak/>
        <w:t xml:space="preserve">CIPD. (2025b) </w:t>
      </w:r>
      <w:r>
        <w:rPr>
          <w:i/>
          <w:iCs/>
        </w:rPr>
        <w:t xml:space="preserve">Job design. </w:t>
      </w:r>
      <w:r>
        <w:t xml:space="preserve">Available at: </w:t>
      </w:r>
      <w:hyperlink r:id="rId18" w:history="1">
        <w:r w:rsidRPr="008C66B1">
          <w:rPr>
            <w:rStyle w:val="Hyperlink"/>
          </w:rPr>
          <w:t>https://www.cipd.org/uk/knowledge/factsheets/job-design-factsheet/</w:t>
        </w:r>
      </w:hyperlink>
      <w:r>
        <w:t xml:space="preserve"> (Accessed: 23 May 2026). </w:t>
      </w:r>
    </w:p>
    <w:p w14:paraId="2FD1A114" w14:textId="77777777" w:rsidR="005C4771" w:rsidRDefault="005C4771" w:rsidP="005C4771">
      <w:r>
        <w:t xml:space="preserve">CIPD. (2025c) </w:t>
      </w:r>
      <w:r>
        <w:rPr>
          <w:i/>
          <w:iCs/>
        </w:rPr>
        <w:t xml:space="preserve">Change management. </w:t>
      </w:r>
      <w:r>
        <w:t xml:space="preserve">Available at: </w:t>
      </w:r>
      <w:hyperlink r:id="rId19" w:history="1">
        <w:r w:rsidRPr="00E05617">
          <w:rPr>
            <w:rStyle w:val="Hyperlink"/>
          </w:rPr>
          <w:t>https://www.cipd.org/uk/knowledge/factsheets/change-management-factsheet/</w:t>
        </w:r>
      </w:hyperlink>
      <w:r>
        <w:t xml:space="preserve"> (Accessed: 28 May 2026). </w:t>
      </w:r>
    </w:p>
    <w:p w14:paraId="181D4CAB" w14:textId="77777777" w:rsidR="005C4771" w:rsidRPr="00B8561F" w:rsidRDefault="005C4771" w:rsidP="005C4771">
      <w:r>
        <w:t xml:space="preserve">CIPD. (2025d) </w:t>
      </w:r>
      <w:r>
        <w:rPr>
          <w:i/>
          <w:iCs/>
        </w:rPr>
        <w:t xml:space="preserve">Employee engagement and motivation. </w:t>
      </w:r>
      <w:r>
        <w:t xml:space="preserve">Available at: </w:t>
      </w:r>
      <w:hyperlink r:id="rId20" w:history="1">
        <w:r w:rsidRPr="00A90309">
          <w:rPr>
            <w:rStyle w:val="Hyperlink"/>
          </w:rPr>
          <w:t>https://www.cipd.org/uk/knowledge/factsheets/engagement-factsheet/</w:t>
        </w:r>
      </w:hyperlink>
      <w:r>
        <w:t xml:space="preserve"> (Accessed: 30 May 2026). </w:t>
      </w:r>
    </w:p>
    <w:p w14:paraId="3712EBC7" w14:textId="77777777" w:rsidR="005C4771" w:rsidRDefault="005C4771" w:rsidP="005C4771">
      <w:r>
        <w:t xml:space="preserve">CIPD. (2026a) </w:t>
      </w:r>
      <w:r>
        <w:rPr>
          <w:i/>
          <w:iCs/>
        </w:rPr>
        <w:t>Absence measurement and management.</w:t>
      </w:r>
      <w:r>
        <w:t xml:space="preserve"> Available at: </w:t>
      </w:r>
      <w:hyperlink r:id="rId21" w:history="1">
        <w:r w:rsidRPr="00C74EAE">
          <w:rPr>
            <w:rStyle w:val="Hyperlink"/>
          </w:rPr>
          <w:t>https://www.cipd.org/uk/knowledge/factsheets/absence-factsheet/</w:t>
        </w:r>
      </w:hyperlink>
      <w:r>
        <w:t xml:space="preserve"> (Accessed: 2 May 2026).</w:t>
      </w:r>
    </w:p>
    <w:p w14:paraId="6BEBF8D9" w14:textId="77777777" w:rsidR="005C4771" w:rsidRDefault="005C4771" w:rsidP="005C4771">
      <w:r>
        <w:t xml:space="preserve">CIPD. (2026b) </w:t>
      </w:r>
      <w:r>
        <w:rPr>
          <w:i/>
          <w:iCs/>
        </w:rPr>
        <w:t>Employee health and wellbeing.</w:t>
      </w:r>
      <w:r>
        <w:t xml:space="preserve"> Available at: </w:t>
      </w:r>
      <w:hyperlink r:id="rId22" w:history="1">
        <w:r w:rsidRPr="00C74EAE">
          <w:rPr>
            <w:rStyle w:val="Hyperlink"/>
          </w:rPr>
          <w:t>https://www.cipd.org/uk/views-and-insights/cipd-viewpoint/employee-health-wellbeing/</w:t>
        </w:r>
      </w:hyperlink>
      <w:r>
        <w:t xml:space="preserve"> (Accessed: 2 May 2026).</w:t>
      </w:r>
    </w:p>
    <w:p w14:paraId="56B68894" w14:textId="77777777" w:rsidR="005C4771" w:rsidRDefault="005C4771" w:rsidP="005C4771">
      <w:r>
        <w:t xml:space="preserve">CIPD. (2026c) </w:t>
      </w:r>
      <w:r>
        <w:rPr>
          <w:i/>
          <w:iCs/>
        </w:rPr>
        <w:t xml:space="preserve">Flexible working practices. </w:t>
      </w:r>
      <w:r>
        <w:t xml:space="preserve">Available at: </w:t>
      </w:r>
      <w:hyperlink r:id="rId23" w:history="1">
        <w:r w:rsidRPr="008C66B1">
          <w:rPr>
            <w:rStyle w:val="Hyperlink"/>
          </w:rPr>
          <w:t>https://www.cipd.org/en/knowledge/factsheets/flexible-working-factsheet/</w:t>
        </w:r>
      </w:hyperlink>
      <w:r>
        <w:t xml:space="preserve"> (Accessed: 23 May 2026). </w:t>
      </w:r>
    </w:p>
    <w:p w14:paraId="33A27766" w14:textId="77777777" w:rsidR="005C4771" w:rsidRPr="00012E0D" w:rsidRDefault="005C4771" w:rsidP="005C4771">
      <w:r>
        <w:t xml:space="preserve">CIPD. (2026d) </w:t>
      </w:r>
      <w:r w:rsidRPr="008F4677">
        <w:rPr>
          <w:i/>
          <w:iCs/>
        </w:rPr>
        <w:t>Employee voice</w:t>
      </w:r>
      <w:r>
        <w:t xml:space="preserve">. Available at: </w:t>
      </w:r>
      <w:hyperlink r:id="rId24" w:history="1">
        <w:r w:rsidRPr="00E05617">
          <w:rPr>
            <w:rStyle w:val="Hyperlink"/>
          </w:rPr>
          <w:t>https://www.cipd.org/uk/knowledge/factsheets/voice-factsheet/</w:t>
        </w:r>
      </w:hyperlink>
      <w:r>
        <w:t xml:space="preserve"> (Accessed: 28 May 2026).</w:t>
      </w:r>
    </w:p>
    <w:p w14:paraId="7ACB5187" w14:textId="77777777" w:rsidR="005C4771" w:rsidRDefault="005C4771" w:rsidP="005C4771">
      <w:r w:rsidRPr="00F9432E">
        <w:t>Clarke, E., Malinen, S., Näswall, K. and Masselot, A.</w:t>
      </w:r>
      <w:r>
        <w:t xml:space="preserve"> (</w:t>
      </w:r>
      <w:r w:rsidRPr="00F9432E">
        <w:t>2026</w:t>
      </w:r>
      <w:r>
        <w:t>)</w:t>
      </w:r>
      <w:r w:rsidRPr="00F9432E">
        <w:t xml:space="preserve"> </w:t>
      </w:r>
      <w:r>
        <w:t>‘</w:t>
      </w:r>
      <w:r w:rsidRPr="00F9432E">
        <w:t>Safe to stay: The role of leader behaviors and psychological safety in employee retention in high-demand workplaces</w:t>
      </w:r>
      <w:r>
        <w:t>’,</w:t>
      </w:r>
      <w:r w:rsidRPr="00F9432E">
        <w:t> </w:t>
      </w:r>
      <w:r w:rsidRPr="00F9432E">
        <w:rPr>
          <w:i/>
          <w:iCs/>
        </w:rPr>
        <w:t>German Journal of Human Resource Management</w:t>
      </w:r>
      <w:r w:rsidRPr="00F9432E">
        <w:t>, </w:t>
      </w:r>
      <w:r w:rsidRPr="004B5AFD">
        <w:t>40(</w:t>
      </w:r>
      <w:r w:rsidRPr="00F9432E">
        <w:t>1), pp.</w:t>
      </w:r>
      <w:r>
        <w:t xml:space="preserve"> </w:t>
      </w:r>
      <w:r w:rsidRPr="00F9432E">
        <w:t xml:space="preserve">56-86. </w:t>
      </w:r>
      <w:r>
        <w:t xml:space="preserve">Available at: </w:t>
      </w:r>
      <w:hyperlink r:id="rId25" w:history="1">
        <w:r w:rsidRPr="004B5AFD">
          <w:rPr>
            <w:rStyle w:val="Hyperlink"/>
          </w:rPr>
          <w:t>https://doi.org/10.1177/23970022251337643</w:t>
        </w:r>
      </w:hyperlink>
    </w:p>
    <w:p w14:paraId="6503A133" w14:textId="77777777" w:rsidR="005C4771" w:rsidRPr="006D6F7D" w:rsidRDefault="005C4771" w:rsidP="005C4771">
      <w:pPr>
        <w:rPr>
          <w:b/>
          <w:bCs/>
        </w:rPr>
      </w:pPr>
      <w:r>
        <w:t xml:space="preserve">Clemo, F. (2025) </w:t>
      </w:r>
      <w:r w:rsidRPr="006D6F7D">
        <w:rPr>
          <w:i/>
          <w:iCs/>
        </w:rPr>
        <w:t>The pragmatic generation: Gen Z prioritises mental health over wealth in the workplace, study finds.</w:t>
      </w:r>
      <w:r w:rsidRPr="006D6F7D">
        <w:t xml:space="preserve"> Available at:</w:t>
      </w:r>
      <w:r>
        <w:rPr>
          <w:b/>
          <w:bCs/>
        </w:rPr>
        <w:t xml:space="preserve"> </w:t>
      </w:r>
      <w:hyperlink r:id="rId26" w:history="1">
        <w:r w:rsidRPr="008C66B1">
          <w:rPr>
            <w:rStyle w:val="Hyperlink"/>
          </w:rPr>
          <w:t>https://www.peoplemanagement.co.uk/article/1927350/pragmatic-generation-gen-z-prioritises-mental-health-wealth-workplace-study-finds</w:t>
        </w:r>
      </w:hyperlink>
      <w:r>
        <w:t xml:space="preserve"> (Accessed: 23 May 2026). </w:t>
      </w:r>
    </w:p>
    <w:p w14:paraId="574C16CA" w14:textId="77777777" w:rsidR="005C4771" w:rsidRDefault="005C4771" w:rsidP="005C4771">
      <w:r w:rsidRPr="001545EA">
        <w:t xml:space="preserve">Click, E., Hammock, J., Omabegho, B. and Kowal Smith, A. </w:t>
      </w:r>
      <w:r>
        <w:t>(</w:t>
      </w:r>
      <w:r w:rsidRPr="001545EA">
        <w:t>2019</w:t>
      </w:r>
      <w:r>
        <w:t>)</w:t>
      </w:r>
      <w:r w:rsidRPr="001545EA">
        <w:t xml:space="preserve"> </w:t>
      </w:r>
      <w:r>
        <w:t>‘</w:t>
      </w:r>
      <w:r w:rsidRPr="001545EA">
        <w:t>Developing community relationships to enhance well</w:t>
      </w:r>
      <w:r w:rsidRPr="001545EA">
        <w:rPr>
          <w:rFonts w:ascii="Cambria Math" w:hAnsi="Cambria Math" w:cs="Cambria Math"/>
        </w:rPr>
        <w:t>‐</w:t>
      </w:r>
      <w:r w:rsidRPr="001545EA">
        <w:t>being in a worksite wellness program</w:t>
      </w:r>
      <w:r>
        <w:t>’,</w:t>
      </w:r>
      <w:r w:rsidRPr="001545EA">
        <w:rPr>
          <w:rFonts w:ascii="Aptos" w:hAnsi="Aptos" w:cs="Aptos"/>
        </w:rPr>
        <w:t> </w:t>
      </w:r>
      <w:r w:rsidRPr="001545EA">
        <w:rPr>
          <w:i/>
          <w:iCs/>
        </w:rPr>
        <w:t>Public Health Nursing</w:t>
      </w:r>
      <w:r w:rsidRPr="001545EA">
        <w:t>, </w:t>
      </w:r>
      <w:r w:rsidRPr="00825ABD">
        <w:t>36</w:t>
      </w:r>
      <w:r w:rsidRPr="001545EA">
        <w:t>(3), pp.</w:t>
      </w:r>
      <w:r>
        <w:t xml:space="preserve"> </w:t>
      </w:r>
      <w:r w:rsidRPr="001545EA">
        <w:t>363-369.</w:t>
      </w:r>
      <w:r>
        <w:t xml:space="preserve"> Available at: </w:t>
      </w:r>
      <w:r w:rsidRPr="00825ABD">
        <w:t> </w:t>
      </w:r>
      <w:hyperlink r:id="rId27" w:history="1">
        <w:r w:rsidRPr="00825ABD">
          <w:rPr>
            <w:rStyle w:val="Hyperlink"/>
          </w:rPr>
          <w:t>https://doi.org/10.1111/phn.12605</w:t>
        </w:r>
      </w:hyperlink>
    </w:p>
    <w:p w14:paraId="1D13277D" w14:textId="77777777" w:rsidR="005C4771" w:rsidRDefault="005C4771" w:rsidP="005C4771">
      <w:r w:rsidRPr="00613A8C">
        <w:t>Davis, M</w:t>
      </w:r>
      <w:r>
        <w:t>.</w:t>
      </w:r>
      <w:r w:rsidRPr="00613A8C">
        <w:t>, Collis, H</w:t>
      </w:r>
      <w:r>
        <w:t>.</w:t>
      </w:r>
      <w:r w:rsidRPr="00613A8C">
        <w:t>, Hughes, H</w:t>
      </w:r>
      <w:r>
        <w:t>.</w:t>
      </w:r>
      <w:r w:rsidRPr="00613A8C">
        <w:t xml:space="preserve">, </w:t>
      </w:r>
      <w:r>
        <w:t>Chia</w:t>
      </w:r>
      <w:r w:rsidRPr="00613A8C">
        <w:t>, H</w:t>
      </w:r>
      <w:r>
        <w:t>.</w:t>
      </w:r>
      <w:r w:rsidRPr="00613A8C">
        <w:t>, Gritt, E</w:t>
      </w:r>
      <w:r>
        <w:t>.</w:t>
      </w:r>
      <w:r w:rsidRPr="00613A8C">
        <w:t>, Fang, L</w:t>
      </w:r>
      <w:r>
        <w:t>.</w:t>
      </w:r>
      <w:r w:rsidRPr="00613A8C">
        <w:t>, Iqbal, A</w:t>
      </w:r>
      <w:r>
        <w:t>.</w:t>
      </w:r>
      <w:r w:rsidRPr="00613A8C">
        <w:t> </w:t>
      </w:r>
      <w:r>
        <w:t>and</w:t>
      </w:r>
      <w:r w:rsidRPr="00613A8C">
        <w:t xml:space="preserve"> Rees, S</w:t>
      </w:r>
      <w:r>
        <w:t>.</w:t>
      </w:r>
      <w:r w:rsidRPr="00613A8C">
        <w:t xml:space="preserve"> </w:t>
      </w:r>
      <w:r>
        <w:t>(</w:t>
      </w:r>
      <w:r w:rsidRPr="00613A8C">
        <w:t>2022</w:t>
      </w:r>
      <w:r>
        <w:t xml:space="preserve">) </w:t>
      </w:r>
      <w:r w:rsidRPr="00613A8C">
        <w:rPr>
          <w:i/>
          <w:iCs/>
        </w:rPr>
        <w:t>Where is your Office Today? New insights on Employee Behaviour and Social Networks</w:t>
      </w:r>
      <w:r w:rsidRPr="00613A8C">
        <w:t xml:space="preserve">. </w:t>
      </w:r>
      <w:r w:rsidRPr="00277F49">
        <w:t>University of Leeds</w:t>
      </w:r>
      <w:r>
        <w:t xml:space="preserve">. Available at: </w:t>
      </w:r>
      <w:hyperlink r:id="rId28" w:history="1">
        <w:r w:rsidRPr="00A90309">
          <w:rPr>
            <w:rStyle w:val="Hyperlink"/>
          </w:rPr>
          <w:t>https://doi.org/10.48785/100/125</w:t>
        </w:r>
      </w:hyperlink>
      <w:r>
        <w:t xml:space="preserve"> </w:t>
      </w:r>
    </w:p>
    <w:p w14:paraId="02DEB3AA" w14:textId="77777777" w:rsidR="005C4771" w:rsidRDefault="005C4771" w:rsidP="005C4771">
      <w:r w:rsidRPr="001545EA">
        <w:t xml:space="preserve">Day, A., Kelloway, E. and Hurrell Jr, J. </w:t>
      </w:r>
      <w:r>
        <w:t>(</w:t>
      </w:r>
      <w:r w:rsidRPr="001545EA">
        <w:t>eds</w:t>
      </w:r>
      <w:r>
        <w:t>)</w:t>
      </w:r>
      <w:r w:rsidRPr="001545EA">
        <w:t xml:space="preserve"> </w:t>
      </w:r>
      <w:r>
        <w:t>(</w:t>
      </w:r>
      <w:r w:rsidRPr="001545EA">
        <w:t>2014</w:t>
      </w:r>
      <w:r>
        <w:t>)</w:t>
      </w:r>
      <w:r w:rsidRPr="001545EA">
        <w:t> </w:t>
      </w:r>
      <w:r w:rsidRPr="001545EA">
        <w:rPr>
          <w:i/>
          <w:iCs/>
        </w:rPr>
        <w:t>Workplace well-being: How to build psychologically healthy workplaces</w:t>
      </w:r>
      <w:r w:rsidRPr="001545EA">
        <w:t>. John Wiley &amp; Sons.</w:t>
      </w:r>
    </w:p>
    <w:p w14:paraId="349F3EA6" w14:textId="77777777" w:rsidR="005C4771" w:rsidRDefault="005C4771" w:rsidP="005C4771">
      <w:r w:rsidRPr="00A33FAF">
        <w:t>Day, A. and Penney, S.</w:t>
      </w:r>
      <w:r>
        <w:t xml:space="preserve"> (</w:t>
      </w:r>
      <w:r w:rsidRPr="00A33FAF">
        <w:t>2017</w:t>
      </w:r>
      <w:r>
        <w:t>)</w:t>
      </w:r>
      <w:r w:rsidRPr="00A33FAF">
        <w:t xml:space="preserve"> </w:t>
      </w:r>
      <w:r>
        <w:t>‘</w:t>
      </w:r>
      <w:r w:rsidRPr="00A33FAF">
        <w:t>Essential elements of organizational initiatives to improve workplace wellbeing</w:t>
      </w:r>
      <w:r>
        <w:t>’, i</w:t>
      </w:r>
      <w:r w:rsidRPr="00A33FAF">
        <w:t>n</w:t>
      </w:r>
      <w:r>
        <w:t xml:space="preserve"> C. Cooper and M. Leiter (eds),</w:t>
      </w:r>
      <w:r w:rsidRPr="00A33FAF">
        <w:t> </w:t>
      </w:r>
      <w:r w:rsidRPr="00A33FAF">
        <w:rPr>
          <w:i/>
          <w:iCs/>
        </w:rPr>
        <w:t xml:space="preserve">The Routledge </w:t>
      </w:r>
      <w:r>
        <w:rPr>
          <w:i/>
          <w:iCs/>
        </w:rPr>
        <w:t>C</w:t>
      </w:r>
      <w:r w:rsidRPr="00A33FAF">
        <w:rPr>
          <w:i/>
          <w:iCs/>
        </w:rPr>
        <w:t>ompanion to</w:t>
      </w:r>
      <w:r>
        <w:rPr>
          <w:i/>
          <w:iCs/>
        </w:rPr>
        <w:t xml:space="preserve"> Wellbeing</w:t>
      </w:r>
      <w:r w:rsidRPr="00A33FAF">
        <w:rPr>
          <w:i/>
          <w:iCs/>
        </w:rPr>
        <w:t xml:space="preserve"> at </w:t>
      </w:r>
      <w:r>
        <w:rPr>
          <w:i/>
          <w:iCs/>
        </w:rPr>
        <w:t>W</w:t>
      </w:r>
      <w:r w:rsidRPr="00A33FAF">
        <w:rPr>
          <w:i/>
          <w:iCs/>
        </w:rPr>
        <w:t>ork</w:t>
      </w:r>
      <w:r>
        <w:t xml:space="preserve">. Routledge, </w:t>
      </w:r>
      <w:r w:rsidRPr="00A33FAF">
        <w:t>pp. 314-331</w:t>
      </w:r>
      <w:r>
        <w:t>.</w:t>
      </w:r>
    </w:p>
    <w:p w14:paraId="5C33417E" w14:textId="77777777" w:rsidR="005C4771" w:rsidRDefault="005C4771" w:rsidP="005C4771">
      <w:r>
        <w:t xml:space="preserve">Demissie, B., Bayih, E. and Demmelash, A. (2024) ‘A systematic review of work-related musculoskeletal disorders and risk factors among computer users’, </w:t>
      </w:r>
      <w:r w:rsidRPr="00335401">
        <w:rPr>
          <w:i/>
          <w:iCs/>
        </w:rPr>
        <w:t>Heliyon</w:t>
      </w:r>
      <w:r>
        <w:t xml:space="preserve">, 10(3). Available at: </w:t>
      </w:r>
      <w:hyperlink r:id="rId29" w:history="1">
        <w:r w:rsidRPr="00CA796F">
          <w:rPr>
            <w:rStyle w:val="Hyperlink"/>
          </w:rPr>
          <w:t>https://doi.org/10.1016/j.heliyon.2024.e25075</w:t>
        </w:r>
      </w:hyperlink>
      <w:r>
        <w:t xml:space="preserve"> </w:t>
      </w:r>
    </w:p>
    <w:p w14:paraId="356471CA" w14:textId="77777777" w:rsidR="005C4771" w:rsidRDefault="005C4771" w:rsidP="005C4771">
      <w:r w:rsidRPr="00140FE7">
        <w:lastRenderedPageBreak/>
        <w:t>De Neve, J. and Ward, G. (2026) </w:t>
      </w:r>
      <w:r w:rsidRPr="00140FE7">
        <w:rPr>
          <w:i/>
          <w:iCs/>
        </w:rPr>
        <w:t>Why workplace wellbeing matters: the science behind employee happiness and organizational performance</w:t>
      </w:r>
      <w:r w:rsidRPr="00140FE7">
        <w:t>. Harvard Business Review Press.</w:t>
      </w:r>
    </w:p>
    <w:p w14:paraId="696E2540" w14:textId="77777777" w:rsidR="005C4771" w:rsidRDefault="005C4771" w:rsidP="005C4771">
      <w:r w:rsidRPr="009B0550">
        <w:t>Department for Work and Pensions</w:t>
      </w:r>
      <w:r>
        <w:t>.</w:t>
      </w:r>
      <w:r w:rsidRPr="009B0550">
        <w:t xml:space="preserve"> (2026) </w:t>
      </w:r>
      <w:r w:rsidRPr="009B0550">
        <w:rPr>
          <w:i/>
          <w:iCs/>
        </w:rPr>
        <w:t>Keep Britain Working: Final Report</w:t>
      </w:r>
      <w:r w:rsidRPr="009B0550">
        <w:t xml:space="preserve">. Available at: </w:t>
      </w:r>
      <w:hyperlink r:id="rId30" w:history="1">
        <w:r w:rsidRPr="00A90309">
          <w:rPr>
            <w:rStyle w:val="Hyperlink"/>
          </w:rPr>
          <w:t>https://www.gov.uk/government/publications/keep-britain-working-review-final-report/keep-britain-working-final-report</w:t>
        </w:r>
      </w:hyperlink>
      <w:r>
        <w:t xml:space="preserve"> </w:t>
      </w:r>
      <w:r w:rsidRPr="009B0550">
        <w:t>(Accessed: 4 May 2026).</w:t>
      </w:r>
    </w:p>
    <w:p w14:paraId="41980468" w14:textId="77777777" w:rsidR="005C4771" w:rsidRDefault="005C4771" w:rsidP="005C4771">
      <w:r>
        <w:t>D</w:t>
      </w:r>
      <w:r w:rsidRPr="00A82A5B">
        <w:t>er Meer, S., Smit, D</w:t>
      </w:r>
      <w:r>
        <w:t>.</w:t>
      </w:r>
      <w:r w:rsidRPr="00A82A5B">
        <w:t>, Hutting, N.</w:t>
      </w:r>
      <w:r>
        <w:t xml:space="preserve">, </w:t>
      </w:r>
      <w:r w:rsidRPr="00A82A5B">
        <w:t>van Lankveld</w:t>
      </w:r>
      <w:r>
        <w:t xml:space="preserve">, </w:t>
      </w:r>
      <w:r w:rsidRPr="00A82A5B">
        <w:t>W</w:t>
      </w:r>
      <w:r>
        <w:t>.,</w:t>
      </w:r>
      <w:r w:rsidRPr="00A82A5B">
        <w:t xml:space="preserve"> Engel</w:t>
      </w:r>
      <w:r>
        <w:t>s,</w:t>
      </w:r>
      <w:r w:rsidRPr="00A82A5B">
        <w:t xml:space="preserve"> J</w:t>
      </w:r>
      <w:r>
        <w:t xml:space="preserve">., </w:t>
      </w:r>
      <w:r w:rsidRPr="00A82A5B">
        <w:t>Reneman</w:t>
      </w:r>
      <w:r>
        <w:t>,</w:t>
      </w:r>
      <w:r w:rsidRPr="00A82A5B">
        <w:t xml:space="preserve"> M</w:t>
      </w:r>
      <w:r>
        <w:t>.</w:t>
      </w:r>
      <w:r w:rsidRPr="00A82A5B">
        <w:t>, Pelgrim</w:t>
      </w:r>
      <w:r>
        <w:t>,</w:t>
      </w:r>
      <w:r w:rsidRPr="00A82A5B">
        <w:t xml:space="preserve"> T</w:t>
      </w:r>
      <w:r>
        <w:t xml:space="preserve">. and </w:t>
      </w:r>
      <w:r w:rsidRPr="00A82A5B">
        <w:t>Staal J. (2024) ‘Facilitators and Barriers to Implementing Interventions to Prevent Musculoskeletal Disorders in Blue-Collar Workers: A Scoping Review</w:t>
      </w:r>
      <w:r>
        <w:t>’,</w:t>
      </w:r>
      <w:r w:rsidRPr="00A82A5B">
        <w:t> </w:t>
      </w:r>
      <w:r w:rsidRPr="00A82A5B">
        <w:rPr>
          <w:i/>
          <w:iCs/>
        </w:rPr>
        <w:t>J</w:t>
      </w:r>
      <w:r>
        <w:rPr>
          <w:i/>
          <w:iCs/>
        </w:rPr>
        <w:t xml:space="preserve">ournal of </w:t>
      </w:r>
      <w:r w:rsidRPr="00A82A5B">
        <w:rPr>
          <w:i/>
          <w:iCs/>
        </w:rPr>
        <w:t>Occup</w:t>
      </w:r>
      <w:r>
        <w:rPr>
          <w:i/>
          <w:iCs/>
        </w:rPr>
        <w:t>ational</w:t>
      </w:r>
      <w:r w:rsidRPr="00A82A5B">
        <w:rPr>
          <w:i/>
          <w:iCs/>
        </w:rPr>
        <w:t xml:space="preserve"> Rehabil</w:t>
      </w:r>
      <w:r>
        <w:rPr>
          <w:i/>
          <w:iCs/>
        </w:rPr>
        <w:t>itation,</w:t>
      </w:r>
      <w:r w:rsidRPr="00A82A5B">
        <w:t> 34</w:t>
      </w:r>
      <w:r>
        <w:t>(3)</w:t>
      </w:r>
      <w:r w:rsidRPr="00A82A5B">
        <w:t xml:space="preserve">, </w:t>
      </w:r>
      <w:r>
        <w:t xml:space="preserve">pp. </w:t>
      </w:r>
      <w:r w:rsidRPr="00A82A5B">
        <w:t>555–567</w:t>
      </w:r>
      <w:r>
        <w:t xml:space="preserve">. Available at: </w:t>
      </w:r>
      <w:hyperlink r:id="rId31" w:history="1">
        <w:r w:rsidRPr="00A90309">
          <w:rPr>
            <w:rStyle w:val="Hyperlink"/>
          </w:rPr>
          <w:t>https://doi.org/10.1007/s10926-023-10162-y</w:t>
        </w:r>
      </w:hyperlink>
      <w:r>
        <w:t xml:space="preserve"> </w:t>
      </w:r>
    </w:p>
    <w:p w14:paraId="7FEDE2CB" w14:textId="77777777" w:rsidR="005C4771" w:rsidRDefault="005C4771" w:rsidP="005C4771">
      <w:r w:rsidRPr="00305FF4">
        <w:t>De Waal, A., Killian, A., Gagela, A., Baartzes, J. and De Klerk, S.</w:t>
      </w:r>
      <w:r>
        <w:t xml:space="preserve"> (</w:t>
      </w:r>
      <w:r w:rsidRPr="00305FF4">
        <w:t>2025</w:t>
      </w:r>
      <w:r>
        <w:t>)</w:t>
      </w:r>
      <w:r w:rsidRPr="00305FF4">
        <w:t xml:space="preserve"> </w:t>
      </w:r>
      <w:r>
        <w:t>‘</w:t>
      </w:r>
      <w:r w:rsidRPr="00305FF4">
        <w:t>Therapeutic approaches for the prevention of upper limb repetitive strain injuries in work-related computer use: a scoping review</w:t>
      </w:r>
      <w:r>
        <w:t>’,</w:t>
      </w:r>
      <w:r w:rsidRPr="00305FF4">
        <w:t> </w:t>
      </w:r>
      <w:r w:rsidRPr="00305FF4">
        <w:rPr>
          <w:i/>
          <w:iCs/>
        </w:rPr>
        <w:t>Journal of Occupational Rehabilitation</w:t>
      </w:r>
      <w:r w:rsidRPr="00305FF4">
        <w:t>, 35(2), pp.234-267.</w:t>
      </w:r>
      <w:r>
        <w:t xml:space="preserve"> Available at: </w:t>
      </w:r>
      <w:hyperlink r:id="rId32" w:history="1">
        <w:r w:rsidRPr="00CA796F">
          <w:rPr>
            <w:rStyle w:val="Hyperlink"/>
          </w:rPr>
          <w:t>https://doi.org/10.1007/s10926-024-10204-z</w:t>
        </w:r>
      </w:hyperlink>
      <w:r>
        <w:t xml:space="preserve"> </w:t>
      </w:r>
    </w:p>
    <w:p w14:paraId="64227DDB" w14:textId="77777777" w:rsidR="005C4771" w:rsidRDefault="005C4771" w:rsidP="005C4771">
      <w:r w:rsidRPr="00ED2759">
        <w:t>Dongre, A.</w:t>
      </w:r>
      <w:r>
        <w:t xml:space="preserve"> (</w:t>
      </w:r>
      <w:r w:rsidRPr="00ED2759">
        <w:t>2024</w:t>
      </w:r>
      <w:r>
        <w:t>)</w:t>
      </w:r>
      <w:r w:rsidRPr="00ED2759">
        <w:t xml:space="preserve"> </w:t>
      </w:r>
      <w:r>
        <w:t>‘</w:t>
      </w:r>
      <w:r w:rsidRPr="00ED2759">
        <w:t>Enhancing Organizational Efficiency through Employee Well-being Initiatives: Importance, Impact, and Strategic Insight</w:t>
      </w:r>
      <w:r>
        <w:t>s’,</w:t>
      </w:r>
      <w:r w:rsidRPr="00ED2759">
        <w:t> </w:t>
      </w:r>
      <w:r w:rsidRPr="00ED2759">
        <w:rPr>
          <w:i/>
          <w:iCs/>
        </w:rPr>
        <w:t>International Journal of Smart Business and Technology</w:t>
      </w:r>
      <w:r w:rsidRPr="00ED2759">
        <w:t>, </w:t>
      </w:r>
      <w:r w:rsidRPr="00A67CF7">
        <w:t>12</w:t>
      </w:r>
      <w:r w:rsidRPr="00ED2759">
        <w:t>(1), pp.</w:t>
      </w:r>
      <w:r>
        <w:t xml:space="preserve"> </w:t>
      </w:r>
      <w:r w:rsidRPr="00ED2759">
        <w:t>39-48.</w:t>
      </w:r>
      <w:r>
        <w:t xml:space="preserve"> Available at: </w:t>
      </w:r>
      <w:hyperlink r:id="rId33" w:history="1">
        <w:r w:rsidRPr="00A90309">
          <w:rPr>
            <w:rStyle w:val="Hyperlink"/>
          </w:rPr>
          <w:t>http://dx.doi.org/10.21742/ijsbt.2024.12.1.05</w:t>
        </w:r>
      </w:hyperlink>
      <w:r>
        <w:t xml:space="preserve"> </w:t>
      </w:r>
    </w:p>
    <w:p w14:paraId="1A431AFE" w14:textId="77777777" w:rsidR="005C4771" w:rsidRDefault="005C4771" w:rsidP="005C4771">
      <w:r w:rsidRPr="00655741">
        <w:t>Dulal-Arthur, T., Hassard, J., Bourke, J., Roper, S., Wishart, M., Belt, V., Bartle, C., Leka, S., Pahl, N., Thomson, L. and Blake, H.</w:t>
      </w:r>
      <w:r>
        <w:t xml:space="preserve"> (</w:t>
      </w:r>
      <w:r w:rsidRPr="00655741">
        <w:t>2024</w:t>
      </w:r>
      <w:r>
        <w:t>)</w:t>
      </w:r>
      <w:r w:rsidRPr="00655741">
        <w:t xml:space="preserve"> </w:t>
      </w:r>
      <w:r>
        <w:t>‘</w:t>
      </w:r>
      <w:r w:rsidRPr="00655741">
        <w:t>Line manager training and organizational approaches to supporting well-being</w:t>
      </w:r>
      <w:r>
        <w:t>’,</w:t>
      </w:r>
      <w:r w:rsidRPr="00655741">
        <w:t> </w:t>
      </w:r>
      <w:r w:rsidRPr="00655741">
        <w:rPr>
          <w:i/>
          <w:iCs/>
        </w:rPr>
        <w:t>Occupational Medicine</w:t>
      </w:r>
      <w:r w:rsidRPr="00655741">
        <w:t>, </w:t>
      </w:r>
      <w:r w:rsidRPr="00325146">
        <w:t>74</w:t>
      </w:r>
      <w:r w:rsidRPr="00655741">
        <w:t>(6), pp.416-422.</w:t>
      </w:r>
      <w:r>
        <w:t xml:space="preserve"> Available at: </w:t>
      </w:r>
      <w:hyperlink r:id="rId34" w:history="1">
        <w:r w:rsidRPr="00655741">
          <w:rPr>
            <w:rStyle w:val="Hyperlink"/>
          </w:rPr>
          <w:t>https://doi.org/10.1093/occmed/kqae051</w:t>
        </w:r>
      </w:hyperlink>
    </w:p>
    <w:p w14:paraId="1B6F5359" w14:textId="77777777" w:rsidR="005C4771" w:rsidRPr="00213ADC" w:rsidRDefault="005C4771" w:rsidP="005C4771">
      <w:pPr>
        <w:rPr>
          <w:b/>
          <w:bCs/>
        </w:rPr>
      </w:pPr>
      <w:r>
        <w:t xml:space="preserve">Eliatamby, A. (2024) </w:t>
      </w:r>
      <w:r w:rsidRPr="00213ADC">
        <w:rPr>
          <w:i/>
          <w:iCs/>
        </w:rPr>
        <w:t>How to create a mental health and wellbeing programme that works.</w:t>
      </w:r>
      <w:r>
        <w:rPr>
          <w:i/>
          <w:iCs/>
        </w:rPr>
        <w:t xml:space="preserve"> </w:t>
      </w:r>
      <w:r>
        <w:t xml:space="preserve">Available at: </w:t>
      </w:r>
      <w:hyperlink r:id="rId35" w:history="1">
        <w:r w:rsidRPr="00E05617">
          <w:rPr>
            <w:rStyle w:val="Hyperlink"/>
          </w:rPr>
          <w:t>https://www.peoplemanagement.co.uk/article/1872950/create-mental-health-wellbeing-programme-works</w:t>
        </w:r>
      </w:hyperlink>
      <w:r>
        <w:t xml:space="preserve"> (Accessed: 28 May 2026). </w:t>
      </w:r>
    </w:p>
    <w:p w14:paraId="18DD4557" w14:textId="77777777" w:rsidR="005C4771" w:rsidRPr="00320198" w:rsidRDefault="005C4771" w:rsidP="005C4771">
      <w:pPr>
        <w:rPr>
          <w:color w:val="467886" w:themeColor="hyperlink"/>
          <w:u w:val="single"/>
        </w:rPr>
      </w:pPr>
      <w:r w:rsidRPr="00BC1619">
        <w:t>Forthal, S., Sadowska, K., Pike, K., Balachander, M., Jacobsson, K. and Hermosilla, S</w:t>
      </w:r>
      <w:r>
        <w:t>.</w:t>
      </w:r>
      <w:r w:rsidRPr="00BC1619">
        <w:t xml:space="preserve"> </w:t>
      </w:r>
      <w:r>
        <w:t>(</w:t>
      </w:r>
      <w:r w:rsidRPr="00BC1619">
        <w:t>2022</w:t>
      </w:r>
      <w:r>
        <w:t>)</w:t>
      </w:r>
      <w:r w:rsidRPr="00BC1619">
        <w:t xml:space="preserve"> </w:t>
      </w:r>
      <w:r>
        <w:t>‘</w:t>
      </w:r>
      <w:r w:rsidRPr="00BC1619">
        <w:t>Mental health first aid: A systematic review of trainee behavior and recipient mental health outcomes</w:t>
      </w:r>
      <w:r>
        <w:t xml:space="preserve">’, </w:t>
      </w:r>
      <w:r w:rsidRPr="00BC1619">
        <w:rPr>
          <w:i/>
          <w:iCs/>
        </w:rPr>
        <w:t xml:space="preserve">Psychiatric </w:t>
      </w:r>
      <w:r>
        <w:rPr>
          <w:i/>
          <w:iCs/>
        </w:rPr>
        <w:t>S</w:t>
      </w:r>
      <w:r w:rsidRPr="00BC1619">
        <w:rPr>
          <w:i/>
          <w:iCs/>
        </w:rPr>
        <w:t>ervices</w:t>
      </w:r>
      <w:r w:rsidRPr="00BC1619">
        <w:t>, </w:t>
      </w:r>
      <w:r w:rsidRPr="006A3C6B">
        <w:t>73(</w:t>
      </w:r>
      <w:r w:rsidRPr="00BC1619">
        <w:t>4), pp.</w:t>
      </w:r>
      <w:r>
        <w:t xml:space="preserve"> </w:t>
      </w:r>
      <w:r w:rsidRPr="00BC1619">
        <w:t>439-446.</w:t>
      </w:r>
      <w:r>
        <w:t xml:space="preserve"> Available at: </w:t>
      </w:r>
      <w:hyperlink r:id="rId36" w:history="1">
        <w:r w:rsidRPr="00BC1619">
          <w:rPr>
            <w:rStyle w:val="Hyperlink"/>
          </w:rPr>
          <w:t>https://doi.org/10.1176/appi.ps.202100027</w:t>
        </w:r>
      </w:hyperlink>
    </w:p>
    <w:p w14:paraId="7BB9E36F" w14:textId="77777777" w:rsidR="005C4771" w:rsidRPr="00320198" w:rsidRDefault="005C4771" w:rsidP="005C4771">
      <w:pPr>
        <w:rPr>
          <w:b/>
          <w:bCs/>
        </w:rPr>
      </w:pPr>
      <w:r>
        <w:t xml:space="preserve">Gallacher, J. (2021) </w:t>
      </w:r>
      <w:r w:rsidRPr="00320198">
        <w:rPr>
          <w:i/>
          <w:iCs/>
        </w:rPr>
        <w:t>Managers should encourage exercise breaks at work, researchers say.</w:t>
      </w:r>
      <w:r w:rsidRPr="00320198">
        <w:t xml:space="preserve"> Available at:</w:t>
      </w:r>
      <w:r>
        <w:rPr>
          <w:b/>
          <w:bCs/>
        </w:rPr>
        <w:t xml:space="preserve"> </w:t>
      </w:r>
      <w:hyperlink r:id="rId37" w:history="1">
        <w:r w:rsidRPr="00320198">
          <w:rPr>
            <w:rStyle w:val="Hyperlink"/>
          </w:rPr>
          <w:t>https://www.hrmagazine.co.uk/content/news/managers-should-encourage-exercise-breaks-at-work-researchers-say</w:t>
        </w:r>
      </w:hyperlink>
      <w:r w:rsidRPr="00320198">
        <w:t xml:space="preserve"> (Accessed: 27 May 2026).</w:t>
      </w:r>
    </w:p>
    <w:p w14:paraId="25570872" w14:textId="77777777" w:rsidR="005C4771" w:rsidRDefault="005C4771" w:rsidP="005C4771">
      <w:r w:rsidRPr="00F9432E">
        <w:t>Gauche, C., de Beer, L. and Brink, L.</w:t>
      </w:r>
      <w:r>
        <w:t xml:space="preserve"> (</w:t>
      </w:r>
      <w:r w:rsidRPr="00F9432E">
        <w:t>2017</w:t>
      </w:r>
      <w:r>
        <w:t>)</w:t>
      </w:r>
      <w:r w:rsidRPr="00F9432E">
        <w:t xml:space="preserve"> </w:t>
      </w:r>
      <w:r>
        <w:t>‘</w:t>
      </w:r>
      <w:r w:rsidRPr="00F9432E">
        <w:t>Managing employee well-being: A qualitative study exploring job and personal resources of at-risk employees</w:t>
      </w:r>
      <w:r>
        <w:t>’,</w:t>
      </w:r>
      <w:r w:rsidRPr="00F9432E">
        <w:t> </w:t>
      </w:r>
      <w:r w:rsidRPr="00F9432E">
        <w:rPr>
          <w:i/>
          <w:iCs/>
        </w:rPr>
        <w:t>SA Journal of Human Resource Management</w:t>
      </w:r>
      <w:r w:rsidRPr="00F9432E">
        <w:t>, </w:t>
      </w:r>
      <w:r w:rsidRPr="00155BA5">
        <w:t>15</w:t>
      </w:r>
      <w:r w:rsidRPr="00F9432E">
        <w:t>, p.13.</w:t>
      </w:r>
      <w:r>
        <w:t xml:space="preserve"> Available at: </w:t>
      </w:r>
      <w:r w:rsidRPr="00A37735">
        <w:t> </w:t>
      </w:r>
      <w:hyperlink r:id="rId38" w:history="1">
        <w:r w:rsidRPr="00A37735">
          <w:rPr>
            <w:rStyle w:val="Hyperlink"/>
          </w:rPr>
          <w:t>https://doi.org/10.4102/sajhrm.v15i0.957</w:t>
        </w:r>
      </w:hyperlink>
    </w:p>
    <w:p w14:paraId="16EBBF47" w14:textId="77777777" w:rsidR="005C4771" w:rsidRDefault="005C4771" w:rsidP="005C4771">
      <w:r w:rsidRPr="00042958">
        <w:t>Grana, E</w:t>
      </w:r>
      <w:r>
        <w:t>.,</w:t>
      </w:r>
      <w:r w:rsidRPr="00042958">
        <w:t xml:space="preserve"> Galanis, P</w:t>
      </w:r>
      <w:r>
        <w:t>.,</w:t>
      </w:r>
      <w:r w:rsidRPr="00042958">
        <w:t xml:space="preserve"> Velonakis, E</w:t>
      </w:r>
      <w:r>
        <w:t>.,</w:t>
      </w:r>
      <w:r w:rsidRPr="00042958">
        <w:t xml:space="preserve"> Tziaferi, </w:t>
      </w:r>
      <w:r>
        <w:t>S. and</w:t>
      </w:r>
      <w:r w:rsidRPr="00042958">
        <w:t xml:space="preserve"> Sourtzi, P. (2024) </w:t>
      </w:r>
      <w:r>
        <w:t>‘</w:t>
      </w:r>
      <w:r w:rsidRPr="00042958">
        <w:t>Investigating the Effectiveness of a Workplace Musculoskeletal Disorders Management Program</w:t>
      </w:r>
      <w:r>
        <w:t>’,</w:t>
      </w:r>
      <w:r w:rsidRPr="00042958">
        <w:t xml:space="preserve"> </w:t>
      </w:r>
      <w:r w:rsidRPr="00042958">
        <w:rPr>
          <w:i/>
          <w:iCs/>
        </w:rPr>
        <w:t>Healthcare</w:t>
      </w:r>
      <w:r>
        <w:t xml:space="preserve">, </w:t>
      </w:r>
      <w:r w:rsidRPr="00042958">
        <w:t>12</w:t>
      </w:r>
      <w:r>
        <w:t>(18), pp.</w:t>
      </w:r>
      <w:r w:rsidRPr="00042958">
        <w:t xml:space="preserve"> 1815. </w:t>
      </w:r>
      <w:r>
        <w:t xml:space="preserve">Available at: </w:t>
      </w:r>
      <w:r w:rsidRPr="00042958">
        <w:t> </w:t>
      </w:r>
      <w:hyperlink r:id="rId39" w:history="1">
        <w:r w:rsidRPr="00042958">
          <w:rPr>
            <w:rStyle w:val="Hyperlink"/>
          </w:rPr>
          <w:t>https://doi.org/10.3390/healthcare12181815</w:t>
        </w:r>
      </w:hyperlink>
    </w:p>
    <w:p w14:paraId="6D15D3AB" w14:textId="77777777" w:rsidR="005C4771" w:rsidRPr="005848E2" w:rsidRDefault="005C4771" w:rsidP="005C4771">
      <w:r w:rsidRPr="005848E2">
        <w:t>Guest, D.</w:t>
      </w:r>
      <w:r>
        <w:t xml:space="preserve"> (</w:t>
      </w:r>
      <w:r w:rsidRPr="005848E2">
        <w:t>2002</w:t>
      </w:r>
      <w:r>
        <w:t>)</w:t>
      </w:r>
      <w:r w:rsidRPr="005848E2">
        <w:t xml:space="preserve"> </w:t>
      </w:r>
      <w:r>
        <w:t>‘</w:t>
      </w:r>
      <w:r w:rsidRPr="005848E2">
        <w:t>Human resource management, corporate performance and employee wellbeing: Building the worker into HRM</w:t>
      </w:r>
      <w:r>
        <w:t>’,</w:t>
      </w:r>
      <w:r w:rsidRPr="005848E2">
        <w:t> </w:t>
      </w:r>
      <w:r w:rsidRPr="005848E2">
        <w:rPr>
          <w:i/>
          <w:iCs/>
        </w:rPr>
        <w:t xml:space="preserve">The </w:t>
      </w:r>
      <w:r>
        <w:rPr>
          <w:i/>
          <w:iCs/>
        </w:rPr>
        <w:t>J</w:t>
      </w:r>
      <w:r w:rsidRPr="005848E2">
        <w:rPr>
          <w:i/>
          <w:iCs/>
        </w:rPr>
        <w:t xml:space="preserve">ournal of </w:t>
      </w:r>
      <w:r>
        <w:rPr>
          <w:i/>
          <w:iCs/>
        </w:rPr>
        <w:t>I</w:t>
      </w:r>
      <w:r w:rsidRPr="005848E2">
        <w:rPr>
          <w:i/>
          <w:iCs/>
        </w:rPr>
        <w:t xml:space="preserve">ndustrial </w:t>
      </w:r>
      <w:r>
        <w:rPr>
          <w:i/>
          <w:iCs/>
        </w:rPr>
        <w:t>R</w:t>
      </w:r>
      <w:r w:rsidRPr="005848E2">
        <w:rPr>
          <w:i/>
          <w:iCs/>
        </w:rPr>
        <w:t>elations</w:t>
      </w:r>
      <w:r w:rsidRPr="005848E2">
        <w:t>, 44(3), pp.</w:t>
      </w:r>
      <w:r>
        <w:t xml:space="preserve"> </w:t>
      </w:r>
      <w:r w:rsidRPr="005848E2">
        <w:t>335-358.</w:t>
      </w:r>
      <w:r>
        <w:t xml:space="preserve"> Available at: </w:t>
      </w:r>
      <w:r w:rsidRPr="005848E2">
        <w:t> </w:t>
      </w:r>
      <w:hyperlink r:id="rId40" w:history="1">
        <w:r w:rsidRPr="005848E2">
          <w:rPr>
            <w:rStyle w:val="Hyperlink"/>
          </w:rPr>
          <w:t>https://doi.org/10.1111/1472-9296.00053</w:t>
        </w:r>
      </w:hyperlink>
    </w:p>
    <w:p w14:paraId="79662EE5" w14:textId="77777777" w:rsidR="005C4771" w:rsidRDefault="005C4771" w:rsidP="005C4771">
      <w:r w:rsidRPr="008339C2">
        <w:lastRenderedPageBreak/>
        <w:t>Guest, D.</w:t>
      </w:r>
      <w:r>
        <w:t xml:space="preserve"> (</w:t>
      </w:r>
      <w:r w:rsidRPr="008339C2">
        <w:t>2017</w:t>
      </w:r>
      <w:r>
        <w:t>)</w:t>
      </w:r>
      <w:r w:rsidRPr="008339C2">
        <w:t xml:space="preserve"> </w:t>
      </w:r>
      <w:r>
        <w:t>‘</w:t>
      </w:r>
      <w:r w:rsidRPr="008339C2">
        <w:t>Human resource management and employee well</w:t>
      </w:r>
      <w:r w:rsidRPr="008339C2">
        <w:rPr>
          <w:rFonts w:ascii="Cambria Math" w:hAnsi="Cambria Math" w:cs="Cambria Math"/>
        </w:rPr>
        <w:t>‐</w:t>
      </w:r>
      <w:r w:rsidRPr="008339C2">
        <w:t>being: Towards a new analytic framework</w:t>
      </w:r>
      <w:r>
        <w:t>’,</w:t>
      </w:r>
      <w:r w:rsidRPr="008339C2">
        <w:rPr>
          <w:rFonts w:ascii="Aptos" w:hAnsi="Aptos" w:cs="Aptos"/>
        </w:rPr>
        <w:t> </w:t>
      </w:r>
      <w:r w:rsidRPr="008339C2">
        <w:rPr>
          <w:i/>
          <w:iCs/>
        </w:rPr>
        <w:t xml:space="preserve">Human </w:t>
      </w:r>
      <w:r>
        <w:rPr>
          <w:i/>
          <w:iCs/>
        </w:rPr>
        <w:t>R</w:t>
      </w:r>
      <w:r w:rsidRPr="008339C2">
        <w:rPr>
          <w:i/>
          <w:iCs/>
        </w:rPr>
        <w:t xml:space="preserve">esource </w:t>
      </w:r>
      <w:r>
        <w:rPr>
          <w:i/>
          <w:iCs/>
        </w:rPr>
        <w:t>M</w:t>
      </w:r>
      <w:r w:rsidRPr="008339C2">
        <w:rPr>
          <w:i/>
          <w:iCs/>
        </w:rPr>
        <w:t xml:space="preserve">anagement </w:t>
      </w:r>
      <w:r>
        <w:rPr>
          <w:i/>
          <w:iCs/>
        </w:rPr>
        <w:t>J</w:t>
      </w:r>
      <w:r w:rsidRPr="008339C2">
        <w:rPr>
          <w:i/>
          <w:iCs/>
        </w:rPr>
        <w:t>ournal</w:t>
      </w:r>
      <w:r w:rsidRPr="008339C2">
        <w:t>, </w:t>
      </w:r>
      <w:r w:rsidRPr="00086CD8">
        <w:t>27</w:t>
      </w:r>
      <w:r w:rsidRPr="008339C2">
        <w:t>(1), pp.22-38.</w:t>
      </w:r>
      <w:r>
        <w:t xml:space="preserve"> Available at: </w:t>
      </w:r>
      <w:hyperlink r:id="rId41" w:tgtFrame="_blank" w:tooltip="Link to external resource: 10.1111/1748-8583.12139" w:history="1">
        <w:r w:rsidRPr="008339C2">
          <w:rPr>
            <w:rStyle w:val="Hyperlink"/>
          </w:rPr>
          <w:t>10.1111/1748-8583.12139</w:t>
        </w:r>
      </w:hyperlink>
      <w:r w:rsidRPr="008339C2">
        <w:t>.</w:t>
      </w:r>
    </w:p>
    <w:p w14:paraId="6021F70F" w14:textId="77777777" w:rsidR="005C4771" w:rsidRDefault="005C4771" w:rsidP="005C4771">
      <w:pPr>
        <w:rPr>
          <w:rStyle w:val="Hyperlink"/>
        </w:rPr>
      </w:pPr>
      <w:r w:rsidRPr="00FB2664">
        <w:t>Hadjisolomou, A</w:t>
      </w:r>
      <w:r>
        <w:t>.</w:t>
      </w:r>
      <w:r w:rsidRPr="00FB2664">
        <w:t>, Remnant, J</w:t>
      </w:r>
      <w:r>
        <w:t>.</w:t>
      </w:r>
      <w:r w:rsidRPr="00FB2664">
        <w:t>, Mitsakis, F</w:t>
      </w:r>
      <w:r>
        <w:t>.</w:t>
      </w:r>
      <w:r w:rsidRPr="00FB2664">
        <w:t>, Haroon Tejumola, Q</w:t>
      </w:r>
      <w:r>
        <w:t>.</w:t>
      </w:r>
      <w:r w:rsidRPr="00FB2664">
        <w:t> </w:t>
      </w:r>
      <w:r>
        <w:t>and</w:t>
      </w:r>
      <w:r w:rsidRPr="00FB2664">
        <w:t xml:space="preserve"> Cunningham, I</w:t>
      </w:r>
      <w:r>
        <w:t>. (</w:t>
      </w:r>
      <w:r w:rsidRPr="00FB2664">
        <w:t>2025</w:t>
      </w:r>
      <w:r>
        <w:t>)</w:t>
      </w:r>
      <w:r w:rsidRPr="00FB2664">
        <w:t> </w:t>
      </w:r>
      <w:r w:rsidRPr="00FB2664">
        <w:rPr>
          <w:i/>
          <w:iCs/>
        </w:rPr>
        <w:t>Line Managers and the Management of (Sickness) Absence in Social Care</w:t>
      </w:r>
      <w:r w:rsidRPr="00FB2664">
        <w:t>. University of Strathclyde. </w:t>
      </w:r>
      <w:r>
        <w:t xml:space="preserve">Available at: </w:t>
      </w:r>
      <w:hyperlink r:id="rId42" w:history="1">
        <w:r w:rsidRPr="00C74EAE">
          <w:rPr>
            <w:rStyle w:val="Hyperlink"/>
          </w:rPr>
          <w:t>https://doi.org/10.17868/strath.00094607</w:t>
        </w:r>
      </w:hyperlink>
    </w:p>
    <w:p w14:paraId="120FDBA2" w14:textId="77777777" w:rsidR="005C4771" w:rsidRDefault="005C4771" w:rsidP="005C4771">
      <w:r w:rsidRPr="0071537D">
        <w:t>Health and Safety Executive</w:t>
      </w:r>
      <w:r>
        <w:t>.</w:t>
      </w:r>
      <w:r w:rsidRPr="0071537D">
        <w:t xml:space="preserve"> (2013) </w:t>
      </w:r>
      <w:r w:rsidRPr="0071537D">
        <w:rPr>
          <w:i/>
          <w:iCs/>
        </w:rPr>
        <w:t>Working with display screen equipment (DSE): A brief guide</w:t>
      </w:r>
      <w:r w:rsidRPr="0071537D">
        <w:t>.</w:t>
      </w:r>
      <w:r>
        <w:t xml:space="preserve"> </w:t>
      </w:r>
      <w:r w:rsidRPr="0071537D">
        <w:t xml:space="preserve">Available at: </w:t>
      </w:r>
      <w:hyperlink r:id="rId43" w:history="1">
        <w:r w:rsidRPr="00CA796F">
          <w:rPr>
            <w:rStyle w:val="Hyperlink"/>
          </w:rPr>
          <w:t>https://www.hse.gov.uk/pubns/indg36.pdf</w:t>
        </w:r>
      </w:hyperlink>
      <w:r>
        <w:t xml:space="preserve"> </w:t>
      </w:r>
      <w:r w:rsidRPr="0071537D">
        <w:t>(Accessed: 27 May 2026).</w:t>
      </w:r>
    </w:p>
    <w:p w14:paraId="05699FE2" w14:textId="77777777" w:rsidR="005C4771" w:rsidRDefault="005C4771" w:rsidP="005C4771">
      <w:r>
        <w:t xml:space="preserve">Hlupic, V. (2022) </w:t>
      </w:r>
      <w:r>
        <w:rPr>
          <w:i/>
          <w:iCs/>
        </w:rPr>
        <w:t xml:space="preserve">What leaders must do now to promote employee wellbeing. </w:t>
      </w:r>
      <w:r>
        <w:t xml:space="preserve">Available at: </w:t>
      </w:r>
      <w:hyperlink r:id="rId44" w:history="1">
        <w:r w:rsidRPr="00C74EAE">
          <w:rPr>
            <w:rStyle w:val="Hyperlink"/>
          </w:rPr>
          <w:t>https://www.peoplemanagement.co.uk/article/1790398/leaders-promote-employee-wellbeing</w:t>
        </w:r>
      </w:hyperlink>
      <w:r>
        <w:t xml:space="preserve"> (Accessed: 4 May 2026). </w:t>
      </w:r>
    </w:p>
    <w:p w14:paraId="40276643" w14:textId="77777777" w:rsidR="005C4771" w:rsidRPr="009A23A1" w:rsidRDefault="005C4771" w:rsidP="005C4771">
      <w:r w:rsidRPr="00A37CE1">
        <w:t xml:space="preserve">Hofstede, </w:t>
      </w:r>
      <w:r>
        <w:t>G. (</w:t>
      </w:r>
      <w:r w:rsidRPr="00A37CE1">
        <w:t>1998</w:t>
      </w:r>
      <w:r>
        <w:t>)</w:t>
      </w:r>
      <w:r w:rsidRPr="00A37CE1">
        <w:t xml:space="preserve"> </w:t>
      </w:r>
      <w:r>
        <w:t>‘</w:t>
      </w:r>
      <w:hyperlink r:id="rId45" w:history="1">
        <w:r w:rsidRPr="00A37CE1">
          <w:rPr>
            <w:rStyle w:val="Hyperlink"/>
          </w:rPr>
          <w:t>Identifying Organizational Subcultures: An Empirical Approach</w:t>
        </w:r>
      </w:hyperlink>
      <w:r w:rsidRPr="00A37CE1">
        <w:t>’, </w:t>
      </w:r>
      <w:hyperlink r:id="rId46" w:history="1">
        <w:r w:rsidRPr="00A37CE1">
          <w:rPr>
            <w:rStyle w:val="Hyperlink"/>
            <w:i/>
            <w:iCs/>
          </w:rPr>
          <w:t>Journal of Management Studies</w:t>
        </w:r>
      </w:hyperlink>
      <w:r w:rsidRPr="00A37CE1">
        <w:t xml:space="preserve">, 35(1), </w:t>
      </w:r>
      <w:r>
        <w:t>pp.</w:t>
      </w:r>
      <w:r w:rsidRPr="00A37CE1">
        <w:t xml:space="preserve"> 1-12</w:t>
      </w:r>
      <w:r>
        <w:t xml:space="preserve">. Available at: </w:t>
      </w:r>
      <w:hyperlink r:id="rId47" w:history="1">
        <w:r w:rsidRPr="009A23A1">
          <w:rPr>
            <w:rStyle w:val="Hyperlink"/>
          </w:rPr>
          <w:t>https://doi.org/10.1111/1467-6486.00081</w:t>
        </w:r>
      </w:hyperlink>
    </w:p>
    <w:p w14:paraId="428AE4EB" w14:textId="77777777" w:rsidR="005C4771" w:rsidRDefault="005C4771" w:rsidP="005C4771">
      <w:r w:rsidRPr="00F5058F">
        <w:t>Irvine, A. and Suter, J.</w:t>
      </w:r>
      <w:r>
        <w:t xml:space="preserve"> (</w:t>
      </w:r>
      <w:r w:rsidRPr="00F5058F">
        <w:t>2023</w:t>
      </w:r>
      <w:r>
        <w:t>) ‘</w:t>
      </w:r>
      <w:r w:rsidRPr="00F5058F">
        <w:t>Managing mental health problems in the workplace: are small businesses different?</w:t>
      </w:r>
      <w:r>
        <w:t xml:space="preserve">’, </w:t>
      </w:r>
      <w:r w:rsidRPr="00F5058F">
        <w:rPr>
          <w:i/>
          <w:iCs/>
        </w:rPr>
        <w:t>Employee Relations: The International Journal</w:t>
      </w:r>
      <w:r w:rsidRPr="00F5058F">
        <w:t>, 45(5), pp.1161-1179.</w:t>
      </w:r>
      <w:r>
        <w:t xml:space="preserve"> Available at: </w:t>
      </w:r>
      <w:hyperlink r:id="rId48" w:tgtFrame="_blank" w:history="1">
        <w:r w:rsidRPr="00F5058F">
          <w:rPr>
            <w:rStyle w:val="Hyperlink"/>
          </w:rPr>
          <w:t>https://doi.org/10.1108/ER-09-2022-0451</w:t>
        </w:r>
      </w:hyperlink>
    </w:p>
    <w:p w14:paraId="657CD746" w14:textId="77777777" w:rsidR="005C4771" w:rsidRDefault="005C4771" w:rsidP="005C4771">
      <w:r w:rsidRPr="005153CC">
        <w:t>Jacobs, J., Yaquian, E., Burke, S., Rouse, M. and Zaric, G.</w:t>
      </w:r>
      <w:r>
        <w:t xml:space="preserve"> (</w:t>
      </w:r>
      <w:r w:rsidRPr="005153CC">
        <w:t>2017</w:t>
      </w:r>
      <w:r>
        <w:t>)</w:t>
      </w:r>
      <w:r w:rsidRPr="005153CC">
        <w:t xml:space="preserve"> </w:t>
      </w:r>
      <w:r>
        <w:t>‘</w:t>
      </w:r>
      <w:r w:rsidRPr="005153CC">
        <w:t>The economic impact of workplace wellness programmes in Canada</w:t>
      </w:r>
      <w:r>
        <w:t>’,</w:t>
      </w:r>
      <w:r w:rsidRPr="005153CC">
        <w:t> </w:t>
      </w:r>
      <w:r w:rsidRPr="005153CC">
        <w:rPr>
          <w:i/>
          <w:iCs/>
        </w:rPr>
        <w:t>Occupational Medicine</w:t>
      </w:r>
      <w:r w:rsidRPr="005153CC">
        <w:t>, 67(6), pp.</w:t>
      </w:r>
      <w:r>
        <w:t xml:space="preserve"> </w:t>
      </w:r>
      <w:r w:rsidRPr="005153CC">
        <w:t>429-434.</w:t>
      </w:r>
      <w:r>
        <w:t xml:space="preserve"> Available at: </w:t>
      </w:r>
      <w:hyperlink r:id="rId49" w:history="1">
        <w:r w:rsidRPr="005153CC">
          <w:rPr>
            <w:rStyle w:val="Hyperlink"/>
          </w:rPr>
          <w:t>https://doi.org/10.1093/occmed/kqx075</w:t>
        </w:r>
      </w:hyperlink>
    </w:p>
    <w:p w14:paraId="015B7259" w14:textId="77777777" w:rsidR="005C4771" w:rsidRDefault="005C4771" w:rsidP="005C4771">
      <w:r w:rsidRPr="00E03820">
        <w:t>Joyce, A., Elmes, A., Campbell, P., Moussa, B., Suchowerska, R., Barraket, J. and Carey, G.</w:t>
      </w:r>
      <w:r>
        <w:t xml:space="preserve"> (</w:t>
      </w:r>
      <w:r w:rsidRPr="00E03820">
        <w:t>2022</w:t>
      </w:r>
      <w:r>
        <w:t>)</w:t>
      </w:r>
      <w:r w:rsidRPr="00E03820">
        <w:t xml:space="preserve"> </w:t>
      </w:r>
      <w:r>
        <w:t>‘</w:t>
      </w:r>
      <w:r w:rsidRPr="00E03820">
        <w:t>The health and well-being impacts of a work integration social enterprise from a systems perspective</w:t>
      </w:r>
      <w:r>
        <w:t xml:space="preserve">’, </w:t>
      </w:r>
      <w:r w:rsidRPr="00E03820">
        <w:rPr>
          <w:i/>
          <w:iCs/>
        </w:rPr>
        <w:t>Health Promotion International</w:t>
      </w:r>
      <w:r w:rsidRPr="00E03820">
        <w:t>, </w:t>
      </w:r>
      <w:r w:rsidRPr="009A23A1">
        <w:t>37</w:t>
      </w:r>
      <w:r w:rsidRPr="00E03820">
        <w:t>(1), p</w:t>
      </w:r>
      <w:r>
        <w:t xml:space="preserve">p. 1-14. Available at: </w:t>
      </w:r>
      <w:hyperlink r:id="rId50" w:history="1">
        <w:r w:rsidRPr="00E03820">
          <w:rPr>
            <w:rStyle w:val="Hyperlink"/>
          </w:rPr>
          <w:t>https://doi.org/10.1093/heapro/daab052</w:t>
        </w:r>
      </w:hyperlink>
    </w:p>
    <w:p w14:paraId="2C3E729C" w14:textId="77777777" w:rsidR="005C4771" w:rsidRDefault="005C4771" w:rsidP="005C4771">
      <w:r w:rsidRPr="009C4605">
        <w:t>Kawakami, A</w:t>
      </w:r>
      <w:r>
        <w:t xml:space="preserve">., </w:t>
      </w:r>
      <w:r w:rsidRPr="009C4605">
        <w:t>Chowdhary, S</w:t>
      </w:r>
      <w:r>
        <w:t>.,</w:t>
      </w:r>
      <w:r w:rsidRPr="009C4605">
        <w:t xml:space="preserve"> Iqbal, S</w:t>
      </w:r>
      <w:r>
        <w:t xml:space="preserve">., </w:t>
      </w:r>
      <w:r w:rsidRPr="009C4605">
        <w:t>Liao, V</w:t>
      </w:r>
      <w:r>
        <w:t>.,</w:t>
      </w:r>
      <w:r w:rsidRPr="009C4605">
        <w:t xml:space="preserve"> Olteanu, A</w:t>
      </w:r>
      <w:r>
        <w:t>.,</w:t>
      </w:r>
      <w:r w:rsidRPr="009C4605">
        <w:t xml:space="preserve"> Suh, J</w:t>
      </w:r>
      <w:r>
        <w:t>.</w:t>
      </w:r>
      <w:r w:rsidRPr="009C4605">
        <w:t xml:space="preserve"> </w:t>
      </w:r>
      <w:r>
        <w:t>and</w:t>
      </w:r>
      <w:r w:rsidRPr="009C4605">
        <w:t xml:space="preserve"> Saha, K. (2023) </w:t>
      </w:r>
      <w:r>
        <w:t>‘</w:t>
      </w:r>
      <w:r w:rsidRPr="009C4605">
        <w:t>Sensing Wellbeing in the Workplace, Why and For Whom? Envisioning Impacts with Organizational Stakeholders</w:t>
      </w:r>
      <w:r>
        <w:t>’,</w:t>
      </w:r>
      <w:r w:rsidRPr="009C4605">
        <w:t xml:space="preserve"> </w:t>
      </w:r>
      <w:r w:rsidRPr="009C4605">
        <w:rPr>
          <w:i/>
          <w:iCs/>
        </w:rPr>
        <w:t>Proceedings of the ACM on Human-Computer Interaction</w:t>
      </w:r>
      <w:r>
        <w:t>,</w:t>
      </w:r>
      <w:r w:rsidRPr="009C4605">
        <w:t xml:space="preserve"> 7</w:t>
      </w:r>
      <w:r>
        <w:t xml:space="preserve">, pp. </w:t>
      </w:r>
      <w:r w:rsidRPr="009C4605">
        <w:t xml:space="preserve">1-33. </w:t>
      </w:r>
      <w:r>
        <w:t xml:space="preserve">Available at: </w:t>
      </w:r>
      <w:hyperlink r:id="rId51" w:history="1">
        <w:r w:rsidRPr="00DB2EB7">
          <w:rPr>
            <w:rStyle w:val="Hyperlink"/>
          </w:rPr>
          <w:t>https://doi.org/10.48550/arXiv.2303.06794</w:t>
        </w:r>
      </w:hyperlink>
    </w:p>
    <w:p w14:paraId="72BF9FF0" w14:textId="77777777" w:rsidR="005C4771" w:rsidRPr="005272E0" w:rsidRDefault="005C4771" w:rsidP="005C4771">
      <w:r>
        <w:t xml:space="preserve">Kinman, G. (2021) </w:t>
      </w:r>
      <w:r>
        <w:rPr>
          <w:i/>
          <w:iCs/>
        </w:rPr>
        <w:t xml:space="preserve">Supporting businesses to build back better: The benefits of age diversity. </w:t>
      </w:r>
      <w:r>
        <w:t xml:space="preserve">Available at: </w:t>
      </w:r>
      <w:hyperlink r:id="rId52" w:history="1">
        <w:r w:rsidRPr="00E05617">
          <w:rPr>
            <w:rStyle w:val="Hyperlink"/>
          </w:rPr>
          <w:t>https://www.som.org.uk/Supporting_businesses_to_build_back_better_The_benefits_of_age_diversity.pdf</w:t>
        </w:r>
      </w:hyperlink>
      <w:r>
        <w:t xml:space="preserve"> (Accessed: 23 May 2026). </w:t>
      </w:r>
    </w:p>
    <w:p w14:paraId="3C67BAA7" w14:textId="77777777" w:rsidR="005C4771" w:rsidRDefault="005C4771" w:rsidP="005C4771">
      <w:r w:rsidRPr="006856A9">
        <w:t>Kinman, G. and Wray, S.</w:t>
      </w:r>
      <w:r>
        <w:t xml:space="preserve"> (</w:t>
      </w:r>
      <w:r w:rsidRPr="006856A9">
        <w:t>2020</w:t>
      </w:r>
      <w:r>
        <w:t>)</w:t>
      </w:r>
      <w:r w:rsidRPr="006856A9">
        <w:t xml:space="preserve"> </w:t>
      </w:r>
      <w:r>
        <w:t>‘</w:t>
      </w:r>
      <w:r w:rsidRPr="006856A9">
        <w:t>Well-being in academic employees–a benchmarking approach</w:t>
      </w:r>
      <w:r>
        <w:t>’,</w:t>
      </w:r>
      <w:r w:rsidRPr="006856A9">
        <w:t xml:space="preserve"> </w:t>
      </w:r>
      <w:r>
        <w:t>i</w:t>
      </w:r>
      <w:r w:rsidRPr="006856A9">
        <w:t>n </w:t>
      </w:r>
      <w:r>
        <w:t xml:space="preserve">S. Pignata and R. Burke (eds), </w:t>
      </w:r>
      <w:r w:rsidRPr="006856A9">
        <w:rPr>
          <w:i/>
          <w:iCs/>
        </w:rPr>
        <w:t xml:space="preserve">Handbook of </w:t>
      </w:r>
      <w:r>
        <w:rPr>
          <w:i/>
          <w:iCs/>
        </w:rPr>
        <w:t>Re</w:t>
      </w:r>
      <w:r w:rsidRPr="006856A9">
        <w:rPr>
          <w:i/>
          <w:iCs/>
        </w:rPr>
        <w:t xml:space="preserve">search on </w:t>
      </w:r>
      <w:r>
        <w:rPr>
          <w:i/>
          <w:iCs/>
        </w:rPr>
        <w:t>S</w:t>
      </w:r>
      <w:r w:rsidRPr="006856A9">
        <w:rPr>
          <w:i/>
          <w:iCs/>
        </w:rPr>
        <w:t xml:space="preserve">tress and </w:t>
      </w:r>
      <w:r>
        <w:rPr>
          <w:i/>
          <w:iCs/>
        </w:rPr>
        <w:t>Well</w:t>
      </w:r>
      <w:r w:rsidRPr="006856A9">
        <w:rPr>
          <w:i/>
          <w:iCs/>
        </w:rPr>
        <w:t xml:space="preserve">-being in the </w:t>
      </w:r>
      <w:r>
        <w:rPr>
          <w:i/>
          <w:iCs/>
        </w:rPr>
        <w:t>P</w:t>
      </w:r>
      <w:r w:rsidRPr="006856A9">
        <w:rPr>
          <w:i/>
          <w:iCs/>
        </w:rPr>
        <w:t xml:space="preserve">ublic </w:t>
      </w:r>
      <w:r>
        <w:rPr>
          <w:i/>
          <w:iCs/>
        </w:rPr>
        <w:t>S</w:t>
      </w:r>
      <w:r w:rsidRPr="006856A9">
        <w:rPr>
          <w:i/>
          <w:iCs/>
        </w:rPr>
        <w:t>ector</w:t>
      </w:r>
      <w:r>
        <w:t xml:space="preserve">. </w:t>
      </w:r>
      <w:r w:rsidRPr="006856A9">
        <w:t>Edward Elgar Publishing</w:t>
      </w:r>
      <w:r>
        <w:t xml:space="preserve">, </w:t>
      </w:r>
      <w:r w:rsidRPr="006856A9">
        <w:t>pp. 152-166</w:t>
      </w:r>
      <w:r>
        <w:t>.</w:t>
      </w:r>
      <w:r w:rsidRPr="006856A9">
        <w:t xml:space="preserve"> </w:t>
      </w:r>
    </w:p>
    <w:p w14:paraId="72706FA8" w14:textId="77777777" w:rsidR="005C4771" w:rsidRDefault="005C4771" w:rsidP="005C4771">
      <w:r w:rsidRPr="002977B0">
        <w:t>Kossek, E., Valcour, M.</w:t>
      </w:r>
      <w:r>
        <w:t xml:space="preserve"> and</w:t>
      </w:r>
      <w:r w:rsidRPr="002977B0">
        <w:t xml:space="preserve"> Lirio, P. (2014) </w:t>
      </w:r>
      <w:r>
        <w:t>‘</w:t>
      </w:r>
      <w:r w:rsidRPr="002977B0">
        <w:t>Organizational strategies for promoting work-life balance and wellbeing</w:t>
      </w:r>
      <w:r>
        <w:t>’,</w:t>
      </w:r>
      <w:r w:rsidRPr="002977B0">
        <w:t> </w:t>
      </w:r>
      <w:r w:rsidRPr="002977B0">
        <w:rPr>
          <w:i/>
          <w:iCs/>
        </w:rPr>
        <w:t>Work and Wellbeing</w:t>
      </w:r>
      <w:r w:rsidRPr="002977B0">
        <w:t xml:space="preserve">, 3, </w:t>
      </w:r>
      <w:r>
        <w:t xml:space="preserve">pp. </w:t>
      </w:r>
      <w:r w:rsidRPr="002977B0">
        <w:t>295–319.</w:t>
      </w:r>
      <w:r>
        <w:t xml:space="preserve"> Available at: </w:t>
      </w:r>
      <w:hyperlink r:id="rId53" w:history="1">
        <w:r w:rsidRPr="008C66B1">
          <w:rPr>
            <w:rStyle w:val="Hyperlink"/>
          </w:rPr>
          <w:t>https://doi.org/10.1002/9781118539415.wbwell030</w:t>
        </w:r>
      </w:hyperlink>
      <w:r>
        <w:t xml:space="preserve"> </w:t>
      </w:r>
    </w:p>
    <w:p w14:paraId="5E787BD0" w14:textId="77777777" w:rsidR="005C4771" w:rsidRDefault="005C4771" w:rsidP="005C4771">
      <w:r w:rsidRPr="0085661F">
        <w:t xml:space="preserve">Kowalski, T. and Loretto, W. </w:t>
      </w:r>
      <w:r>
        <w:t>(</w:t>
      </w:r>
      <w:r w:rsidRPr="0085661F">
        <w:t>2017</w:t>
      </w:r>
      <w:r>
        <w:t>)</w:t>
      </w:r>
      <w:r w:rsidRPr="0085661F">
        <w:t xml:space="preserve"> </w:t>
      </w:r>
      <w:r>
        <w:t>‘</w:t>
      </w:r>
      <w:r w:rsidRPr="0085661F">
        <w:t>Well-being and HRM in the changing workplace</w:t>
      </w:r>
      <w:r>
        <w:t xml:space="preserve">’, </w:t>
      </w:r>
      <w:r w:rsidRPr="0085661F">
        <w:rPr>
          <w:i/>
          <w:iCs/>
        </w:rPr>
        <w:t xml:space="preserve">The </w:t>
      </w:r>
      <w:r>
        <w:rPr>
          <w:i/>
          <w:iCs/>
        </w:rPr>
        <w:t>I</w:t>
      </w:r>
      <w:r w:rsidRPr="0085661F">
        <w:rPr>
          <w:i/>
          <w:iCs/>
        </w:rPr>
        <w:t xml:space="preserve">nternational </w:t>
      </w:r>
      <w:r>
        <w:rPr>
          <w:i/>
          <w:iCs/>
        </w:rPr>
        <w:t>J</w:t>
      </w:r>
      <w:r w:rsidRPr="0085661F">
        <w:rPr>
          <w:i/>
          <w:iCs/>
        </w:rPr>
        <w:t xml:space="preserve">ournal of </w:t>
      </w:r>
      <w:r>
        <w:rPr>
          <w:i/>
          <w:iCs/>
        </w:rPr>
        <w:t>H</w:t>
      </w:r>
      <w:r w:rsidRPr="0085661F">
        <w:rPr>
          <w:i/>
          <w:iCs/>
        </w:rPr>
        <w:t xml:space="preserve">uman </w:t>
      </w:r>
      <w:r>
        <w:rPr>
          <w:i/>
          <w:iCs/>
        </w:rPr>
        <w:t>R</w:t>
      </w:r>
      <w:r w:rsidRPr="0085661F">
        <w:rPr>
          <w:i/>
          <w:iCs/>
        </w:rPr>
        <w:t xml:space="preserve">esource </w:t>
      </w:r>
      <w:r>
        <w:rPr>
          <w:i/>
          <w:iCs/>
        </w:rPr>
        <w:t>M</w:t>
      </w:r>
      <w:r w:rsidRPr="0085661F">
        <w:rPr>
          <w:i/>
          <w:iCs/>
        </w:rPr>
        <w:t>anagement</w:t>
      </w:r>
      <w:r w:rsidRPr="0085661F">
        <w:t>, 28(16), pp.</w:t>
      </w:r>
      <w:r>
        <w:t xml:space="preserve"> </w:t>
      </w:r>
      <w:r w:rsidRPr="0085661F">
        <w:t>2229-2255.</w:t>
      </w:r>
      <w:r>
        <w:t xml:space="preserve"> Available at: </w:t>
      </w:r>
      <w:hyperlink r:id="rId54" w:history="1">
        <w:r w:rsidRPr="0085661F">
          <w:rPr>
            <w:rStyle w:val="Hyperlink"/>
          </w:rPr>
          <w:t>https://doi.org/10.1080/09585192.2017.1345205</w:t>
        </w:r>
      </w:hyperlink>
    </w:p>
    <w:p w14:paraId="4F32B719" w14:textId="77777777" w:rsidR="005C4771" w:rsidRPr="003968A8" w:rsidRDefault="005C4771" w:rsidP="005C4771">
      <w:r w:rsidRPr="00AD60D9">
        <w:lastRenderedPageBreak/>
        <w:t>Levy, P., Herb, K., Frantz, N. and Carr, A.</w:t>
      </w:r>
      <w:r>
        <w:t xml:space="preserve"> (</w:t>
      </w:r>
      <w:r w:rsidRPr="00AD60D9">
        <w:t>2012</w:t>
      </w:r>
      <w:r>
        <w:t>)</w:t>
      </w:r>
      <w:r w:rsidRPr="00AD60D9">
        <w:t xml:space="preserve"> </w:t>
      </w:r>
      <w:r>
        <w:t>‘</w:t>
      </w:r>
      <w:r w:rsidRPr="00AD60D9">
        <w:t>Employee well-being: Can performance management systems help? Yes, but they sure can hurt too!</w:t>
      </w:r>
      <w:r>
        <w:t>’, i</w:t>
      </w:r>
      <w:r w:rsidRPr="00AD60D9">
        <w:t>n</w:t>
      </w:r>
      <w:r>
        <w:t xml:space="preserve"> M. Sirgy, N. Reilly and C. Gorman (eds),</w:t>
      </w:r>
      <w:r w:rsidRPr="00AD60D9">
        <w:t> </w:t>
      </w:r>
      <w:r w:rsidRPr="00AD60D9">
        <w:rPr>
          <w:i/>
          <w:iCs/>
        </w:rPr>
        <w:t xml:space="preserve">Work and </w:t>
      </w:r>
      <w:r>
        <w:rPr>
          <w:i/>
          <w:iCs/>
        </w:rPr>
        <w:t>Q</w:t>
      </w:r>
      <w:r w:rsidRPr="00AD60D9">
        <w:rPr>
          <w:i/>
          <w:iCs/>
        </w:rPr>
        <w:t xml:space="preserve">uality of </w:t>
      </w:r>
      <w:r>
        <w:rPr>
          <w:i/>
          <w:iCs/>
        </w:rPr>
        <w:t>L</w:t>
      </w:r>
      <w:r w:rsidRPr="00AD60D9">
        <w:rPr>
          <w:i/>
          <w:iCs/>
        </w:rPr>
        <w:t xml:space="preserve">ife: Ethical </w:t>
      </w:r>
      <w:r>
        <w:rPr>
          <w:i/>
          <w:iCs/>
        </w:rPr>
        <w:t>P</w:t>
      </w:r>
      <w:r w:rsidRPr="00AD60D9">
        <w:rPr>
          <w:i/>
          <w:iCs/>
        </w:rPr>
        <w:t xml:space="preserve">ractices in </w:t>
      </w:r>
      <w:r>
        <w:rPr>
          <w:i/>
          <w:iCs/>
        </w:rPr>
        <w:t>O</w:t>
      </w:r>
      <w:r w:rsidRPr="00AD60D9">
        <w:rPr>
          <w:i/>
          <w:iCs/>
        </w:rPr>
        <w:t>rganizations</w:t>
      </w:r>
      <w:r>
        <w:t xml:space="preserve">. </w:t>
      </w:r>
      <w:r w:rsidRPr="00AD60D9">
        <w:t>Springer Netherlands</w:t>
      </w:r>
      <w:r>
        <w:t xml:space="preserve">, </w:t>
      </w:r>
      <w:r w:rsidRPr="00AD60D9">
        <w:t xml:space="preserve">pp. 133-155. </w:t>
      </w:r>
    </w:p>
    <w:p w14:paraId="67A7206F" w14:textId="77777777" w:rsidR="005C4771" w:rsidRDefault="005C4771" w:rsidP="005C4771">
      <w:r w:rsidRPr="00AE1424">
        <w:t>Marenus, M., Marzec, M., Kilbourne, A., Colabianchi, N. and Chen, W.</w:t>
      </w:r>
      <w:r>
        <w:t xml:space="preserve"> (</w:t>
      </w:r>
      <w:r w:rsidRPr="00AE1424">
        <w:t>2024</w:t>
      </w:r>
      <w:r>
        <w:t>)</w:t>
      </w:r>
      <w:r w:rsidRPr="00AE1424">
        <w:t xml:space="preserve"> </w:t>
      </w:r>
      <w:r>
        <w:t>‘</w:t>
      </w:r>
      <w:r w:rsidRPr="00AE1424">
        <w:t>Workplace culture of health and employee physical activity: the moderating effects of gender and depression</w:t>
      </w:r>
      <w:r>
        <w:t>’,</w:t>
      </w:r>
      <w:r w:rsidRPr="00AE1424">
        <w:t> </w:t>
      </w:r>
      <w:r w:rsidRPr="00AE1424">
        <w:rPr>
          <w:i/>
          <w:iCs/>
        </w:rPr>
        <w:t>Discover Psychology</w:t>
      </w:r>
      <w:r w:rsidRPr="00AE1424">
        <w:t>, </w:t>
      </w:r>
      <w:r w:rsidRPr="005D21FA">
        <w:t>4</w:t>
      </w:r>
      <w:r w:rsidRPr="00AE1424">
        <w:t>(</w:t>
      </w:r>
      <w:r>
        <w:t>70)</w:t>
      </w:r>
      <w:r w:rsidRPr="00AE1424">
        <w:t>.</w:t>
      </w:r>
      <w:r>
        <w:t xml:space="preserve"> Available at: </w:t>
      </w:r>
      <w:hyperlink r:id="rId55" w:history="1">
        <w:r w:rsidRPr="00A90309">
          <w:rPr>
            <w:rStyle w:val="Hyperlink"/>
          </w:rPr>
          <w:t>https://doi.org/10.1007/s44202-024-00173-y</w:t>
        </w:r>
      </w:hyperlink>
      <w:r>
        <w:t xml:space="preserve"> </w:t>
      </w:r>
    </w:p>
    <w:p w14:paraId="119420D0" w14:textId="77777777" w:rsidR="005C4771" w:rsidRDefault="005C4771" w:rsidP="005C4771">
      <w:r w:rsidRPr="00E467FF">
        <w:t>Mauno, S., Herttalampi, M., Minkkinen, J., Feldt, T. and Kubicek, B.</w:t>
      </w:r>
      <w:r>
        <w:t xml:space="preserve"> (</w:t>
      </w:r>
      <w:r w:rsidRPr="00E467FF">
        <w:t>2023</w:t>
      </w:r>
      <w:r>
        <w:t>)</w:t>
      </w:r>
      <w:r w:rsidRPr="00E467FF">
        <w:t xml:space="preserve"> </w:t>
      </w:r>
      <w:r>
        <w:t>‘</w:t>
      </w:r>
      <w:r w:rsidRPr="00E467FF">
        <w:t>Is work intensification bad for employees? A review of outcomes for employees over the last two decades</w:t>
      </w:r>
      <w:r>
        <w:t>’,</w:t>
      </w:r>
      <w:r w:rsidRPr="00E467FF">
        <w:t> </w:t>
      </w:r>
      <w:r w:rsidRPr="00E467FF">
        <w:rPr>
          <w:i/>
          <w:iCs/>
        </w:rPr>
        <w:t>Work &amp; Stress</w:t>
      </w:r>
      <w:r w:rsidRPr="00E467FF">
        <w:t>, </w:t>
      </w:r>
      <w:r w:rsidRPr="008435A3">
        <w:t>37</w:t>
      </w:r>
      <w:r w:rsidRPr="00E467FF">
        <w:t>(1), pp.</w:t>
      </w:r>
      <w:r>
        <w:t xml:space="preserve"> </w:t>
      </w:r>
      <w:r w:rsidRPr="00E467FF">
        <w:t>100-125.</w:t>
      </w:r>
      <w:r>
        <w:t xml:space="preserve"> Available at: </w:t>
      </w:r>
      <w:hyperlink r:id="rId56" w:history="1">
        <w:r w:rsidRPr="008435A3">
          <w:rPr>
            <w:rStyle w:val="Hyperlink"/>
          </w:rPr>
          <w:t>https://doi.org/10.1080/02678373.2022.2080778</w:t>
        </w:r>
      </w:hyperlink>
    </w:p>
    <w:p w14:paraId="7ABB80E8" w14:textId="77777777" w:rsidR="005C4771" w:rsidRPr="00560C76" w:rsidRDefault="005C4771" w:rsidP="005C4771">
      <w:pPr>
        <w:rPr>
          <w:b/>
          <w:bCs/>
        </w:rPr>
      </w:pPr>
      <w:r>
        <w:t xml:space="preserve">Mayne, M. (2024) </w:t>
      </w:r>
      <w:r w:rsidRPr="00560C76">
        <w:rPr>
          <w:i/>
          <w:iCs/>
        </w:rPr>
        <w:t>Mental health training for managers could save organisations millions of pounds, study finds.</w:t>
      </w:r>
      <w:r>
        <w:rPr>
          <w:i/>
          <w:iCs/>
        </w:rPr>
        <w:t xml:space="preserve"> </w:t>
      </w:r>
      <w:r>
        <w:t xml:space="preserve">Available at: </w:t>
      </w:r>
      <w:hyperlink r:id="rId57" w:history="1">
        <w:r w:rsidRPr="00CA796F">
          <w:rPr>
            <w:rStyle w:val="Hyperlink"/>
          </w:rPr>
          <w:t>https://www.peoplemanagement.co.uk/article/1881818/mental-health-training-managers-save-organisations-millions-pounds-study-finds</w:t>
        </w:r>
      </w:hyperlink>
      <w:r>
        <w:t xml:space="preserve"> (Accessed: 27 May 2026). </w:t>
      </w:r>
    </w:p>
    <w:p w14:paraId="064D5113" w14:textId="77777777" w:rsidR="005C4771" w:rsidRDefault="005C4771" w:rsidP="005C4771">
      <w:r>
        <w:t xml:space="preserve">Mayne, M. (2025) </w:t>
      </w:r>
      <w:r w:rsidRPr="00751A4D">
        <w:rPr>
          <w:i/>
          <w:iCs/>
        </w:rPr>
        <w:t>Young people prioritising purpose and wellbeing in careers, survey finds – so how can businesses support them?</w:t>
      </w:r>
      <w:r>
        <w:t xml:space="preserve"> Available at: </w:t>
      </w:r>
      <w:hyperlink r:id="rId58" w:history="1">
        <w:r w:rsidRPr="008C66B1">
          <w:rPr>
            <w:rStyle w:val="Hyperlink"/>
          </w:rPr>
          <w:t>https://www.peoplemanagement.co.uk/article/1909835/young-people-prioritising-purpose-wellbeing-careers-survey-finds-%E2%80%93-so-businesses-support-them</w:t>
        </w:r>
      </w:hyperlink>
      <w:r>
        <w:t xml:space="preserve"> (Accessed: 23 May 2026). </w:t>
      </w:r>
    </w:p>
    <w:p w14:paraId="5F2C0511" w14:textId="77777777" w:rsidR="005C4771" w:rsidRPr="001A4142" w:rsidRDefault="005C4771" w:rsidP="005C4771">
      <w:r w:rsidRPr="001A4142">
        <w:t xml:space="preserve">McCartney, C. (2025) </w:t>
      </w:r>
      <w:r w:rsidRPr="001A4142">
        <w:rPr>
          <w:i/>
          <w:iCs/>
        </w:rPr>
        <w:t>Flexible and hybrid working practices in 2025</w:t>
      </w:r>
      <w:r w:rsidRPr="001A4142">
        <w:t>. Chartered Institute of Personnel and Development.</w:t>
      </w:r>
    </w:p>
    <w:p w14:paraId="36CB3BBC" w14:textId="77777777" w:rsidR="005C4771" w:rsidRDefault="005C4771" w:rsidP="005C4771">
      <w:r>
        <w:t xml:space="preserve">McIntyre, K. (2021) </w:t>
      </w:r>
      <w:r>
        <w:rPr>
          <w:i/>
          <w:iCs/>
        </w:rPr>
        <w:t>Why wellbeing in the workplace is so important.</w:t>
      </w:r>
      <w:r>
        <w:t xml:space="preserve"> Available at: </w:t>
      </w:r>
      <w:hyperlink r:id="rId59" w:history="1">
        <w:r w:rsidRPr="00C74EAE">
          <w:rPr>
            <w:rStyle w:val="Hyperlink"/>
          </w:rPr>
          <w:t>https://www.peoplemanagement.co.uk/article/1744109/why-wellbeing-workplace-important</w:t>
        </w:r>
      </w:hyperlink>
      <w:r>
        <w:t xml:space="preserve"> (Accessed: 4 May 2026). </w:t>
      </w:r>
    </w:p>
    <w:p w14:paraId="2DBF7DFB" w14:textId="77777777" w:rsidR="005C4771" w:rsidRDefault="005C4771" w:rsidP="005C4771">
      <w:r w:rsidRPr="00AA730C">
        <w:t>McKeown, C.</w:t>
      </w:r>
      <w:r>
        <w:t xml:space="preserve"> (</w:t>
      </w:r>
      <w:r w:rsidRPr="00AA730C">
        <w:t>2018</w:t>
      </w:r>
      <w:r>
        <w:t>)</w:t>
      </w:r>
      <w:r w:rsidRPr="00AA730C">
        <w:t> </w:t>
      </w:r>
      <w:r w:rsidRPr="00AA730C">
        <w:rPr>
          <w:i/>
          <w:iCs/>
        </w:rPr>
        <w:t xml:space="preserve">Office </w:t>
      </w:r>
      <w:r>
        <w:rPr>
          <w:i/>
          <w:iCs/>
        </w:rPr>
        <w:t>E</w:t>
      </w:r>
      <w:r w:rsidRPr="00AA730C">
        <w:rPr>
          <w:i/>
          <w:iCs/>
        </w:rPr>
        <w:t xml:space="preserve">rgonomics and </w:t>
      </w:r>
      <w:r>
        <w:rPr>
          <w:i/>
          <w:iCs/>
        </w:rPr>
        <w:t>H</w:t>
      </w:r>
      <w:r w:rsidRPr="00AA730C">
        <w:rPr>
          <w:i/>
          <w:iCs/>
        </w:rPr>
        <w:t xml:space="preserve">uman </w:t>
      </w:r>
      <w:r>
        <w:rPr>
          <w:i/>
          <w:iCs/>
        </w:rPr>
        <w:t>F</w:t>
      </w:r>
      <w:r w:rsidRPr="00AA730C">
        <w:rPr>
          <w:i/>
          <w:iCs/>
        </w:rPr>
        <w:t xml:space="preserve">actors: Practical </w:t>
      </w:r>
      <w:r>
        <w:rPr>
          <w:i/>
          <w:iCs/>
        </w:rPr>
        <w:t>A</w:t>
      </w:r>
      <w:r w:rsidRPr="00AA730C">
        <w:rPr>
          <w:i/>
          <w:iCs/>
        </w:rPr>
        <w:t>pplications</w:t>
      </w:r>
      <w:r w:rsidRPr="00AA730C">
        <w:t>. CRC Press.</w:t>
      </w:r>
    </w:p>
    <w:p w14:paraId="2650C221" w14:textId="77777777" w:rsidR="005C4771" w:rsidRDefault="005C4771" w:rsidP="005C4771">
      <w:bookmarkStart w:id="2" w:name="_Hlk230786086"/>
      <w:r w:rsidRPr="00794F20">
        <w:t>Molek-Winiarska</w:t>
      </w:r>
      <w:bookmarkEnd w:id="2"/>
      <w:r w:rsidRPr="00794F20">
        <w:t>, D.</w:t>
      </w:r>
      <w:r>
        <w:t xml:space="preserve"> (2026) ‘</w:t>
      </w:r>
      <w:r w:rsidRPr="00794F20">
        <w:t>Evaluating Workplace Well-Being Investments: Insights from Empirical</w:t>
      </w:r>
      <w:r>
        <w:t xml:space="preserve"> Studies and Case Examples’, in J. </w:t>
      </w:r>
      <w:r w:rsidRPr="00794F20">
        <w:t>Tabor-Błażewicz</w:t>
      </w:r>
      <w:r>
        <w:t xml:space="preserve"> and H.</w:t>
      </w:r>
      <w:r w:rsidRPr="00794F20">
        <w:t xml:space="preserve"> Kinowska </w:t>
      </w:r>
      <w:r>
        <w:t xml:space="preserve">(eds) </w:t>
      </w:r>
      <w:r w:rsidRPr="00794F20">
        <w:rPr>
          <w:i/>
          <w:iCs/>
        </w:rPr>
        <w:t>Socioemotional Well-Being Management in the Workplace</w:t>
      </w:r>
      <w:r>
        <w:t>. Springer, pp. 55-71.</w:t>
      </w:r>
    </w:p>
    <w:p w14:paraId="03342B75" w14:textId="77777777" w:rsidR="005C4771" w:rsidRDefault="005C4771" w:rsidP="005C4771">
      <w:r w:rsidRPr="00A101AE">
        <w:t>Powell</w:t>
      </w:r>
      <w:r>
        <w:t>,</w:t>
      </w:r>
      <w:r w:rsidRPr="00A101AE">
        <w:t xml:space="preserve"> L</w:t>
      </w:r>
      <w:r>
        <w:t>.</w:t>
      </w:r>
      <w:r w:rsidRPr="00A101AE">
        <w:t xml:space="preserve"> (2002)</w:t>
      </w:r>
      <w:r>
        <w:t xml:space="preserve"> ‘</w:t>
      </w:r>
      <w:r w:rsidRPr="00A101AE">
        <w:t>Shedding a tier: flattening organisational structures and employee empowerment</w:t>
      </w:r>
      <w:r>
        <w:t xml:space="preserve">’, </w:t>
      </w:r>
      <w:r w:rsidRPr="00A101AE">
        <w:rPr>
          <w:i/>
          <w:iCs/>
        </w:rPr>
        <w:t>International Journal of Educational Management</w:t>
      </w:r>
      <w:r w:rsidRPr="00A101AE">
        <w:t>, 16</w:t>
      </w:r>
      <w:r>
        <w:t>(</w:t>
      </w:r>
      <w:r w:rsidRPr="00A101AE">
        <w:t>1</w:t>
      </w:r>
      <w:r>
        <w:t>)</w:t>
      </w:r>
      <w:r w:rsidRPr="00A101AE">
        <w:t xml:space="preserve"> pp. 54–59</w:t>
      </w:r>
      <w:r>
        <w:t>. Available at:</w:t>
      </w:r>
      <w:r w:rsidRPr="00A101AE">
        <w:t> </w:t>
      </w:r>
      <w:hyperlink r:id="rId60" w:tgtFrame="_blank" w:history="1">
        <w:r w:rsidRPr="00A101AE">
          <w:rPr>
            <w:rStyle w:val="Hyperlink"/>
          </w:rPr>
          <w:t>https://doi.org/10.1108/09513540210415541</w:t>
        </w:r>
      </w:hyperlink>
    </w:p>
    <w:p w14:paraId="0373D537" w14:textId="77777777" w:rsidR="005C4771" w:rsidRDefault="005C4771" w:rsidP="005C4771">
      <w:r>
        <w:t xml:space="preserve">Public Health England. (2017) </w:t>
      </w:r>
      <w:r w:rsidRPr="00D61A5B">
        <w:rPr>
          <w:i/>
          <w:iCs/>
        </w:rPr>
        <w:t>Workplace health needs assessment: How to use the assessment and HNA questions</w:t>
      </w:r>
      <w:r>
        <w:rPr>
          <w:i/>
          <w:iCs/>
        </w:rPr>
        <w:t xml:space="preserve">. </w:t>
      </w:r>
      <w:r>
        <w:t xml:space="preserve">Available at: </w:t>
      </w:r>
      <w:hyperlink r:id="rId61" w:history="1">
        <w:r w:rsidRPr="00E05617">
          <w:rPr>
            <w:rStyle w:val="Hyperlink"/>
          </w:rPr>
          <w:t>https://assets.publishing.service.gov.uk/media/5a82b64040f0b62305b93f37/Workplace_Health_Needs_Assessment_2018.pdf</w:t>
        </w:r>
      </w:hyperlink>
      <w:r>
        <w:t xml:space="preserve"> (Accessed: 28 May 2026). </w:t>
      </w:r>
    </w:p>
    <w:p w14:paraId="0DC74AD2" w14:textId="77777777" w:rsidR="005C4771" w:rsidRPr="00D61A5B" w:rsidRDefault="005C4771" w:rsidP="005C4771">
      <w:r w:rsidRPr="00B21F73">
        <w:t>Quirk, H., Crank, H., Carter, A., Leahy, H. and Copeland, R.</w:t>
      </w:r>
      <w:r>
        <w:t xml:space="preserve"> (</w:t>
      </w:r>
      <w:r w:rsidRPr="00B21F73">
        <w:t>2018</w:t>
      </w:r>
      <w:r>
        <w:t>)</w:t>
      </w:r>
      <w:r w:rsidRPr="00B21F73">
        <w:t xml:space="preserve"> </w:t>
      </w:r>
      <w:r>
        <w:t>‘</w:t>
      </w:r>
      <w:r w:rsidRPr="00B21F73">
        <w:t>Barriers and facilitators to implementing workplace health and wellbeing services in the NHS from the perspective of senior leaders and wellbeing practitioners: a qualitative study</w:t>
      </w:r>
      <w:r>
        <w:t>’,</w:t>
      </w:r>
      <w:r w:rsidRPr="00B21F73">
        <w:t> </w:t>
      </w:r>
      <w:r w:rsidRPr="00B21F73">
        <w:rPr>
          <w:i/>
          <w:iCs/>
        </w:rPr>
        <w:t xml:space="preserve">BMC </w:t>
      </w:r>
      <w:r>
        <w:rPr>
          <w:i/>
          <w:iCs/>
        </w:rPr>
        <w:t>P</w:t>
      </w:r>
      <w:r w:rsidRPr="00B21F73">
        <w:rPr>
          <w:i/>
          <w:iCs/>
        </w:rPr>
        <w:t xml:space="preserve">ublic </w:t>
      </w:r>
      <w:r>
        <w:rPr>
          <w:i/>
          <w:iCs/>
        </w:rPr>
        <w:t>H</w:t>
      </w:r>
      <w:r w:rsidRPr="00B21F73">
        <w:rPr>
          <w:i/>
          <w:iCs/>
        </w:rPr>
        <w:t>ealth</w:t>
      </w:r>
      <w:r w:rsidRPr="00B21F73">
        <w:t>, 18(1), p</w:t>
      </w:r>
      <w:r>
        <w:t>p</w:t>
      </w:r>
      <w:r w:rsidRPr="00B21F73">
        <w:t>.</w:t>
      </w:r>
      <w:r>
        <w:t xml:space="preserve"> </w:t>
      </w:r>
      <w:r w:rsidRPr="00B21F73">
        <w:t>1362.</w:t>
      </w:r>
      <w:r>
        <w:t xml:space="preserve"> Available at: </w:t>
      </w:r>
      <w:hyperlink r:id="rId62" w:history="1">
        <w:r w:rsidRPr="00E05617">
          <w:rPr>
            <w:rStyle w:val="Hyperlink"/>
          </w:rPr>
          <w:t>https://doi.org/10.1186/s12889-018-6283-y</w:t>
        </w:r>
      </w:hyperlink>
      <w:r>
        <w:t xml:space="preserve"> </w:t>
      </w:r>
    </w:p>
    <w:p w14:paraId="318E085D" w14:textId="77777777" w:rsidR="005C4771" w:rsidRDefault="005C4771" w:rsidP="005C4771">
      <w:r>
        <w:lastRenderedPageBreak/>
        <w:t xml:space="preserve">Read, A. (2019) </w:t>
      </w:r>
      <w:r>
        <w:rPr>
          <w:i/>
          <w:iCs/>
        </w:rPr>
        <w:t xml:space="preserve">Do you need mental health first aiders in your workplace? </w:t>
      </w:r>
      <w:r>
        <w:t xml:space="preserve">Available at: </w:t>
      </w:r>
      <w:hyperlink r:id="rId63" w:history="1">
        <w:r w:rsidRPr="00C74EAE">
          <w:rPr>
            <w:rStyle w:val="Hyperlink"/>
          </w:rPr>
          <w:t>https://www.peoplemanagement.co.uk/article/1743741/do-you-need-mental-health-first-aiders-in-your-workplace</w:t>
        </w:r>
      </w:hyperlink>
      <w:r>
        <w:t xml:space="preserve"> (Accessed: 4 May 2026). </w:t>
      </w:r>
    </w:p>
    <w:p w14:paraId="30E39737" w14:textId="77777777" w:rsidR="005C4771" w:rsidRPr="004C11B6" w:rsidRDefault="005C4771" w:rsidP="005C4771">
      <w:r>
        <w:t xml:space="preserve">Roberts, A. and Tracey, H. (2024) </w:t>
      </w:r>
      <w:r w:rsidRPr="004C11B6">
        <w:rPr>
          <w:i/>
          <w:iCs/>
        </w:rPr>
        <w:t>Change management: A guide for people professionals.</w:t>
      </w:r>
      <w:r>
        <w:rPr>
          <w:i/>
          <w:iCs/>
        </w:rPr>
        <w:t xml:space="preserve"> </w:t>
      </w:r>
      <w:r>
        <w:t xml:space="preserve">Available at: </w:t>
      </w:r>
      <w:hyperlink r:id="rId64" w:history="1">
        <w:r w:rsidRPr="00E05617">
          <w:rPr>
            <w:rStyle w:val="Hyperlink"/>
          </w:rPr>
          <w:t>https://www.cipd.org/uk/knowledge/guides/change-management/</w:t>
        </w:r>
      </w:hyperlink>
      <w:r>
        <w:t xml:space="preserve"> (Accessed: 28 May 2026). </w:t>
      </w:r>
    </w:p>
    <w:p w14:paraId="262CD663" w14:textId="77777777" w:rsidR="005C4771" w:rsidRDefault="005C4771" w:rsidP="005C4771">
      <w:r>
        <w:t xml:space="preserve">Ryan, R. and Deci, E. (2020) ‘Intrinsic and extrinsic motivation from a self-determination theory perspective: Definitions, theory, practices, and future directions’, </w:t>
      </w:r>
      <w:r w:rsidRPr="00C96E34">
        <w:rPr>
          <w:i/>
          <w:iCs/>
        </w:rPr>
        <w:t>Contemporary Educational Psychology</w:t>
      </w:r>
      <w:r>
        <w:t xml:space="preserve">, 61, pp. 101860. Available at: </w:t>
      </w:r>
      <w:hyperlink r:id="rId65" w:history="1">
        <w:r w:rsidRPr="00C74EAE">
          <w:rPr>
            <w:rStyle w:val="Hyperlink"/>
          </w:rPr>
          <w:t>https://doi.org/10.1016/j.cedpsych.2020.101860</w:t>
        </w:r>
      </w:hyperlink>
      <w:r>
        <w:t>.</w:t>
      </w:r>
    </w:p>
    <w:p w14:paraId="2129550B" w14:textId="77777777" w:rsidR="005C4771" w:rsidRDefault="005C4771" w:rsidP="005C4771">
      <w:r w:rsidRPr="0086606A">
        <w:t>Sabharwal, M., Kiel, L. and Hijal-Moghrabi, I</w:t>
      </w:r>
      <w:r>
        <w:t>.</w:t>
      </w:r>
      <w:r w:rsidRPr="0086606A">
        <w:t xml:space="preserve"> </w:t>
      </w:r>
      <w:r>
        <w:t>(</w:t>
      </w:r>
      <w:r w:rsidRPr="0086606A">
        <w:t>2019</w:t>
      </w:r>
      <w:r>
        <w:t>)</w:t>
      </w:r>
      <w:r w:rsidRPr="0086606A">
        <w:t xml:space="preserve"> </w:t>
      </w:r>
      <w:r>
        <w:t>‘</w:t>
      </w:r>
      <w:r w:rsidRPr="0086606A">
        <w:t>Best practices in local government wellness programs: the benefits of organizational investment and performance monitoring</w:t>
      </w:r>
      <w:r>
        <w:t>’,</w:t>
      </w:r>
      <w:r w:rsidRPr="0086606A">
        <w:t> </w:t>
      </w:r>
      <w:r w:rsidRPr="0086606A">
        <w:rPr>
          <w:i/>
          <w:iCs/>
        </w:rPr>
        <w:t>Review of Public Personnel Administration</w:t>
      </w:r>
      <w:r w:rsidRPr="0086606A">
        <w:t>, 39(1), pp.</w:t>
      </w:r>
      <w:r>
        <w:t xml:space="preserve"> </w:t>
      </w:r>
      <w:r w:rsidRPr="0086606A">
        <w:t>24-45.</w:t>
      </w:r>
      <w:r>
        <w:t xml:space="preserve"> Available at: </w:t>
      </w:r>
      <w:hyperlink r:id="rId66" w:history="1">
        <w:r w:rsidRPr="0086606A">
          <w:rPr>
            <w:rStyle w:val="Hyperlink"/>
          </w:rPr>
          <w:t>https://doi.org/10.1177/0734371X16682817</w:t>
        </w:r>
      </w:hyperlink>
    </w:p>
    <w:p w14:paraId="49B04440" w14:textId="77777777" w:rsidR="005C4771" w:rsidRDefault="005C4771" w:rsidP="005C4771">
      <w:r w:rsidRPr="00AE1424">
        <w:t>Simpson, E., Sutton, A., Cantrell, A., Clowes, M., Weich, S., Bentley-Hollins, K., Visintin, C. and Axtell, C.</w:t>
      </w:r>
      <w:r>
        <w:t xml:space="preserve"> (</w:t>
      </w:r>
      <w:r w:rsidRPr="00AE1424">
        <w:t>202</w:t>
      </w:r>
      <w:r>
        <w:t>4) ‘</w:t>
      </w:r>
      <w:r w:rsidRPr="00AE1424">
        <w:t>Effectiveness of interventions to improve job-related wellbeing of employees working from home: a rapid review</w:t>
      </w:r>
      <w:r>
        <w:t>’,</w:t>
      </w:r>
      <w:r w:rsidRPr="00AE1424">
        <w:t> </w:t>
      </w:r>
      <w:r w:rsidRPr="00AE1424">
        <w:rPr>
          <w:i/>
          <w:iCs/>
        </w:rPr>
        <w:t>Discover Psychology</w:t>
      </w:r>
      <w:r w:rsidRPr="00AE1424">
        <w:t>, </w:t>
      </w:r>
      <w:r w:rsidRPr="0086606A">
        <w:t>4(</w:t>
      </w:r>
      <w:r w:rsidRPr="00AE1424">
        <w:t>1), p</w:t>
      </w:r>
      <w:r>
        <w:t>p</w:t>
      </w:r>
      <w:r w:rsidRPr="00AE1424">
        <w:t>.</w:t>
      </w:r>
      <w:r>
        <w:t xml:space="preserve"> </w:t>
      </w:r>
      <w:r w:rsidRPr="00AE1424">
        <w:t>69.</w:t>
      </w:r>
      <w:r>
        <w:t xml:space="preserve"> Available at: </w:t>
      </w:r>
      <w:hyperlink r:id="rId67" w:history="1">
        <w:r w:rsidRPr="00A90309">
          <w:rPr>
            <w:rStyle w:val="Hyperlink"/>
          </w:rPr>
          <w:t>https://doi.org/10.1007/s44202-024-00184-9</w:t>
        </w:r>
      </w:hyperlink>
    </w:p>
    <w:p w14:paraId="0A3724C1" w14:textId="77777777" w:rsidR="005C4771" w:rsidRDefault="005C4771" w:rsidP="005C4771">
      <w:r w:rsidRPr="008E3489">
        <w:t xml:space="preserve">Sinclair, A. and Suff, R. (2025) </w:t>
      </w:r>
      <w:r w:rsidRPr="00CF5B32">
        <w:rPr>
          <w:i/>
          <w:iCs/>
        </w:rPr>
        <w:t>Health and wellbeing at work</w:t>
      </w:r>
      <w:r w:rsidRPr="008E3489">
        <w:t>. Chartered Institute of Personnel and Development.</w:t>
      </w:r>
    </w:p>
    <w:p w14:paraId="0089C5A7" w14:textId="77777777" w:rsidR="005C4771" w:rsidRDefault="005C4771" w:rsidP="005C4771">
      <w:r>
        <w:t xml:space="preserve">Spicer, A. (2024) </w:t>
      </w:r>
      <w:r w:rsidRPr="006A2760">
        <w:rPr>
          <w:i/>
          <w:iCs/>
        </w:rPr>
        <w:t>Work ‘wellness’ programmes don’t make employees happier - but I know what does</w:t>
      </w:r>
      <w:r>
        <w:t xml:space="preserve">. Available at: </w:t>
      </w:r>
      <w:hyperlink r:id="rId68" w:history="1">
        <w:r w:rsidRPr="00A90309">
          <w:rPr>
            <w:rStyle w:val="Hyperlink"/>
          </w:rPr>
          <w:t>https://www.theguardian.com/commentisfree/2024/jan/17/work-wellness-programmes-dont-make-employees-happier-but-i-know-what-does</w:t>
        </w:r>
      </w:hyperlink>
      <w:r>
        <w:t xml:space="preserve"> (Accessed: 2 May 2026). </w:t>
      </w:r>
    </w:p>
    <w:p w14:paraId="40703A5C" w14:textId="77777777" w:rsidR="005C4771" w:rsidRPr="006A2760" w:rsidRDefault="005C4771" w:rsidP="005C4771">
      <w:pPr>
        <w:rPr>
          <w:b/>
          <w:bCs/>
        </w:rPr>
      </w:pPr>
      <w:r>
        <w:t xml:space="preserve">Stothart, C. (2022) </w:t>
      </w:r>
      <w:r w:rsidRPr="006A2760">
        <w:rPr>
          <w:i/>
          <w:iCs/>
        </w:rPr>
        <w:t>Why we need to go beyond Maslow</w:t>
      </w:r>
      <w:r w:rsidRPr="006A2760">
        <w:t>. Available at:</w:t>
      </w:r>
      <w:r>
        <w:t xml:space="preserve"> </w:t>
      </w:r>
      <w:hyperlink r:id="rId69" w:history="1">
        <w:r w:rsidRPr="00C74EAE">
          <w:rPr>
            <w:rStyle w:val="Hyperlink"/>
          </w:rPr>
          <w:t>https://www.peoplemanagement.co.uk/article/1796563/why-need-go-beyond-maslow</w:t>
        </w:r>
      </w:hyperlink>
      <w:r>
        <w:t xml:space="preserve"> (Accessed: 2 May 2026).</w:t>
      </w:r>
    </w:p>
    <w:p w14:paraId="2C7BB916" w14:textId="77777777" w:rsidR="005C4771" w:rsidRDefault="005C4771" w:rsidP="005C4771">
      <w:r>
        <w:t xml:space="preserve">Suff, R. (2025a) </w:t>
      </w:r>
      <w:r>
        <w:rPr>
          <w:i/>
          <w:iCs/>
        </w:rPr>
        <w:t xml:space="preserve">Wellbeing at work. </w:t>
      </w:r>
      <w:r>
        <w:t xml:space="preserve">Available at: </w:t>
      </w:r>
      <w:hyperlink r:id="rId70" w:history="1">
        <w:r w:rsidRPr="00C74EAE">
          <w:rPr>
            <w:rStyle w:val="Hyperlink"/>
          </w:rPr>
          <w:t>https://www.cipd.org/uk/knowledge/factsheets/well-being-factsheet/</w:t>
        </w:r>
      </w:hyperlink>
      <w:r>
        <w:t xml:space="preserve"> (Accessed: 2 May 2026).</w:t>
      </w:r>
    </w:p>
    <w:p w14:paraId="217841E2" w14:textId="77777777" w:rsidR="005C4771" w:rsidRDefault="005C4771" w:rsidP="005C4771">
      <w:r>
        <w:t xml:space="preserve">Suff, R. (2025b) </w:t>
      </w:r>
      <w:r>
        <w:rPr>
          <w:i/>
          <w:iCs/>
        </w:rPr>
        <w:t xml:space="preserve">Stress in the workplace. </w:t>
      </w:r>
      <w:r>
        <w:t xml:space="preserve">Available at: </w:t>
      </w:r>
      <w:hyperlink r:id="rId71" w:history="1">
        <w:r w:rsidRPr="00C74EAE">
          <w:rPr>
            <w:rStyle w:val="Hyperlink"/>
          </w:rPr>
          <w:t>https://www.cipd.org/uk/knowledge/factsheets/stress-factsheet/</w:t>
        </w:r>
      </w:hyperlink>
      <w:r>
        <w:t xml:space="preserve"> (Accessed: 4 May 2026). </w:t>
      </w:r>
    </w:p>
    <w:p w14:paraId="1D843A1E" w14:textId="77777777" w:rsidR="005C4771" w:rsidRPr="009D4C20" w:rsidRDefault="005C4771" w:rsidP="005C4771">
      <w:r>
        <w:t xml:space="preserve">Suff, R. (2025c) </w:t>
      </w:r>
      <w:r>
        <w:rPr>
          <w:i/>
          <w:iCs/>
        </w:rPr>
        <w:t xml:space="preserve">Occupational health. </w:t>
      </w:r>
      <w:r>
        <w:t xml:space="preserve">Available at: </w:t>
      </w:r>
      <w:hyperlink r:id="rId72" w:history="1">
        <w:r w:rsidRPr="007D0055">
          <w:rPr>
            <w:rStyle w:val="Hyperlink"/>
          </w:rPr>
          <w:t>https://www.cipd.org/uk/knowledge/factsheets/occupational-health-factsheet/</w:t>
        </w:r>
      </w:hyperlink>
      <w:r>
        <w:t xml:space="preserve"> (Accessed: 27 May 2026). </w:t>
      </w:r>
    </w:p>
    <w:p w14:paraId="74B66185" w14:textId="77777777" w:rsidR="005C4771" w:rsidRDefault="005C4771" w:rsidP="005C4771">
      <w:r w:rsidRPr="000C7231">
        <w:t>Sulaeman, R., Amien, N., Budiadi, H., Fitriani, H. and Ismiyatun, I.</w:t>
      </w:r>
      <w:r>
        <w:t xml:space="preserve"> (</w:t>
      </w:r>
      <w:r w:rsidRPr="000C7231">
        <w:t>2024</w:t>
      </w:r>
      <w:r>
        <w:t>)</w:t>
      </w:r>
      <w:r w:rsidRPr="000C7231">
        <w:t xml:space="preserve"> </w:t>
      </w:r>
      <w:r>
        <w:t>‘</w:t>
      </w:r>
      <w:r w:rsidRPr="000C7231">
        <w:t>Toxic workplace culture: causes and consequences</w:t>
      </w:r>
      <w:r>
        <w:t xml:space="preserve">’, </w:t>
      </w:r>
      <w:r w:rsidRPr="000C7231">
        <w:rPr>
          <w:i/>
          <w:iCs/>
        </w:rPr>
        <w:t>The Journal of Academic Science</w:t>
      </w:r>
      <w:r w:rsidRPr="000C7231">
        <w:t>, </w:t>
      </w:r>
      <w:r w:rsidRPr="00F93858">
        <w:t>1</w:t>
      </w:r>
      <w:r w:rsidRPr="000C7231">
        <w:t>(4), pp.384-394.</w:t>
      </w:r>
      <w:r>
        <w:t xml:space="preserve"> Available at: </w:t>
      </w:r>
      <w:hyperlink r:id="rId73" w:history="1">
        <w:r w:rsidRPr="008C66B1">
          <w:rPr>
            <w:rStyle w:val="Hyperlink"/>
          </w:rPr>
          <w:t>https://doi.org/https://doi.org/10.59613/p9hfcf75</w:t>
        </w:r>
      </w:hyperlink>
      <w:r>
        <w:t xml:space="preserve"> </w:t>
      </w:r>
    </w:p>
    <w:p w14:paraId="13C8163E" w14:textId="77777777" w:rsidR="005C4771" w:rsidRPr="00791363" w:rsidRDefault="005C4771" w:rsidP="005C4771">
      <w:r>
        <w:t xml:space="preserve">Sylvester, V. (2019) </w:t>
      </w:r>
      <w:r w:rsidRPr="00791363">
        <w:rPr>
          <w:i/>
          <w:iCs/>
        </w:rPr>
        <w:t>How to convert employee feedback into action</w:t>
      </w:r>
      <w:r>
        <w:rPr>
          <w:b/>
          <w:bCs/>
        </w:rPr>
        <w:t xml:space="preserve">. </w:t>
      </w:r>
      <w:r>
        <w:t xml:space="preserve">Available at: </w:t>
      </w:r>
      <w:hyperlink r:id="rId74" w:history="1">
        <w:r w:rsidRPr="00A90309">
          <w:rPr>
            <w:rStyle w:val="Hyperlink"/>
          </w:rPr>
          <w:t>https://www.peoplemanagement.co.uk/article/1741837/how-to-convert-employee-feedback-into-action</w:t>
        </w:r>
      </w:hyperlink>
      <w:r>
        <w:t xml:space="preserve"> (Accessed: 30 May 2026). </w:t>
      </w:r>
    </w:p>
    <w:p w14:paraId="7E0A03CA" w14:textId="77777777" w:rsidR="005C4771" w:rsidRDefault="005C4771" w:rsidP="005C4771">
      <w:r w:rsidRPr="00BD41D7">
        <w:t>Taylor</w:t>
      </w:r>
      <w:r>
        <w:t xml:space="preserve">, </w:t>
      </w:r>
      <w:r w:rsidRPr="00BD41D7">
        <w:t>W</w:t>
      </w:r>
      <w:r>
        <w:t xml:space="preserve">., </w:t>
      </w:r>
      <w:r w:rsidRPr="00BD41D7">
        <w:t>King</w:t>
      </w:r>
      <w:r>
        <w:t xml:space="preserve">, </w:t>
      </w:r>
      <w:r w:rsidRPr="00BD41D7">
        <w:t>K</w:t>
      </w:r>
      <w:r>
        <w:t>.</w:t>
      </w:r>
      <w:r w:rsidRPr="00BD41D7">
        <w:t>, Shegog</w:t>
      </w:r>
      <w:r>
        <w:t xml:space="preserve">, </w:t>
      </w:r>
      <w:r w:rsidRPr="00BD41D7">
        <w:t>R</w:t>
      </w:r>
      <w:r>
        <w:t>.</w:t>
      </w:r>
      <w:r w:rsidRPr="00BD41D7">
        <w:t>, Paxton</w:t>
      </w:r>
      <w:r>
        <w:t>,</w:t>
      </w:r>
      <w:r w:rsidRPr="00BD41D7">
        <w:t xml:space="preserve"> R</w:t>
      </w:r>
      <w:r>
        <w:t>.</w:t>
      </w:r>
      <w:r w:rsidRPr="00BD41D7">
        <w:t>, Evans-Hudnall</w:t>
      </w:r>
      <w:r>
        <w:t xml:space="preserve">, </w:t>
      </w:r>
      <w:r w:rsidRPr="00BD41D7">
        <w:t>G</w:t>
      </w:r>
      <w:r>
        <w:t>.</w:t>
      </w:r>
      <w:r w:rsidRPr="00BD41D7">
        <w:t>, Rempel</w:t>
      </w:r>
      <w:r>
        <w:t>,</w:t>
      </w:r>
      <w:r w:rsidRPr="00BD41D7">
        <w:t xml:space="preserve"> D</w:t>
      </w:r>
      <w:r>
        <w:t>.</w:t>
      </w:r>
      <w:r w:rsidRPr="00BD41D7">
        <w:t>, Chen</w:t>
      </w:r>
      <w:r>
        <w:t xml:space="preserve">, </w:t>
      </w:r>
      <w:r w:rsidRPr="00BD41D7">
        <w:t>V</w:t>
      </w:r>
      <w:r>
        <w:t xml:space="preserve">. and </w:t>
      </w:r>
      <w:r w:rsidRPr="00BD41D7">
        <w:t xml:space="preserve">Yancey A. </w:t>
      </w:r>
      <w:r>
        <w:t>(2013) ‘</w:t>
      </w:r>
      <w:r w:rsidRPr="00BD41D7">
        <w:t>Booster Breaks in the workplace: participants' perspectives on health-promoting work breaks</w:t>
      </w:r>
      <w:r>
        <w:t xml:space="preserve">’, </w:t>
      </w:r>
      <w:r w:rsidRPr="00E07580">
        <w:rPr>
          <w:i/>
          <w:iCs/>
        </w:rPr>
        <w:t>Health Education Researc</w:t>
      </w:r>
      <w:r>
        <w:rPr>
          <w:i/>
          <w:iCs/>
        </w:rPr>
        <w:t>h</w:t>
      </w:r>
      <w:r>
        <w:t xml:space="preserve">, </w:t>
      </w:r>
      <w:r w:rsidRPr="00BD41D7">
        <w:t>28(3)</w:t>
      </w:r>
      <w:r>
        <w:t xml:space="preserve">, pp. </w:t>
      </w:r>
      <w:r w:rsidRPr="00BD41D7">
        <w:t>414-</w:t>
      </w:r>
      <w:r>
        <w:t>4</w:t>
      </w:r>
      <w:r w:rsidRPr="00BD41D7">
        <w:t xml:space="preserve">25. </w:t>
      </w:r>
      <w:r>
        <w:t xml:space="preserve">Available at: </w:t>
      </w:r>
      <w:hyperlink r:id="rId75" w:tgtFrame="_blank" w:history="1">
        <w:r w:rsidRPr="00BD41D7">
          <w:rPr>
            <w:rStyle w:val="Hyperlink"/>
          </w:rPr>
          <w:t>10.1093/her/cyt001</w:t>
        </w:r>
      </w:hyperlink>
      <w:r w:rsidRPr="00BD41D7">
        <w:t xml:space="preserve"> </w:t>
      </w:r>
    </w:p>
    <w:p w14:paraId="61405038" w14:textId="77777777" w:rsidR="005C4771" w:rsidRPr="00B378BF" w:rsidRDefault="005C4771" w:rsidP="005C4771">
      <w:r w:rsidRPr="00F30836">
        <w:lastRenderedPageBreak/>
        <w:t>Teoh, K</w:t>
      </w:r>
      <w:r>
        <w:t xml:space="preserve">. </w:t>
      </w:r>
      <w:r w:rsidRPr="00F30836">
        <w:t xml:space="preserve">(2023) </w:t>
      </w:r>
      <w:r w:rsidRPr="00E07580">
        <w:rPr>
          <w:i/>
          <w:iCs/>
        </w:rPr>
        <w:t>The value of occupational health and human resources in supporting mental health and wellbeing in the workplace</w:t>
      </w:r>
      <w:r w:rsidRPr="00F30836">
        <w:t xml:space="preserve">. Society of Occupational Medicine </w:t>
      </w:r>
      <w:r>
        <w:t>and Chartered Institute of Personnel and Development.</w:t>
      </w:r>
    </w:p>
    <w:p w14:paraId="7B526DA6" w14:textId="77777777" w:rsidR="005C4771" w:rsidRDefault="005C4771" w:rsidP="005C4771">
      <w:r>
        <w:t xml:space="preserve">Wilkinson, K. (2022) ‘Wellbeing at work’, in S. </w:t>
      </w:r>
      <w:r w:rsidRPr="000E70CF">
        <w:t>Taylor</w:t>
      </w:r>
      <w:r>
        <w:t xml:space="preserve"> and C.</w:t>
      </w:r>
      <w:r w:rsidRPr="000E70CF">
        <w:t xml:space="preserve"> Woodhams</w:t>
      </w:r>
      <w:r>
        <w:t xml:space="preserve"> (eds), </w:t>
      </w:r>
      <w:r w:rsidRPr="000E70CF">
        <w:rPr>
          <w:i/>
          <w:iCs/>
        </w:rPr>
        <w:t>Human resource management: people and organisations</w:t>
      </w:r>
      <w:r w:rsidRPr="000E70CF">
        <w:t>. Third edition. Kogan</w:t>
      </w:r>
      <w:r>
        <w:t xml:space="preserve"> </w:t>
      </w:r>
      <w:r w:rsidRPr="000E70CF">
        <w:t>Page</w:t>
      </w:r>
      <w:r>
        <w:t>, pp. 225–252.</w:t>
      </w:r>
    </w:p>
    <w:p w14:paraId="24457C6E" w14:textId="77777777" w:rsidR="005C4771" w:rsidRDefault="005C4771" w:rsidP="005C4771">
      <w:r w:rsidRPr="0033599A">
        <w:t>Waller, L., 2020. Fostering a sense of belonging in the workplace: Enhancing well-being and a positive and coherent sense of self. In </w:t>
      </w:r>
      <w:r w:rsidRPr="0033599A">
        <w:rPr>
          <w:i/>
          <w:iCs/>
        </w:rPr>
        <w:t>The Palgrave handbook of workplace well-being</w:t>
      </w:r>
      <w:r w:rsidRPr="0033599A">
        <w:t> (pp. 1-27). Cham: Springer International Publishing.</w:t>
      </w:r>
    </w:p>
    <w:p w14:paraId="18C35D02" w14:textId="77777777" w:rsidR="005C4771" w:rsidRDefault="005C4771" w:rsidP="005C4771">
      <w:r w:rsidRPr="0065211E">
        <w:t>World Health Organization</w:t>
      </w:r>
      <w:r>
        <w:t>.</w:t>
      </w:r>
      <w:r w:rsidRPr="0065211E">
        <w:t xml:space="preserve"> (1948) </w:t>
      </w:r>
      <w:r w:rsidRPr="00E07580">
        <w:rPr>
          <w:i/>
          <w:iCs/>
        </w:rPr>
        <w:t>Summary Reports on Proceedings Minutes and Final Acts of the International Health Conference held in New York from 19 June to 22 July 1946.</w:t>
      </w:r>
      <w:r w:rsidRPr="0065211E">
        <w:t xml:space="preserve"> World Health Organization</w:t>
      </w:r>
      <w:r>
        <w:t>. Available at</w:t>
      </w:r>
      <w:r w:rsidRPr="0065211E">
        <w:t>: </w:t>
      </w:r>
      <w:hyperlink r:id="rId76" w:tgtFrame="_blank" w:history="1">
        <w:r w:rsidRPr="0065211E">
          <w:rPr>
            <w:rStyle w:val="Hyperlink"/>
          </w:rPr>
          <w:t>https://apps.who.int/iris/handle/10665/85573</w:t>
        </w:r>
      </w:hyperlink>
    </w:p>
    <w:p w14:paraId="0E20BA9C" w14:textId="490BE113" w:rsidR="005C4771" w:rsidRPr="007F1A10" w:rsidRDefault="005C4771" w:rsidP="005C4771">
      <w:r w:rsidRPr="003772A3">
        <w:t>Yadav, A., Pandita, D. and Singh, S.</w:t>
      </w:r>
      <w:r>
        <w:t xml:space="preserve"> (</w:t>
      </w:r>
      <w:r w:rsidRPr="003772A3">
        <w:t>2022</w:t>
      </w:r>
      <w:r>
        <w:t>)</w:t>
      </w:r>
      <w:r w:rsidRPr="003772A3">
        <w:t xml:space="preserve"> </w:t>
      </w:r>
      <w:r>
        <w:t>‘</w:t>
      </w:r>
      <w:r w:rsidRPr="003772A3">
        <w:t>Work-life integration, job contentment, employee engagement and its impact on organizational effectiveness: a systematic literature revie</w:t>
      </w:r>
      <w:r>
        <w:t>w’,</w:t>
      </w:r>
      <w:r w:rsidRPr="003772A3">
        <w:t> </w:t>
      </w:r>
      <w:r w:rsidRPr="003772A3">
        <w:rPr>
          <w:i/>
          <w:iCs/>
        </w:rPr>
        <w:t>Industrial and Commercial Training</w:t>
      </w:r>
      <w:r w:rsidRPr="003772A3">
        <w:t>, </w:t>
      </w:r>
      <w:r w:rsidRPr="00E07580">
        <w:t>54</w:t>
      </w:r>
      <w:r w:rsidRPr="003772A3">
        <w:t>(3), pp.</w:t>
      </w:r>
      <w:r>
        <w:t xml:space="preserve"> </w:t>
      </w:r>
      <w:r w:rsidRPr="003772A3">
        <w:t>509-527.</w:t>
      </w:r>
      <w:r>
        <w:t xml:space="preserve"> Available at: </w:t>
      </w:r>
      <w:hyperlink r:id="rId77" w:tgtFrame="_blank" w:history="1">
        <w:r w:rsidRPr="00E07580">
          <w:rPr>
            <w:rStyle w:val="Hyperlink"/>
          </w:rPr>
          <w:t>https://doi.org/10.1108/ICT-12-2021-0083</w:t>
        </w:r>
      </w:hyperlink>
    </w:p>
    <w:sectPr w:rsidR="005C4771" w:rsidRPr="007F1A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35204"/>
    <w:multiLevelType w:val="multilevel"/>
    <w:tmpl w:val="4EC8D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114318"/>
    <w:multiLevelType w:val="hybridMultilevel"/>
    <w:tmpl w:val="C2A2348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AB7F1C"/>
    <w:multiLevelType w:val="multilevel"/>
    <w:tmpl w:val="637C1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89399C"/>
    <w:multiLevelType w:val="hybridMultilevel"/>
    <w:tmpl w:val="32F0693C"/>
    <w:lvl w:ilvl="0" w:tplc="B852D304">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529683">
    <w:abstractNumId w:val="3"/>
  </w:num>
  <w:num w:numId="2" w16cid:durableId="1074888526">
    <w:abstractNumId w:val="1"/>
  </w:num>
  <w:num w:numId="3" w16cid:durableId="2002812296">
    <w:abstractNumId w:val="2"/>
  </w:num>
  <w:num w:numId="4" w16cid:durableId="1322198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78A"/>
    <w:rsid w:val="000104C6"/>
    <w:rsid w:val="00042095"/>
    <w:rsid w:val="00051AD4"/>
    <w:rsid w:val="00062D8F"/>
    <w:rsid w:val="00077968"/>
    <w:rsid w:val="00087065"/>
    <w:rsid w:val="00095AF7"/>
    <w:rsid w:val="00097629"/>
    <w:rsid w:val="000B1B26"/>
    <w:rsid w:val="000C378C"/>
    <w:rsid w:val="000C477A"/>
    <w:rsid w:val="000D3E3D"/>
    <w:rsid w:val="000E6268"/>
    <w:rsid w:val="000F3ACD"/>
    <w:rsid w:val="001013B5"/>
    <w:rsid w:val="00114B25"/>
    <w:rsid w:val="0012140D"/>
    <w:rsid w:val="0014515E"/>
    <w:rsid w:val="00173509"/>
    <w:rsid w:val="00187F99"/>
    <w:rsid w:val="001917BB"/>
    <w:rsid w:val="001A1E1F"/>
    <w:rsid w:val="001B5D95"/>
    <w:rsid w:val="001C65B2"/>
    <w:rsid w:val="001C663C"/>
    <w:rsid w:val="00201A4D"/>
    <w:rsid w:val="00202EF6"/>
    <w:rsid w:val="00210DC3"/>
    <w:rsid w:val="00211213"/>
    <w:rsid w:val="002642C5"/>
    <w:rsid w:val="00271754"/>
    <w:rsid w:val="00284A93"/>
    <w:rsid w:val="002E6BAF"/>
    <w:rsid w:val="002F1C0B"/>
    <w:rsid w:val="0030013B"/>
    <w:rsid w:val="00300CC3"/>
    <w:rsid w:val="00315510"/>
    <w:rsid w:val="00315D3B"/>
    <w:rsid w:val="0032259E"/>
    <w:rsid w:val="00324C90"/>
    <w:rsid w:val="00334110"/>
    <w:rsid w:val="0033654D"/>
    <w:rsid w:val="00340D55"/>
    <w:rsid w:val="00344662"/>
    <w:rsid w:val="003537A3"/>
    <w:rsid w:val="0037234C"/>
    <w:rsid w:val="00391D92"/>
    <w:rsid w:val="003C1EF3"/>
    <w:rsid w:val="003E555C"/>
    <w:rsid w:val="0040122F"/>
    <w:rsid w:val="00423485"/>
    <w:rsid w:val="0042378A"/>
    <w:rsid w:val="00434729"/>
    <w:rsid w:val="00434D44"/>
    <w:rsid w:val="0043736D"/>
    <w:rsid w:val="00451468"/>
    <w:rsid w:val="00452C79"/>
    <w:rsid w:val="00473C59"/>
    <w:rsid w:val="00485635"/>
    <w:rsid w:val="0049118A"/>
    <w:rsid w:val="0049443D"/>
    <w:rsid w:val="004D55FD"/>
    <w:rsid w:val="004D5C34"/>
    <w:rsid w:val="004E1696"/>
    <w:rsid w:val="004E79D0"/>
    <w:rsid w:val="00533932"/>
    <w:rsid w:val="005359CC"/>
    <w:rsid w:val="00540CB1"/>
    <w:rsid w:val="005444EE"/>
    <w:rsid w:val="005729F0"/>
    <w:rsid w:val="00581128"/>
    <w:rsid w:val="005864DE"/>
    <w:rsid w:val="00592E10"/>
    <w:rsid w:val="005A2197"/>
    <w:rsid w:val="005A38CF"/>
    <w:rsid w:val="005A3D41"/>
    <w:rsid w:val="005A567E"/>
    <w:rsid w:val="005B1411"/>
    <w:rsid w:val="005B1B92"/>
    <w:rsid w:val="005B48E0"/>
    <w:rsid w:val="005C4771"/>
    <w:rsid w:val="005E30AB"/>
    <w:rsid w:val="005E6C64"/>
    <w:rsid w:val="005F0E51"/>
    <w:rsid w:val="005F0F4F"/>
    <w:rsid w:val="00662536"/>
    <w:rsid w:val="00681026"/>
    <w:rsid w:val="006A32D2"/>
    <w:rsid w:val="006A75C9"/>
    <w:rsid w:val="006C16C4"/>
    <w:rsid w:val="006C4E87"/>
    <w:rsid w:val="006D4D96"/>
    <w:rsid w:val="006F72F3"/>
    <w:rsid w:val="0071537A"/>
    <w:rsid w:val="00716882"/>
    <w:rsid w:val="007174A4"/>
    <w:rsid w:val="007254FC"/>
    <w:rsid w:val="0075053A"/>
    <w:rsid w:val="00750A89"/>
    <w:rsid w:val="00754725"/>
    <w:rsid w:val="007721B8"/>
    <w:rsid w:val="00797A6A"/>
    <w:rsid w:val="007E23C3"/>
    <w:rsid w:val="007F1A10"/>
    <w:rsid w:val="00816880"/>
    <w:rsid w:val="00831A73"/>
    <w:rsid w:val="008656FD"/>
    <w:rsid w:val="00867045"/>
    <w:rsid w:val="00877F40"/>
    <w:rsid w:val="008C4BF8"/>
    <w:rsid w:val="008C4EE4"/>
    <w:rsid w:val="008F26DE"/>
    <w:rsid w:val="00913FC7"/>
    <w:rsid w:val="00914A82"/>
    <w:rsid w:val="00915226"/>
    <w:rsid w:val="00917AD7"/>
    <w:rsid w:val="00941DE5"/>
    <w:rsid w:val="00944657"/>
    <w:rsid w:val="009475E6"/>
    <w:rsid w:val="00960E0B"/>
    <w:rsid w:val="009624D6"/>
    <w:rsid w:val="0098487E"/>
    <w:rsid w:val="009A5097"/>
    <w:rsid w:val="009B0B9B"/>
    <w:rsid w:val="009B4BDB"/>
    <w:rsid w:val="009C2FA5"/>
    <w:rsid w:val="009C7BE2"/>
    <w:rsid w:val="009D0716"/>
    <w:rsid w:val="009D132D"/>
    <w:rsid w:val="00A0398B"/>
    <w:rsid w:val="00A10A03"/>
    <w:rsid w:val="00A1424E"/>
    <w:rsid w:val="00A33A47"/>
    <w:rsid w:val="00A4399E"/>
    <w:rsid w:val="00A455B5"/>
    <w:rsid w:val="00A50AD9"/>
    <w:rsid w:val="00A91306"/>
    <w:rsid w:val="00A955EE"/>
    <w:rsid w:val="00AA5FFA"/>
    <w:rsid w:val="00AB7AA8"/>
    <w:rsid w:val="00AC0259"/>
    <w:rsid w:val="00AE2BFA"/>
    <w:rsid w:val="00AF3EE9"/>
    <w:rsid w:val="00B00ABE"/>
    <w:rsid w:val="00B00E75"/>
    <w:rsid w:val="00B15723"/>
    <w:rsid w:val="00B15D0C"/>
    <w:rsid w:val="00B20900"/>
    <w:rsid w:val="00B5378E"/>
    <w:rsid w:val="00B73BBE"/>
    <w:rsid w:val="00B94E12"/>
    <w:rsid w:val="00BC05F3"/>
    <w:rsid w:val="00BC33FF"/>
    <w:rsid w:val="00BC4A9F"/>
    <w:rsid w:val="00BC7AA4"/>
    <w:rsid w:val="00BE2E4B"/>
    <w:rsid w:val="00C022AE"/>
    <w:rsid w:val="00C26213"/>
    <w:rsid w:val="00C35531"/>
    <w:rsid w:val="00C40718"/>
    <w:rsid w:val="00C4531A"/>
    <w:rsid w:val="00C80A83"/>
    <w:rsid w:val="00C962DA"/>
    <w:rsid w:val="00CD3F61"/>
    <w:rsid w:val="00CD681F"/>
    <w:rsid w:val="00CF580D"/>
    <w:rsid w:val="00CF5B82"/>
    <w:rsid w:val="00D010FB"/>
    <w:rsid w:val="00D11282"/>
    <w:rsid w:val="00D23CCE"/>
    <w:rsid w:val="00D25B6B"/>
    <w:rsid w:val="00D2682C"/>
    <w:rsid w:val="00D367CF"/>
    <w:rsid w:val="00D44FB3"/>
    <w:rsid w:val="00D4636F"/>
    <w:rsid w:val="00D53391"/>
    <w:rsid w:val="00D673F5"/>
    <w:rsid w:val="00D75872"/>
    <w:rsid w:val="00D8631B"/>
    <w:rsid w:val="00D91043"/>
    <w:rsid w:val="00DC3EC5"/>
    <w:rsid w:val="00DC4BD8"/>
    <w:rsid w:val="00DD68DA"/>
    <w:rsid w:val="00E02FEA"/>
    <w:rsid w:val="00E2180E"/>
    <w:rsid w:val="00E62BC2"/>
    <w:rsid w:val="00E6516E"/>
    <w:rsid w:val="00E84539"/>
    <w:rsid w:val="00E922AE"/>
    <w:rsid w:val="00EB6481"/>
    <w:rsid w:val="00EF233A"/>
    <w:rsid w:val="00F00694"/>
    <w:rsid w:val="00F172EA"/>
    <w:rsid w:val="00F214BE"/>
    <w:rsid w:val="00F21C55"/>
    <w:rsid w:val="00F277C9"/>
    <w:rsid w:val="00F429B1"/>
    <w:rsid w:val="00F53EEF"/>
    <w:rsid w:val="00F55011"/>
    <w:rsid w:val="00F57338"/>
    <w:rsid w:val="00F60BEF"/>
    <w:rsid w:val="00F64A6A"/>
    <w:rsid w:val="00FA483D"/>
    <w:rsid w:val="00FB1257"/>
    <w:rsid w:val="00FC2918"/>
    <w:rsid w:val="00FC69AD"/>
    <w:rsid w:val="00FC7131"/>
    <w:rsid w:val="00FD7AA9"/>
    <w:rsid w:val="00FF530E"/>
    <w:rsid w:val="00FF6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2F76C"/>
  <w15:chartTrackingRefBased/>
  <w15:docId w15:val="{68F132CE-1BB1-47F7-AC11-348196316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7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37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37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7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7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7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7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7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7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7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37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7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7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7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7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7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7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78A"/>
    <w:rPr>
      <w:rFonts w:eastAsiaTheme="majorEastAsia" w:cstheme="majorBidi"/>
      <w:color w:val="272727" w:themeColor="text1" w:themeTint="D8"/>
    </w:rPr>
  </w:style>
  <w:style w:type="paragraph" w:styleId="Title">
    <w:name w:val="Title"/>
    <w:basedOn w:val="Normal"/>
    <w:next w:val="Normal"/>
    <w:link w:val="TitleChar"/>
    <w:uiPriority w:val="10"/>
    <w:qFormat/>
    <w:rsid w:val="004237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7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7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78A"/>
    <w:pPr>
      <w:spacing w:before="160"/>
      <w:jc w:val="center"/>
    </w:pPr>
    <w:rPr>
      <w:i/>
      <w:iCs/>
      <w:color w:val="404040" w:themeColor="text1" w:themeTint="BF"/>
    </w:rPr>
  </w:style>
  <w:style w:type="character" w:customStyle="1" w:styleId="QuoteChar">
    <w:name w:val="Quote Char"/>
    <w:basedOn w:val="DefaultParagraphFont"/>
    <w:link w:val="Quote"/>
    <w:uiPriority w:val="29"/>
    <w:rsid w:val="0042378A"/>
    <w:rPr>
      <w:i/>
      <w:iCs/>
      <w:color w:val="404040" w:themeColor="text1" w:themeTint="BF"/>
    </w:rPr>
  </w:style>
  <w:style w:type="paragraph" w:styleId="ListParagraph">
    <w:name w:val="List Paragraph"/>
    <w:basedOn w:val="Normal"/>
    <w:link w:val="ListParagraphChar"/>
    <w:uiPriority w:val="34"/>
    <w:qFormat/>
    <w:rsid w:val="0042378A"/>
    <w:pPr>
      <w:ind w:left="720"/>
      <w:contextualSpacing/>
    </w:pPr>
  </w:style>
  <w:style w:type="character" w:styleId="IntenseEmphasis">
    <w:name w:val="Intense Emphasis"/>
    <w:basedOn w:val="DefaultParagraphFont"/>
    <w:uiPriority w:val="21"/>
    <w:qFormat/>
    <w:rsid w:val="0042378A"/>
    <w:rPr>
      <w:i/>
      <w:iCs/>
      <w:color w:val="0F4761" w:themeColor="accent1" w:themeShade="BF"/>
    </w:rPr>
  </w:style>
  <w:style w:type="paragraph" w:styleId="IntenseQuote">
    <w:name w:val="Intense Quote"/>
    <w:basedOn w:val="Normal"/>
    <w:next w:val="Normal"/>
    <w:link w:val="IntenseQuoteChar"/>
    <w:uiPriority w:val="30"/>
    <w:qFormat/>
    <w:rsid w:val="004237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78A"/>
    <w:rPr>
      <w:i/>
      <w:iCs/>
      <w:color w:val="0F4761" w:themeColor="accent1" w:themeShade="BF"/>
    </w:rPr>
  </w:style>
  <w:style w:type="character" w:styleId="IntenseReference">
    <w:name w:val="Intense Reference"/>
    <w:basedOn w:val="DefaultParagraphFont"/>
    <w:uiPriority w:val="32"/>
    <w:qFormat/>
    <w:rsid w:val="0042378A"/>
    <w:rPr>
      <w:b/>
      <w:bCs/>
      <w:smallCaps/>
      <w:color w:val="0F4761" w:themeColor="accent1" w:themeShade="BF"/>
      <w:spacing w:val="5"/>
    </w:rPr>
  </w:style>
  <w:style w:type="paragraph" w:customStyle="1" w:styleId="Nornal">
    <w:name w:val="Nornal"/>
    <w:basedOn w:val="Normal"/>
    <w:link w:val="NornalChar"/>
    <w:qFormat/>
    <w:rsid w:val="0042378A"/>
    <w:pPr>
      <w:spacing w:line="264" w:lineRule="auto"/>
    </w:pPr>
    <w:rPr>
      <w:rFonts w:ascii="Arial" w:hAnsi="Arial" w:cs="Arial"/>
    </w:rPr>
  </w:style>
  <w:style w:type="character" w:customStyle="1" w:styleId="NornalChar">
    <w:name w:val="Nornal Char"/>
    <w:basedOn w:val="DefaultParagraphFont"/>
    <w:link w:val="Nornal"/>
    <w:rsid w:val="0042378A"/>
    <w:rPr>
      <w:rFonts w:ascii="Arial" w:hAnsi="Arial" w:cs="Arial"/>
    </w:rPr>
  </w:style>
  <w:style w:type="character" w:customStyle="1" w:styleId="ListParagraphChar">
    <w:name w:val="List Paragraph Char"/>
    <w:basedOn w:val="DefaultParagraphFont"/>
    <w:link w:val="ListParagraph"/>
    <w:uiPriority w:val="34"/>
    <w:rsid w:val="0098487E"/>
  </w:style>
  <w:style w:type="character" w:styleId="Hyperlink">
    <w:name w:val="Hyperlink"/>
    <w:basedOn w:val="DefaultParagraphFont"/>
    <w:uiPriority w:val="99"/>
    <w:unhideWhenUsed/>
    <w:rsid w:val="005C4771"/>
    <w:rPr>
      <w:color w:val="467886" w:themeColor="hyperlink"/>
      <w:u w:val="single"/>
    </w:rPr>
  </w:style>
  <w:style w:type="character" w:styleId="UnresolvedMention">
    <w:name w:val="Unresolved Mention"/>
    <w:basedOn w:val="DefaultParagraphFont"/>
    <w:uiPriority w:val="99"/>
    <w:semiHidden/>
    <w:unhideWhenUsed/>
    <w:rsid w:val="005C47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eoplemanagement.co.uk/article/1927350/pragmatic-generation-gen-z-prioritises-mental-health-wealth-workplace-study-finds" TargetMode="External"/><Relationship Id="rId21" Type="http://schemas.openxmlformats.org/officeDocument/2006/relationships/hyperlink" Target="https://www.cipd.org/uk/knowledge/factsheets/absence-factsheet/" TargetMode="External"/><Relationship Id="rId42" Type="http://schemas.openxmlformats.org/officeDocument/2006/relationships/hyperlink" Target="https://doi.org/10.17868/strath.00094607" TargetMode="External"/><Relationship Id="rId47" Type="http://schemas.openxmlformats.org/officeDocument/2006/relationships/hyperlink" Target="https://doi.org/10.1111/1467-6486.00081" TargetMode="External"/><Relationship Id="rId63" Type="http://schemas.openxmlformats.org/officeDocument/2006/relationships/hyperlink" Target="https://www.peoplemanagement.co.uk/article/1743741/do-you-need-mental-health-first-aiders-in-your-workplace" TargetMode="External"/><Relationship Id="rId68" Type="http://schemas.openxmlformats.org/officeDocument/2006/relationships/hyperlink" Target="https://www.theguardian.com/commentisfree/2024/jan/17/work-wellness-programmes-dont-make-employees-happier-but-i-know-what-does" TargetMode="External"/><Relationship Id="rId16" Type="http://schemas.openxmlformats.org/officeDocument/2006/relationships/hyperlink" Target="https://www.cipd.org/uk/knowledge/guides/mental-health-support-guide/" TargetMode="External"/><Relationship Id="rId11" Type="http://schemas.openxmlformats.org/officeDocument/2006/relationships/hyperlink" Target="https://doi.org/10.1016/j.apergo.2019.102894" TargetMode="External"/><Relationship Id="rId24" Type="http://schemas.openxmlformats.org/officeDocument/2006/relationships/hyperlink" Target="https://www.cipd.org/uk/knowledge/factsheets/voice-factsheet/" TargetMode="External"/><Relationship Id="rId32" Type="http://schemas.openxmlformats.org/officeDocument/2006/relationships/hyperlink" Target="https://doi.org/10.1007/s10926-024-10204-z" TargetMode="External"/><Relationship Id="rId37" Type="http://schemas.openxmlformats.org/officeDocument/2006/relationships/hyperlink" Target="https://www.hrmagazine.co.uk/content/news/managers-should-encourage-exercise-breaks-at-work-researchers-say" TargetMode="External"/><Relationship Id="rId40" Type="http://schemas.openxmlformats.org/officeDocument/2006/relationships/hyperlink" Target="https://doi.org/10.1111/1472-9296.00053" TargetMode="External"/><Relationship Id="rId45" Type="http://schemas.openxmlformats.org/officeDocument/2006/relationships/hyperlink" Target="https://ideas.repec.org/a/bla/jomstd/v35y1998i1p1-12.html" TargetMode="External"/><Relationship Id="rId53" Type="http://schemas.openxmlformats.org/officeDocument/2006/relationships/hyperlink" Target="https://doi.org/10.1002/9781118539415.wbwell030" TargetMode="External"/><Relationship Id="rId58" Type="http://schemas.openxmlformats.org/officeDocument/2006/relationships/hyperlink" Target="https://www.peoplemanagement.co.uk/article/1909835/young-people-prioritising-purpose-wellbeing-careers-survey-finds-%E2%80%93-so-businesses-support-them" TargetMode="External"/><Relationship Id="rId66" Type="http://schemas.openxmlformats.org/officeDocument/2006/relationships/hyperlink" Target="https://doi.org/10.1177/0734371X16682817" TargetMode="External"/><Relationship Id="rId74" Type="http://schemas.openxmlformats.org/officeDocument/2006/relationships/hyperlink" Target="https://www.peoplemanagement.co.uk/article/1741837/how-to-convert-employee-feedback-into-action" TargetMode="External"/><Relationship Id="rId79" Type="http://schemas.openxmlformats.org/officeDocument/2006/relationships/theme" Target="theme/theme1.xml"/><Relationship Id="rId5" Type="http://schemas.openxmlformats.org/officeDocument/2006/relationships/hyperlink" Target="https://www.cipd.org/uk/knowledge/factsheets/diversity-factsheet/" TargetMode="External"/><Relationship Id="rId61" Type="http://schemas.openxmlformats.org/officeDocument/2006/relationships/hyperlink" Target="https://assets.publishing.service.gov.uk/media/5a82b64040f0b62305b93f37/Workplace_Health_Needs_Assessment_2018.pdf" TargetMode="External"/><Relationship Id="rId19" Type="http://schemas.openxmlformats.org/officeDocument/2006/relationships/hyperlink" Target="https://www.cipd.org/uk/knowledge/factsheets/change-management-factsheet/" TargetMode="External"/><Relationship Id="rId14" Type="http://schemas.openxmlformats.org/officeDocument/2006/relationships/hyperlink" Target="https://www.cipd.org/globalassets/media/comms/news/ccccccccccccchealth-and-well-being-public-sector-summary_tcm18-41280.pdf" TargetMode="External"/><Relationship Id="rId22" Type="http://schemas.openxmlformats.org/officeDocument/2006/relationships/hyperlink" Target="https://www.cipd.org/uk/views-and-insights/cipd-viewpoint/employee-health-wellbeing/" TargetMode="External"/><Relationship Id="rId27" Type="http://schemas.openxmlformats.org/officeDocument/2006/relationships/hyperlink" Target="https://doi.org/10.1111/phn.12605" TargetMode="External"/><Relationship Id="rId30" Type="http://schemas.openxmlformats.org/officeDocument/2006/relationships/hyperlink" Target="https://www.gov.uk/government/publications/keep-britain-working-review-final-report/keep-britain-working-final-report" TargetMode="External"/><Relationship Id="rId35" Type="http://schemas.openxmlformats.org/officeDocument/2006/relationships/hyperlink" Target="https://www.peoplemanagement.co.uk/article/1872950/create-mental-health-wellbeing-programme-works" TargetMode="External"/><Relationship Id="rId43" Type="http://schemas.openxmlformats.org/officeDocument/2006/relationships/hyperlink" Target="https://www.hse.gov.uk/pubns/indg36.pdf" TargetMode="External"/><Relationship Id="rId48" Type="http://schemas.openxmlformats.org/officeDocument/2006/relationships/hyperlink" Target="https://doi.org/10.1108/ER-09-2022-0451" TargetMode="External"/><Relationship Id="rId56" Type="http://schemas.openxmlformats.org/officeDocument/2006/relationships/hyperlink" Target="https://doi.org/10.1080/02678373.2022.2080778" TargetMode="External"/><Relationship Id="rId64" Type="http://schemas.openxmlformats.org/officeDocument/2006/relationships/hyperlink" Target="https://www.cipd.org/uk/knowledge/guides/change-management/" TargetMode="External"/><Relationship Id="rId69" Type="http://schemas.openxmlformats.org/officeDocument/2006/relationships/hyperlink" Target="https://www.peoplemanagement.co.uk/article/1796563/why-need-go-beyond-maslow" TargetMode="External"/><Relationship Id="rId77" Type="http://schemas.openxmlformats.org/officeDocument/2006/relationships/hyperlink" Target="https://doi.org/10.1108/ICT-12-2021-0083" TargetMode="External"/><Relationship Id="rId8" Type="http://schemas.openxmlformats.org/officeDocument/2006/relationships/hyperlink" Target="https://www.cipd.org/uk/views-and-insights/thought-leadership/cipd-voice/impact-performance-management-employees/" TargetMode="External"/><Relationship Id="rId51" Type="http://schemas.openxmlformats.org/officeDocument/2006/relationships/hyperlink" Target="https://doi.org/10.48550/arXiv.2303.06794" TargetMode="External"/><Relationship Id="rId72" Type="http://schemas.openxmlformats.org/officeDocument/2006/relationships/hyperlink" Target="https://www.cipd.org/uk/knowledge/factsheets/occupational-health-factsheet/" TargetMode="External"/><Relationship Id="rId3" Type="http://schemas.openxmlformats.org/officeDocument/2006/relationships/settings" Target="settings.xml"/><Relationship Id="rId12" Type="http://schemas.openxmlformats.org/officeDocument/2006/relationships/hyperlink" Target="https://doi.org/10.3390/admsci14040068" TargetMode="External"/><Relationship Id="rId17" Type="http://schemas.openxmlformats.org/officeDocument/2006/relationships/hyperlink" Target="https://www.cipd.org/uk/knowledge/factsheets/health-safety-factsheet/" TargetMode="External"/><Relationship Id="rId25" Type="http://schemas.openxmlformats.org/officeDocument/2006/relationships/hyperlink" Target="https://doi.org/10.1177/23970022251337643" TargetMode="External"/><Relationship Id="rId33" Type="http://schemas.openxmlformats.org/officeDocument/2006/relationships/hyperlink" Target="http://dx.doi.org/10.21742/ijsbt.2024.12.1.05" TargetMode="External"/><Relationship Id="rId38" Type="http://schemas.openxmlformats.org/officeDocument/2006/relationships/hyperlink" Target="https://doi.org/10.4102/sajhrm.v15i0.957" TargetMode="External"/><Relationship Id="rId46" Type="http://schemas.openxmlformats.org/officeDocument/2006/relationships/hyperlink" Target="https://ideas.repec.org/s/bla/jomstd.html" TargetMode="External"/><Relationship Id="rId59" Type="http://schemas.openxmlformats.org/officeDocument/2006/relationships/hyperlink" Target="https://www.peoplemanagement.co.uk/article/1744109/why-wellbeing-workplace-important" TargetMode="External"/><Relationship Id="rId67" Type="http://schemas.openxmlformats.org/officeDocument/2006/relationships/hyperlink" Target="https://doi.org/10.1007/s44202-024-00184-9" TargetMode="External"/><Relationship Id="rId20" Type="http://schemas.openxmlformats.org/officeDocument/2006/relationships/hyperlink" Target="https://www.cipd.org/uk/knowledge/factsheets/engagement-factsheet/" TargetMode="External"/><Relationship Id="rId41" Type="http://schemas.openxmlformats.org/officeDocument/2006/relationships/hyperlink" Target="https://doi.org/10.1111/1748-8583.12139" TargetMode="External"/><Relationship Id="rId54" Type="http://schemas.openxmlformats.org/officeDocument/2006/relationships/hyperlink" Target="https://doi.org/10.1080/09585192.2017.1345205" TargetMode="External"/><Relationship Id="rId62" Type="http://schemas.openxmlformats.org/officeDocument/2006/relationships/hyperlink" Target="https://doi.org/10.1186/s12889-018-6283-y" TargetMode="External"/><Relationship Id="rId70" Type="http://schemas.openxmlformats.org/officeDocument/2006/relationships/hyperlink" Target="https://www.cipd.org/uk/knowledge/factsheets/well-being-factsheet/" TargetMode="External"/><Relationship Id="rId75" Type="http://schemas.openxmlformats.org/officeDocument/2006/relationships/hyperlink" Target="https://doi.org/10.1093/her/cyt001" TargetMode="External"/><Relationship Id="rId1" Type="http://schemas.openxmlformats.org/officeDocument/2006/relationships/numbering" Target="numbering.xml"/><Relationship Id="rId6" Type="http://schemas.openxmlformats.org/officeDocument/2006/relationships/hyperlink" Target="https://openscience.ub.uni-mainz.de/collections/d4f0142d-b961-4a7b-88a3-27e462b68607" TargetMode="External"/><Relationship Id="rId15" Type="http://schemas.openxmlformats.org/officeDocument/2006/relationships/hyperlink" Target="https://www.cipd.org/uk/knowledge/podcasts/well-being-remote-workers/" TargetMode="External"/><Relationship Id="rId23" Type="http://schemas.openxmlformats.org/officeDocument/2006/relationships/hyperlink" Target="https://www.cipd.org/en/knowledge/factsheets/flexible-working-factsheet/" TargetMode="External"/><Relationship Id="rId28" Type="http://schemas.openxmlformats.org/officeDocument/2006/relationships/hyperlink" Target="https://doi.org/10.48785/100/125" TargetMode="External"/><Relationship Id="rId36" Type="http://schemas.openxmlformats.org/officeDocument/2006/relationships/hyperlink" Target="https://doi.org/10.1176/appi.ps.202100027" TargetMode="External"/><Relationship Id="rId49" Type="http://schemas.openxmlformats.org/officeDocument/2006/relationships/hyperlink" Target="https://doi.org/10.1093/occmed/kqx075" TargetMode="External"/><Relationship Id="rId57" Type="http://schemas.openxmlformats.org/officeDocument/2006/relationships/hyperlink" Target="https://www.peoplemanagement.co.uk/article/1881818/mental-health-training-managers-save-organisations-millions-pounds-study-finds" TargetMode="External"/><Relationship Id="rId10" Type="http://schemas.openxmlformats.org/officeDocument/2006/relationships/hyperlink" Target="https://doi.org/10.1111/bjir.12627" TargetMode="External"/><Relationship Id="rId31" Type="http://schemas.openxmlformats.org/officeDocument/2006/relationships/hyperlink" Target="https://doi.org/10.1007/s10926-023-10162-y" TargetMode="External"/><Relationship Id="rId44" Type="http://schemas.openxmlformats.org/officeDocument/2006/relationships/hyperlink" Target="https://www.peoplemanagement.co.uk/article/1790398/leaders-promote-employee-wellbeing" TargetMode="External"/><Relationship Id="rId52" Type="http://schemas.openxmlformats.org/officeDocument/2006/relationships/hyperlink" Target="https://www.som.org.uk/Supporting_businesses_to_build_back_better_The_benefits_of_age_diversity.pdf" TargetMode="External"/><Relationship Id="rId60" Type="http://schemas.openxmlformats.org/officeDocument/2006/relationships/hyperlink" Target="https://doi.org/10.1108/09513540210415541" TargetMode="External"/><Relationship Id="rId65" Type="http://schemas.openxmlformats.org/officeDocument/2006/relationships/hyperlink" Target="https://doi.org/10.1016/j.cedpsych.2020.101860" TargetMode="External"/><Relationship Id="rId73" Type="http://schemas.openxmlformats.org/officeDocument/2006/relationships/hyperlink" Target="https://doi.org/https://doi.org/10.59613/p9hfcf75"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17579139231157528" TargetMode="External"/><Relationship Id="rId13" Type="http://schemas.openxmlformats.org/officeDocument/2006/relationships/hyperlink" Target="https://www.peoplemanagement.co.uk/article/1741217/masterclass-how-to-use-pulse-surveys-effectively" TargetMode="External"/><Relationship Id="rId18" Type="http://schemas.openxmlformats.org/officeDocument/2006/relationships/hyperlink" Target="https://www.cipd.org/uk/knowledge/factsheets/job-design-factsheet/" TargetMode="External"/><Relationship Id="rId39" Type="http://schemas.openxmlformats.org/officeDocument/2006/relationships/hyperlink" Target="https://doi.org/10.3390/healthcare12181815" TargetMode="External"/><Relationship Id="rId34" Type="http://schemas.openxmlformats.org/officeDocument/2006/relationships/hyperlink" Target="https://doi.org/10.1093/occmed/kqae051" TargetMode="External"/><Relationship Id="rId50" Type="http://schemas.openxmlformats.org/officeDocument/2006/relationships/hyperlink" Target="https://doi.org/10.1093/heapro/daab052" TargetMode="External"/><Relationship Id="rId55" Type="http://schemas.openxmlformats.org/officeDocument/2006/relationships/hyperlink" Target="https://doi.org/10.1007/s44202-024-00173-y" TargetMode="External"/><Relationship Id="rId76" Type="http://schemas.openxmlformats.org/officeDocument/2006/relationships/hyperlink" Target="https://apps.who.int/iris/handle/10665/85573" TargetMode="External"/><Relationship Id="rId7" Type="http://schemas.openxmlformats.org/officeDocument/2006/relationships/hyperlink" Target="https://doi.org/10.25358/openscience-12419" TargetMode="External"/><Relationship Id="rId71" Type="http://schemas.openxmlformats.org/officeDocument/2006/relationships/hyperlink" Target="https://www.cipd.org/uk/knowledge/factsheets/stress-factsheet/" TargetMode="External"/><Relationship Id="rId2" Type="http://schemas.openxmlformats.org/officeDocument/2006/relationships/styles" Target="styles.xml"/><Relationship Id="rId29" Type="http://schemas.openxmlformats.org/officeDocument/2006/relationships/hyperlink" Target="https://doi.org/10.1016/j.heliyon.2024.e250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4220</TotalTime>
  <Pages>15</Pages>
  <Words>7660</Words>
  <Characters>43666</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51224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abbieh</dc:creator>
  <cp:keywords/>
  <dc:description/>
  <cp:lastModifiedBy>abbieh</cp:lastModifiedBy>
  <cp:revision>133</cp:revision>
  <dcterms:created xsi:type="dcterms:W3CDTF">2026-05-01T14:52:00Z</dcterms:created>
  <dcterms:modified xsi:type="dcterms:W3CDTF">2026-05-30T19:37:00Z</dcterms:modified>
</cp:coreProperties>
</file>