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 xml:space="preserve">(PORTH </w:t>
      </w:r>
      <w:proofErr w:type="spellStart"/>
      <w:r w:rsidRPr="00F15354">
        <w:rPr>
          <w:rFonts w:ascii="Times New Roman" w:hAnsi="Times New Roman" w:cs="Times New Roman"/>
          <w:b/>
          <w:bCs/>
          <w:color w:val="auto"/>
          <w:sz w:val="48"/>
          <w:szCs w:val="48"/>
        </w:rPr>
        <w:t>AGORED</w:t>
      </w:r>
      <w:proofErr w:type="spellEnd"/>
      <w:r w:rsidRPr="00F15354">
        <w:rPr>
          <w:rFonts w:ascii="Times New Roman" w:hAnsi="Times New Roman" w:cs="Times New Roman"/>
          <w:b/>
          <w:bCs/>
          <w:color w:val="auto"/>
          <w:sz w:val="48"/>
          <w:szCs w:val="48"/>
        </w:rPr>
        <w:t xml:space="preserve">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0"/>
      </w:tblGrid>
      <w:tr w:rsidR="00F927A1" w:rsidRPr="005D3F07" w14:paraId="68CAA39D" w14:textId="77777777" w:rsidTr="003E07E7">
        <w:trPr>
          <w:trHeight w:val="4009"/>
        </w:trPr>
        <w:tc>
          <w:tcPr>
            <w:tcW w:w="10760" w:type="dxa"/>
          </w:tcPr>
          <w:p w14:paraId="02F8EE88" w14:textId="5B1C25A7" w:rsidR="00986B43" w:rsidRPr="00BC230B"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BC230B">
              <w:rPr>
                <w:rFonts w:ascii="Times New Roman" w:hAnsi="Times New Roman" w:cs="Times New Roman"/>
                <w:b/>
                <w:color w:val="auto"/>
                <w:sz w:val="40"/>
                <w:szCs w:val="40"/>
              </w:rPr>
              <w:t>Learner’s name:</w:t>
            </w:r>
            <w:r w:rsidR="00247265" w:rsidRPr="00BC230B">
              <w:rPr>
                <w:rFonts w:ascii="Times New Roman" w:hAnsi="Times New Roman" w:cs="Times New Roman"/>
                <w:b/>
                <w:color w:val="auto"/>
                <w:sz w:val="40"/>
                <w:szCs w:val="40"/>
              </w:rPr>
              <w:t xml:space="preserve"> </w:t>
            </w:r>
            <w:r w:rsidR="003E07E7" w:rsidRPr="00BC230B">
              <w:rPr>
                <w:rFonts w:ascii="Times New Roman" w:hAnsi="Times New Roman" w:cs="Times New Roman"/>
                <w:b/>
                <w:color w:val="auto"/>
                <w:sz w:val="40"/>
                <w:szCs w:val="40"/>
              </w:rPr>
              <w:t>Emma Griffiths</w:t>
            </w:r>
          </w:p>
          <w:p w14:paraId="0B6CD0DB" w14:textId="689515B5" w:rsidR="009C337F" w:rsidRPr="00BC230B"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6E29A551" w:rsidR="009C337F" w:rsidRPr="00BC230B"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BC230B">
              <w:rPr>
                <w:rFonts w:ascii="Times New Roman" w:hAnsi="Times New Roman" w:cs="Times New Roman"/>
                <w:b/>
                <w:color w:val="auto"/>
                <w:sz w:val="40"/>
                <w:szCs w:val="40"/>
              </w:rPr>
              <w:t xml:space="preserve">Email </w:t>
            </w:r>
            <w:proofErr w:type="spellStart"/>
            <w:r w:rsidRPr="00BC230B">
              <w:rPr>
                <w:rFonts w:ascii="Times New Roman" w:hAnsi="Times New Roman" w:cs="Times New Roman"/>
                <w:b/>
                <w:color w:val="auto"/>
                <w:sz w:val="40"/>
                <w:szCs w:val="40"/>
              </w:rPr>
              <w:t>address:</w:t>
            </w:r>
            <w:r w:rsidR="003E07E7" w:rsidRPr="00BC230B">
              <w:rPr>
                <w:rFonts w:ascii="Times New Roman" w:hAnsi="Times New Roman" w:cs="Times New Roman"/>
                <w:b/>
                <w:color w:val="auto"/>
                <w:sz w:val="40"/>
                <w:szCs w:val="40"/>
              </w:rPr>
              <w:t>emmagriffiths@gwynedd.llyw.cymru</w:t>
            </w:r>
            <w:proofErr w:type="spellEnd"/>
          </w:p>
          <w:p w14:paraId="22E38809" w14:textId="77777777" w:rsidR="00986B43" w:rsidRPr="00BC230B"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5EE1F57B" w:rsidR="00F927A1" w:rsidRPr="00BC230B"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BC230B">
              <w:rPr>
                <w:rFonts w:ascii="Times New Roman" w:hAnsi="Times New Roman" w:cs="Times New Roman"/>
                <w:b/>
                <w:color w:val="auto"/>
                <w:sz w:val="40"/>
                <w:szCs w:val="40"/>
              </w:rPr>
              <w:t>Learner’s University Registration</w:t>
            </w:r>
            <w:r w:rsidR="00F927A1" w:rsidRPr="00BC230B">
              <w:rPr>
                <w:rFonts w:ascii="Times New Roman" w:hAnsi="Times New Roman" w:cs="Times New Roman"/>
                <w:b/>
                <w:color w:val="auto"/>
                <w:sz w:val="40"/>
                <w:szCs w:val="40"/>
              </w:rPr>
              <w:t xml:space="preserve"> Number:</w:t>
            </w:r>
            <w:r w:rsidR="003E07E7" w:rsidRPr="00BC230B">
              <w:rPr>
                <w:rFonts w:ascii="Times New Roman" w:hAnsi="Times New Roman" w:cs="Times New Roman"/>
                <w:b/>
                <w:color w:val="auto"/>
                <w:sz w:val="40"/>
                <w:szCs w:val="40"/>
              </w:rPr>
              <w:t>2522537</w:t>
            </w:r>
          </w:p>
          <w:p w14:paraId="622FD17A" w14:textId="77777777" w:rsidR="0085230E" w:rsidRPr="00BC230B"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BC230B">
              <w:rPr>
                <w:rFonts w:ascii="Times New Roman" w:hAnsi="Times New Roman" w:cs="Times New Roman"/>
                <w:b/>
                <w:color w:val="auto"/>
                <w:sz w:val="40"/>
                <w:szCs w:val="40"/>
              </w:rPr>
              <w:t xml:space="preserve">Cohort: </w:t>
            </w:r>
            <w:r w:rsidR="00B037B0" w:rsidRPr="00BC230B">
              <w:rPr>
                <w:rFonts w:ascii="Times New Roman" w:hAnsi="Times New Roman" w:cs="Times New Roman"/>
                <w:b/>
                <w:color w:val="auto"/>
                <w:sz w:val="40"/>
                <w:szCs w:val="40"/>
              </w:rPr>
              <w:t>21</w:t>
            </w:r>
            <w:r w:rsidR="00AE6231" w:rsidRPr="00BC230B">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F067F7" w14:paraId="2E129DEE" w14:textId="77777777" w:rsidTr="7B2CF1A9">
        <w:tc>
          <w:tcPr>
            <w:tcW w:w="10031" w:type="dxa"/>
          </w:tcPr>
          <w:p w14:paraId="63627B26" w14:textId="64A7A177" w:rsidR="006872A0" w:rsidRPr="00F067F7" w:rsidRDefault="006872A0" w:rsidP="00064063">
            <w:pPr>
              <w:jc w:val="both"/>
              <w:rPr>
                <w:b/>
                <w:sz w:val="24"/>
                <w:szCs w:val="24"/>
              </w:rPr>
            </w:pPr>
            <w:r w:rsidRPr="00F067F7">
              <w:rPr>
                <w:b/>
                <w:sz w:val="24"/>
                <w:szCs w:val="24"/>
              </w:rPr>
              <w:t>Question</w:t>
            </w:r>
            <w:r w:rsidR="007A628F" w:rsidRPr="00F067F7">
              <w:rPr>
                <w:b/>
                <w:sz w:val="24"/>
                <w:szCs w:val="24"/>
              </w:rPr>
              <w:t>:</w:t>
            </w:r>
          </w:p>
          <w:p w14:paraId="541B485B" w14:textId="4CB44B06" w:rsidR="00C77FA5" w:rsidRPr="00F067F7" w:rsidRDefault="000A584A">
            <w:pPr>
              <w:jc w:val="both"/>
              <w:rPr>
                <w:b/>
                <w:bCs/>
                <w:sz w:val="24"/>
                <w:szCs w:val="24"/>
              </w:rPr>
            </w:pPr>
            <w:r w:rsidRPr="00F067F7">
              <w:rPr>
                <w:b/>
                <w:bCs/>
                <w:sz w:val="24"/>
                <w:szCs w:val="24"/>
              </w:rPr>
              <w:t xml:space="preserve">Complete a critically reflective case study </w:t>
            </w:r>
            <w:r w:rsidR="00D0503D" w:rsidRPr="00F067F7">
              <w:rPr>
                <w:b/>
                <w:bCs/>
                <w:sz w:val="24"/>
                <w:szCs w:val="24"/>
              </w:rPr>
              <w:t>based</w:t>
            </w:r>
            <w:r w:rsidRPr="00F067F7">
              <w:rPr>
                <w:b/>
                <w:bCs/>
                <w:sz w:val="24"/>
                <w:szCs w:val="24"/>
              </w:rPr>
              <w:t xml:space="preserve"> on</w:t>
            </w:r>
            <w:r w:rsidR="00696A88" w:rsidRPr="00F067F7">
              <w:rPr>
                <w:b/>
                <w:bCs/>
                <w:sz w:val="24"/>
                <w:szCs w:val="24"/>
              </w:rPr>
              <w:t xml:space="preserve"> </w:t>
            </w:r>
            <w:r w:rsidR="00411EF7" w:rsidRPr="00F067F7">
              <w:rPr>
                <w:b/>
                <w:bCs/>
                <w:sz w:val="24"/>
                <w:szCs w:val="24"/>
              </w:rPr>
              <w:t>an assessment</w:t>
            </w:r>
            <w:r w:rsidR="007F312E" w:rsidRPr="00F067F7">
              <w:rPr>
                <w:b/>
                <w:bCs/>
                <w:sz w:val="24"/>
                <w:szCs w:val="24"/>
              </w:rPr>
              <w:t xml:space="preserve"> </w:t>
            </w:r>
            <w:r w:rsidR="007C5ABE" w:rsidRPr="00F067F7">
              <w:rPr>
                <w:b/>
                <w:bCs/>
                <w:sz w:val="24"/>
                <w:szCs w:val="24"/>
              </w:rPr>
              <w:t xml:space="preserve">that you have </w:t>
            </w:r>
            <w:r w:rsidRPr="00F067F7">
              <w:rPr>
                <w:b/>
                <w:bCs/>
                <w:sz w:val="24"/>
                <w:szCs w:val="24"/>
              </w:rPr>
              <w:t xml:space="preserve">undertaken with </w:t>
            </w:r>
            <w:r w:rsidR="00D0503D" w:rsidRPr="00F067F7">
              <w:rPr>
                <w:b/>
                <w:bCs/>
                <w:sz w:val="24"/>
                <w:szCs w:val="24"/>
              </w:rPr>
              <w:t>others, in</w:t>
            </w:r>
            <w:r w:rsidR="0002440E" w:rsidRPr="00F067F7">
              <w:rPr>
                <w:b/>
                <w:bCs/>
                <w:sz w:val="24"/>
                <w:szCs w:val="24"/>
              </w:rPr>
              <w:t xml:space="preserve"> your own area of work</w:t>
            </w:r>
            <w:r w:rsidR="00D0503D" w:rsidRPr="00F067F7">
              <w:rPr>
                <w:b/>
                <w:bCs/>
                <w:sz w:val="24"/>
                <w:szCs w:val="24"/>
              </w:rPr>
              <w:t xml:space="preserve">, </w:t>
            </w:r>
            <w:r w:rsidR="00587923" w:rsidRPr="00F067F7">
              <w:rPr>
                <w:b/>
                <w:bCs/>
                <w:sz w:val="24"/>
                <w:szCs w:val="24"/>
              </w:rPr>
              <w:t>c</w:t>
            </w:r>
            <w:r w:rsidR="008B28E7" w:rsidRPr="00F067F7">
              <w:rPr>
                <w:b/>
                <w:bCs/>
                <w:sz w:val="24"/>
                <w:szCs w:val="24"/>
              </w:rPr>
              <w:t>oncerning the safeguarding of either an adult or a child</w:t>
            </w:r>
            <w:r w:rsidRPr="00F067F7">
              <w:rPr>
                <w:b/>
                <w:bCs/>
                <w:sz w:val="24"/>
                <w:szCs w:val="24"/>
              </w:rPr>
              <w:t xml:space="preserve">. </w:t>
            </w:r>
            <w:r w:rsidR="00216563" w:rsidRPr="00F067F7">
              <w:rPr>
                <w:b/>
                <w:bCs/>
                <w:sz w:val="24"/>
                <w:szCs w:val="24"/>
              </w:rPr>
              <w:t xml:space="preserve">You must demonstrate how </w:t>
            </w:r>
            <w:r w:rsidR="00F34C86" w:rsidRPr="00F067F7">
              <w:rPr>
                <w:b/>
                <w:bCs/>
                <w:sz w:val="24"/>
                <w:szCs w:val="24"/>
              </w:rPr>
              <w:t xml:space="preserve">the case relates to or could relate to safeguarding </w:t>
            </w:r>
            <w:r w:rsidR="00216563" w:rsidRPr="00F067F7">
              <w:rPr>
                <w:b/>
                <w:bCs/>
                <w:sz w:val="24"/>
                <w:szCs w:val="24"/>
              </w:rPr>
              <w:t>legislation, policies</w:t>
            </w:r>
            <w:r w:rsidR="00F34C86" w:rsidRPr="00F067F7">
              <w:rPr>
                <w:b/>
                <w:bCs/>
                <w:sz w:val="24"/>
                <w:szCs w:val="24"/>
              </w:rPr>
              <w:t>, strategies and procedures</w:t>
            </w:r>
            <w:r w:rsidR="7AAB400D" w:rsidRPr="00F067F7">
              <w:rPr>
                <w:b/>
                <w:bCs/>
                <w:sz w:val="24"/>
                <w:szCs w:val="24"/>
              </w:rPr>
              <w:t xml:space="preserve"> </w:t>
            </w:r>
            <w:r w:rsidR="623F2A43" w:rsidRPr="00F067F7">
              <w:rPr>
                <w:b/>
                <w:bCs/>
                <w:sz w:val="24"/>
                <w:szCs w:val="24"/>
              </w:rPr>
              <w:t>(</w:t>
            </w:r>
            <w:r w:rsidR="7AAB400D" w:rsidRPr="00F067F7">
              <w:rPr>
                <w:b/>
                <w:bCs/>
                <w:sz w:val="24"/>
                <w:szCs w:val="24"/>
              </w:rPr>
              <w:t>i</w:t>
            </w:r>
            <w:r w:rsidR="623F2A43" w:rsidRPr="00F067F7">
              <w:rPr>
                <w:b/>
                <w:bCs/>
                <w:sz w:val="24"/>
                <w:szCs w:val="24"/>
              </w:rPr>
              <w:t xml:space="preserve">ncluding </w:t>
            </w:r>
            <w:r w:rsidR="322513AD" w:rsidRPr="00F067F7">
              <w:rPr>
                <w:b/>
                <w:bCs/>
                <w:sz w:val="24"/>
                <w:szCs w:val="24"/>
              </w:rPr>
              <w:t>d</w:t>
            </w:r>
            <w:r w:rsidR="7E97696C" w:rsidRPr="00F067F7">
              <w:rPr>
                <w:b/>
                <w:bCs/>
                <w:sz w:val="24"/>
                <w:szCs w:val="24"/>
              </w:rPr>
              <w:t xml:space="preserve">emonstrating an understanding of </w:t>
            </w:r>
            <w:r w:rsidR="623F2A43" w:rsidRPr="00F067F7">
              <w:rPr>
                <w:b/>
                <w:bCs/>
                <w:sz w:val="24"/>
                <w:szCs w:val="24"/>
              </w:rPr>
              <w:t>the</w:t>
            </w:r>
            <w:r w:rsidR="350F702B" w:rsidRPr="00F067F7">
              <w:rPr>
                <w:b/>
                <w:bCs/>
                <w:sz w:val="24"/>
                <w:szCs w:val="24"/>
              </w:rPr>
              <w:t xml:space="preserve"> </w:t>
            </w:r>
            <w:r w:rsidR="3B2446CA" w:rsidRPr="00F067F7">
              <w:rPr>
                <w:rFonts w:eastAsia="Arial"/>
                <w:b/>
                <w:bCs/>
                <w:color w:val="000000" w:themeColor="text1"/>
                <w:sz w:val="24"/>
                <w:szCs w:val="24"/>
              </w:rPr>
              <w:t xml:space="preserve">interface </w:t>
            </w:r>
            <w:r w:rsidR="534A9052" w:rsidRPr="00F067F7">
              <w:rPr>
                <w:rFonts w:eastAsia="Arial"/>
                <w:b/>
                <w:bCs/>
                <w:color w:val="000000" w:themeColor="text1"/>
                <w:sz w:val="24"/>
                <w:szCs w:val="24"/>
              </w:rPr>
              <w:t>between social services provision in Wales with the United Kingdom, the European Union</w:t>
            </w:r>
            <w:r w:rsidR="007A628F" w:rsidRPr="00F067F7">
              <w:rPr>
                <w:rFonts w:eastAsia="Arial"/>
                <w:b/>
                <w:bCs/>
                <w:color w:val="000000" w:themeColor="text1"/>
                <w:sz w:val="24"/>
                <w:szCs w:val="24"/>
              </w:rPr>
              <w:t xml:space="preserve"> (EU)</w:t>
            </w:r>
            <w:r w:rsidR="534A9052" w:rsidRPr="00F067F7">
              <w:rPr>
                <w:rFonts w:eastAsia="Arial"/>
                <w:b/>
                <w:bCs/>
                <w:color w:val="000000" w:themeColor="text1"/>
                <w:sz w:val="24"/>
                <w:szCs w:val="24"/>
              </w:rPr>
              <w:t xml:space="preserve"> and outside the EU</w:t>
            </w:r>
            <w:r w:rsidR="623F2A43" w:rsidRPr="00F067F7">
              <w:rPr>
                <w:rFonts w:eastAsia="Arial"/>
                <w:b/>
                <w:bCs/>
                <w:color w:val="000000" w:themeColor="text1"/>
                <w:sz w:val="24"/>
                <w:szCs w:val="24"/>
              </w:rPr>
              <w:t>)</w:t>
            </w:r>
            <w:r w:rsidR="00411EF7" w:rsidRPr="00F067F7">
              <w:rPr>
                <w:b/>
                <w:bCs/>
                <w:sz w:val="24"/>
                <w:szCs w:val="24"/>
              </w:rPr>
              <w:t>.</w:t>
            </w:r>
            <w:r w:rsidR="00354B6D" w:rsidRPr="00F067F7">
              <w:rPr>
                <w:b/>
                <w:bCs/>
                <w:sz w:val="24"/>
                <w:szCs w:val="24"/>
              </w:rPr>
              <w:t xml:space="preserve"> </w:t>
            </w:r>
            <w:r w:rsidR="102A3950" w:rsidRPr="00F067F7">
              <w:rPr>
                <w:b/>
                <w:bCs/>
                <w:sz w:val="24"/>
                <w:szCs w:val="24"/>
              </w:rPr>
              <w:t>You</w:t>
            </w:r>
            <w:r w:rsidR="00354B6D" w:rsidRPr="00F067F7">
              <w:rPr>
                <w:b/>
                <w:bCs/>
                <w:sz w:val="24"/>
                <w:szCs w:val="24"/>
              </w:rPr>
              <w:t xml:space="preserve"> must</w:t>
            </w:r>
            <w:r w:rsidR="00411EF7" w:rsidRPr="00F067F7">
              <w:rPr>
                <w:b/>
                <w:bCs/>
                <w:sz w:val="24"/>
                <w:szCs w:val="24"/>
              </w:rPr>
              <w:t xml:space="preserve"> </w:t>
            </w:r>
            <w:r w:rsidR="00354B6D" w:rsidRPr="00F067F7">
              <w:rPr>
                <w:b/>
                <w:bCs/>
                <w:sz w:val="24"/>
                <w:szCs w:val="24"/>
              </w:rPr>
              <w:t>demonstrate your understanding of</w:t>
            </w:r>
            <w:r w:rsidR="00F34C86" w:rsidRPr="00F067F7">
              <w:rPr>
                <w:b/>
                <w:bCs/>
                <w:sz w:val="24"/>
                <w:szCs w:val="24"/>
              </w:rPr>
              <w:t xml:space="preserve"> </w:t>
            </w:r>
            <w:r w:rsidR="00411EF7" w:rsidRPr="00F067F7">
              <w:rPr>
                <w:b/>
                <w:bCs/>
                <w:sz w:val="24"/>
                <w:szCs w:val="24"/>
              </w:rPr>
              <w:t xml:space="preserve">the </w:t>
            </w:r>
            <w:r w:rsidR="00216563" w:rsidRPr="00F067F7">
              <w:rPr>
                <w:b/>
                <w:bCs/>
                <w:sz w:val="24"/>
                <w:szCs w:val="24"/>
              </w:rPr>
              <w:t xml:space="preserve">integration of </w:t>
            </w:r>
            <w:r w:rsidR="6A854C79" w:rsidRPr="00F067F7">
              <w:rPr>
                <w:b/>
                <w:bCs/>
                <w:sz w:val="24"/>
                <w:szCs w:val="24"/>
              </w:rPr>
              <w:t>analysis in asses</w:t>
            </w:r>
            <w:r w:rsidR="0F77E214" w:rsidRPr="00F067F7">
              <w:rPr>
                <w:b/>
                <w:bCs/>
                <w:sz w:val="24"/>
                <w:szCs w:val="24"/>
              </w:rPr>
              <w:t>sment, collabo</w:t>
            </w:r>
            <w:r w:rsidR="6A854C79" w:rsidRPr="00F067F7">
              <w:rPr>
                <w:b/>
                <w:bCs/>
                <w:sz w:val="24"/>
                <w:szCs w:val="24"/>
              </w:rPr>
              <w:t>rative work</w:t>
            </w:r>
            <w:r w:rsidR="0F77E214" w:rsidRPr="00F067F7">
              <w:rPr>
                <w:b/>
                <w:bCs/>
                <w:sz w:val="24"/>
                <w:szCs w:val="24"/>
              </w:rPr>
              <w:t>ing</w:t>
            </w:r>
            <w:r w:rsidR="6A854C79" w:rsidRPr="00F067F7">
              <w:rPr>
                <w:b/>
                <w:bCs/>
                <w:sz w:val="24"/>
                <w:szCs w:val="24"/>
              </w:rPr>
              <w:t xml:space="preserve"> a</w:t>
            </w:r>
            <w:r w:rsidR="0F77E214" w:rsidRPr="00F067F7">
              <w:rPr>
                <w:b/>
                <w:bCs/>
                <w:sz w:val="24"/>
                <w:szCs w:val="24"/>
              </w:rPr>
              <w:t xml:space="preserve">nd </w:t>
            </w:r>
            <w:r w:rsidR="6A854C79" w:rsidRPr="00F067F7">
              <w:rPr>
                <w:b/>
                <w:bCs/>
                <w:sz w:val="24"/>
                <w:szCs w:val="24"/>
              </w:rPr>
              <w:t>professional</w:t>
            </w:r>
            <w:r w:rsidR="00F34C86" w:rsidRPr="00F067F7">
              <w:rPr>
                <w:b/>
                <w:bCs/>
                <w:sz w:val="24"/>
                <w:szCs w:val="24"/>
              </w:rPr>
              <w:t xml:space="preserve"> </w:t>
            </w:r>
            <w:r w:rsidR="00216563" w:rsidRPr="00F067F7">
              <w:rPr>
                <w:b/>
                <w:bCs/>
                <w:sz w:val="24"/>
                <w:szCs w:val="24"/>
              </w:rPr>
              <w:t>judgements</w:t>
            </w:r>
            <w:r w:rsidR="0F77E214" w:rsidRPr="00F067F7">
              <w:rPr>
                <w:b/>
                <w:bCs/>
                <w:sz w:val="24"/>
                <w:szCs w:val="24"/>
              </w:rPr>
              <w:t xml:space="preserve"> in increasingly complex situations </w:t>
            </w:r>
            <w:r w:rsidR="00E5498A" w:rsidRPr="00F067F7">
              <w:rPr>
                <w:b/>
                <w:bCs/>
                <w:sz w:val="24"/>
                <w:szCs w:val="24"/>
              </w:rPr>
              <w:t>and</w:t>
            </w:r>
            <w:r w:rsidR="1D6670C0" w:rsidRPr="00F067F7">
              <w:rPr>
                <w:b/>
                <w:bCs/>
                <w:sz w:val="24"/>
                <w:szCs w:val="24"/>
              </w:rPr>
              <w:t xml:space="preserve"> </w:t>
            </w:r>
            <w:r w:rsidR="39C47EB7" w:rsidRPr="00F067F7">
              <w:rPr>
                <w:b/>
                <w:bCs/>
                <w:sz w:val="24"/>
                <w:szCs w:val="24"/>
              </w:rPr>
              <w:t>the</w:t>
            </w:r>
            <w:r w:rsidR="25F327FB" w:rsidRPr="00F067F7">
              <w:rPr>
                <w:b/>
                <w:bCs/>
                <w:sz w:val="24"/>
                <w:szCs w:val="24"/>
              </w:rPr>
              <w:t xml:space="preserve"> </w:t>
            </w:r>
            <w:r w:rsidR="00F34C86" w:rsidRPr="00F067F7">
              <w:rPr>
                <w:b/>
                <w:bCs/>
                <w:sz w:val="24"/>
                <w:szCs w:val="24"/>
              </w:rPr>
              <w:t>use of social work theories</w:t>
            </w:r>
            <w:r w:rsidR="756EEE2D" w:rsidRPr="00F067F7">
              <w:rPr>
                <w:b/>
                <w:bCs/>
                <w:sz w:val="24"/>
                <w:szCs w:val="24"/>
              </w:rPr>
              <w:t>.</w:t>
            </w:r>
            <w:r w:rsidR="00216563" w:rsidRPr="00F067F7">
              <w:rPr>
                <w:b/>
                <w:bCs/>
                <w:sz w:val="24"/>
                <w:szCs w:val="24"/>
              </w:rPr>
              <w:t xml:space="preserve"> </w:t>
            </w:r>
            <w:r w:rsidR="756EEE2D" w:rsidRPr="00F067F7">
              <w:rPr>
                <w:b/>
                <w:bCs/>
                <w:sz w:val="24"/>
                <w:szCs w:val="24"/>
              </w:rPr>
              <w:t>You</w:t>
            </w:r>
            <w:r w:rsidR="00216563" w:rsidRPr="00F067F7">
              <w:rPr>
                <w:b/>
                <w:bCs/>
                <w:sz w:val="24"/>
                <w:szCs w:val="24"/>
              </w:rPr>
              <w:t xml:space="preserve"> </w:t>
            </w:r>
            <w:r w:rsidR="00E5498A" w:rsidRPr="00F067F7">
              <w:rPr>
                <w:b/>
                <w:bCs/>
                <w:sz w:val="24"/>
                <w:szCs w:val="24"/>
              </w:rPr>
              <w:t xml:space="preserve">must </w:t>
            </w:r>
            <w:r w:rsidR="00F030D4" w:rsidRPr="00F067F7">
              <w:rPr>
                <w:b/>
                <w:bCs/>
                <w:sz w:val="24"/>
                <w:szCs w:val="24"/>
              </w:rPr>
              <w:t>refer to</w:t>
            </w:r>
            <w:r w:rsidR="00216563" w:rsidRPr="00F067F7">
              <w:rPr>
                <w:b/>
                <w:bCs/>
                <w:sz w:val="24"/>
                <w:szCs w:val="24"/>
              </w:rPr>
              <w:t xml:space="preserve"> </w:t>
            </w:r>
            <w:r w:rsidR="00F34C86" w:rsidRPr="00F067F7">
              <w:rPr>
                <w:b/>
                <w:bCs/>
                <w:sz w:val="24"/>
                <w:szCs w:val="24"/>
              </w:rPr>
              <w:t>the specific dimensions of working in Wales</w:t>
            </w:r>
            <w:r w:rsidR="00411EF7" w:rsidRPr="00F067F7">
              <w:rPr>
                <w:b/>
                <w:bCs/>
                <w:sz w:val="24"/>
                <w:szCs w:val="24"/>
              </w:rPr>
              <w:t xml:space="preserve">. </w:t>
            </w:r>
          </w:p>
          <w:p w14:paraId="701D8D4D" w14:textId="38C2B218" w:rsidR="00D3203C" w:rsidRPr="00F067F7" w:rsidRDefault="00D3203C" w:rsidP="00FF7EBB">
            <w:pPr>
              <w:jc w:val="both"/>
              <w:rPr>
                <w:iCs/>
              </w:rPr>
            </w:pPr>
          </w:p>
          <w:p w14:paraId="74DE5C44" w14:textId="4C460B8E" w:rsidR="003E07E7" w:rsidRPr="00F067F7" w:rsidRDefault="003E07E7" w:rsidP="003E07E7">
            <w:pPr>
              <w:rPr>
                <w:sz w:val="24"/>
                <w:szCs w:val="24"/>
              </w:rPr>
            </w:pPr>
            <w:r w:rsidRPr="00F067F7">
              <w:rPr>
                <w:sz w:val="24"/>
                <w:szCs w:val="24"/>
              </w:rPr>
              <w:t xml:space="preserve">I was instructed to undertake a Parenting assessment on 6, mother of a </w:t>
            </w:r>
            <w:r w:rsidR="00BC230B" w:rsidRPr="00F067F7">
              <w:rPr>
                <w:sz w:val="24"/>
                <w:szCs w:val="24"/>
              </w:rPr>
              <w:t>13-month-old</w:t>
            </w:r>
            <w:r w:rsidRPr="00F067F7">
              <w:rPr>
                <w:sz w:val="24"/>
                <w:szCs w:val="24"/>
              </w:rPr>
              <w:t xml:space="preserve"> child and an unborn baby which was due 3 months after the assessment deadline. 6 has separated from the child’s father and the had been advised not to resume the relationship by professionals due to domestic Abuse being present from father towards 6. 6 lived in her family home with 3 older siblings and 2 younger siblings. All the siblings along with 6 are experiencing mental ill health. 6 and her two younger siblings are diagnosed with Autism. They all live with their mother and father who also experience mental </w:t>
            </w:r>
            <w:r w:rsidR="00BC230B" w:rsidRPr="00F067F7">
              <w:rPr>
                <w:sz w:val="24"/>
                <w:szCs w:val="24"/>
              </w:rPr>
              <w:t>ill-health,</w:t>
            </w:r>
            <w:r w:rsidRPr="00F067F7">
              <w:rPr>
                <w:sz w:val="24"/>
                <w:szCs w:val="24"/>
              </w:rPr>
              <w:t xml:space="preserve"> and father has a </w:t>
            </w:r>
            <w:r w:rsidR="00BC230B" w:rsidRPr="00F067F7">
              <w:rPr>
                <w:sz w:val="24"/>
                <w:szCs w:val="24"/>
              </w:rPr>
              <w:t>long-term</w:t>
            </w:r>
            <w:r w:rsidRPr="00F067F7">
              <w:rPr>
                <w:sz w:val="24"/>
                <w:szCs w:val="24"/>
              </w:rPr>
              <w:t xml:space="preserve"> addiction to heroin. Their home is on a large social housing estate in a university city which brings much diversity of people and shops to the town. </w:t>
            </w:r>
          </w:p>
          <w:p w14:paraId="118684B5" w14:textId="77777777" w:rsidR="003E07E7" w:rsidRPr="00F067F7" w:rsidRDefault="003E07E7" w:rsidP="003E07E7">
            <w:pPr>
              <w:rPr>
                <w:sz w:val="24"/>
                <w:szCs w:val="24"/>
              </w:rPr>
            </w:pPr>
            <w:r w:rsidRPr="00F067F7">
              <w:rPr>
                <w:sz w:val="24"/>
                <w:szCs w:val="24"/>
              </w:rPr>
              <w:t xml:space="preserve">There are over 5,000 social housing units (Housing Action Plan, 2025) in our Local Authority area. There are many social housing areas, such as 6’s that are classed as ‘disadvantaged’ and therefore eligible for our Local Authority additional early years support from Health Visitors and midwives. Disadvantage areas are more prone to unemployment, poverty, substance use, ill health, mental health issues. They face stigma and feeling judged unfairly. These areas can be seen as ‘lucky’ by neighbouring estates as they have access to this additional support. An estate nearby, with similar problems may not have had the same recognition and therefore miss out on the support due to this ‘postcode lottery’. The challenges for supporting people in these areas are, a culture of mistrust, particularly for Social Workers, barriers to communication and learning difficulties. To communicate and work collaboratively with 6 I had to build a relationship of trust with her and her family who had a great influence on her. </w:t>
            </w:r>
          </w:p>
          <w:p w14:paraId="709DCBB9" w14:textId="77777777" w:rsidR="003E07E7" w:rsidRPr="00F067F7" w:rsidRDefault="003E07E7" w:rsidP="003E07E7">
            <w:pPr>
              <w:rPr>
                <w:sz w:val="24"/>
                <w:szCs w:val="24"/>
              </w:rPr>
            </w:pPr>
            <w:r w:rsidRPr="00F067F7">
              <w:rPr>
                <w:sz w:val="24"/>
                <w:szCs w:val="24"/>
              </w:rPr>
              <w:t xml:space="preserve"> The family was initially open to the duty Team after 6 disclosed to  her midwife that she felt father was controlling her. The midwife made a safeguarding referral to the Duty Team in line with the ‘Wales Safeguarding procedures, 2019’ (Welsh Government) and a ‘Strategy </w:t>
            </w:r>
            <w:r w:rsidRPr="00F067F7">
              <w:rPr>
                <w:sz w:val="24"/>
                <w:szCs w:val="24"/>
              </w:rPr>
              <w:lastRenderedPageBreak/>
              <w:t xml:space="preserve">Meeting’ was held between a member of the police and  a senior Social Worker in the Duty Team. In Wales the key legislation for safeguarding against Domestic Abuse are,  ‘Violence Against Women Domestic Abuse and Sexual Violence Act 2015, which puts focus on prevention, protection and support, Part 7: Safeguarding, of the  Social Services and Wellbeing (Wales) Act 2014; which recognises freedom from abuse to be a core to individual well-being and safeguarding; and the Housing (Wales) Act 2014 which ensures prioritising homes for victims fleeing abuse. </w:t>
            </w:r>
          </w:p>
          <w:p w14:paraId="709D6C58" w14:textId="77777777" w:rsidR="003E07E7" w:rsidRPr="00F067F7" w:rsidRDefault="003E07E7" w:rsidP="003E07E7">
            <w:r w:rsidRPr="00F067F7">
              <w:rPr>
                <w:sz w:val="24"/>
                <w:szCs w:val="24"/>
              </w:rPr>
              <w:t>The strategy meeting concluded there was a need for a Section 47 Enquiry to assess the need of support or whether risk of significant harm  was present. Section 47 of the Children Act 1989, is the only legislation that gives power to the Local Authority to make enquiries, including talking to a child, without the parents’ knowledge and or permission. This is due to safeguarding issues, for instance, attending a school to talk to a child without informing parents first. During this Section 47 enquiry, the Duty Social worker spoke to mother alone without informing father for her to be able to disclose fully. Also to prevent father from influencing what 6 might have to say. This Section 47 enquiries concluded the need to progress to an initial Case conference to discuss the need for child to be added to the Child Protection Register. Whilst this is necessary to assess presence of harm or risk of harm, this can impact on the relationship between the parents and professionals. People can feel a power imbalance as they was</w:t>
            </w:r>
            <w:r w:rsidRPr="00F067F7">
              <w:t xml:space="preserve"> not part of the initial enquiry.  </w:t>
            </w:r>
          </w:p>
          <w:p w14:paraId="62525AC9" w14:textId="49B468C7" w:rsidR="003E07E7" w:rsidRPr="00F067F7" w:rsidRDefault="003E07E7" w:rsidP="003E07E7">
            <w:pPr>
              <w:rPr>
                <w:sz w:val="24"/>
                <w:szCs w:val="24"/>
              </w:rPr>
            </w:pPr>
            <w:r w:rsidRPr="00F067F7">
              <w:rPr>
                <w:sz w:val="24"/>
                <w:szCs w:val="24"/>
              </w:rPr>
              <w:t>Child’s name was placed on the Child Protection register and removed 9 months later as parents had separated and Mother was assessed as being a safeguarding factor in ensuring no direct contact between them. To assess parents’ capacity to meet the child’s needs and keep them safe I use the ‘Risk assessment Framework Triangle’</w:t>
            </w:r>
            <w:r w:rsidR="005D24AD">
              <w:rPr>
                <w:sz w:val="24"/>
                <w:szCs w:val="24"/>
              </w:rPr>
              <w:t xml:space="preserve"> (Welsh Government)</w:t>
            </w:r>
            <w:r w:rsidRPr="00F067F7">
              <w:rPr>
                <w:sz w:val="24"/>
                <w:szCs w:val="24"/>
              </w:rPr>
              <w:t xml:space="preserve">. I use the sections of the Triangle to guide my questions for parents to understand where their parenting knowledge and understanding comes from. Also to evidence the child’s needs are being met in all areas. With 6, this was difficult as her family were influencing her parenting and this was not always in line with up-to-date guidelines advised by the local Health Board. (NHS Wales). However, despite vulnerabilities, child’s needs were being met.  To assess whether ‘risk of significant harm was present’ I used the local authority’s risk assessment tool. This is a check list that identifies strengths and highlights weaknesses and risks. By identifying these factors, we can assess whether any weaknesses are a risk to the child and are the strengths able to keep the child safe.  This concluded there was no longer any evidence of existing significant harm or likelihood of significant harm. Therefore, under Article 8 of the European Convention on Human Rights which is protected in the United Kingdom by the Human Rights Act 1998, 6 had ‘Right to Family Life’. Therefore, I was required to recommend de-registration from the ‘Child Protection Register’. This caused disagreement from health professionals who felt concerned regarding the standard of mother’s parenting. Our own standards and values can impact on our decision making however from a child protection perspective; 6 had evidenced she was able to meet baby’s needs and refrain from direct contact with father thus keeping baby safe. There was no child protection concerns around the level of care as 6 was engaging with these health officials whose role it was to support her to develop the skills and tools needed under Codes of Practice section 3 ‘work with and support individuals in a way that maximises their decision making and control over their lives’. Therefore, unless mother agreed to support under a ‘Care and Support’ plan under Part 3 of the Social Services Well-Being (Wales) Act 2014 we had to close the family to us. The Care and Support Plan is where needs have been </w:t>
            </w:r>
            <w:r w:rsidR="00BC230B" w:rsidRPr="00F067F7">
              <w:rPr>
                <w:sz w:val="24"/>
                <w:szCs w:val="24"/>
              </w:rPr>
              <w:lastRenderedPageBreak/>
              <w:t>identified,</w:t>
            </w:r>
            <w:r w:rsidRPr="00F067F7">
              <w:rPr>
                <w:sz w:val="24"/>
                <w:szCs w:val="24"/>
              </w:rPr>
              <w:t xml:space="preserve"> and parents or carers willingly engage with support. In this instance 6 declined the offer of Care and Support. </w:t>
            </w:r>
          </w:p>
          <w:p w14:paraId="0C71C3BD" w14:textId="77777777" w:rsidR="003E07E7" w:rsidRPr="00F067F7" w:rsidRDefault="003E07E7" w:rsidP="003E07E7">
            <w:pPr>
              <w:rPr>
                <w:sz w:val="24"/>
                <w:szCs w:val="24"/>
              </w:rPr>
            </w:pPr>
            <w:r w:rsidRPr="00F067F7">
              <w:rPr>
                <w:sz w:val="24"/>
                <w:szCs w:val="24"/>
              </w:rPr>
              <w:t xml:space="preserve">The family was re-opened to services two months later under Section 3, 21 (a) and (b) of the Social Services and Well-being Wales Act 2014, ‘Assessment of </w:t>
            </w:r>
            <w:proofErr w:type="gramStart"/>
            <w:r w:rsidRPr="00F067F7">
              <w:rPr>
                <w:sz w:val="24"/>
                <w:szCs w:val="24"/>
              </w:rPr>
              <w:t>needs’</w:t>
            </w:r>
            <w:proofErr w:type="gramEnd"/>
            <w:r w:rsidRPr="00F067F7">
              <w:rPr>
                <w:sz w:val="24"/>
                <w:szCs w:val="24"/>
              </w:rPr>
              <w:t xml:space="preserve">. This was due to a referral received regarding maternal grandparents own mental well-being, and the assessment was requested to ensure 6 and child were not being affected by their issues. During this assessment period it was discovered that parents were seeing each other and that 6 was pregnant. A Section 47Enquiry conclude that the child and unborn were at risk of significant physical and emotional harm should they remain together. During this period concerns were being raised regarding 6’s capacity to meet child’s needs. Disclosures by family members led to another S47 as 6 was struggling to manage her emotions around child. </w:t>
            </w:r>
          </w:p>
          <w:p w14:paraId="036EE0A9" w14:textId="2E0F53F0" w:rsidR="003E07E7" w:rsidRPr="00F067F7" w:rsidRDefault="003E07E7" w:rsidP="003E07E7">
            <w:pPr>
              <w:rPr>
                <w:sz w:val="24"/>
                <w:szCs w:val="24"/>
              </w:rPr>
            </w:pPr>
            <w:r w:rsidRPr="00F067F7">
              <w:rPr>
                <w:sz w:val="24"/>
                <w:szCs w:val="24"/>
              </w:rPr>
              <w:t xml:space="preserve">This Section 47 Investigation concluded that 6 could not manage her own emotions and that the child  protection plan was not enough to keep the child from significant emotional and physical harm in her care. An application to ‘The Public Law Outline’ (PLO) under ‘Part IV (Section 31) of the Children Act 1989 was made. The ‘Public Law Outline’ is the Legal Framework for care </w:t>
            </w:r>
            <w:r w:rsidR="0096546A" w:rsidRPr="00F067F7">
              <w:rPr>
                <w:sz w:val="24"/>
                <w:szCs w:val="24"/>
              </w:rPr>
              <w:t>proceedings</w:t>
            </w:r>
            <w:r w:rsidRPr="00F067F7">
              <w:rPr>
                <w:sz w:val="24"/>
                <w:szCs w:val="24"/>
              </w:rPr>
              <w:t>. Chaired by a senior Social Worker, the meeting is to discuss when social workers feel an application to court is needed. It is part of the legal framework for England and Wales which must be followed when concerns when Child Protection plans are not supporting the necessary changes to keep a child safe from harm. The Social Worker must make an application outlining concerns along with recent S47 Documents, Case Conference reports and any assessment reports. It was agreed in Panel, to make an application to the family courts for an ‘Interim Care Order’ (ICO). This enables the Local Authority to obtain Parental Responsibility alongside the parent. Enabling decisions to be made in the child's best interests whilst further assessments were completed. It was agreed that we would arrange a placement in a Mother and Baby Placement for 6 to be assessed and supported by staff who would  be in hand 24/7.</w:t>
            </w:r>
          </w:p>
          <w:p w14:paraId="4FAD734F" w14:textId="36D90A54" w:rsidR="003E07E7" w:rsidRPr="00F067F7" w:rsidRDefault="003E07E7" w:rsidP="003E07E7">
            <w:pPr>
              <w:rPr>
                <w:sz w:val="24"/>
                <w:szCs w:val="24"/>
              </w:rPr>
            </w:pPr>
            <w:r w:rsidRPr="00F067F7">
              <w:rPr>
                <w:sz w:val="24"/>
                <w:szCs w:val="24"/>
              </w:rPr>
              <w:t xml:space="preserve">Whilst 6 was waiting for a placement to be identified, a plan was made whereby maternal family supervised her with child and ensured she was meeting basic needs and keeping child safe. This was a decision discussed between myself and my line manager. We had to balance the concerns regarding parents and </w:t>
            </w:r>
            <w:proofErr w:type="gramStart"/>
            <w:r w:rsidRPr="00F067F7">
              <w:rPr>
                <w:sz w:val="24"/>
                <w:szCs w:val="24"/>
              </w:rPr>
              <w:t>siblings</w:t>
            </w:r>
            <w:proofErr w:type="gramEnd"/>
            <w:r w:rsidRPr="00F067F7">
              <w:rPr>
                <w:sz w:val="24"/>
                <w:szCs w:val="24"/>
              </w:rPr>
              <w:t xml:space="preserve"> own issues to those of risk of immediate harm to child in </w:t>
            </w:r>
            <w:r w:rsidR="00BC230B" w:rsidRPr="00F067F7">
              <w:rPr>
                <w:sz w:val="24"/>
                <w:szCs w:val="24"/>
              </w:rPr>
              <w:t>mother’s</w:t>
            </w:r>
            <w:r w:rsidRPr="00F067F7">
              <w:rPr>
                <w:sz w:val="24"/>
                <w:szCs w:val="24"/>
              </w:rPr>
              <w:t xml:space="preserve"> care. The concerns around family was the </w:t>
            </w:r>
            <w:r w:rsidR="00BC230B" w:rsidRPr="00F067F7">
              <w:rPr>
                <w:sz w:val="24"/>
                <w:szCs w:val="24"/>
              </w:rPr>
              <w:t>long-term</w:t>
            </w:r>
            <w:r w:rsidRPr="00F067F7">
              <w:rPr>
                <w:sz w:val="24"/>
                <w:szCs w:val="24"/>
              </w:rPr>
              <w:t xml:space="preserve"> impact on Child’s development and well-being and therefore we agreed it was appropriate for the immediate short term and meant 6 and child could remain together. 6 felt it unfair that she had to leave her home, however the balance was, by leaving, she would be able to remain with her child. ‘Nuffield Family Justice Observatory’  researched ‘</w:t>
            </w:r>
            <w:proofErr w:type="spellStart"/>
            <w:r w:rsidRPr="00F067F7">
              <w:rPr>
                <w:sz w:val="24"/>
                <w:szCs w:val="24"/>
                <w:lang w:val="cy-GB"/>
              </w:rPr>
              <w:t>Understanding</w:t>
            </w:r>
            <w:proofErr w:type="spellEnd"/>
            <w:r w:rsidRPr="00F067F7">
              <w:rPr>
                <w:sz w:val="24"/>
                <w:szCs w:val="24"/>
                <w:lang w:val="cy-GB"/>
              </w:rPr>
              <w:t xml:space="preserve"> care </w:t>
            </w:r>
            <w:proofErr w:type="spellStart"/>
            <w:r w:rsidRPr="00F067F7">
              <w:rPr>
                <w:sz w:val="24"/>
                <w:szCs w:val="24"/>
                <w:lang w:val="cy-GB"/>
              </w:rPr>
              <w:t>pathways</w:t>
            </w:r>
            <w:proofErr w:type="spellEnd"/>
            <w:r w:rsidRPr="00F067F7">
              <w:rPr>
                <w:sz w:val="24"/>
                <w:szCs w:val="24"/>
                <w:lang w:val="cy-GB"/>
              </w:rPr>
              <w:t xml:space="preserve"> and </w:t>
            </w:r>
            <w:proofErr w:type="spellStart"/>
            <w:r w:rsidRPr="00F067F7">
              <w:rPr>
                <w:sz w:val="24"/>
                <w:szCs w:val="24"/>
                <w:lang w:val="cy-GB"/>
              </w:rPr>
              <w:t>placement</w:t>
            </w:r>
            <w:proofErr w:type="spellEnd"/>
            <w:r w:rsidRPr="00F067F7">
              <w:rPr>
                <w:sz w:val="24"/>
                <w:szCs w:val="24"/>
                <w:lang w:val="cy-GB"/>
              </w:rPr>
              <w:t xml:space="preserve"> </w:t>
            </w:r>
            <w:proofErr w:type="spellStart"/>
            <w:r w:rsidRPr="00F067F7">
              <w:rPr>
                <w:sz w:val="24"/>
                <w:szCs w:val="24"/>
                <w:lang w:val="cy-GB"/>
              </w:rPr>
              <w:t>stability</w:t>
            </w:r>
            <w:proofErr w:type="spellEnd"/>
            <w:r w:rsidRPr="00F067F7">
              <w:rPr>
                <w:sz w:val="24"/>
                <w:szCs w:val="24"/>
                <w:lang w:val="cy-GB"/>
              </w:rPr>
              <w:t xml:space="preserve"> for </w:t>
            </w:r>
            <w:proofErr w:type="spellStart"/>
            <w:r w:rsidRPr="00F067F7">
              <w:rPr>
                <w:sz w:val="24"/>
                <w:szCs w:val="24"/>
                <w:lang w:val="cy-GB"/>
              </w:rPr>
              <w:t>babies</w:t>
            </w:r>
            <w:proofErr w:type="spellEnd"/>
            <w:r w:rsidRPr="00F067F7">
              <w:rPr>
                <w:sz w:val="24"/>
                <w:szCs w:val="24"/>
                <w:lang w:val="cy-GB"/>
              </w:rPr>
              <w:t xml:space="preserve"> in Wales’</w:t>
            </w:r>
            <w:r w:rsidRPr="00F067F7">
              <w:rPr>
                <w:lang w:val="cy-GB"/>
              </w:rPr>
              <w:t xml:space="preserve"> </w:t>
            </w:r>
            <w:r w:rsidRPr="00F067F7">
              <w:rPr>
                <w:sz w:val="24"/>
                <w:szCs w:val="24"/>
                <w:lang w:val="cy-GB"/>
              </w:rPr>
              <w:t xml:space="preserve">and </w:t>
            </w:r>
            <w:proofErr w:type="spellStart"/>
            <w:r w:rsidRPr="00F067F7">
              <w:rPr>
                <w:sz w:val="24"/>
                <w:szCs w:val="24"/>
                <w:lang w:val="cy-GB"/>
              </w:rPr>
              <w:t>found</w:t>
            </w:r>
            <w:proofErr w:type="spellEnd"/>
            <w:r w:rsidRPr="00F067F7">
              <w:rPr>
                <w:sz w:val="24"/>
                <w:szCs w:val="24"/>
                <w:lang w:val="cy-GB"/>
              </w:rPr>
              <w:t xml:space="preserve"> </w:t>
            </w:r>
            <w:r w:rsidRPr="00F067F7">
              <w:rPr>
                <w:sz w:val="24"/>
                <w:szCs w:val="24"/>
              </w:rPr>
              <w:t xml:space="preserve">most babies in Wales are initially placed with Local Authority foster carers rather than mother-and-baby residential units. The research also showed that only 34% of babies entering the care system returned home to parents. Therefore, whilst it was not ideal for 6, this was the greater chance for her to keep her children. </w:t>
            </w:r>
          </w:p>
          <w:p w14:paraId="4C2D7537" w14:textId="77777777" w:rsidR="003E07E7" w:rsidRPr="00F067F7" w:rsidRDefault="003E07E7" w:rsidP="003E07E7">
            <w:pPr>
              <w:rPr>
                <w:sz w:val="24"/>
                <w:szCs w:val="24"/>
              </w:rPr>
            </w:pPr>
            <w:r w:rsidRPr="00F067F7">
              <w:rPr>
                <w:sz w:val="24"/>
                <w:szCs w:val="24"/>
              </w:rPr>
              <w:t xml:space="preserve">Using John Bowlby’s ‘Attachment Theory’ (Bowlby J)  it is probable to relate 6’s attachment to child with that of her own attachment to her parents. 6’s was raised by parents who had been emotionally unavailable to her due their own issues. 6 had no obvious attachment to any of her siblings and therefore it was understandable that she was unable to form an attachment with her own child. 6 showed an  avoidant (Dismissive) attachment style with </w:t>
            </w:r>
            <w:r w:rsidRPr="00F067F7">
              <w:rPr>
                <w:sz w:val="24"/>
                <w:szCs w:val="24"/>
              </w:rPr>
              <w:lastRenderedPageBreak/>
              <w:t>child and this was being precipitated as child would become disinterested in her arms. In contrast to being with her aunties she would be playful and smiling. The question was raised; ‘was 6 unable to attach to baby?’ or ‘was the families’ proactive support disenabling her to do so?’. 6 has a diagnosis of Autism and Dyspraxia which impacted negatively on her self-worth. 6 did not feel she could stand up to her family and</w:t>
            </w:r>
            <w:r w:rsidRPr="00F067F7">
              <w:t xml:space="preserve"> t</w:t>
            </w:r>
            <w:r w:rsidRPr="00F067F7">
              <w:rPr>
                <w:sz w:val="24"/>
                <w:szCs w:val="24"/>
              </w:rPr>
              <w:t xml:space="preserve">herefore went along with what was asked of her from them. This reinforced the need for the assessment to be away from the family home so 6’s capacity could be assessed and supported without influence or barriers.  </w:t>
            </w:r>
          </w:p>
          <w:p w14:paraId="06F69ED1" w14:textId="77777777" w:rsidR="003E07E7" w:rsidRPr="00F067F7" w:rsidRDefault="003E07E7" w:rsidP="003E07E7">
            <w:pPr>
              <w:rPr>
                <w:sz w:val="24"/>
                <w:szCs w:val="24"/>
              </w:rPr>
            </w:pPr>
            <w:r w:rsidRPr="00F067F7">
              <w:rPr>
                <w:sz w:val="24"/>
                <w:szCs w:val="24"/>
              </w:rPr>
              <w:t xml:space="preserve">An Interim Care Order (ICO) is a temporary order made by the courts to allow shared parental control for children whilst parents undergo an assessment or period of support. This ensures the child(ren) are safe whilst providing parents with the support needed for children to remain in their care. When an ICO is granted, children are appointed a Guardian. They act independently, assessing what the concerns are for the child(ren) and who is best to meet their needs. They will act on the child’s behalf, which for older children includes ascertaining their wishes and feelings. They, and all professionals, will submit reports to the court for the judge to </w:t>
            </w:r>
            <w:proofErr w:type="gramStart"/>
            <w:r w:rsidRPr="00F067F7">
              <w:rPr>
                <w:sz w:val="24"/>
                <w:szCs w:val="24"/>
              </w:rPr>
              <w:t>make a decision</w:t>
            </w:r>
            <w:proofErr w:type="gramEnd"/>
            <w:r w:rsidRPr="00F067F7">
              <w:rPr>
                <w:sz w:val="24"/>
                <w:szCs w:val="24"/>
              </w:rPr>
              <w:t>. In this instance we are being asked to make a mid-point review at an Issues Resolution Hearing (</w:t>
            </w:r>
            <w:proofErr w:type="spellStart"/>
            <w:r w:rsidRPr="00F067F7">
              <w:rPr>
                <w:sz w:val="24"/>
                <w:szCs w:val="24"/>
              </w:rPr>
              <w:t>IRH</w:t>
            </w:r>
            <w:proofErr w:type="spellEnd"/>
            <w:r w:rsidRPr="00F067F7">
              <w:rPr>
                <w:sz w:val="24"/>
                <w:szCs w:val="24"/>
              </w:rPr>
              <w:t xml:space="preserve">) where all assessments will be submitted. The Issues Resolution Hearing is where the judge can see all evidence, amend care plans if need or identify specific areas in need of support. In some cases, proceedings can conclude in his hearing, if all assessment have been done. In this case, we needed to extend proceedings to a final Hearing as 6’s cognitive assessment required a longer period for her to process and understand information. It was also agreed that an Interim Care Order would need to be sought for unborn once they was born and both final evidence plans would be submitted together. </w:t>
            </w:r>
          </w:p>
          <w:p w14:paraId="3E37779E" w14:textId="77777777" w:rsidR="003E07E7" w:rsidRPr="00F067F7" w:rsidRDefault="003E07E7" w:rsidP="003E07E7">
            <w:pPr>
              <w:rPr>
                <w:sz w:val="24"/>
                <w:szCs w:val="24"/>
              </w:rPr>
            </w:pPr>
            <w:r w:rsidRPr="00F067F7">
              <w:rPr>
                <w:sz w:val="24"/>
                <w:szCs w:val="24"/>
              </w:rPr>
              <w:t xml:space="preserve">Unfortunately, there are no placements in our area of Wales therefore 6 had to move to a city in England which contrasts with the city she grew up in which is more the size of a town in comparison. The contrast can make parents feel alienated and reluctant to engage in community activities. For example,  6 was expected to take child out and show independence, she struggled to do this as the city felt ‘alien’ to her and she felt overwhelmed. Whilst mother was Welsh born, her first language at home is English. However, the dialects of this city meant the English was also different for what she was familiar with. Health advice also differed as whilst both England and Wales are run by the NHS, they are managed separately by the Welsh Government and the UK Government in Westminster. 6’s Health Visitor was advising potty train from 6 months which she struggled to comprehend as she was being assessed on procedures that she would not have to follow at home. 6 tried to express her wishes however placement and Health visitor insisted they had to follow procedures. This was not in line with The Social Services Wel-Being (Wales) Act 2014 main principles of Voice and Control.  I advocated the cultural differences for 6 as she felt staff were seeing her frustrations as a refusal or inability to follow advice. I had searched for an official advocate however was refused by the two existing services as 6 did not fit their criteria. These two services were grant funded and had to work to the policies set out for them in receiving the funding. Fortunately for 6, her solicitor was working with a similar parent who had an advocate who was willing to support 6 also. This person’s time was limited as she was covering the entire North </w:t>
            </w:r>
            <w:proofErr w:type="gramStart"/>
            <w:r w:rsidRPr="00F067F7">
              <w:rPr>
                <w:sz w:val="24"/>
                <w:szCs w:val="24"/>
              </w:rPr>
              <w:t>Wales</w:t>
            </w:r>
            <w:proofErr w:type="gramEnd"/>
            <w:r w:rsidRPr="00F067F7">
              <w:rPr>
                <w:sz w:val="24"/>
                <w:szCs w:val="24"/>
              </w:rPr>
              <w:t xml:space="preserve"> and their main offices were in South Wales. According to the Wales Age Concern, the total number of adults supported by </w:t>
            </w:r>
            <w:r w:rsidRPr="00F067F7">
              <w:rPr>
                <w:sz w:val="24"/>
                <w:szCs w:val="24"/>
              </w:rPr>
              <w:lastRenderedPageBreak/>
              <w:t xml:space="preserve">advocacy across Wales, fell by 35% to 12,760 in 2022 which highlights the challenges I had in obtaining support for 6.  </w:t>
            </w:r>
          </w:p>
          <w:p w14:paraId="70F4AB02" w14:textId="77777777" w:rsidR="003E07E7" w:rsidRPr="00F067F7" w:rsidRDefault="003E07E7" w:rsidP="003E07E7">
            <w:pPr>
              <w:rPr>
                <w:sz w:val="24"/>
                <w:szCs w:val="24"/>
              </w:rPr>
            </w:pPr>
            <w:r w:rsidRPr="00F067F7">
              <w:rPr>
                <w:sz w:val="24"/>
                <w:szCs w:val="24"/>
              </w:rPr>
              <w:t xml:space="preserve">Child legislation differs in England, due to the introduction of the 2014 Social Services and Well-being Wales Act. The Social Services and Well-Being (Wales) Act replaced many of the Part 3 provisions however aspects of the Children’s Act 1989 still underpin practice in Wales.  The Act was introduced by the Welsh Senedd aimed at transforming social and health care in Wales through empowering people by ‘giving them a voice’,(COPP)  working co-productively with people and collaboratively with them and other professionals. We do this by empowering people as opposed to doing things for them, by removing barriers and creating better access to support services. Co-production focuses on ensuring people are involved in creating their plans and are given autonomy even when this involves ‘risk taking’. Codes of practise s.3 and s.4. </w:t>
            </w:r>
          </w:p>
          <w:p w14:paraId="755157EC" w14:textId="77777777" w:rsidR="003E07E7" w:rsidRPr="00F067F7" w:rsidRDefault="003E07E7" w:rsidP="003E07E7">
            <w:pPr>
              <w:rPr>
                <w:sz w:val="24"/>
                <w:szCs w:val="24"/>
              </w:rPr>
            </w:pPr>
            <w:r w:rsidRPr="00F067F7">
              <w:rPr>
                <w:sz w:val="24"/>
                <w:szCs w:val="24"/>
              </w:rPr>
              <w:t>Whilst 6 was in placement, I continued with the ‘Active Offer’ as part of the ‘More than Just Words’ policy (Welsh Government</w:t>
            </w:r>
            <w:r w:rsidRPr="00F067F7">
              <w:t xml:space="preserve"> </w:t>
            </w:r>
            <w:r w:rsidRPr="00F067F7">
              <w:rPr>
                <w:sz w:val="24"/>
                <w:szCs w:val="24"/>
              </w:rPr>
              <w:t>2014) by continuing to use her home ‘dialect’ with her. Whilst she is English speaking, there are key words used that we automatically say in Welsh, i.e. ‘</w:t>
            </w:r>
            <w:proofErr w:type="spellStart"/>
            <w:r w:rsidRPr="00F067F7">
              <w:rPr>
                <w:sz w:val="24"/>
                <w:szCs w:val="24"/>
              </w:rPr>
              <w:t>babi</w:t>
            </w:r>
            <w:proofErr w:type="spellEnd"/>
            <w:r w:rsidRPr="00F067F7">
              <w:rPr>
                <w:sz w:val="24"/>
                <w:szCs w:val="24"/>
              </w:rPr>
              <w:t>’ (baby), ‘</w:t>
            </w:r>
            <w:proofErr w:type="spellStart"/>
            <w:r w:rsidRPr="00F067F7">
              <w:rPr>
                <w:sz w:val="24"/>
                <w:szCs w:val="24"/>
              </w:rPr>
              <w:t>cysgu</w:t>
            </w:r>
            <w:proofErr w:type="spellEnd"/>
            <w:r w:rsidRPr="00F067F7">
              <w:rPr>
                <w:sz w:val="24"/>
                <w:szCs w:val="24"/>
              </w:rPr>
              <w:t>’ (sleep), ‘</w:t>
            </w:r>
            <w:proofErr w:type="spellStart"/>
            <w:r w:rsidRPr="00F067F7">
              <w:rPr>
                <w:sz w:val="24"/>
                <w:szCs w:val="24"/>
              </w:rPr>
              <w:t>mynd</w:t>
            </w:r>
            <w:proofErr w:type="spellEnd"/>
            <w:r w:rsidRPr="00F067F7">
              <w:rPr>
                <w:sz w:val="24"/>
                <w:szCs w:val="24"/>
              </w:rPr>
              <w:t xml:space="preserve"> am </w:t>
            </w:r>
            <w:proofErr w:type="spellStart"/>
            <w:r w:rsidRPr="00F067F7">
              <w:rPr>
                <w:sz w:val="24"/>
                <w:szCs w:val="24"/>
              </w:rPr>
              <w:t>dro</w:t>
            </w:r>
            <w:proofErr w:type="spellEnd"/>
            <w:r w:rsidRPr="00F067F7">
              <w:rPr>
                <w:sz w:val="24"/>
                <w:szCs w:val="24"/>
              </w:rPr>
              <w:t xml:space="preserve">’ (going for a walk). This helped with mother feeling connected to her Welsh routes. Staff at the home celebrated ‘Santes Dwynwen’ with her, by making a card from child to her. Santes Dwynwen being the patriot Saint of Valentines for Wales. The ‘Active Offer’ is part of the Welsh Government Framework’s ‘More than Just Words’ which promotes inclusivity for Welsh people by automatically offering services, orally or literally via the medium of Welsh. In this instance, it helped make 6 feel more at home. For Welsh speakers it can mean the difference in quality of care. It can be hard to explain to others how we are feeling or what we need. Having to do so in a different language can mean things literally ‘getting lost in translation’. People need to build a relationship with those supporting them and for this you need to have a connection. Being Welsh language and raised locally,  I understand the language, local dialects and cultures which support me to be relatable to people in their own homes. By building familiarity we built 6’s comfort and enabled her confidence to grow. </w:t>
            </w:r>
          </w:p>
          <w:p w14:paraId="4CA6DDAA" w14:textId="77777777" w:rsidR="003E07E7" w:rsidRPr="00F067F7" w:rsidRDefault="003E07E7" w:rsidP="003E07E7">
            <w:pPr>
              <w:rPr>
                <w:sz w:val="24"/>
                <w:szCs w:val="24"/>
              </w:rPr>
            </w:pPr>
            <w:r w:rsidRPr="00F067F7">
              <w:rPr>
                <w:sz w:val="24"/>
                <w:szCs w:val="24"/>
              </w:rPr>
              <w:t xml:space="preserve">6 was doing well in placement and received positive reports from staff which gave encouragement for her long-term plans to return with the children to her home area 6 had applied for housing on her family’s estate so she could be near to them and access the additional support. This was difficult for me personally to support as the concern was would the families influence undo all that she had learnt. The positive were 6 would then have access to the additional support offered by the Health Visitors and be surrounded by her family and friends support network. The negatives could be that her family would not like seeing her parenting differently to them as they would see it as a criticism and may try to influence her to revert to old parenting styles. Whilst this was a concern for professionals, 6’s ‘right to private life’ under Article 8 of the European Convention on Human Rights means she has the right to choose where she lives. Therefore, whilst the concerns were that family would undermine 6’s progress, the choice or ‘risk’ was hers to </w:t>
            </w:r>
            <w:proofErr w:type="gramStart"/>
            <w:r w:rsidRPr="00F067F7">
              <w:rPr>
                <w:sz w:val="24"/>
                <w:szCs w:val="24"/>
              </w:rPr>
              <w:t>take</w:t>
            </w:r>
            <w:proofErr w:type="gramEnd"/>
            <w:r w:rsidRPr="00F067F7">
              <w:rPr>
                <w:sz w:val="24"/>
                <w:szCs w:val="24"/>
              </w:rPr>
              <w:t xml:space="preserve"> and it is her parental responsibility for safeguarding child from inappropriate or unsafe decisions from the family. The Articles were put into place in 1953 which the United Kingdom have signed up to and agree to adhere to. The Articles were used when creating the Human Rights Act 1998 which we in Wales also adhere to.  </w:t>
            </w:r>
          </w:p>
          <w:p w14:paraId="38929002" w14:textId="77777777" w:rsidR="003E07E7" w:rsidRPr="00F067F7" w:rsidRDefault="003E07E7" w:rsidP="003E07E7">
            <w:pPr>
              <w:rPr>
                <w:sz w:val="24"/>
                <w:szCs w:val="24"/>
              </w:rPr>
            </w:pPr>
            <w:r w:rsidRPr="00F067F7">
              <w:rPr>
                <w:sz w:val="24"/>
                <w:szCs w:val="24"/>
              </w:rPr>
              <w:t xml:space="preserve">As Social Workers we must balance human rights of the parents with the right of the child to be safe under Article 19 ‘ I have the right to be protected from being hurt or badly treated’ of </w:t>
            </w:r>
            <w:r w:rsidRPr="00F067F7">
              <w:rPr>
                <w:sz w:val="24"/>
                <w:szCs w:val="24"/>
              </w:rPr>
              <w:lastRenderedPageBreak/>
              <w:t xml:space="preserve">the ‘United Nations Convention on the Rights of the Child (1989). This can often lead to conflict with parents or other professionals however the child’s right to be safe is paramount to all other legislation. This can become challenging when people do not see the risks for themselves. Understanding the law and using it correctly is important and must be done so collaboratively between professionals and individuals and families. For </w:t>
            </w:r>
            <w:proofErr w:type="gramStart"/>
            <w:r w:rsidRPr="00F067F7">
              <w:rPr>
                <w:sz w:val="24"/>
                <w:szCs w:val="24"/>
              </w:rPr>
              <w:t>instance</w:t>
            </w:r>
            <w:proofErr w:type="gramEnd"/>
            <w:r w:rsidRPr="00F067F7">
              <w:rPr>
                <w:sz w:val="24"/>
                <w:szCs w:val="24"/>
              </w:rPr>
              <w:t xml:space="preserve"> making plans with them we can highlight any potential risks and work together to make a support plan that identifies and manages risk. By working with people and acknowledging how they want to live, we are more likely they will engage in any support or safety plans you offer.  </w:t>
            </w:r>
          </w:p>
          <w:p w14:paraId="69AB80FA" w14:textId="77777777" w:rsidR="003E07E7" w:rsidRPr="00F067F7" w:rsidRDefault="003E07E7" w:rsidP="003E07E7">
            <w:pPr>
              <w:rPr>
                <w:sz w:val="24"/>
                <w:szCs w:val="24"/>
              </w:rPr>
            </w:pPr>
            <w:r w:rsidRPr="00F067F7">
              <w:rPr>
                <w:sz w:val="24"/>
                <w:szCs w:val="24"/>
              </w:rPr>
              <w:t xml:space="preserve">Co-production is about working with the person to create a plan that works for them. For parents it means working with them along ensuring the child’s needs are being met. 6 did not feel empowered as she felt ‘she had no choice’ to leave her home and she felt ‘she had no choice’ to follow parenting procedures that she would not normally follow at home. It was a challenge to offer empowerment to her and co-produce as she had stated early on, “I’m just going along with it. It’s not like I have a choice”.  Staff and I worked to ‘person </w:t>
            </w:r>
            <w:proofErr w:type="spellStart"/>
            <w:r w:rsidRPr="00F067F7">
              <w:rPr>
                <w:sz w:val="24"/>
                <w:szCs w:val="24"/>
              </w:rPr>
              <w:t>Centered</w:t>
            </w:r>
            <w:proofErr w:type="spellEnd"/>
            <w:r w:rsidRPr="00F067F7">
              <w:rPr>
                <w:sz w:val="24"/>
                <w:szCs w:val="24"/>
              </w:rPr>
              <w:t xml:space="preserve"> Theory’ (Gardner a, 2013) through supporting  ‘Self-Actualisation: supporting 6 to ‘grow, heal, and reach their full potential’. Staff and I set achievable goals and offered praise and encouragement. Using the ‘non-Directive Approach’  through not judging, leading, or give advice when appropriate. We enabled 6 to take the lead for them to become an expert in their own life. This helped dispel Incongruence where ‘Distress happens when a person’s self-image does not match their real-life experiences’. 6 struggled to accept praise as she did not feel worthy of these. </w:t>
            </w:r>
          </w:p>
          <w:p w14:paraId="737FF85E" w14:textId="77777777" w:rsidR="003E07E7" w:rsidRPr="00F067F7" w:rsidRDefault="003E07E7" w:rsidP="003E07E7">
            <w:pPr>
              <w:rPr>
                <w:sz w:val="24"/>
                <w:szCs w:val="24"/>
              </w:rPr>
            </w:pPr>
            <w:r w:rsidRPr="00F067F7">
              <w:rPr>
                <w:sz w:val="24"/>
                <w:szCs w:val="24"/>
              </w:rPr>
              <w:t>My own supervision is important for safeguarding as it is a safe place for me to be able to reflect on my role with families. With my line manager I can reflect over the decisions and approaches I use to assess the quality of my work. I can talk about any conflicts professionally or when struggling with my own values and standards.  It is also an opportunity to review plans and ensure I am working to legislation and our own local authority policies and procedures. (</w:t>
            </w:r>
            <w:proofErr w:type="spellStart"/>
            <w:r w:rsidRPr="00F067F7">
              <w:rPr>
                <w:sz w:val="24"/>
                <w:szCs w:val="24"/>
              </w:rPr>
              <w:t>Cyngor</w:t>
            </w:r>
            <w:proofErr w:type="spellEnd"/>
            <w:r w:rsidRPr="00F067F7">
              <w:rPr>
                <w:sz w:val="24"/>
                <w:szCs w:val="24"/>
              </w:rPr>
              <w:t xml:space="preserve"> Gwynedd). Without supervision I run the risk of losing focus on the </w:t>
            </w:r>
            <w:proofErr w:type="gramStart"/>
            <w:r w:rsidRPr="00F067F7">
              <w:rPr>
                <w:sz w:val="24"/>
                <w:szCs w:val="24"/>
              </w:rPr>
              <w:t>child, or</w:t>
            </w:r>
            <w:proofErr w:type="gramEnd"/>
            <w:r w:rsidRPr="00F067F7">
              <w:rPr>
                <w:sz w:val="24"/>
                <w:szCs w:val="24"/>
              </w:rPr>
              <w:t xml:space="preserve"> becoming overwhelmed with this along with other cases. By talking through what I am doing and how, I can ensure I am giving the right support, working legally and ensuring the plans I create are enough to keep the children safe. </w:t>
            </w:r>
          </w:p>
          <w:p w14:paraId="0F683087" w14:textId="77777777" w:rsidR="003E07E7" w:rsidRPr="00F067F7" w:rsidRDefault="003E07E7" w:rsidP="003E07E7">
            <w:pPr>
              <w:rPr>
                <w:sz w:val="24"/>
                <w:szCs w:val="24"/>
              </w:rPr>
            </w:pPr>
            <w:r w:rsidRPr="00F067F7">
              <w:rPr>
                <w:sz w:val="24"/>
                <w:szCs w:val="24"/>
              </w:rPr>
              <w:t xml:space="preserve">Initially, when 6 was placed, I was sceptical about her success. I had previously seen 6 </w:t>
            </w:r>
            <w:proofErr w:type="gramStart"/>
            <w:r w:rsidRPr="00F067F7">
              <w:rPr>
                <w:sz w:val="24"/>
                <w:szCs w:val="24"/>
              </w:rPr>
              <w:t>breakdown</w:t>
            </w:r>
            <w:proofErr w:type="gramEnd"/>
            <w:r w:rsidRPr="00F067F7">
              <w:rPr>
                <w:sz w:val="24"/>
                <w:szCs w:val="24"/>
              </w:rPr>
              <w:t xml:space="preserve"> emotionally and I had not observed any attachment with child. However, by giving her the extended time needed and staff following the recommendations of the cognitive assessment, she was able to succeed. Whilst reflecting during supervision, my line manager and I discussed how it would have been easy, given 6’s perceived capacity and behaviours, to have instigated proceedings to full care order without giving her this chance. 6 was showing no capacity to parent independently and did not appear to want to engage with child at times. However, using and understanding of Bronfenbrenner's ecological systems theory  we had agreed 6’s present circumstances were not a fair place for assessment.  6’s ‘mesosystem’ her relationship with family and peers. 6’s parents had mental ill health and showed no attachment or understanding of 6. 6’s  ‘Exosystemic’ the Family home was overcrowded and chaotic. 6’s ‘Macrosystem’; being raised in a large Family, on an impoverished estate led to stigmatisation from people outside of the estate, at school and in the Community. This contributed to 6’s feelings of inadequacy. 6’s Chronosystem, the family’s history of Social service input, poverty, Family loss </w:t>
            </w:r>
            <w:proofErr w:type="gramStart"/>
            <w:r w:rsidRPr="00F067F7">
              <w:rPr>
                <w:sz w:val="24"/>
                <w:szCs w:val="24"/>
              </w:rPr>
              <w:t>and ,</w:t>
            </w:r>
            <w:proofErr w:type="gramEnd"/>
            <w:r w:rsidRPr="00F067F7">
              <w:rPr>
                <w:sz w:val="24"/>
                <w:szCs w:val="24"/>
              </w:rPr>
              <w:t xml:space="preserve">Mental </w:t>
            </w:r>
            <w:proofErr w:type="spellStart"/>
            <w:r w:rsidRPr="00F067F7">
              <w:rPr>
                <w:sz w:val="24"/>
                <w:szCs w:val="24"/>
              </w:rPr>
              <w:t>well being</w:t>
            </w:r>
            <w:proofErr w:type="spellEnd"/>
            <w:r w:rsidRPr="00F067F7">
              <w:rPr>
                <w:sz w:val="24"/>
                <w:szCs w:val="24"/>
              </w:rPr>
              <w:t xml:space="preserve">. This knowledge informed intervention by understanding where the challenges lay </w:t>
            </w:r>
            <w:r w:rsidRPr="00F067F7">
              <w:rPr>
                <w:sz w:val="24"/>
                <w:szCs w:val="24"/>
              </w:rPr>
              <w:lastRenderedPageBreak/>
              <w:t xml:space="preserve">for 6 to parent within her own eco system and therefore by removing her from here we would web able to assess fairly her own capacity. Also to assess what support skills she had to develop. </w:t>
            </w:r>
          </w:p>
          <w:p w14:paraId="2B1A609E" w14:textId="77777777" w:rsidR="003E07E7" w:rsidRPr="00F067F7" w:rsidRDefault="003E07E7" w:rsidP="003E07E7">
            <w:pPr>
              <w:rPr>
                <w:sz w:val="24"/>
                <w:szCs w:val="24"/>
              </w:rPr>
            </w:pPr>
            <w:r w:rsidRPr="00F067F7">
              <w:rPr>
                <w:sz w:val="24"/>
                <w:szCs w:val="24"/>
              </w:rPr>
              <w:t>By using person centred approach (Gardner A 2013) we supported 6 to see herself differently for her to see her abilities differently. This then encouraged her to set different goals for her and child 1 and 2 for the future. As 6’s confidence and self-belief grew we were able make plans co-productively as 6 felt she was having a say in what was happening. This grew to her confidently and independently making her own plans in line with the principles of the Social Services Well-Being (Wales) Act 2014 , to ‘empower people to produce innovative solutions’  and giving ‘greater voice and control’.  By working collaboratively with all agencies involved we ensured a unified service took away the pressure of having to attend appointments or meet with different agencies which can be overwhelming. Equally, by removing barriers, i.e. the family who was putting 6 down, the families encouraging unhealthy behaviours, the generational and communal ideas of how children should be parented, we have created a space for 6 to learn in her own way and develop skills she would never have known she had. This met with the child’s right to family life, A8, Human Rights Act 98.</w:t>
            </w:r>
          </w:p>
          <w:p w14:paraId="2DF9625E" w14:textId="77777777" w:rsidR="003E07E7" w:rsidRPr="00F067F7" w:rsidRDefault="003E07E7" w:rsidP="003E07E7">
            <w:pPr>
              <w:rPr>
                <w:sz w:val="24"/>
                <w:szCs w:val="24"/>
              </w:rPr>
            </w:pPr>
            <w:r w:rsidRPr="00F067F7">
              <w:rPr>
                <w:sz w:val="24"/>
                <w:szCs w:val="24"/>
              </w:rPr>
              <w:t xml:space="preserve">To conclude, through using knowledge and understanding of relevant legislation we can safeguard children whilst at the same time promoting the rights and well-being of individuals and families.  We empowered 6 to be able to participate in her own plans by removing barriers and encouraging her to use her voice and control in decision’s pertaining to her parenting. Co production is a must, with parents, when possible with the children themselves and with co-workers. By taking responsibility for </w:t>
            </w:r>
            <w:proofErr w:type="gramStart"/>
            <w:r w:rsidRPr="00F067F7">
              <w:rPr>
                <w:sz w:val="24"/>
                <w:szCs w:val="24"/>
              </w:rPr>
              <w:t>our</w:t>
            </w:r>
            <w:proofErr w:type="gramEnd"/>
            <w:r w:rsidRPr="00F067F7">
              <w:rPr>
                <w:sz w:val="24"/>
                <w:szCs w:val="24"/>
              </w:rPr>
              <w:t xml:space="preserve"> on learning and the quality of the work of others, we can support people  to keep themselves safe. </w:t>
            </w:r>
          </w:p>
          <w:p w14:paraId="0E7BBCC9" w14:textId="3BE772AC" w:rsidR="00D3203C" w:rsidRPr="00F067F7" w:rsidRDefault="003E07E7" w:rsidP="003E07E7">
            <w:pPr>
              <w:rPr>
                <w:sz w:val="24"/>
                <w:szCs w:val="24"/>
              </w:rPr>
            </w:pPr>
            <w:r w:rsidRPr="00F067F7">
              <w:rPr>
                <w:sz w:val="24"/>
                <w:szCs w:val="24"/>
              </w:rPr>
              <w:t>3994</w:t>
            </w:r>
          </w:p>
          <w:p w14:paraId="47F21B6A" w14:textId="007FFCCE" w:rsidR="007A628F" w:rsidRPr="00F067F7" w:rsidRDefault="007A628F" w:rsidP="00FF7EBB">
            <w:pPr>
              <w:jc w:val="both"/>
            </w:pPr>
          </w:p>
        </w:tc>
      </w:tr>
    </w:tbl>
    <w:p w14:paraId="1B4186EF" w14:textId="77777777" w:rsidR="00D3442D" w:rsidRPr="00F067F7" w:rsidRDefault="00D3442D" w:rsidP="00D3442D">
      <w:pPr>
        <w:jc w:val="both"/>
      </w:pPr>
    </w:p>
    <w:p w14:paraId="3BE23FA3" w14:textId="77777777" w:rsidR="00DD31C5" w:rsidRPr="00F067F7" w:rsidRDefault="00DD31C5" w:rsidP="00064063">
      <w:pPr>
        <w:ind w:firstLine="720"/>
        <w:jc w:val="both"/>
        <w:rPr>
          <w:b/>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C94F8" w14:textId="77777777" w:rsidR="000F0D36" w:rsidRDefault="000F0D36">
      <w:r>
        <w:separator/>
      </w:r>
    </w:p>
  </w:endnote>
  <w:endnote w:type="continuationSeparator" w:id="0">
    <w:p w14:paraId="2365C00D" w14:textId="77777777" w:rsidR="000F0D36" w:rsidRDefault="000F0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FC135" w14:textId="77777777" w:rsidR="000F0D36" w:rsidRDefault="000F0D36">
      <w:r>
        <w:separator/>
      </w:r>
    </w:p>
  </w:footnote>
  <w:footnote w:type="continuationSeparator" w:id="0">
    <w:p w14:paraId="2AA78F0C" w14:textId="77777777" w:rsidR="000F0D36" w:rsidRDefault="000F0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4F6"/>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D36"/>
    <w:rsid w:val="000F1599"/>
    <w:rsid w:val="000F1769"/>
    <w:rsid w:val="000F1A97"/>
    <w:rsid w:val="000F42AE"/>
    <w:rsid w:val="000F6196"/>
    <w:rsid w:val="000F6BC3"/>
    <w:rsid w:val="0010312C"/>
    <w:rsid w:val="00105026"/>
    <w:rsid w:val="0010662B"/>
    <w:rsid w:val="00106DC7"/>
    <w:rsid w:val="00112391"/>
    <w:rsid w:val="00114E5A"/>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93A"/>
    <w:rsid w:val="003C3C67"/>
    <w:rsid w:val="003C4186"/>
    <w:rsid w:val="003C6185"/>
    <w:rsid w:val="003D0D2D"/>
    <w:rsid w:val="003D1885"/>
    <w:rsid w:val="003D1BC0"/>
    <w:rsid w:val="003D20F1"/>
    <w:rsid w:val="003D4710"/>
    <w:rsid w:val="003E07E7"/>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1B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24AD"/>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D36"/>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47C"/>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546A"/>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050"/>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30B"/>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7F7"/>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unhideWhenUsed/>
    <w:rsid w:val="0057780F"/>
    <w:rPr>
      <w:rFonts w:cs="Times New Roman"/>
      <w:lang w:val="x-none" w:eastAsia="x-none"/>
    </w:rPr>
  </w:style>
  <w:style w:type="character" w:customStyle="1" w:styleId="TestunSylwNod">
    <w:name w:val="Testun Sylw Nod"/>
    <w:link w:val="TestunSylw"/>
    <w:uiPriority w:val="99"/>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3747</Words>
  <Characters>21361</Characters>
  <Application>Microsoft Office Word</Application>
  <DocSecurity>0</DocSecurity>
  <Lines>178</Lines>
  <Paragraphs>50</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25058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Griffiths (PLANT)</cp:lastModifiedBy>
  <cp:revision>5</cp:revision>
  <cp:lastPrinted>2020-02-11T19:20:00Z</cp:lastPrinted>
  <dcterms:created xsi:type="dcterms:W3CDTF">2026-09-09T11:36:00Z</dcterms:created>
  <dcterms:modified xsi:type="dcterms:W3CDTF">2026-09-27T12:54:00Z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