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C9F32" w14:textId="77777777" w:rsidR="00E628EE" w:rsidRDefault="00E628EE" w:rsidP="00A3749B">
      <w:pPr>
        <w:rPr>
          <w:b/>
          <w:bCs/>
        </w:rPr>
      </w:pPr>
    </w:p>
    <w:p w14:paraId="66364472" w14:textId="77777777" w:rsidR="00E628EE" w:rsidRDefault="00E628EE" w:rsidP="00A3749B">
      <w:pPr>
        <w:rPr>
          <w:b/>
          <w:bCs/>
        </w:rPr>
      </w:pPr>
    </w:p>
    <w:p w14:paraId="7813CEAC" w14:textId="77777777" w:rsidR="00E628EE" w:rsidRDefault="00E628EE" w:rsidP="00A3749B">
      <w:pPr>
        <w:rPr>
          <w:b/>
          <w:bCs/>
        </w:rPr>
      </w:pPr>
    </w:p>
    <w:p w14:paraId="5118EB22" w14:textId="77777777" w:rsidR="00E628EE" w:rsidRDefault="00E628EE" w:rsidP="00A3749B">
      <w:pPr>
        <w:rPr>
          <w:b/>
          <w:bCs/>
        </w:rPr>
      </w:pPr>
    </w:p>
    <w:p w14:paraId="038B9FD8" w14:textId="77777777" w:rsidR="00E628EE" w:rsidRDefault="00E628EE" w:rsidP="00A3749B">
      <w:pPr>
        <w:rPr>
          <w:b/>
          <w:bCs/>
        </w:rPr>
      </w:pPr>
    </w:p>
    <w:p w14:paraId="2A2FED0B" w14:textId="77777777" w:rsidR="00E628EE" w:rsidRDefault="00E628EE" w:rsidP="00A3749B">
      <w:pPr>
        <w:rPr>
          <w:b/>
          <w:bCs/>
        </w:rPr>
      </w:pPr>
    </w:p>
    <w:p w14:paraId="6869D7FE" w14:textId="77777777" w:rsidR="00E628EE" w:rsidRDefault="00E628EE" w:rsidP="00A3749B">
      <w:pPr>
        <w:rPr>
          <w:b/>
          <w:bCs/>
        </w:rPr>
      </w:pPr>
    </w:p>
    <w:p w14:paraId="17512AF9" w14:textId="77777777" w:rsidR="00E628EE" w:rsidRDefault="00E628EE" w:rsidP="00A3749B">
      <w:pPr>
        <w:rPr>
          <w:b/>
          <w:bCs/>
        </w:rPr>
      </w:pPr>
    </w:p>
    <w:p w14:paraId="7913D8CC" w14:textId="77777777" w:rsidR="00E628EE" w:rsidRDefault="00E628EE" w:rsidP="00A3749B">
      <w:pPr>
        <w:rPr>
          <w:b/>
          <w:bCs/>
        </w:rPr>
      </w:pPr>
    </w:p>
    <w:p w14:paraId="4D2778F4" w14:textId="77777777" w:rsidR="00E628EE" w:rsidRDefault="00E628EE" w:rsidP="00A3749B">
      <w:pPr>
        <w:rPr>
          <w:b/>
          <w:bCs/>
        </w:rPr>
      </w:pPr>
    </w:p>
    <w:p w14:paraId="13AB801B" w14:textId="2118B978" w:rsidR="00E628EE" w:rsidRDefault="00E628EE" w:rsidP="000C47BF">
      <w:pPr>
        <w:jc w:val="center"/>
        <w:rPr>
          <w:b/>
          <w:bCs/>
        </w:rPr>
      </w:pPr>
    </w:p>
    <w:p w14:paraId="4C8FF0CF" w14:textId="4916023A" w:rsidR="000C47BF" w:rsidRPr="000C47BF" w:rsidRDefault="000C47BF" w:rsidP="000C47BF">
      <w:pPr>
        <w:jc w:val="center"/>
        <w:rPr>
          <w:b/>
          <w:bCs/>
          <w:sz w:val="40"/>
          <w:szCs w:val="40"/>
        </w:rPr>
      </w:pPr>
    </w:p>
    <w:p w14:paraId="6C603A6B" w14:textId="40F012EA" w:rsidR="000C47BF" w:rsidRPr="000C47BF" w:rsidRDefault="000C47BF" w:rsidP="000C47BF">
      <w:pPr>
        <w:jc w:val="center"/>
        <w:rPr>
          <w:b/>
          <w:bCs/>
          <w:sz w:val="40"/>
          <w:szCs w:val="40"/>
        </w:rPr>
      </w:pPr>
      <w:r w:rsidRPr="000C47BF">
        <w:rPr>
          <w:b/>
          <w:bCs/>
          <w:sz w:val="40"/>
          <w:szCs w:val="40"/>
        </w:rPr>
        <w:t>Legal Process</w:t>
      </w:r>
    </w:p>
    <w:p w14:paraId="7CBCD908" w14:textId="77777777" w:rsidR="00E628EE" w:rsidRPr="000C47BF" w:rsidRDefault="00E628EE" w:rsidP="00A3749B">
      <w:pPr>
        <w:rPr>
          <w:b/>
          <w:bCs/>
          <w:sz w:val="40"/>
          <w:szCs w:val="40"/>
        </w:rPr>
      </w:pPr>
    </w:p>
    <w:p w14:paraId="4DA5F329" w14:textId="77777777" w:rsidR="00E628EE" w:rsidRDefault="00E628EE" w:rsidP="00A3749B">
      <w:pPr>
        <w:rPr>
          <w:b/>
          <w:bCs/>
        </w:rPr>
      </w:pPr>
    </w:p>
    <w:p w14:paraId="0C8A028F" w14:textId="77777777" w:rsidR="00E628EE" w:rsidRDefault="00E628EE" w:rsidP="00A3749B">
      <w:pPr>
        <w:rPr>
          <w:b/>
          <w:bCs/>
        </w:rPr>
      </w:pPr>
    </w:p>
    <w:p w14:paraId="3F674B7B" w14:textId="77777777" w:rsidR="00E628EE" w:rsidRDefault="00E628EE" w:rsidP="00A3749B">
      <w:pPr>
        <w:rPr>
          <w:b/>
          <w:bCs/>
        </w:rPr>
      </w:pPr>
    </w:p>
    <w:p w14:paraId="17624B7A" w14:textId="77777777" w:rsidR="00E628EE" w:rsidRDefault="00E628EE" w:rsidP="00A3749B">
      <w:pPr>
        <w:rPr>
          <w:b/>
          <w:bCs/>
        </w:rPr>
      </w:pPr>
    </w:p>
    <w:p w14:paraId="3F263429" w14:textId="77777777" w:rsidR="000C47BF" w:rsidRDefault="000C47BF" w:rsidP="000C47BF">
      <w:pPr>
        <w:ind w:firstLine="720"/>
        <w:rPr>
          <w:b/>
          <w:bCs/>
          <w:sz w:val="32"/>
          <w:szCs w:val="32"/>
        </w:rPr>
      </w:pPr>
    </w:p>
    <w:p w14:paraId="55A234F0" w14:textId="77777777" w:rsidR="000C47BF" w:rsidRDefault="000C47BF" w:rsidP="000C47BF">
      <w:pPr>
        <w:ind w:firstLine="720"/>
        <w:rPr>
          <w:b/>
          <w:bCs/>
          <w:sz w:val="32"/>
          <w:szCs w:val="32"/>
        </w:rPr>
      </w:pPr>
    </w:p>
    <w:p w14:paraId="03D95BDB" w14:textId="77777777" w:rsidR="000C47BF" w:rsidRDefault="000C47BF" w:rsidP="000C47BF">
      <w:pPr>
        <w:ind w:firstLine="720"/>
        <w:rPr>
          <w:b/>
          <w:bCs/>
          <w:sz w:val="32"/>
          <w:szCs w:val="32"/>
        </w:rPr>
      </w:pPr>
    </w:p>
    <w:p w14:paraId="204C6203" w14:textId="77777777" w:rsidR="000C47BF" w:rsidRDefault="000C47BF" w:rsidP="000C47BF">
      <w:pPr>
        <w:ind w:firstLine="720"/>
        <w:rPr>
          <w:b/>
          <w:bCs/>
          <w:sz w:val="32"/>
          <w:szCs w:val="32"/>
        </w:rPr>
      </w:pPr>
    </w:p>
    <w:p w14:paraId="752E4841" w14:textId="44A59B87" w:rsidR="00E628EE" w:rsidRPr="000C47BF" w:rsidRDefault="000C47BF" w:rsidP="000C47BF">
      <w:pPr>
        <w:ind w:firstLine="720"/>
        <w:rPr>
          <w:b/>
          <w:bCs/>
          <w:sz w:val="32"/>
          <w:szCs w:val="32"/>
        </w:rPr>
      </w:pPr>
      <w:r w:rsidRPr="000C47BF">
        <w:rPr>
          <w:b/>
          <w:bCs/>
          <w:sz w:val="32"/>
          <w:szCs w:val="32"/>
        </w:rPr>
        <w:t>Student nr: 2105050</w:t>
      </w:r>
    </w:p>
    <w:p w14:paraId="37FE0909" w14:textId="77777777" w:rsidR="00E628EE" w:rsidRDefault="00E628EE" w:rsidP="00A3749B">
      <w:pPr>
        <w:rPr>
          <w:b/>
          <w:bCs/>
        </w:rPr>
      </w:pPr>
    </w:p>
    <w:p w14:paraId="42089CD2" w14:textId="77777777" w:rsidR="00E628EE" w:rsidRDefault="00E628EE" w:rsidP="00A3749B">
      <w:pPr>
        <w:rPr>
          <w:b/>
          <w:bCs/>
        </w:rPr>
      </w:pPr>
    </w:p>
    <w:p w14:paraId="28769071" w14:textId="77777777" w:rsidR="00E628EE" w:rsidRDefault="00E628EE" w:rsidP="00A3749B">
      <w:pPr>
        <w:rPr>
          <w:b/>
          <w:bCs/>
        </w:rPr>
      </w:pPr>
    </w:p>
    <w:p w14:paraId="1E5411C9" w14:textId="77777777" w:rsidR="00E628EE" w:rsidRDefault="00E628EE" w:rsidP="00A3749B">
      <w:pPr>
        <w:rPr>
          <w:b/>
          <w:bCs/>
        </w:rPr>
      </w:pPr>
    </w:p>
    <w:p w14:paraId="689E6C4F" w14:textId="77777777" w:rsidR="00E628EE" w:rsidRDefault="00E628EE" w:rsidP="00A3749B">
      <w:pPr>
        <w:rPr>
          <w:b/>
          <w:bCs/>
        </w:rPr>
      </w:pPr>
    </w:p>
    <w:p w14:paraId="4F65ED1E" w14:textId="77777777" w:rsidR="00E628EE" w:rsidRDefault="00E628EE" w:rsidP="00A3749B">
      <w:pPr>
        <w:rPr>
          <w:b/>
          <w:bCs/>
        </w:rPr>
      </w:pPr>
    </w:p>
    <w:p w14:paraId="6EB9C37E" w14:textId="77777777" w:rsidR="00E628EE" w:rsidRDefault="00E628EE" w:rsidP="00A3749B">
      <w:pPr>
        <w:rPr>
          <w:b/>
          <w:bCs/>
        </w:rPr>
      </w:pPr>
    </w:p>
    <w:p w14:paraId="4015A1FD" w14:textId="77777777" w:rsidR="00E628EE" w:rsidRDefault="00E628EE" w:rsidP="00A3749B">
      <w:pPr>
        <w:rPr>
          <w:b/>
          <w:bCs/>
        </w:rPr>
      </w:pPr>
    </w:p>
    <w:p w14:paraId="6C4E03F7" w14:textId="77777777" w:rsidR="00E628EE" w:rsidRDefault="00E628EE" w:rsidP="00A3749B">
      <w:pPr>
        <w:rPr>
          <w:b/>
          <w:bCs/>
        </w:rPr>
      </w:pPr>
    </w:p>
    <w:p w14:paraId="43DE1BAF" w14:textId="77777777" w:rsidR="00E628EE" w:rsidRDefault="00E628EE" w:rsidP="00A3749B">
      <w:pPr>
        <w:rPr>
          <w:b/>
          <w:bCs/>
        </w:rPr>
      </w:pPr>
    </w:p>
    <w:p w14:paraId="2AC98CD5" w14:textId="77777777" w:rsidR="00E628EE" w:rsidRDefault="00E628EE" w:rsidP="00A3749B">
      <w:pPr>
        <w:rPr>
          <w:b/>
          <w:bCs/>
        </w:rPr>
      </w:pPr>
    </w:p>
    <w:p w14:paraId="7504379D" w14:textId="77777777" w:rsidR="00E628EE" w:rsidRDefault="00E628EE" w:rsidP="00A3749B">
      <w:pPr>
        <w:rPr>
          <w:b/>
          <w:bCs/>
        </w:rPr>
      </w:pPr>
    </w:p>
    <w:p w14:paraId="65CB7875" w14:textId="77777777" w:rsidR="00E628EE" w:rsidRDefault="00E628EE" w:rsidP="00A3749B">
      <w:pPr>
        <w:rPr>
          <w:b/>
          <w:bCs/>
        </w:rPr>
      </w:pPr>
    </w:p>
    <w:p w14:paraId="29A3331C" w14:textId="77777777" w:rsidR="00E628EE" w:rsidRDefault="00E628EE" w:rsidP="00A3749B">
      <w:pPr>
        <w:rPr>
          <w:b/>
          <w:bCs/>
        </w:rPr>
      </w:pPr>
    </w:p>
    <w:p w14:paraId="2F473480" w14:textId="77777777" w:rsidR="00E628EE" w:rsidRDefault="00E628EE" w:rsidP="00A3749B">
      <w:pPr>
        <w:rPr>
          <w:b/>
          <w:bCs/>
        </w:rPr>
      </w:pPr>
    </w:p>
    <w:p w14:paraId="323BA2A9" w14:textId="77777777" w:rsidR="00E628EE" w:rsidRDefault="00E628EE" w:rsidP="00A3749B">
      <w:pPr>
        <w:rPr>
          <w:b/>
          <w:bCs/>
        </w:rPr>
      </w:pPr>
    </w:p>
    <w:p w14:paraId="74D83F74" w14:textId="77777777" w:rsidR="00E628EE" w:rsidRDefault="00E628EE" w:rsidP="00A3749B">
      <w:pPr>
        <w:rPr>
          <w:b/>
          <w:bCs/>
        </w:rPr>
      </w:pPr>
    </w:p>
    <w:p w14:paraId="5B52A5DB" w14:textId="77777777" w:rsidR="00E628EE" w:rsidRDefault="00E628EE" w:rsidP="00A3749B">
      <w:pPr>
        <w:rPr>
          <w:b/>
          <w:bCs/>
        </w:rPr>
      </w:pPr>
    </w:p>
    <w:p w14:paraId="152E6234" w14:textId="77777777" w:rsidR="00E628EE" w:rsidRDefault="00E628EE" w:rsidP="00A3749B">
      <w:pPr>
        <w:rPr>
          <w:b/>
          <w:bCs/>
        </w:rPr>
      </w:pPr>
    </w:p>
    <w:p w14:paraId="7B55F0B0" w14:textId="77777777" w:rsidR="00E628EE" w:rsidRDefault="00E628EE" w:rsidP="00A3749B">
      <w:pPr>
        <w:rPr>
          <w:b/>
          <w:bCs/>
        </w:rPr>
      </w:pPr>
    </w:p>
    <w:p w14:paraId="25F3CD50" w14:textId="77777777" w:rsidR="00E628EE" w:rsidRDefault="00E628EE" w:rsidP="00A3749B">
      <w:pPr>
        <w:rPr>
          <w:b/>
          <w:bCs/>
        </w:rPr>
      </w:pPr>
    </w:p>
    <w:p w14:paraId="5C76F3DD" w14:textId="77777777" w:rsidR="00E628EE" w:rsidRDefault="00E628EE" w:rsidP="00A3749B">
      <w:pPr>
        <w:rPr>
          <w:b/>
          <w:bCs/>
        </w:rPr>
      </w:pPr>
    </w:p>
    <w:p w14:paraId="04E4E5DD" w14:textId="77777777" w:rsidR="00E628EE" w:rsidRDefault="00E628EE" w:rsidP="00A3749B">
      <w:pPr>
        <w:rPr>
          <w:b/>
          <w:bCs/>
        </w:rPr>
      </w:pPr>
    </w:p>
    <w:p w14:paraId="755BFE81" w14:textId="77777777" w:rsidR="00E628EE" w:rsidRDefault="00E628EE" w:rsidP="00A3749B">
      <w:pPr>
        <w:rPr>
          <w:b/>
          <w:bCs/>
        </w:rPr>
      </w:pPr>
    </w:p>
    <w:p w14:paraId="37CACEDC" w14:textId="77777777" w:rsidR="00E628EE" w:rsidRDefault="00E628EE" w:rsidP="00A3749B">
      <w:pPr>
        <w:rPr>
          <w:b/>
          <w:bCs/>
        </w:rPr>
      </w:pPr>
    </w:p>
    <w:p w14:paraId="0057EA56" w14:textId="77777777" w:rsidR="00E628EE" w:rsidRDefault="00E628EE" w:rsidP="00A3749B">
      <w:pPr>
        <w:rPr>
          <w:b/>
          <w:bCs/>
        </w:rPr>
      </w:pPr>
    </w:p>
    <w:p w14:paraId="042449A4" w14:textId="77777777" w:rsidR="00E628EE" w:rsidRDefault="00E628EE" w:rsidP="00A3749B">
      <w:pPr>
        <w:rPr>
          <w:b/>
          <w:bCs/>
        </w:rPr>
      </w:pPr>
    </w:p>
    <w:p w14:paraId="268A31A0" w14:textId="47C5A3A8" w:rsidR="00A3749B" w:rsidRPr="00A3749B" w:rsidRDefault="00A3749B" w:rsidP="00A3749B">
      <w:pPr>
        <w:rPr>
          <w:b/>
          <w:bCs/>
        </w:rPr>
      </w:pPr>
      <w:r w:rsidRPr="00A3749B">
        <w:rPr>
          <w:b/>
          <w:bCs/>
        </w:rPr>
        <w:t>It is sometimes argued that diversity in the judiciary is of little importance: what matters is that judges are experts and make sound decisions. However, judges have considerable power to make decisions that matter both constitutionally and to the lives of ordinary people.</w:t>
      </w:r>
    </w:p>
    <w:p w14:paraId="1E9E9B46" w14:textId="77777777" w:rsidR="00A3749B" w:rsidRPr="00A3749B" w:rsidRDefault="00A3749B" w:rsidP="00A3749B"/>
    <w:p w14:paraId="383CFEB9" w14:textId="12784484" w:rsidR="00D22194" w:rsidRDefault="00A3749B" w:rsidP="00A3749B">
      <w:pPr>
        <w:rPr>
          <w:b/>
          <w:bCs/>
        </w:rPr>
      </w:pPr>
      <w:r w:rsidRPr="00A3749B">
        <w:rPr>
          <w:b/>
          <w:bCs/>
        </w:rPr>
        <w:t>With specific reference to Supreme Court Justices, to what extent do you agree with the stance that diversity is of little importance?</w:t>
      </w:r>
    </w:p>
    <w:p w14:paraId="39E6C681" w14:textId="1E90760D" w:rsidR="00A3749B" w:rsidRPr="0067127A" w:rsidRDefault="00A3749B" w:rsidP="0067127A">
      <w:pPr>
        <w:rPr>
          <w:rFonts w:ascii="Arial" w:hAnsi="Arial" w:cs="Arial"/>
        </w:rPr>
      </w:pPr>
    </w:p>
    <w:p w14:paraId="0AEC2321" w14:textId="436B75CB" w:rsidR="00A3749B" w:rsidRDefault="00A3749B" w:rsidP="00A3749B"/>
    <w:p w14:paraId="0C92B9B3" w14:textId="026E3DF9" w:rsidR="00A3749B" w:rsidRDefault="00A3749B" w:rsidP="00A3749B">
      <w:pPr>
        <w:jc w:val="both"/>
      </w:pPr>
      <w:r>
        <w:t xml:space="preserve">This essay will address the issue of diversity in the judiciary and the fact that the decisions made by judges affect the lives of </w:t>
      </w:r>
      <w:r w:rsidR="004D5036">
        <w:t>“</w:t>
      </w:r>
      <w:r>
        <w:t>ordinary</w:t>
      </w:r>
      <w:r w:rsidR="004D5036">
        <w:t>”</w:t>
      </w:r>
      <w:r>
        <w:t xml:space="preserve"> people as well as on a constitutional level. It is argued by some that ‘diversity is of little importance’ in regard to the supreme court justices in particular, which will be explored further by answering questions such as: the role of the supreme court justice and their powers</w:t>
      </w:r>
      <w:r w:rsidR="004D5036">
        <w:t>,</w:t>
      </w:r>
      <w:r>
        <w:t xml:space="preserve"> their ethnicity, gender, age and whether this makes an impact as to how decisions are made</w:t>
      </w:r>
      <w:r w:rsidR="004D5036">
        <w:t>,</w:t>
      </w:r>
      <w:r>
        <w:t xml:space="preserve"> how the justices are selected and via what process</w:t>
      </w:r>
      <w:r w:rsidR="004D5036">
        <w:t>,</w:t>
      </w:r>
      <w:r>
        <w:t xml:space="preserve"> how the supreme court justices are currently comprised of – including some demographic variables; and additionally, if there are any apparent problems with the supreme court justices (or any of the aforementioned) and if so, if anything has been done to rectify or attempt to rectify any problems identified.  </w:t>
      </w:r>
    </w:p>
    <w:p w14:paraId="17915865" w14:textId="4980D732" w:rsidR="00A3749B" w:rsidRDefault="00A3749B" w:rsidP="00A3749B"/>
    <w:p w14:paraId="47ACE54E" w14:textId="77777777" w:rsidR="002E071D" w:rsidRDefault="002E071D" w:rsidP="008C73B6">
      <w:pPr>
        <w:jc w:val="both"/>
      </w:pPr>
    </w:p>
    <w:p w14:paraId="701BEFBA" w14:textId="5FFE7276" w:rsidR="004D5036" w:rsidRDefault="00A3749B" w:rsidP="008C73B6">
      <w:pPr>
        <w:jc w:val="both"/>
      </w:pPr>
      <w:r>
        <w:t xml:space="preserve">To first address the key terms in the essay title, the </w:t>
      </w:r>
      <w:r w:rsidR="004D5036">
        <w:t>“</w:t>
      </w:r>
      <w:r>
        <w:t>Supreme Court</w:t>
      </w:r>
      <w:r w:rsidR="004D5036">
        <w:t>”</w:t>
      </w:r>
      <w:r>
        <w:t xml:space="preserve"> was established in 2009 after the Constitutional Reform Act 2005 replaced the House of Lords as the highest court of appeal for both civil and criminal cases nationally </w:t>
      </w:r>
      <w:r w:rsidRPr="004D5036">
        <w:rPr>
          <w:b/>
          <w:bCs/>
        </w:rPr>
        <w:t>(</w:t>
      </w:r>
      <w:proofErr w:type="spellStart"/>
      <w:r w:rsidRPr="004D5036">
        <w:rPr>
          <w:b/>
          <w:bCs/>
        </w:rPr>
        <w:t>Allbon</w:t>
      </w:r>
      <w:proofErr w:type="spellEnd"/>
      <w:r w:rsidRPr="004D5036">
        <w:rPr>
          <w:b/>
          <w:bCs/>
        </w:rPr>
        <w:t>,</w:t>
      </w:r>
      <w:r w:rsidR="00830E5F">
        <w:rPr>
          <w:b/>
          <w:bCs/>
        </w:rPr>
        <w:t xml:space="preserve"> </w:t>
      </w:r>
      <w:r w:rsidRPr="004D5036">
        <w:rPr>
          <w:b/>
          <w:bCs/>
        </w:rPr>
        <w:t>2020)</w:t>
      </w:r>
      <w:r>
        <w:t xml:space="preserve">. </w:t>
      </w:r>
      <w:r w:rsidR="008C73B6">
        <w:t xml:space="preserve">The Constitutional </w:t>
      </w:r>
      <w:r w:rsidR="008C73B6" w:rsidRPr="004D5036">
        <w:rPr>
          <w:b/>
          <w:bCs/>
        </w:rPr>
        <w:t>Reform Act 2005</w:t>
      </w:r>
      <w:r w:rsidR="008C73B6">
        <w:t xml:space="preserve"> placed a statutory duty for the judiciary to be independent from the government – this prohibits influences on any decisions made</w:t>
      </w:r>
      <w:r w:rsidR="00B11211">
        <w:t xml:space="preserve"> and ensures the doctrine of </w:t>
      </w:r>
      <w:r w:rsidR="004D5036">
        <w:t>“</w:t>
      </w:r>
      <w:r w:rsidR="00B11211">
        <w:t>separation of powers</w:t>
      </w:r>
      <w:r w:rsidR="004D5036">
        <w:t>”</w:t>
      </w:r>
      <w:r w:rsidR="00B11211">
        <w:t xml:space="preserve"> is adhered to. </w:t>
      </w:r>
    </w:p>
    <w:p w14:paraId="56C75E4D" w14:textId="61936F26" w:rsidR="00A3749B" w:rsidRDefault="008C73B6" w:rsidP="008C73B6">
      <w:pPr>
        <w:jc w:val="both"/>
      </w:pPr>
      <w:r>
        <w:t xml:space="preserve">According to the Courts and Tribunals </w:t>
      </w:r>
      <w:r w:rsidRPr="004D5036">
        <w:rPr>
          <w:b/>
          <w:bCs/>
        </w:rPr>
        <w:t>Judiciary (2022;1)</w:t>
      </w:r>
      <w:r>
        <w:t xml:space="preserve">, there is an independent Judicial Appointments Commission of whom select potential candidates based solely on merit and claims to be </w:t>
      </w:r>
      <w:r w:rsidR="004D5036">
        <w:t>“</w:t>
      </w:r>
      <w:r>
        <w:t>modern, open and transparent</w:t>
      </w:r>
      <w:r w:rsidR="004D5036">
        <w:t>”</w:t>
      </w:r>
      <w:r>
        <w:t>.</w:t>
      </w:r>
    </w:p>
    <w:p w14:paraId="4919931B" w14:textId="752D47ED" w:rsidR="008C73B6" w:rsidRDefault="008C73B6" w:rsidP="008C73B6">
      <w:pPr>
        <w:jc w:val="both"/>
      </w:pPr>
    </w:p>
    <w:p w14:paraId="652D361F" w14:textId="446FF07B" w:rsidR="008C73B6" w:rsidRDefault="008C73B6" w:rsidP="008C73B6">
      <w:pPr>
        <w:jc w:val="both"/>
      </w:pPr>
      <w:r>
        <w:t xml:space="preserve">Prior to the creation of the Supreme Court, the twelve Law Lords sat in the House of Lords. This could not abide by the ‘separation of powers’ as the judges held the power to influence government legislation as well as hear cases. </w:t>
      </w:r>
      <w:r w:rsidR="00B11211">
        <w:t xml:space="preserve">The Supreme Court of the United Kingdom acquired the jurisdiction for all aspects of law for all criminal cases in England, Wales and Northern Ireland and all civil law cases in the United Kingdom from the first of October 2009. From this date the Justices were prohibited from voting in the House of Lords (UK Parliament, 2022). </w:t>
      </w:r>
    </w:p>
    <w:p w14:paraId="15696D49" w14:textId="089251C1" w:rsidR="00F416CC" w:rsidRDefault="00F416CC" w:rsidP="008C73B6">
      <w:pPr>
        <w:jc w:val="both"/>
      </w:pPr>
    </w:p>
    <w:p w14:paraId="1DE4D30D" w14:textId="77777777" w:rsidR="004D5036" w:rsidRDefault="00F416CC" w:rsidP="008C73B6">
      <w:pPr>
        <w:jc w:val="both"/>
      </w:pPr>
      <w:r>
        <w:t xml:space="preserve">According to the Ministry of </w:t>
      </w:r>
      <w:r w:rsidRPr="004D5036">
        <w:rPr>
          <w:b/>
          <w:bCs/>
        </w:rPr>
        <w:t>Justice (2021)</w:t>
      </w:r>
      <w:r>
        <w:t xml:space="preserve">, between 2020-2021, for all legal Judicial Appointments Commission (JAC), there is no evidence to suggest a disparity in regard to gender. </w:t>
      </w:r>
      <w:r>
        <w:lastRenderedPageBreak/>
        <w:t xml:space="preserve">Forty-three percent of applications were from women and women accounted for forty-four percent of recommendations. The recommendation rates for women </w:t>
      </w:r>
      <w:r w:rsidR="004D5036">
        <w:t>were</w:t>
      </w:r>
      <w:r>
        <w:t xml:space="preserve"> approximately seventeen percent lower than for men. </w:t>
      </w:r>
    </w:p>
    <w:p w14:paraId="7057107C" w14:textId="760D5A90" w:rsidR="00F416CC" w:rsidRDefault="00F416CC" w:rsidP="008C73B6">
      <w:pPr>
        <w:jc w:val="both"/>
      </w:pPr>
      <w:r>
        <w:t xml:space="preserve">However, there is evidence to suggest that women are </w:t>
      </w:r>
      <w:r w:rsidR="004D5036">
        <w:t>underrepresented</w:t>
      </w:r>
      <w:r>
        <w:t xml:space="preserve"> in the </w:t>
      </w:r>
      <w:proofErr w:type="gramStart"/>
      <w:r>
        <w:t>courts</w:t>
      </w:r>
      <w:proofErr w:type="gramEnd"/>
      <w:r>
        <w:t xml:space="preserve"> judiciary with only a third of court judges being women, and a lower figure of twenty-nine percent in senior court appointments as of April 2021. </w:t>
      </w:r>
    </w:p>
    <w:p w14:paraId="63FB4DB9" w14:textId="3AE19E67" w:rsidR="008511F9" w:rsidRDefault="008511F9" w:rsidP="008C73B6">
      <w:pPr>
        <w:jc w:val="both"/>
      </w:pPr>
    </w:p>
    <w:p w14:paraId="6AD6866D" w14:textId="77777777" w:rsidR="007B0A6A" w:rsidRDefault="008511F9" w:rsidP="008C73B6">
      <w:pPr>
        <w:jc w:val="both"/>
      </w:pPr>
      <w:r>
        <w:t xml:space="preserve">As far as ethnicity is concerned, Black, Asian and minority ethnic representation is lower across legal professions in general. According to statistics from the </w:t>
      </w:r>
      <w:r w:rsidRPr="004D5036">
        <w:rPr>
          <w:b/>
          <w:bCs/>
        </w:rPr>
        <w:t>Ministry of Justice (2021)</w:t>
      </w:r>
      <w:r>
        <w:t xml:space="preserve">, there is a significantly lower recommendation rate in comparison to white candidates. </w:t>
      </w:r>
    </w:p>
    <w:p w14:paraId="7C86BA58" w14:textId="3AFF2FB8" w:rsidR="008511F9" w:rsidRDefault="00CD38F9" w:rsidP="008C73B6">
      <w:pPr>
        <w:jc w:val="both"/>
      </w:pPr>
      <w:r>
        <w:t>Although, there has been an improvement since 2014 with five percent of judges from Asian backgrounds, one percent from Black backgrounds, two percent from mixed ethnicity backgrounds and one percent from other minority backgrounds. The percentage of senior court appointments is lower again at four percent. According to the stati</w:t>
      </w:r>
      <w:r w:rsidR="00D2074E">
        <w:t>c</w:t>
      </w:r>
      <w:r>
        <w:t>ian’s comments, the Judicial Appointments Commission (JAC) can select a person to increase judicial diversity even if two persons are of equal merit using the Equal Merit Provision which was introduced in 2013 by the Crime and Courts Act 2013.</w:t>
      </w:r>
    </w:p>
    <w:p w14:paraId="5C7E6962" w14:textId="789DC1C5" w:rsidR="00CD38F9" w:rsidRDefault="00CD38F9" w:rsidP="008C73B6">
      <w:pPr>
        <w:jc w:val="both"/>
      </w:pPr>
    </w:p>
    <w:p w14:paraId="571F955B" w14:textId="2AD163DE" w:rsidR="00CD38F9" w:rsidRDefault="00CD38F9" w:rsidP="008C73B6">
      <w:pPr>
        <w:jc w:val="both"/>
      </w:pPr>
      <w:r>
        <w:t xml:space="preserve">To the House of Commons, in the Rainbow Lecture on Diversity, </w:t>
      </w:r>
      <w:r w:rsidRPr="007B0A6A">
        <w:rPr>
          <w:b/>
          <w:bCs/>
        </w:rPr>
        <w:t>Lord Neuberger (2014, p.7)</w:t>
      </w:r>
      <w:r>
        <w:t xml:space="preserve"> stated that:</w:t>
      </w:r>
    </w:p>
    <w:p w14:paraId="182CCF49" w14:textId="0A18E4A3" w:rsidR="00CD38F9" w:rsidRDefault="00CD38F9" w:rsidP="008C73B6">
      <w:pPr>
        <w:jc w:val="both"/>
      </w:pPr>
    </w:p>
    <w:p w14:paraId="7807EEC5" w14:textId="6C58CB42" w:rsidR="00CD38F9" w:rsidRPr="007B0A6A" w:rsidRDefault="00CD38F9" w:rsidP="008C73B6">
      <w:pPr>
        <w:jc w:val="both"/>
        <w:rPr>
          <w:b/>
          <w:bCs/>
          <w:i/>
          <w:iCs/>
        </w:rPr>
      </w:pPr>
      <w:r>
        <w:tab/>
      </w:r>
      <w:r w:rsidR="007B0A6A" w:rsidRPr="007B0A6A">
        <w:rPr>
          <w:b/>
          <w:bCs/>
          <w:i/>
          <w:iCs/>
        </w:rPr>
        <w:t>“</w:t>
      </w:r>
      <w:r w:rsidRPr="007B0A6A">
        <w:rPr>
          <w:b/>
          <w:bCs/>
          <w:i/>
          <w:iCs/>
        </w:rPr>
        <w:t>The country must have the best judges possible, and merit is therefore a standard which cannot be undermined. Diversity is sometimes said to be the enemy of merit. I do not agree: provided that diversity is properly invoked, it is not merely consistent with merit: it reinforces merit.</w:t>
      </w:r>
      <w:r w:rsidR="007B0A6A" w:rsidRPr="007B0A6A">
        <w:rPr>
          <w:b/>
          <w:bCs/>
          <w:i/>
          <w:iCs/>
        </w:rPr>
        <w:t>”</w:t>
      </w:r>
    </w:p>
    <w:p w14:paraId="0805FDBE" w14:textId="68E420D0" w:rsidR="00CD38F9" w:rsidRDefault="00CD38F9" w:rsidP="008C73B6">
      <w:pPr>
        <w:jc w:val="both"/>
      </w:pPr>
    </w:p>
    <w:p w14:paraId="6A6049A6" w14:textId="77777777" w:rsidR="007B0A6A" w:rsidRDefault="00CD38F9" w:rsidP="008C73B6">
      <w:pPr>
        <w:jc w:val="both"/>
      </w:pPr>
      <w:r>
        <w:t xml:space="preserve">Lord Nerberger (2014) holds with the view that with the increase in inclusiveness, there will be an increase of the confidence in the judicial system. </w:t>
      </w:r>
    </w:p>
    <w:p w14:paraId="27427930" w14:textId="77777777" w:rsidR="007B0A6A" w:rsidRDefault="00CD38F9" w:rsidP="008C73B6">
      <w:pPr>
        <w:jc w:val="both"/>
      </w:pPr>
      <w:r>
        <w:t xml:space="preserve">He further stated that this situation is getting better and gives credit to the Judicial Appointments Commission but at the same time suggests that it should not just be left to them. </w:t>
      </w:r>
    </w:p>
    <w:p w14:paraId="12CBADA6" w14:textId="4E0D3F32" w:rsidR="00CD38F9" w:rsidRDefault="00CD38F9" w:rsidP="008C73B6">
      <w:pPr>
        <w:jc w:val="both"/>
      </w:pPr>
      <w:r>
        <w:t xml:space="preserve">The notion of </w:t>
      </w:r>
      <w:r w:rsidR="007B0A6A">
        <w:t>“</w:t>
      </w:r>
      <w:r>
        <w:t>mentoring schemes</w:t>
      </w:r>
      <w:r w:rsidR="007B0A6A">
        <w:t xml:space="preserve">” </w:t>
      </w:r>
      <w:r>
        <w:t xml:space="preserve">have been discussed and is suggested that they should be used more. Nerberger also makes reference to the less privileged: economically, socially and in their educational background – which does seem to be brushed off and blamed by the society in which we live in, class and educational system. </w:t>
      </w:r>
    </w:p>
    <w:p w14:paraId="61B79CD2" w14:textId="5C0804DF" w:rsidR="0032565A" w:rsidRDefault="0032565A" w:rsidP="008C73B6">
      <w:pPr>
        <w:jc w:val="both"/>
      </w:pPr>
    </w:p>
    <w:p w14:paraId="0E28C77A" w14:textId="7B8B4701" w:rsidR="0032565A" w:rsidRPr="0032565A" w:rsidRDefault="0032565A" w:rsidP="0032565A">
      <w:pPr>
        <w:jc w:val="both"/>
      </w:pPr>
      <w:r>
        <w:t xml:space="preserve">To address the statement in the essay title: </w:t>
      </w:r>
      <w:r w:rsidR="007B0A6A">
        <w:t>“</w:t>
      </w:r>
      <w:r w:rsidRPr="00A3749B">
        <w:t>judges have considerable power to make decisions that matter both constitutionally and to the lives of ordinary people</w:t>
      </w:r>
      <w:r w:rsidR="007B0A6A">
        <w:t>”</w:t>
      </w:r>
      <w:r>
        <w:t xml:space="preserve">, the most pivotable case to be heard by the UK Supreme Court, in </w:t>
      </w:r>
      <w:r w:rsidR="007B0A6A">
        <w:t>a</w:t>
      </w:r>
      <w:r>
        <w:t xml:space="preserve"> unanimous judgment of eleven Justices was </w:t>
      </w:r>
      <w:r w:rsidRPr="007B0A6A">
        <w:rPr>
          <w:b/>
          <w:bCs/>
        </w:rPr>
        <w:t xml:space="preserve">in </w:t>
      </w:r>
      <w:r w:rsidRPr="007B0A6A">
        <w:rPr>
          <w:b/>
          <w:bCs/>
          <w:i/>
          <w:iCs/>
        </w:rPr>
        <w:t>R (on the application of Miller) v The Prime Minister; Cherry and others v Advocate General for Scotland</w:t>
      </w:r>
      <w:r w:rsidRPr="007B0A6A">
        <w:rPr>
          <w:b/>
          <w:bCs/>
        </w:rPr>
        <w:t> [2019] UKSC 41.</w:t>
      </w:r>
      <w:r>
        <w:t xml:space="preserve"> It was ruled in this case that the Prime Minister, Boris Johnson, and his action of proroguing Parliament for five weeks before the UK deadline to leave the European Union was unlawful and unconstitutional. This caused much controversy, however, epitomized the powers of the Supreme Court to oversee the Executive</w:t>
      </w:r>
      <w:r w:rsidR="00623DB8">
        <w:t xml:space="preserve"> </w:t>
      </w:r>
      <w:r w:rsidR="00623DB8" w:rsidRPr="007B0A6A">
        <w:rPr>
          <w:b/>
          <w:bCs/>
        </w:rPr>
        <w:t>(Tridimas &amp; Tridimas, 2020).</w:t>
      </w:r>
      <w:r w:rsidR="00623DB8">
        <w:t xml:space="preserve"> </w:t>
      </w:r>
    </w:p>
    <w:p w14:paraId="3AAFBE05" w14:textId="4D794838" w:rsidR="0032565A" w:rsidRDefault="0032565A" w:rsidP="008C73B6">
      <w:pPr>
        <w:jc w:val="both"/>
      </w:pPr>
    </w:p>
    <w:p w14:paraId="26A7A202" w14:textId="77777777" w:rsidR="007B0A6A" w:rsidRDefault="007B0A6A" w:rsidP="008C73B6">
      <w:pPr>
        <w:jc w:val="both"/>
      </w:pPr>
    </w:p>
    <w:p w14:paraId="57B526AC" w14:textId="77777777" w:rsidR="007B0A6A" w:rsidRDefault="007B0A6A" w:rsidP="008C73B6">
      <w:pPr>
        <w:jc w:val="both"/>
      </w:pPr>
    </w:p>
    <w:p w14:paraId="2B98C45C" w14:textId="07FEDEC7" w:rsidR="007B0A6A" w:rsidRDefault="00154226" w:rsidP="008C73B6">
      <w:pPr>
        <w:jc w:val="both"/>
      </w:pPr>
      <w:r>
        <w:lastRenderedPageBreak/>
        <w:t>T</w:t>
      </w:r>
      <w:r w:rsidRPr="00154226">
        <w:t>he stance that diversity is of little importance</w:t>
      </w:r>
      <w:r>
        <w:t xml:space="preserve"> in the Judiciary can be challenged. </w:t>
      </w:r>
    </w:p>
    <w:p w14:paraId="2AAB3AFC" w14:textId="77777777" w:rsidR="007B0A6A" w:rsidRDefault="00154226" w:rsidP="008C73B6">
      <w:pPr>
        <w:jc w:val="both"/>
      </w:pPr>
      <w:r>
        <w:t xml:space="preserve">When looking at research in American Supreme Court diversity, </w:t>
      </w:r>
      <w:r w:rsidRPr="007B0A6A">
        <w:rPr>
          <w:b/>
          <w:bCs/>
        </w:rPr>
        <w:t>Bannon and Keith (2022)</w:t>
      </w:r>
      <w:r>
        <w:t xml:space="preserve"> cites the promise made by President Biden to nominate a Black woman to the Supreme Court. </w:t>
      </w:r>
    </w:p>
    <w:p w14:paraId="38E3F6A9" w14:textId="5B997F08" w:rsidR="00A3749B" w:rsidRDefault="00154226" w:rsidP="008C73B6">
      <w:pPr>
        <w:jc w:val="both"/>
      </w:pPr>
      <w:r>
        <w:t xml:space="preserve">It is argued that diversity within the judiciary increases trust in the justice system, particularly within communities of whom are underrepresented. It is said that if a bench of judges with a broad range of life experiences are presented, it will promote jurisprudence. </w:t>
      </w:r>
    </w:p>
    <w:p w14:paraId="30401870" w14:textId="6DC9F53A" w:rsidR="007B0A6A" w:rsidRDefault="00154226" w:rsidP="008C73B6">
      <w:pPr>
        <w:jc w:val="both"/>
      </w:pPr>
      <w:r w:rsidRPr="007B0A6A">
        <w:rPr>
          <w:b/>
          <w:bCs/>
        </w:rPr>
        <w:t>Sen (2021)</w:t>
      </w:r>
      <w:r>
        <w:t xml:space="preserve"> argues that diversity in the judiciary is important and are important for three main reasons. </w:t>
      </w:r>
      <w:r w:rsidR="003347B0">
        <w:t>Reason one being that judges of different backgrounds bring different perspectives.</w:t>
      </w:r>
    </w:p>
    <w:p w14:paraId="528134DC" w14:textId="77777777" w:rsidR="00FE0780" w:rsidRDefault="003347B0" w:rsidP="008C73B6">
      <w:pPr>
        <w:jc w:val="both"/>
      </w:pPr>
      <w:r>
        <w:t>For example</w:t>
      </w:r>
      <w:r w:rsidRPr="007B0A6A">
        <w:rPr>
          <w:b/>
          <w:bCs/>
        </w:rPr>
        <w:t>, Cox and Miles (2008)</w:t>
      </w:r>
      <w:r>
        <w:t xml:space="preserve"> found in their study that white judges are less likely to vote in favor of plaintiffs than black judges. </w:t>
      </w:r>
    </w:p>
    <w:p w14:paraId="3F1DC657" w14:textId="77777777" w:rsidR="00FE0780" w:rsidRDefault="003347B0" w:rsidP="008C73B6">
      <w:pPr>
        <w:jc w:val="both"/>
      </w:pPr>
      <w:r>
        <w:t xml:space="preserve">In another study conducted by </w:t>
      </w:r>
      <w:r w:rsidRPr="00FE0780">
        <w:rPr>
          <w:b/>
          <w:bCs/>
        </w:rPr>
        <w:t>Farhang and Wawro (2004)</w:t>
      </w:r>
      <w:r>
        <w:t xml:space="preserve">, they found that courts of appeal judges of whom are men are less likely to side with the plaintiffs than women and on a three-judge panel, the probability that the panel will rule in favour with the plaintiff increases. </w:t>
      </w:r>
    </w:p>
    <w:p w14:paraId="0CFFA886" w14:textId="77777777" w:rsidR="00FE0780" w:rsidRDefault="003347B0" w:rsidP="008C73B6">
      <w:pPr>
        <w:jc w:val="both"/>
      </w:pPr>
      <w:r>
        <w:t xml:space="preserve">Reason two, according to </w:t>
      </w:r>
      <w:r w:rsidRPr="00FE0780">
        <w:rPr>
          <w:b/>
          <w:bCs/>
        </w:rPr>
        <w:t>Sen (2021)</w:t>
      </w:r>
      <w:r>
        <w:t xml:space="preserve"> is that diversity contributes to healthy decision making. </w:t>
      </w:r>
    </w:p>
    <w:p w14:paraId="2E0AA144" w14:textId="744EC59A" w:rsidR="00154226" w:rsidRDefault="003347B0" w:rsidP="008C73B6">
      <w:pPr>
        <w:jc w:val="both"/>
      </w:pPr>
      <w:r>
        <w:t xml:space="preserve">To exemplify, in </w:t>
      </w:r>
      <w:r w:rsidRPr="00FE0780">
        <w:rPr>
          <w:b/>
          <w:bCs/>
        </w:rPr>
        <w:t xml:space="preserve">Boyd </w:t>
      </w:r>
      <w:r w:rsidRPr="00FE0780">
        <w:rPr>
          <w:b/>
          <w:bCs/>
          <w:i/>
          <w:iCs/>
        </w:rPr>
        <w:t>et al</w:t>
      </w:r>
      <w:r w:rsidRPr="00FE0780">
        <w:rPr>
          <w:b/>
          <w:bCs/>
        </w:rPr>
        <w:t xml:space="preserve"> (2010)</w:t>
      </w:r>
      <w:r>
        <w:t xml:space="preserve">, it was found that in sex discrimination cases, if there are no women on the panel, they are less likely to rule in favour of the plaintiff. The third reason diversity in the judiciary is important is that it enhances respect and legitimacy as it would result in a more widespread respect for the rule of law and that if courts were more diverse in that they reflect the population in terms of demographics, education and personal experience, the more likely it will be that they will be able to cater for the population for which they serve. </w:t>
      </w:r>
    </w:p>
    <w:p w14:paraId="5571B510" w14:textId="063C0201" w:rsidR="0067127A" w:rsidRDefault="0067127A" w:rsidP="008C73B6">
      <w:pPr>
        <w:jc w:val="both"/>
      </w:pPr>
    </w:p>
    <w:p w14:paraId="77D7BEB2" w14:textId="77777777" w:rsidR="00FE0780" w:rsidRDefault="0067127A" w:rsidP="003F6004">
      <w:pPr>
        <w:jc w:val="both"/>
      </w:pPr>
      <w:r>
        <w:t xml:space="preserve">To improve Judicial diversity, the Courts and Tribunals Judiciary (2020) have published a </w:t>
      </w:r>
      <w:r w:rsidR="00FE0780">
        <w:t>“</w:t>
      </w:r>
      <w:r>
        <w:t>Judicial Diversity and Inclusion Strategy</w:t>
      </w:r>
      <w:r w:rsidR="00FE0780">
        <w:t>”</w:t>
      </w:r>
      <w:r>
        <w:t xml:space="preserve"> for 2020 to 2025. </w:t>
      </w:r>
    </w:p>
    <w:p w14:paraId="090A26D2" w14:textId="79E8A9E0" w:rsidR="00A3749B" w:rsidRPr="004B3353" w:rsidRDefault="0067127A" w:rsidP="003F6004">
      <w:pPr>
        <w:jc w:val="both"/>
      </w:pPr>
      <w:r>
        <w:t xml:space="preserve">There are many goals and objectives that are set out in this strategy to increase the number of applicants for judicial appointment from non-traditional backgrounds. 128 judges have volunteered to be a Diversity and Community Relations Judge. The Lord Chief Justice is also a member of the Judicial Diversity Forum along with the Chair of the Judicial Appointments Commission, The Lord Chancellor, the Chair of The Bar Council, the President of The Law Society and others. The core objectives of the </w:t>
      </w:r>
      <w:r w:rsidRPr="00FE0780">
        <w:rPr>
          <w:b/>
          <w:bCs/>
        </w:rPr>
        <w:t>Judicial Diversity Forum</w:t>
      </w:r>
      <w:r>
        <w:t xml:space="preserve"> are to</w:t>
      </w:r>
      <w:r w:rsidRPr="004B3353">
        <w:rPr>
          <w:b/>
          <w:bCs/>
          <w:i/>
          <w:iCs/>
        </w:rPr>
        <w:t xml:space="preserve">: </w:t>
      </w:r>
      <w:r w:rsidR="00FE0780" w:rsidRPr="004B3353">
        <w:rPr>
          <w:b/>
          <w:bCs/>
          <w:i/>
          <w:iCs/>
        </w:rPr>
        <w:t>“</w:t>
      </w:r>
      <w:r w:rsidRPr="004B3353">
        <w:rPr>
          <w:b/>
          <w:bCs/>
          <w:i/>
          <w:iCs/>
        </w:rPr>
        <w:t>create an environment in which there is greater responsibility for and reporting on progress in achieving diversity and inclusion; supporting and building a more inclusive and respectful culture and working environment within the judiciary; supporting and developing the career potential of existing judges; and supporting greater understanding of judicial roles and achieving greater diversity in the pool of applicants for judicial roles</w:t>
      </w:r>
      <w:r w:rsidR="00FE0780" w:rsidRPr="004B3353">
        <w:rPr>
          <w:b/>
          <w:bCs/>
          <w:i/>
          <w:iCs/>
        </w:rPr>
        <w:t>”</w:t>
      </w:r>
      <w:r w:rsidR="004B3353">
        <w:rPr>
          <w:b/>
          <w:bCs/>
        </w:rPr>
        <w:t xml:space="preserve">- </w:t>
      </w:r>
      <w:r w:rsidR="00D2074E">
        <w:t xml:space="preserve"> </w:t>
      </w:r>
      <w:r w:rsidR="00D2074E" w:rsidRPr="004B3353">
        <w:t>(Courts and Tribunals Judiciary, 2020).</w:t>
      </w:r>
    </w:p>
    <w:p w14:paraId="62DFEB44" w14:textId="43518C89" w:rsidR="003F6004" w:rsidRDefault="003F6004" w:rsidP="003F6004">
      <w:pPr>
        <w:jc w:val="both"/>
      </w:pPr>
    </w:p>
    <w:p w14:paraId="2A892EC6" w14:textId="6C4CB191" w:rsidR="003F6004" w:rsidRDefault="003F6004" w:rsidP="003F6004">
      <w:pPr>
        <w:jc w:val="both"/>
      </w:pPr>
      <w:r>
        <w:t xml:space="preserve">To conclude, this essay has outlined the role of the United Kingdom’s role of the Supreme Court. How the Supreme Court came into existence via the </w:t>
      </w:r>
      <w:r w:rsidRPr="004B3353">
        <w:rPr>
          <w:b/>
          <w:bCs/>
        </w:rPr>
        <w:t>Constitutional Reform Act 2005</w:t>
      </w:r>
      <w:r>
        <w:t xml:space="preserve"> and separation of powers has been explained. An example of how the Supreme Court can make constitutional decisions has been exemplified. In addition, some statistics of the apparent lack of diversity in gender and ethnicity has been provided along with a comparison with studies of judiciary diversity for context as to the reason why it is important to have diversity within the judiciary. In recent years, there seems to be an improvement with inclusion with gender and ethnic minority measures in place to meet aims and objectives to tackle the issue of diversity with the 2020-2025 Judicial diversity and inclusion strategy to increase the number of applicants for judicial appointment from non-traditional backgrounds. </w:t>
      </w:r>
    </w:p>
    <w:p w14:paraId="1470D6E7" w14:textId="77777777" w:rsidR="00E628EE" w:rsidRDefault="00E628EE" w:rsidP="00A3749B">
      <w:pPr>
        <w:tabs>
          <w:tab w:val="left" w:pos="1344"/>
        </w:tabs>
      </w:pPr>
    </w:p>
    <w:p w14:paraId="04AC3598" w14:textId="77777777" w:rsidR="00E628EE" w:rsidRDefault="00E628EE" w:rsidP="00A3749B">
      <w:pPr>
        <w:tabs>
          <w:tab w:val="left" w:pos="1344"/>
        </w:tabs>
      </w:pPr>
    </w:p>
    <w:p w14:paraId="4EEC7E2C" w14:textId="47F10727" w:rsidR="00A3749B" w:rsidRPr="004B3353" w:rsidRDefault="00A3749B" w:rsidP="004B3353">
      <w:pPr>
        <w:tabs>
          <w:tab w:val="left" w:pos="1344"/>
        </w:tabs>
        <w:jc w:val="center"/>
        <w:rPr>
          <w:b/>
          <w:bCs/>
          <w:sz w:val="28"/>
          <w:szCs w:val="28"/>
        </w:rPr>
      </w:pPr>
      <w:r w:rsidRPr="004B3353">
        <w:rPr>
          <w:b/>
          <w:bCs/>
          <w:sz w:val="28"/>
          <w:szCs w:val="28"/>
        </w:rPr>
        <w:t>References</w:t>
      </w:r>
    </w:p>
    <w:p w14:paraId="0A1E8D3A" w14:textId="511CAB08" w:rsidR="00A3749B" w:rsidRDefault="00A3749B" w:rsidP="00A3749B">
      <w:pPr>
        <w:tabs>
          <w:tab w:val="left" w:pos="1344"/>
        </w:tabs>
      </w:pPr>
    </w:p>
    <w:p w14:paraId="508227DE" w14:textId="6F57DE7D" w:rsidR="00B11211" w:rsidRDefault="00A3749B" w:rsidP="00A3749B">
      <w:pPr>
        <w:tabs>
          <w:tab w:val="left" w:pos="1344"/>
        </w:tabs>
      </w:pPr>
      <w:proofErr w:type="spellStart"/>
      <w:r>
        <w:t>Allbon</w:t>
      </w:r>
      <w:proofErr w:type="spellEnd"/>
      <w:r>
        <w:t xml:space="preserve">, E. (2020). </w:t>
      </w:r>
      <w:r w:rsidRPr="00A3749B">
        <w:rPr>
          <w:i/>
          <w:iCs/>
        </w:rPr>
        <w:t>English Legal System</w:t>
      </w:r>
      <w:r>
        <w:t xml:space="preserve">. London: Pearson Education. </w:t>
      </w:r>
    </w:p>
    <w:p w14:paraId="18FF60F1" w14:textId="1836B706" w:rsidR="00154226" w:rsidRDefault="00154226" w:rsidP="00A3749B">
      <w:pPr>
        <w:tabs>
          <w:tab w:val="left" w:pos="1344"/>
        </w:tabs>
      </w:pPr>
    </w:p>
    <w:p w14:paraId="4E2A38F5" w14:textId="5B13B0B2" w:rsidR="00154226" w:rsidRDefault="00154226" w:rsidP="00A3749B">
      <w:pPr>
        <w:tabs>
          <w:tab w:val="left" w:pos="1344"/>
        </w:tabs>
      </w:pPr>
      <w:r>
        <w:t xml:space="preserve">Bannon, A, and Keith, D. (2022) ‘What Research Shows About the Importance of Supreme Court Diversity’. Available at: </w:t>
      </w:r>
      <w:hyperlink r:id="rId7" w:history="1">
        <w:r w:rsidRPr="007746C2">
          <w:rPr>
            <w:rStyle w:val="Hyperlink"/>
          </w:rPr>
          <w:t>https://www.brennancenter.org/our-work/analysis-opinion/what-research-shows-about-importance-supreme-court-diversity</w:t>
        </w:r>
      </w:hyperlink>
      <w:r>
        <w:t xml:space="preserve">. (Accessed: </w:t>
      </w:r>
      <w:r w:rsidR="00D2074E">
        <w:t>21</w:t>
      </w:r>
      <w:r w:rsidR="00D2074E" w:rsidRPr="00D2074E">
        <w:rPr>
          <w:vertAlign w:val="superscript"/>
        </w:rPr>
        <w:t>st</w:t>
      </w:r>
      <w:r w:rsidR="00D2074E">
        <w:t xml:space="preserve"> February 2022</w:t>
      </w:r>
      <w:r>
        <w:t>).</w:t>
      </w:r>
    </w:p>
    <w:p w14:paraId="61E16652" w14:textId="1F1F4E07" w:rsidR="003347B0" w:rsidRDefault="003347B0" w:rsidP="00A3749B">
      <w:pPr>
        <w:tabs>
          <w:tab w:val="left" w:pos="1344"/>
        </w:tabs>
      </w:pPr>
    </w:p>
    <w:p w14:paraId="0F012E26" w14:textId="7200D10D" w:rsidR="003347B0" w:rsidRDefault="003347B0" w:rsidP="003347B0">
      <w:r>
        <w:t>Boyd, C. L., Epstein, L and Martin, A. D. (2010). ‘Untangling the Causal Effects of Sex on Judging’.  American Journal of Political Science 54(2):389–411.</w:t>
      </w:r>
    </w:p>
    <w:p w14:paraId="2460E5FF" w14:textId="34642E4C" w:rsidR="00D2074E" w:rsidRDefault="00D2074E" w:rsidP="003347B0"/>
    <w:p w14:paraId="0250D81B" w14:textId="0762788A" w:rsidR="00D2074E" w:rsidRDefault="00D2074E" w:rsidP="003347B0">
      <w:r>
        <w:t xml:space="preserve">Courts and Tribunals Judiciary (2020). ‘Judicial Diversity and Inclusion Strategy 2020-2025’. Available at: </w:t>
      </w:r>
      <w:hyperlink r:id="rId8" w:history="1">
        <w:r w:rsidRPr="007746C2">
          <w:rPr>
            <w:rStyle w:val="Hyperlink"/>
          </w:rPr>
          <w:t>https://www.judiciary.uk/wp-content/uploads/2020/11/Judicial-Diversity-and-Inclusion-Strategy-2020-2025-v2.pdf</w:t>
        </w:r>
      </w:hyperlink>
      <w:r>
        <w:t>. (Accessed: 28</w:t>
      </w:r>
      <w:r w:rsidRPr="00D2074E">
        <w:rPr>
          <w:vertAlign w:val="superscript"/>
        </w:rPr>
        <w:t>th</w:t>
      </w:r>
      <w:r>
        <w:t xml:space="preserve"> February 2022).</w:t>
      </w:r>
    </w:p>
    <w:p w14:paraId="263CB898" w14:textId="77777777" w:rsidR="003347B0" w:rsidRDefault="003347B0" w:rsidP="00A3749B">
      <w:pPr>
        <w:tabs>
          <w:tab w:val="left" w:pos="1344"/>
        </w:tabs>
      </w:pPr>
    </w:p>
    <w:p w14:paraId="0B122F59" w14:textId="682D0323" w:rsidR="00B11211" w:rsidRDefault="008C73B6" w:rsidP="00A3749B">
      <w:pPr>
        <w:tabs>
          <w:tab w:val="left" w:pos="1344"/>
        </w:tabs>
      </w:pPr>
      <w:r>
        <w:t xml:space="preserve">Courts and Tribunals Judiciary (2022). ‘The Supreme Court’. </w:t>
      </w:r>
      <w:r w:rsidR="00D2074E">
        <w:t xml:space="preserve">Available at: </w:t>
      </w:r>
      <w:hyperlink r:id="rId9" w:history="1">
        <w:r w:rsidR="00D2074E" w:rsidRPr="007746C2">
          <w:rPr>
            <w:rStyle w:val="Hyperlink"/>
          </w:rPr>
          <w:t>https://www.judiciary.uk/about-the-judiciary/the-justice-system/the-supreme-court/</w:t>
        </w:r>
      </w:hyperlink>
      <w:r>
        <w:t xml:space="preserve">. </w:t>
      </w:r>
      <w:r w:rsidR="00D2074E">
        <w:t>(Accessed: 15</w:t>
      </w:r>
      <w:r w:rsidR="00D2074E" w:rsidRPr="00D2074E">
        <w:rPr>
          <w:vertAlign w:val="superscript"/>
        </w:rPr>
        <w:t>th</w:t>
      </w:r>
      <w:r w:rsidR="00D2074E">
        <w:t xml:space="preserve"> February 2022).</w:t>
      </w:r>
    </w:p>
    <w:p w14:paraId="30D4B959" w14:textId="6BD75ECD" w:rsidR="003347B0" w:rsidRDefault="003347B0" w:rsidP="00A3749B">
      <w:pPr>
        <w:tabs>
          <w:tab w:val="left" w:pos="1344"/>
        </w:tabs>
      </w:pPr>
    </w:p>
    <w:p w14:paraId="405CC5A6" w14:textId="7F3E1502" w:rsidR="003347B0" w:rsidRDefault="003347B0" w:rsidP="003347B0">
      <w:r>
        <w:t>Cox, A, B. and Miles, J. T. (2008). ‘Judging the Voting Rights Act’. Columbia Law Review 108(1):1–54.</w:t>
      </w:r>
    </w:p>
    <w:p w14:paraId="0BB8D7E7" w14:textId="4D3F7B3B" w:rsidR="003347B0" w:rsidRDefault="003347B0" w:rsidP="003347B0"/>
    <w:p w14:paraId="36CF9BDF" w14:textId="59B30419" w:rsidR="003347B0" w:rsidRDefault="003347B0" w:rsidP="003347B0">
      <w:r>
        <w:t>Sean, F and Wawro, G. (2004). ‘Institutional Dynamics on the U.S. Court of Appeals: Minority Representation Under Panel Decision Making’. Journal of Law, Economics, and Organization 20(2):299</w:t>
      </w:r>
    </w:p>
    <w:p w14:paraId="43B12041" w14:textId="7D2F2A09" w:rsidR="003347B0" w:rsidRDefault="003347B0" w:rsidP="003347B0"/>
    <w:p w14:paraId="156CA5F7" w14:textId="31B1B4B8" w:rsidR="003347B0" w:rsidRDefault="003347B0" w:rsidP="003347B0">
      <w:r>
        <w:t xml:space="preserve">Sen, M. (2021) ‘Written Testimony on the Importance of Judicial Diversity’. Available at: </w:t>
      </w:r>
      <w:hyperlink r:id="rId10" w:history="1">
        <w:r w:rsidRPr="007746C2">
          <w:rPr>
            <w:rStyle w:val="Hyperlink"/>
          </w:rPr>
          <w:t>https://scholar.harvard.edu/files/msen/files/sen-written-testimony.pdf</w:t>
        </w:r>
      </w:hyperlink>
      <w:r>
        <w:t xml:space="preserve">. (Accessed: </w:t>
      </w:r>
      <w:r w:rsidR="00D2074E">
        <w:t>27</w:t>
      </w:r>
      <w:r w:rsidR="00D2074E" w:rsidRPr="00D2074E">
        <w:rPr>
          <w:vertAlign w:val="superscript"/>
        </w:rPr>
        <w:t>th</w:t>
      </w:r>
      <w:r w:rsidR="00D2074E">
        <w:t xml:space="preserve"> February 2022</w:t>
      </w:r>
      <w:r>
        <w:t>)</w:t>
      </w:r>
    </w:p>
    <w:p w14:paraId="176756C2" w14:textId="77777777" w:rsidR="003347B0" w:rsidRDefault="003347B0" w:rsidP="003347B0"/>
    <w:p w14:paraId="59E43A21" w14:textId="4BBC4010" w:rsidR="00CD38F9" w:rsidRPr="00CD38F9" w:rsidRDefault="00CD38F9" w:rsidP="00A3749B">
      <w:pPr>
        <w:tabs>
          <w:tab w:val="left" w:pos="1344"/>
        </w:tabs>
        <w:rPr>
          <w:b/>
          <w:bCs/>
        </w:rPr>
      </w:pPr>
      <w:r>
        <w:t xml:space="preserve">Lord Neuberger (2014) ‘Rainbow Lecture on Diversity: House of Commons’. Available at: </w:t>
      </w:r>
      <w:hyperlink r:id="rId11" w:history="1">
        <w:r w:rsidRPr="007746C2">
          <w:rPr>
            <w:rStyle w:val="Hyperlink"/>
          </w:rPr>
          <w:t>https://www.supremecourt.uk/docs/speech-140312.pdf</w:t>
        </w:r>
      </w:hyperlink>
      <w:r>
        <w:t xml:space="preserve">. (Accessed: </w:t>
      </w:r>
      <w:r w:rsidR="00D2074E">
        <w:t>27</w:t>
      </w:r>
      <w:r w:rsidR="00D2074E" w:rsidRPr="00D2074E">
        <w:rPr>
          <w:vertAlign w:val="superscript"/>
        </w:rPr>
        <w:t>th</w:t>
      </w:r>
      <w:r w:rsidR="00D2074E">
        <w:t xml:space="preserve"> February 2022</w:t>
      </w:r>
      <w:r>
        <w:t>)</w:t>
      </w:r>
    </w:p>
    <w:p w14:paraId="67C7871B" w14:textId="6C970720" w:rsidR="00CD38F9" w:rsidRDefault="00CD38F9" w:rsidP="00A3749B">
      <w:pPr>
        <w:tabs>
          <w:tab w:val="left" w:pos="1344"/>
        </w:tabs>
      </w:pPr>
    </w:p>
    <w:p w14:paraId="78F93B2D" w14:textId="05692EE8" w:rsidR="00CD38F9" w:rsidRDefault="00CD38F9" w:rsidP="00A3749B">
      <w:pPr>
        <w:tabs>
          <w:tab w:val="left" w:pos="1344"/>
        </w:tabs>
      </w:pPr>
      <w:r>
        <w:t xml:space="preserve">Ministry of Justice (2021) ‘Diversity of the Judiciary: Legal professions, new appointments and current post-holders – 2021 Statistics’. Available at: </w:t>
      </w:r>
      <w:hyperlink r:id="rId12" w:anchor="fn:15" w:history="1">
        <w:r w:rsidRPr="007746C2">
          <w:rPr>
            <w:rStyle w:val="Hyperlink"/>
          </w:rPr>
          <w:t>https://www.gov.uk/government/statistics/diversity-of-the-judiciary-2021-statistics/diversity-of-the-judiciary-2021-statistics-report#fn:15</w:t>
        </w:r>
      </w:hyperlink>
      <w:r>
        <w:t xml:space="preserve">. (Accessed: </w:t>
      </w:r>
      <w:r w:rsidR="00D2074E">
        <w:t>27</w:t>
      </w:r>
      <w:r w:rsidR="00D2074E" w:rsidRPr="00D2074E">
        <w:rPr>
          <w:vertAlign w:val="superscript"/>
        </w:rPr>
        <w:t>th</w:t>
      </w:r>
      <w:r w:rsidR="00D2074E">
        <w:t xml:space="preserve"> February 2022).</w:t>
      </w:r>
    </w:p>
    <w:p w14:paraId="258A7E80" w14:textId="4D23CDF7" w:rsidR="00623DB8" w:rsidRDefault="00623DB8" w:rsidP="00A3749B">
      <w:pPr>
        <w:tabs>
          <w:tab w:val="left" w:pos="1344"/>
        </w:tabs>
      </w:pPr>
    </w:p>
    <w:p w14:paraId="71A151EC" w14:textId="734A8641" w:rsidR="00623DB8" w:rsidRDefault="00623DB8" w:rsidP="00A3749B">
      <w:pPr>
        <w:tabs>
          <w:tab w:val="left" w:pos="1344"/>
        </w:tabs>
      </w:pPr>
      <w:r>
        <w:t xml:space="preserve">Tridimas, C. P. and Tridimas, G. (2020) ‘Is the UK Supreme Court rogue to un-prorogue Parliament?’. European Journal of Law and Economics. 49, pp.205-225. Available at: </w:t>
      </w:r>
      <w:hyperlink r:id="rId13" w:history="1">
        <w:r w:rsidRPr="007746C2">
          <w:rPr>
            <w:rStyle w:val="Hyperlink"/>
          </w:rPr>
          <w:t>https://link.springer.com/article/10.1007/s10657-020-09647-5</w:t>
        </w:r>
      </w:hyperlink>
      <w:r>
        <w:t xml:space="preserve">. (Accessed: </w:t>
      </w:r>
      <w:r w:rsidR="00D2074E">
        <w:t>1</w:t>
      </w:r>
      <w:r w:rsidR="00D2074E" w:rsidRPr="00D2074E">
        <w:rPr>
          <w:vertAlign w:val="superscript"/>
        </w:rPr>
        <w:t>st</w:t>
      </w:r>
      <w:r w:rsidR="00D2074E">
        <w:t xml:space="preserve"> March 2022</w:t>
      </w:r>
      <w:r>
        <w:t>)</w:t>
      </w:r>
    </w:p>
    <w:p w14:paraId="5F675B7D" w14:textId="77777777" w:rsidR="00CD38F9" w:rsidRDefault="00CD38F9" w:rsidP="00A3749B">
      <w:pPr>
        <w:tabs>
          <w:tab w:val="left" w:pos="1344"/>
        </w:tabs>
      </w:pPr>
    </w:p>
    <w:p w14:paraId="024F8796" w14:textId="56ED2A56" w:rsidR="00B11211" w:rsidRPr="00A3749B" w:rsidRDefault="00B11211" w:rsidP="00A3749B">
      <w:pPr>
        <w:tabs>
          <w:tab w:val="left" w:pos="1344"/>
        </w:tabs>
      </w:pPr>
      <w:r>
        <w:t xml:space="preserve">UK Parliament. (2022) ‘Membership of the House of Lords’. Available at: </w:t>
      </w:r>
      <w:hyperlink r:id="rId14" w:history="1">
        <w:r w:rsidRPr="007746C2">
          <w:rPr>
            <w:rStyle w:val="Hyperlink"/>
          </w:rPr>
          <w:t>https://www.parliament.uk/about/mps-and-lords/about-lords/lords-types/law-lords/</w:t>
        </w:r>
      </w:hyperlink>
      <w:r>
        <w:t xml:space="preserve">. (Accessed: </w:t>
      </w:r>
      <w:r w:rsidR="00D2074E">
        <w:t>1</w:t>
      </w:r>
      <w:r w:rsidR="00D2074E" w:rsidRPr="00D2074E">
        <w:rPr>
          <w:vertAlign w:val="superscript"/>
        </w:rPr>
        <w:t>st</w:t>
      </w:r>
      <w:r w:rsidR="00D2074E">
        <w:t xml:space="preserve"> March 2022</w:t>
      </w:r>
      <w:r>
        <w:t>)</w:t>
      </w:r>
    </w:p>
    <w:sectPr w:rsidR="00B11211" w:rsidRPr="00A3749B" w:rsidSect="00774030">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129BD" w14:textId="77777777" w:rsidR="0082062F" w:rsidRDefault="0082062F" w:rsidP="00E628EE">
      <w:r>
        <w:separator/>
      </w:r>
    </w:p>
  </w:endnote>
  <w:endnote w:type="continuationSeparator" w:id="0">
    <w:p w14:paraId="425F56AB" w14:textId="77777777" w:rsidR="0082062F" w:rsidRDefault="0082062F" w:rsidP="00E62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668336"/>
      <w:docPartObj>
        <w:docPartGallery w:val="Page Numbers (Bottom of Page)"/>
        <w:docPartUnique/>
      </w:docPartObj>
    </w:sdtPr>
    <w:sdtEndPr>
      <w:rPr>
        <w:noProof/>
      </w:rPr>
    </w:sdtEndPr>
    <w:sdtContent>
      <w:p w14:paraId="30213B2B" w14:textId="21B33A0B" w:rsidR="00E628EE" w:rsidRDefault="00E628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BF5AD3" w14:textId="01C65115" w:rsidR="00E628EE" w:rsidRDefault="00E628EE" w:rsidP="00E628E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A6BF2" w14:textId="77777777" w:rsidR="0082062F" w:rsidRDefault="0082062F" w:rsidP="00E628EE">
      <w:r>
        <w:separator/>
      </w:r>
    </w:p>
  </w:footnote>
  <w:footnote w:type="continuationSeparator" w:id="0">
    <w:p w14:paraId="66B4AD68" w14:textId="77777777" w:rsidR="0082062F" w:rsidRDefault="0082062F" w:rsidP="00E62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69EA7" w14:textId="66EFA245" w:rsidR="00E628EE" w:rsidRDefault="00E628EE">
    <w:pPr>
      <w:pStyle w:val="Header"/>
    </w:pPr>
    <w:r>
      <w:t>2105050                                                 Legal Process                                      2/03/2022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49B"/>
    <w:rsid w:val="000062D9"/>
    <w:rsid w:val="000C47BF"/>
    <w:rsid w:val="0013222E"/>
    <w:rsid w:val="00154226"/>
    <w:rsid w:val="002E071D"/>
    <w:rsid w:val="0032565A"/>
    <w:rsid w:val="003347B0"/>
    <w:rsid w:val="003F6004"/>
    <w:rsid w:val="00400083"/>
    <w:rsid w:val="004B3353"/>
    <w:rsid w:val="004B453D"/>
    <w:rsid w:val="004D5036"/>
    <w:rsid w:val="005610D5"/>
    <w:rsid w:val="00623DB8"/>
    <w:rsid w:val="0067127A"/>
    <w:rsid w:val="00774030"/>
    <w:rsid w:val="007B0A6A"/>
    <w:rsid w:val="007D71FA"/>
    <w:rsid w:val="0082062F"/>
    <w:rsid w:val="00830E5F"/>
    <w:rsid w:val="008511F9"/>
    <w:rsid w:val="008C73B6"/>
    <w:rsid w:val="008E39C3"/>
    <w:rsid w:val="00917725"/>
    <w:rsid w:val="00923E73"/>
    <w:rsid w:val="0096468F"/>
    <w:rsid w:val="00A3749B"/>
    <w:rsid w:val="00B11211"/>
    <w:rsid w:val="00C33A28"/>
    <w:rsid w:val="00CD38F9"/>
    <w:rsid w:val="00D2074E"/>
    <w:rsid w:val="00DC06C0"/>
    <w:rsid w:val="00E628EE"/>
    <w:rsid w:val="00F416CC"/>
    <w:rsid w:val="00FE0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E931B"/>
  <w14:defaultImageDpi w14:val="32767"/>
  <w15:chartTrackingRefBased/>
  <w15:docId w15:val="{F1B09C65-7F54-1641-A1A5-5A9F1DA33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47B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3B6"/>
    <w:rPr>
      <w:color w:val="0563C1" w:themeColor="hyperlink"/>
      <w:u w:val="single"/>
    </w:rPr>
  </w:style>
  <w:style w:type="character" w:styleId="UnresolvedMention">
    <w:name w:val="Unresolved Mention"/>
    <w:basedOn w:val="DefaultParagraphFont"/>
    <w:uiPriority w:val="99"/>
    <w:rsid w:val="008C73B6"/>
    <w:rPr>
      <w:color w:val="605E5C"/>
      <w:shd w:val="clear" w:color="auto" w:fill="E1DFDD"/>
    </w:rPr>
  </w:style>
  <w:style w:type="character" w:styleId="FollowedHyperlink">
    <w:name w:val="FollowedHyperlink"/>
    <w:basedOn w:val="DefaultParagraphFont"/>
    <w:uiPriority w:val="99"/>
    <w:semiHidden/>
    <w:unhideWhenUsed/>
    <w:rsid w:val="00D2074E"/>
    <w:rPr>
      <w:color w:val="954F72" w:themeColor="followedHyperlink"/>
      <w:u w:val="single"/>
    </w:rPr>
  </w:style>
  <w:style w:type="paragraph" w:styleId="Header">
    <w:name w:val="header"/>
    <w:basedOn w:val="Normal"/>
    <w:link w:val="HeaderChar"/>
    <w:uiPriority w:val="99"/>
    <w:unhideWhenUsed/>
    <w:rsid w:val="00E628EE"/>
    <w:pPr>
      <w:tabs>
        <w:tab w:val="center" w:pos="4513"/>
        <w:tab w:val="right" w:pos="9026"/>
      </w:tabs>
    </w:pPr>
  </w:style>
  <w:style w:type="character" w:customStyle="1" w:styleId="HeaderChar">
    <w:name w:val="Header Char"/>
    <w:basedOn w:val="DefaultParagraphFont"/>
    <w:link w:val="Header"/>
    <w:uiPriority w:val="99"/>
    <w:rsid w:val="00E628EE"/>
    <w:rPr>
      <w:rFonts w:ascii="Times New Roman" w:eastAsia="Times New Roman" w:hAnsi="Times New Roman" w:cs="Times New Roman"/>
    </w:rPr>
  </w:style>
  <w:style w:type="paragraph" w:styleId="Footer">
    <w:name w:val="footer"/>
    <w:basedOn w:val="Normal"/>
    <w:link w:val="FooterChar"/>
    <w:uiPriority w:val="99"/>
    <w:unhideWhenUsed/>
    <w:rsid w:val="00E628EE"/>
    <w:pPr>
      <w:tabs>
        <w:tab w:val="center" w:pos="4513"/>
        <w:tab w:val="right" w:pos="9026"/>
      </w:tabs>
    </w:pPr>
  </w:style>
  <w:style w:type="character" w:customStyle="1" w:styleId="FooterChar">
    <w:name w:val="Footer Char"/>
    <w:basedOn w:val="DefaultParagraphFont"/>
    <w:link w:val="Footer"/>
    <w:uiPriority w:val="99"/>
    <w:rsid w:val="00E628E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84817">
      <w:bodyDiv w:val="1"/>
      <w:marLeft w:val="0"/>
      <w:marRight w:val="0"/>
      <w:marTop w:val="0"/>
      <w:marBottom w:val="0"/>
      <w:divBdr>
        <w:top w:val="none" w:sz="0" w:space="0" w:color="auto"/>
        <w:left w:val="none" w:sz="0" w:space="0" w:color="auto"/>
        <w:bottom w:val="none" w:sz="0" w:space="0" w:color="auto"/>
        <w:right w:val="none" w:sz="0" w:space="0" w:color="auto"/>
      </w:divBdr>
    </w:div>
    <w:div w:id="337392776">
      <w:bodyDiv w:val="1"/>
      <w:marLeft w:val="0"/>
      <w:marRight w:val="0"/>
      <w:marTop w:val="0"/>
      <w:marBottom w:val="0"/>
      <w:divBdr>
        <w:top w:val="none" w:sz="0" w:space="0" w:color="auto"/>
        <w:left w:val="none" w:sz="0" w:space="0" w:color="auto"/>
        <w:bottom w:val="none" w:sz="0" w:space="0" w:color="auto"/>
        <w:right w:val="none" w:sz="0" w:space="0" w:color="auto"/>
      </w:divBdr>
    </w:div>
    <w:div w:id="1427844396">
      <w:bodyDiv w:val="1"/>
      <w:marLeft w:val="0"/>
      <w:marRight w:val="0"/>
      <w:marTop w:val="0"/>
      <w:marBottom w:val="0"/>
      <w:divBdr>
        <w:top w:val="none" w:sz="0" w:space="0" w:color="auto"/>
        <w:left w:val="none" w:sz="0" w:space="0" w:color="auto"/>
        <w:bottom w:val="none" w:sz="0" w:space="0" w:color="auto"/>
        <w:right w:val="none" w:sz="0" w:space="0" w:color="auto"/>
      </w:divBdr>
    </w:div>
    <w:div w:id="1519272325">
      <w:bodyDiv w:val="1"/>
      <w:marLeft w:val="0"/>
      <w:marRight w:val="0"/>
      <w:marTop w:val="0"/>
      <w:marBottom w:val="0"/>
      <w:divBdr>
        <w:top w:val="none" w:sz="0" w:space="0" w:color="auto"/>
        <w:left w:val="none" w:sz="0" w:space="0" w:color="auto"/>
        <w:bottom w:val="none" w:sz="0" w:space="0" w:color="auto"/>
        <w:right w:val="none" w:sz="0" w:space="0" w:color="auto"/>
      </w:divBdr>
    </w:div>
    <w:div w:id="1721394865">
      <w:bodyDiv w:val="1"/>
      <w:marLeft w:val="0"/>
      <w:marRight w:val="0"/>
      <w:marTop w:val="0"/>
      <w:marBottom w:val="0"/>
      <w:divBdr>
        <w:top w:val="none" w:sz="0" w:space="0" w:color="auto"/>
        <w:left w:val="none" w:sz="0" w:space="0" w:color="auto"/>
        <w:bottom w:val="none" w:sz="0" w:space="0" w:color="auto"/>
        <w:right w:val="none" w:sz="0" w:space="0" w:color="auto"/>
      </w:divBdr>
    </w:div>
    <w:div w:id="179937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wp-content/uploads/2020/11/Judicial-Diversity-and-Inclusion-Strategy-2020-2025-v2.pdf" TargetMode="External"/><Relationship Id="rId13" Type="http://schemas.openxmlformats.org/officeDocument/2006/relationships/hyperlink" Target="https://link.springer.com/article/10.1007/s10657-020-09647-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ennancenter.org/our-work/analysis-opinion/what-research-shows-about-importance-supreme-court-diversity" TargetMode="External"/><Relationship Id="rId12" Type="http://schemas.openxmlformats.org/officeDocument/2006/relationships/hyperlink" Target="https://www.gov.uk/government/statistics/diversity-of-the-judiciary-2021-statistics/diversity-of-the-judiciary-2021-statistics-repor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upremecourt.uk/docs/speech-140312.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cholar.harvard.edu/files/msen/files/sen-written-testimony.pdf" TargetMode="External"/><Relationship Id="rId4" Type="http://schemas.openxmlformats.org/officeDocument/2006/relationships/webSettings" Target="webSettings.xml"/><Relationship Id="rId9" Type="http://schemas.openxmlformats.org/officeDocument/2006/relationships/hyperlink" Target="https://www.judiciary.uk/about-the-judiciary/the-justice-system/the-supreme-court/" TargetMode="External"/><Relationship Id="rId14" Type="http://schemas.openxmlformats.org/officeDocument/2006/relationships/hyperlink" Target="https://www.parliament.uk/about/mps-and-lords/about-lords/lords-types/law-lo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2B4F2-A345-6147-A7F0-63A957DC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1947</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R. (872196)</dc:creator>
  <cp:keywords/>
  <dc:description/>
  <cp:lastModifiedBy>Pedro S</cp:lastModifiedBy>
  <cp:revision>3</cp:revision>
  <dcterms:created xsi:type="dcterms:W3CDTF">2022-03-02T03:50:00Z</dcterms:created>
  <dcterms:modified xsi:type="dcterms:W3CDTF">2022-03-03T15:48:00Z</dcterms:modified>
</cp:coreProperties>
</file>