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1763EF9">
        <w:rPr>
          <w:color w:val="000000" w:themeColor="text1"/>
          <w:sz w:val="24"/>
          <w:szCs w:val="24"/>
        </w:rPr>
        <w:t>+</w:t>
      </w:r>
      <w:r w:rsidR="5592E16B">
        <w:rPr>
          <w:noProof/>
        </w:rPr>
        <w:drawing>
          <wp:inline distT="0" distB="0" distL="0" distR="0" wp14:anchorId="661DC7E3" wp14:editId="4388EC41">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7D889217" w:rsidR="005A1BA3"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00DC08B3">
        <w:rPr>
          <w:b/>
          <w:color w:val="auto"/>
          <w:sz w:val="40"/>
        </w:rPr>
        <w:t>/DET</w:t>
      </w:r>
      <w:r w:rsidRPr="00E676F7">
        <w:rPr>
          <w:b/>
          <w:color w:val="auto"/>
          <w:sz w:val="40"/>
        </w:rPr>
        <w:t>)</w:t>
      </w:r>
    </w:p>
    <w:p w14:paraId="7B597789" w14:textId="324BB449" w:rsidR="00DC08B3" w:rsidRDefault="00DC08B3" w:rsidP="00340E9A">
      <w:pPr>
        <w:overflowPunct/>
        <w:autoSpaceDE/>
        <w:autoSpaceDN/>
        <w:adjustRightInd/>
        <w:ind w:right="237"/>
        <w:textAlignment w:val="auto"/>
        <w:rPr>
          <w:b/>
          <w:color w:val="auto"/>
          <w:sz w:val="40"/>
        </w:rPr>
      </w:pPr>
    </w:p>
    <w:p w14:paraId="1D50358E" w14:textId="6E616362" w:rsidR="00DC08B3" w:rsidRPr="00DC08B3" w:rsidRDefault="00DC08B3" w:rsidP="00340E9A">
      <w:pPr>
        <w:overflowPunct/>
        <w:autoSpaceDE/>
        <w:autoSpaceDN/>
        <w:adjustRightInd/>
        <w:ind w:right="237"/>
        <w:textAlignment w:val="auto"/>
        <w:rPr>
          <w:b/>
          <w:i/>
          <w:iCs/>
          <w:color w:val="auto"/>
          <w:sz w:val="40"/>
        </w:rPr>
      </w:pPr>
      <w:r w:rsidRPr="00DC08B3">
        <w:rPr>
          <w:b/>
          <w:i/>
          <w:iCs/>
          <w:color w:val="auto"/>
          <w:sz w:val="40"/>
          <w:highlight w:val="yellow"/>
        </w:rPr>
        <w:t>To be completed by DHEP Detective students only</w:t>
      </w:r>
      <w:r w:rsidRPr="00DC08B3">
        <w:rPr>
          <w:b/>
          <w:i/>
          <w:iCs/>
          <w:color w:val="auto"/>
          <w:sz w:val="40"/>
        </w:rPr>
        <w:t xml:space="preserve"> </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10B19CE5" w:rsidR="7908378C" w:rsidRDefault="7908378C" w:rsidP="33572C6E">
            <w:pPr>
              <w:ind w:right="237"/>
              <w:rPr>
                <w:b/>
                <w:bCs/>
                <w:color w:val="auto"/>
                <w:sz w:val="32"/>
                <w:szCs w:val="32"/>
              </w:rPr>
            </w:pPr>
            <w:r w:rsidRPr="33572C6E">
              <w:rPr>
                <w:b/>
                <w:bCs/>
                <w:color w:val="auto"/>
                <w:sz w:val="32"/>
                <w:szCs w:val="32"/>
              </w:rPr>
              <w:t xml:space="preserve">Learner name: </w:t>
            </w:r>
            <w:r w:rsidR="00F62211">
              <w:rPr>
                <w:b/>
                <w:bCs/>
                <w:color w:val="auto"/>
                <w:sz w:val="32"/>
                <w:szCs w:val="32"/>
              </w:rPr>
              <w:t>Ethan Mills</w:t>
            </w:r>
            <w:r w:rsidR="00673DE0">
              <w:rPr>
                <w:b/>
                <w:bCs/>
                <w:color w:val="auto"/>
                <w:sz w:val="32"/>
                <w:szCs w:val="32"/>
              </w:rPr>
              <w:t xml:space="preserve"> </w:t>
            </w:r>
          </w:p>
          <w:p w14:paraId="3A3A802D" w14:textId="77777777" w:rsidR="33572C6E" w:rsidRDefault="33572C6E" w:rsidP="33572C6E">
            <w:pPr>
              <w:ind w:right="237"/>
              <w:rPr>
                <w:b/>
                <w:bCs/>
                <w:color w:val="auto"/>
                <w:sz w:val="32"/>
                <w:szCs w:val="32"/>
              </w:rPr>
            </w:pPr>
          </w:p>
          <w:p w14:paraId="202E3A16" w14:textId="2EE06D6A" w:rsidR="33572C6E" w:rsidRPr="00673DE0" w:rsidRDefault="7908378C" w:rsidP="00673DE0">
            <w:pPr>
              <w:ind w:right="237"/>
              <w:rPr>
                <w:b/>
                <w:bCs/>
                <w:color w:val="auto"/>
                <w:sz w:val="32"/>
                <w:szCs w:val="32"/>
              </w:rPr>
            </w:pPr>
            <w:r w:rsidRPr="33572C6E">
              <w:rPr>
                <w:b/>
                <w:bCs/>
                <w:color w:val="auto"/>
                <w:sz w:val="32"/>
                <w:szCs w:val="32"/>
              </w:rPr>
              <w:t>Learner’s University Registration Number:</w:t>
            </w:r>
            <w:r w:rsidR="00673DE0">
              <w:rPr>
                <w:b/>
                <w:bCs/>
                <w:color w:val="auto"/>
                <w:sz w:val="32"/>
                <w:szCs w:val="32"/>
              </w:rPr>
              <w:t xml:space="preserve"> </w:t>
            </w:r>
            <w:r w:rsidR="00F62211">
              <w:rPr>
                <w:b/>
                <w:bCs/>
                <w:color w:val="auto"/>
                <w:sz w:val="32"/>
                <w:szCs w:val="32"/>
              </w:rPr>
              <w:t>2236910</w:t>
            </w:r>
          </w:p>
        </w:tc>
      </w:tr>
    </w:tbl>
    <w:p w14:paraId="161214F0" w14:textId="4EB9FE53" w:rsidR="00A3273B" w:rsidRPr="00E676F7" w:rsidRDefault="00A3273B" w:rsidP="00340E9A">
      <w:pPr>
        <w:overflowPunct/>
        <w:autoSpaceDE/>
        <w:autoSpaceDN/>
        <w:adjustRightInd/>
        <w:ind w:right="237"/>
        <w:textAlignment w:val="auto"/>
        <w:rPr>
          <w:b/>
          <w:color w:val="auto"/>
          <w:sz w:val="36"/>
        </w:rPr>
      </w:pPr>
    </w:p>
    <w:p w14:paraId="09F30B14" w14:textId="77777777" w:rsidR="00673DE0" w:rsidRDefault="00673DE0" w:rsidP="33572C6E">
      <w:pPr>
        <w:overflowPunct/>
        <w:autoSpaceDE/>
        <w:autoSpaceDN/>
        <w:adjustRightInd/>
        <w:ind w:right="237"/>
        <w:textAlignment w:val="auto"/>
        <w:rPr>
          <w:b/>
          <w:bCs/>
          <w:color w:val="auto"/>
          <w:sz w:val="40"/>
          <w:szCs w:val="40"/>
        </w:rPr>
      </w:pPr>
    </w:p>
    <w:p w14:paraId="36922AD6" w14:textId="77777777" w:rsidR="00673DE0" w:rsidRDefault="00673DE0" w:rsidP="33572C6E">
      <w:pPr>
        <w:overflowPunct/>
        <w:autoSpaceDE/>
        <w:autoSpaceDN/>
        <w:adjustRightInd/>
        <w:ind w:right="237"/>
        <w:textAlignment w:val="auto"/>
        <w:rPr>
          <w:b/>
          <w:bCs/>
          <w:color w:val="auto"/>
          <w:sz w:val="40"/>
          <w:szCs w:val="40"/>
        </w:rPr>
      </w:pPr>
    </w:p>
    <w:p w14:paraId="0950084E" w14:textId="7FA1ACF0"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1502641F" w14:textId="2216AA9D" w:rsidR="00190913" w:rsidRPr="00DC08B3" w:rsidRDefault="00190913" w:rsidP="00340E9A">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BMPP600</w:t>
      </w:r>
      <w:r w:rsidR="00E211BF">
        <w:rPr>
          <w:b/>
          <w:bCs/>
          <w:i/>
          <w:iCs/>
          <w:color w:val="auto"/>
          <w:sz w:val="24"/>
          <w:szCs w:val="24"/>
        </w:rPr>
        <w:t>9</w:t>
      </w:r>
      <w:r w:rsidR="3DBF3393" w:rsidRPr="45B99DA0">
        <w:rPr>
          <w:b/>
          <w:bCs/>
          <w:i/>
          <w:iCs/>
          <w:color w:val="auto"/>
          <w:sz w:val="24"/>
          <w:szCs w:val="24"/>
        </w:rPr>
        <w:t xml:space="preserve">D </w:t>
      </w: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9"/>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9"/>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9"/>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9"/>
        </w:numPr>
        <w:ind w:right="237"/>
        <w:jc w:val="both"/>
        <w:rPr>
          <w:sz w:val="24"/>
          <w:szCs w:val="24"/>
        </w:rPr>
      </w:pPr>
      <w:r w:rsidRPr="00E676F7">
        <w:rPr>
          <w:sz w:val="24"/>
          <w:szCs w:val="24"/>
        </w:rPr>
        <w:t xml:space="preserve">Decision making and </w:t>
      </w:r>
      <w:proofErr w:type="gramStart"/>
      <w:r w:rsidRPr="00E676F7">
        <w:rPr>
          <w:sz w:val="24"/>
          <w:szCs w:val="24"/>
        </w:rPr>
        <w:t>discretion</w:t>
      </w:r>
      <w:proofErr w:type="gramEnd"/>
    </w:p>
    <w:p w14:paraId="54BA0405" w14:textId="0EF457CA" w:rsidR="002423B2" w:rsidRPr="00E676F7" w:rsidRDefault="002423B2" w:rsidP="00340E9A">
      <w:pPr>
        <w:pStyle w:val="ListParagraph"/>
        <w:numPr>
          <w:ilvl w:val="0"/>
          <w:numId w:val="49"/>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9"/>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9"/>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9"/>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E676F7">
        <w:rPr>
          <w:rFonts w:eastAsia="Arial"/>
          <w:color w:val="000000" w:themeColor="text1"/>
          <w:sz w:val="24"/>
          <w:szCs w:val="24"/>
        </w:rPr>
        <w:t>particular book</w:t>
      </w:r>
      <w:proofErr w:type="gramEnd"/>
      <w:r w:rsidRPr="00E676F7">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06A4D42C" w14:textId="7C18D313" w:rsidR="3EFE5FE8" w:rsidRPr="00E676F7" w:rsidRDefault="00000000"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45B99DA0">
      <w:pPr>
        <w:numPr>
          <w:ilvl w:val="0"/>
          <w:numId w:val="3"/>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62FC6E27">
      <w:pPr>
        <w:numPr>
          <w:ilvl w:val="0"/>
          <w:numId w:val="27"/>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5CE196A1">
      <w:pPr>
        <w:numPr>
          <w:ilvl w:val="0"/>
          <w:numId w:val="21"/>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5CE196A1">
      <w:pPr>
        <w:numPr>
          <w:ilvl w:val="0"/>
          <w:numId w:val="21"/>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593D7881" w14:textId="4C46D9B0" w:rsidR="7D00799C" w:rsidRDefault="7D00799C" w:rsidP="5CE196A1">
      <w:pPr>
        <w:numPr>
          <w:ilvl w:val="0"/>
          <w:numId w:val="21"/>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1D95DB0" w:rsidR="00446F80" w:rsidRPr="00E676F7" w:rsidRDefault="00DC08B3" w:rsidP="45B99DA0">
            <w:pPr>
              <w:ind w:right="237"/>
              <w:jc w:val="both"/>
              <w:rPr>
                <w:b/>
                <w:bCs/>
                <w:color w:val="auto"/>
                <w:sz w:val="24"/>
                <w:szCs w:val="24"/>
              </w:rPr>
            </w:pPr>
            <w:r>
              <w:rPr>
                <w:b/>
                <w:bCs/>
                <w:color w:val="auto"/>
                <w:sz w:val="24"/>
                <w:szCs w:val="24"/>
              </w:rPr>
              <w:t>Task</w:t>
            </w:r>
          </w:p>
          <w:p w14:paraId="0C25BFEF" w14:textId="37D8F8CB" w:rsidR="00446F80" w:rsidRPr="00E676F7" w:rsidRDefault="00446F80" w:rsidP="45B99DA0">
            <w:pPr>
              <w:ind w:right="237"/>
              <w:jc w:val="both"/>
              <w:rPr>
                <w:b/>
                <w:bCs/>
                <w:color w:val="auto"/>
                <w:sz w:val="24"/>
                <w:szCs w:val="24"/>
              </w:rPr>
            </w:pP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32933C98" w14:textId="452719C6" w:rsidR="00AA666E" w:rsidRDefault="00AA666E" w:rsidP="00340E9A">
      <w:pPr>
        <w:ind w:right="237"/>
        <w:rPr>
          <w:sz w:val="24"/>
          <w:szCs w:val="24"/>
        </w:rPr>
      </w:pPr>
    </w:p>
    <w:p w14:paraId="08149048" w14:textId="77777777" w:rsidR="006C3F19" w:rsidRPr="00E676F7" w:rsidRDefault="006C3F19" w:rsidP="00340E9A">
      <w:pPr>
        <w:ind w:right="237"/>
      </w:pPr>
    </w:p>
    <w:p w14:paraId="55885AA0" w14:textId="77777777" w:rsidR="008B28E7" w:rsidRPr="00E676F7" w:rsidRDefault="008B28E7" w:rsidP="00340E9A">
      <w:pPr>
        <w:ind w:right="237"/>
        <w:jc w:val="both"/>
        <w:rPr>
          <w:sz w:val="24"/>
          <w:szCs w:val="24"/>
        </w:rPr>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lastRenderedPageBreak/>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49A0D391"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002D25E7" w:rsidRPr="003901EE">
        <w:rPr>
          <w:b/>
          <w:bCs/>
          <w:color w:val="FF0000"/>
          <w:sz w:val="24"/>
          <w:szCs w:val="24"/>
          <w:u w:val="single"/>
        </w:rPr>
        <w:t>serious and complex investigation</w:t>
      </w:r>
      <w:r w:rsidRPr="002D25E7">
        <w:rPr>
          <w:rFonts w:eastAsia="Arial"/>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C614CF">
            <w:pPr>
              <w:ind w:right="237"/>
              <w:rPr>
                <w:sz w:val="24"/>
                <w:szCs w:val="24"/>
              </w:rPr>
            </w:pPr>
          </w:p>
          <w:p w14:paraId="64AC7173" w14:textId="2D686BCB"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w:t>
            </w:r>
            <w:r w:rsidRPr="00211695">
              <w:rPr>
                <w:rFonts w:eastAsia="Arial"/>
                <w:color w:val="000000" w:themeColor="text1"/>
                <w:sz w:val="24"/>
                <w:szCs w:val="24"/>
                <w:highlight w:val="yellow"/>
              </w:rPr>
              <w:t>in</w:t>
            </w:r>
            <w:r w:rsidR="00211695" w:rsidRPr="00211695">
              <w:rPr>
                <w:rFonts w:eastAsia="Arial"/>
                <w:color w:val="000000" w:themeColor="text1"/>
                <w:sz w:val="24"/>
                <w:szCs w:val="24"/>
                <w:highlight w:val="yellow"/>
              </w:rPr>
              <w:t>vestigation</w:t>
            </w:r>
            <w:r w:rsidR="00211695">
              <w:rPr>
                <w:rFonts w:eastAsia="Arial"/>
                <w:color w:val="000000" w:themeColor="text1"/>
                <w:sz w:val="24"/>
                <w:szCs w:val="24"/>
              </w:rPr>
              <w:t xml:space="preserve"> </w:t>
            </w:r>
            <w:r w:rsidRPr="5CE196A1">
              <w:rPr>
                <w:rFonts w:eastAsia="Arial"/>
                <w:color w:val="000000" w:themeColor="text1"/>
                <w:sz w:val="24"/>
                <w:szCs w:val="24"/>
              </w:rPr>
              <w:t xml:space="preserve">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267561BA"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the appropriateness of different approaches (by professionals and the police) in supporting or managing vulnerable people or people at risk of harm</w:t>
            </w:r>
            <w:r w:rsidR="00211695">
              <w:rPr>
                <w:rFonts w:eastAsia="Arial"/>
                <w:color w:val="000000" w:themeColor="text1"/>
                <w:sz w:val="24"/>
                <w:szCs w:val="24"/>
                <w:lang w:val="en-US"/>
              </w:rPr>
              <w:t xml:space="preserve"> during the </w:t>
            </w:r>
            <w:r w:rsidR="00211695" w:rsidRPr="00211695">
              <w:rPr>
                <w:rFonts w:eastAsia="Arial"/>
                <w:color w:val="000000" w:themeColor="text1"/>
                <w:sz w:val="24"/>
                <w:szCs w:val="24"/>
                <w:highlight w:val="yellow"/>
                <w:lang w:val="en-US"/>
              </w:rPr>
              <w:t>investigative process</w:t>
            </w:r>
          </w:p>
          <w:p w14:paraId="24937DFC" w14:textId="77777777" w:rsidR="00E676F7" w:rsidRPr="00E676F7" w:rsidRDefault="00E676F7" w:rsidP="00E676F7">
            <w:pPr>
              <w:rPr>
                <w:rFonts w:eastAsia="Arial"/>
                <w:color w:val="000000" w:themeColor="text1"/>
                <w:sz w:val="24"/>
                <w:szCs w:val="24"/>
              </w:rPr>
            </w:pPr>
          </w:p>
          <w:p w14:paraId="4954E81D" w14:textId="382C6D35"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what work</w:t>
            </w:r>
            <w:r w:rsidR="00211695">
              <w:rPr>
                <w:rFonts w:eastAsia="Arial"/>
                <w:color w:val="000000" w:themeColor="text1"/>
                <w:sz w:val="24"/>
                <w:szCs w:val="24"/>
              </w:rPr>
              <w:t>s</w:t>
            </w:r>
            <w:r w:rsidRPr="5CE196A1">
              <w:rPr>
                <w:rFonts w:eastAsia="Arial"/>
                <w:color w:val="000000" w:themeColor="text1"/>
                <w:sz w:val="24"/>
                <w:szCs w:val="24"/>
              </w:rPr>
              <w:t xml:space="preserve"> in relation to tackling repeat victimisation and repeat offending</w:t>
            </w:r>
            <w:r w:rsidR="00211695">
              <w:rPr>
                <w:rFonts w:eastAsia="Arial"/>
                <w:color w:val="000000" w:themeColor="text1"/>
                <w:sz w:val="24"/>
                <w:szCs w:val="24"/>
              </w:rPr>
              <w:t xml:space="preserve"> during this </w:t>
            </w:r>
            <w:r w:rsidR="00211695" w:rsidRPr="00211695">
              <w:rPr>
                <w:rFonts w:eastAsia="Arial"/>
                <w:color w:val="000000" w:themeColor="text1"/>
                <w:sz w:val="24"/>
                <w:szCs w:val="24"/>
                <w:highlight w:val="yellow"/>
              </w:rPr>
              <w:t>investigation</w:t>
            </w:r>
            <w:r w:rsidRPr="5CE196A1">
              <w:rPr>
                <w:rFonts w:eastAsia="Arial"/>
                <w:color w:val="000000" w:themeColor="text1"/>
                <w:sz w:val="24"/>
                <w:szCs w:val="24"/>
              </w:rPr>
              <w:t xml:space="preserve">.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ANSWER:</w:t>
      </w:r>
    </w:p>
    <w:p w14:paraId="4BBC525A" w14:textId="2C62A870" w:rsidR="5B843AF0" w:rsidRPr="00E676F7" w:rsidRDefault="5B843AF0" w:rsidP="5B843AF0">
      <w:pPr>
        <w:ind w:right="237"/>
        <w:jc w:val="both"/>
        <w:rPr>
          <w:rFonts w:eastAsia="Arial"/>
          <w:color w:val="000000" w:themeColor="text1"/>
          <w:sz w:val="24"/>
          <w:szCs w:val="24"/>
        </w:rPr>
      </w:pPr>
    </w:p>
    <w:p w14:paraId="05D72B35" w14:textId="77777777" w:rsidR="00097928" w:rsidRPr="00097928" w:rsidRDefault="00097928" w:rsidP="00097928">
      <w:pPr>
        <w:rPr>
          <w:rFonts w:asciiTheme="minorHAnsi" w:hAnsiTheme="minorHAnsi" w:cstheme="minorHAnsi"/>
          <w:b/>
          <w:bCs/>
          <w:sz w:val="24"/>
          <w:szCs w:val="24"/>
        </w:rPr>
      </w:pPr>
      <w:r w:rsidRPr="00097928">
        <w:rPr>
          <w:rFonts w:asciiTheme="minorHAnsi" w:hAnsiTheme="minorHAnsi" w:cstheme="minorHAnsi"/>
          <w:b/>
          <w:bCs/>
          <w:sz w:val="24"/>
          <w:szCs w:val="24"/>
        </w:rPr>
        <w:t xml:space="preserve">INTRODUCTION TO THE INVESTIGATION </w:t>
      </w:r>
    </w:p>
    <w:p w14:paraId="2AA148FA" w14:textId="77777777" w:rsidR="00097928" w:rsidRPr="00097928" w:rsidRDefault="00097928" w:rsidP="00097928">
      <w:pPr>
        <w:rPr>
          <w:rFonts w:asciiTheme="minorHAnsi" w:hAnsiTheme="minorHAnsi" w:cstheme="minorHAnsi"/>
          <w:sz w:val="24"/>
          <w:szCs w:val="24"/>
        </w:rPr>
      </w:pPr>
      <w:r w:rsidRPr="00097928">
        <w:rPr>
          <w:rFonts w:asciiTheme="minorHAnsi" w:hAnsiTheme="minorHAnsi" w:cstheme="minorHAnsi"/>
          <w:sz w:val="24"/>
          <w:szCs w:val="24"/>
        </w:rPr>
        <w:t xml:space="preserve">A fifteen-year-old female contacted the police to disclose that there was a video of her engaging in sexual intercourse with her sixteen-year-old ex-boyfriend and that this was being shared around their respective friendship groups via social media. This female, who shall be referred to as the reporting person (RP) throughout this essay explained that she did not consent to the video being made and, following its being shared was being bullied.  </w:t>
      </w:r>
    </w:p>
    <w:p w14:paraId="0879658E" w14:textId="77777777" w:rsidR="00097928" w:rsidRDefault="00097928" w:rsidP="00097928">
      <w:pPr>
        <w:rPr>
          <w:rFonts w:asciiTheme="minorHAnsi" w:hAnsiTheme="minorHAnsi" w:cstheme="minorHAnsi"/>
          <w:sz w:val="24"/>
          <w:szCs w:val="24"/>
        </w:rPr>
      </w:pPr>
      <w:r w:rsidRPr="00097928">
        <w:rPr>
          <w:rFonts w:asciiTheme="minorHAnsi" w:hAnsiTheme="minorHAnsi" w:cstheme="minorHAnsi"/>
          <w:sz w:val="24"/>
          <w:szCs w:val="24"/>
        </w:rPr>
        <w:t xml:space="preserve">The investigation existed in two </w:t>
      </w:r>
      <w:proofErr w:type="gramStart"/>
      <w:r w:rsidRPr="00097928">
        <w:rPr>
          <w:rFonts w:asciiTheme="minorHAnsi" w:hAnsiTheme="minorHAnsi" w:cstheme="minorHAnsi"/>
          <w:sz w:val="24"/>
          <w:szCs w:val="24"/>
        </w:rPr>
        <w:t>parts</w:t>
      </w:r>
      <w:proofErr w:type="gramEnd"/>
      <w:r w:rsidRPr="00097928">
        <w:rPr>
          <w:rFonts w:asciiTheme="minorHAnsi" w:hAnsiTheme="minorHAnsi" w:cstheme="minorHAnsi"/>
          <w:sz w:val="24"/>
          <w:szCs w:val="24"/>
        </w:rPr>
        <w:t xml:space="preserve"> and this was due to the separate identified offences. Firstly, there was the disclosure of sexual intercourse between the involved persons and due to the male being aged sixteen, this created the possibility of an offence in contravention of Section 13 Sexual Offences Act 2003 – Child sex offences committed by Children or Young Persons. </w:t>
      </w:r>
    </w:p>
    <w:p w14:paraId="38CCA10E" w14:textId="77777777" w:rsidR="00892E6D" w:rsidRPr="00097928" w:rsidRDefault="00892E6D" w:rsidP="00097928">
      <w:pPr>
        <w:rPr>
          <w:rFonts w:asciiTheme="minorHAnsi" w:hAnsiTheme="minorHAnsi" w:cstheme="minorHAnsi"/>
          <w:sz w:val="24"/>
          <w:szCs w:val="24"/>
        </w:rPr>
      </w:pPr>
    </w:p>
    <w:p w14:paraId="3439BE0C" w14:textId="77777777" w:rsidR="00097928" w:rsidRDefault="00097928" w:rsidP="00097928">
      <w:pPr>
        <w:rPr>
          <w:rFonts w:asciiTheme="minorHAnsi" w:hAnsiTheme="minorHAnsi" w:cstheme="minorHAnsi"/>
          <w:sz w:val="24"/>
          <w:szCs w:val="24"/>
        </w:rPr>
      </w:pPr>
      <w:r w:rsidRPr="00097928">
        <w:rPr>
          <w:rFonts w:asciiTheme="minorHAnsi" w:hAnsiTheme="minorHAnsi" w:cstheme="minorHAnsi"/>
          <w:sz w:val="24"/>
          <w:szCs w:val="24"/>
        </w:rPr>
        <w:t xml:space="preserve">The second part of the investigation focused on the existence of the video which had allegedly been created and shared. This created the offence in contravention of Section 160 Criminal Justice Act 1988 – Possession of indecent photograph of a child, given the age of the RP at the time that it was understood the video to have been created and the nature of the content.  </w:t>
      </w:r>
    </w:p>
    <w:p w14:paraId="6431D749" w14:textId="77777777" w:rsidR="00892E6D" w:rsidRPr="00097928" w:rsidRDefault="00892E6D" w:rsidP="00097928">
      <w:pPr>
        <w:rPr>
          <w:rFonts w:asciiTheme="minorHAnsi" w:hAnsiTheme="minorHAnsi" w:cstheme="minorHAnsi"/>
          <w:sz w:val="24"/>
          <w:szCs w:val="24"/>
        </w:rPr>
      </w:pPr>
    </w:p>
    <w:p w14:paraId="263C9473" w14:textId="77777777" w:rsidR="00097928" w:rsidRPr="00097928" w:rsidRDefault="00097928" w:rsidP="00097928">
      <w:pPr>
        <w:rPr>
          <w:rFonts w:asciiTheme="minorHAnsi" w:hAnsiTheme="minorHAnsi" w:cstheme="minorHAnsi"/>
          <w:sz w:val="24"/>
          <w:szCs w:val="24"/>
        </w:rPr>
      </w:pPr>
      <w:r w:rsidRPr="00097928">
        <w:rPr>
          <w:rFonts w:asciiTheme="minorHAnsi" w:hAnsiTheme="minorHAnsi" w:cstheme="minorHAnsi"/>
          <w:sz w:val="24"/>
          <w:szCs w:val="24"/>
        </w:rPr>
        <w:t xml:space="preserve">This essay will draw from work conducted around the impact of sexual offences committed by and against children, </w:t>
      </w:r>
      <w:proofErr w:type="gramStart"/>
      <w:r w:rsidRPr="00097928">
        <w:rPr>
          <w:rFonts w:asciiTheme="minorHAnsi" w:hAnsiTheme="minorHAnsi" w:cstheme="minorHAnsi"/>
          <w:sz w:val="24"/>
          <w:szCs w:val="24"/>
        </w:rPr>
        <w:t>in order to</w:t>
      </w:r>
      <w:proofErr w:type="gramEnd"/>
      <w:r w:rsidRPr="00097928">
        <w:rPr>
          <w:rFonts w:asciiTheme="minorHAnsi" w:hAnsiTheme="minorHAnsi" w:cstheme="minorHAnsi"/>
          <w:sz w:val="24"/>
          <w:szCs w:val="24"/>
        </w:rPr>
        <w:t xml:space="preserve"> develop an understanding of how these investigations can be structured to most effectively deal with these complex issues and the longstanding effect which they can have on a victim. Further to this, research around recidivism and victimisation informs the actions which were taken in both supporting and engaging with the involved parties in this investigation to ensure the minimisation of future risks.  </w:t>
      </w:r>
    </w:p>
    <w:p w14:paraId="5E3D223F" w14:textId="77777777" w:rsidR="00097928" w:rsidRDefault="00097928" w:rsidP="00097928">
      <w:pPr>
        <w:rPr>
          <w:rFonts w:asciiTheme="minorHAnsi" w:hAnsiTheme="minorHAnsi" w:cstheme="minorHAnsi"/>
          <w:b/>
          <w:bCs/>
          <w:sz w:val="24"/>
          <w:szCs w:val="24"/>
        </w:rPr>
      </w:pPr>
    </w:p>
    <w:p w14:paraId="40097D39" w14:textId="77777777" w:rsidR="00097928" w:rsidRDefault="00097928" w:rsidP="00097928">
      <w:pPr>
        <w:rPr>
          <w:rFonts w:asciiTheme="minorHAnsi" w:hAnsiTheme="minorHAnsi" w:cstheme="minorHAnsi"/>
          <w:b/>
          <w:bCs/>
          <w:sz w:val="24"/>
          <w:szCs w:val="24"/>
        </w:rPr>
      </w:pPr>
    </w:p>
    <w:p w14:paraId="7D17BB31" w14:textId="6A57A95E" w:rsidR="00097928" w:rsidRPr="00097928" w:rsidRDefault="00097928" w:rsidP="00097928">
      <w:pPr>
        <w:rPr>
          <w:rFonts w:asciiTheme="minorHAnsi" w:hAnsiTheme="minorHAnsi" w:cstheme="minorHAnsi"/>
          <w:b/>
          <w:bCs/>
          <w:sz w:val="24"/>
          <w:szCs w:val="24"/>
        </w:rPr>
      </w:pPr>
      <w:r w:rsidRPr="00097928">
        <w:rPr>
          <w:rFonts w:asciiTheme="minorHAnsi" w:hAnsiTheme="minorHAnsi" w:cstheme="minorHAnsi"/>
          <w:b/>
          <w:bCs/>
          <w:sz w:val="24"/>
          <w:szCs w:val="24"/>
        </w:rPr>
        <w:t xml:space="preserve">POLICE APPROACH </w:t>
      </w:r>
    </w:p>
    <w:p w14:paraId="12754894" w14:textId="77777777" w:rsidR="00097928" w:rsidRPr="00097928" w:rsidRDefault="00097928" w:rsidP="00097928">
      <w:pPr>
        <w:rPr>
          <w:rFonts w:asciiTheme="minorHAnsi" w:hAnsiTheme="minorHAnsi" w:cstheme="minorHAnsi"/>
          <w:sz w:val="24"/>
          <w:szCs w:val="24"/>
        </w:rPr>
      </w:pPr>
      <w:r w:rsidRPr="00097928">
        <w:rPr>
          <w:rFonts w:asciiTheme="minorHAnsi" w:hAnsiTheme="minorHAnsi" w:cstheme="minorHAnsi"/>
          <w:sz w:val="24"/>
          <w:szCs w:val="24"/>
        </w:rPr>
        <w:t xml:space="preserve">Whilst the role of the police is to deal with the criminal matters which were raised in this investigation, due to the nature of the offences, there is an onus which is placed on the police to effectively safeguard the RP against any further harm. This is a notion which is well established within the work of Thomas (2016) who examines the way in which sexual offences, especially those involving children permeate all levels of society and often bring with them numerous issues around the victim and their willingness to report the matter in the first place. This notion is further supported in the work of Seth &amp; Srivastava (2017) who highlight that whilst it is parent responsibility that should be at the forefront of child protection, this must be supported by ‘civil society’ and its component actors. </w:t>
      </w:r>
    </w:p>
    <w:p w14:paraId="386E2052" w14:textId="77777777" w:rsidR="00097928" w:rsidRDefault="00097928" w:rsidP="00097928">
      <w:pPr>
        <w:rPr>
          <w:rFonts w:asciiTheme="minorHAnsi" w:hAnsiTheme="minorHAnsi" w:cstheme="minorHAnsi"/>
          <w:sz w:val="24"/>
          <w:szCs w:val="24"/>
        </w:rPr>
      </w:pPr>
      <w:r w:rsidRPr="00097928">
        <w:rPr>
          <w:rFonts w:asciiTheme="minorHAnsi" w:hAnsiTheme="minorHAnsi" w:cstheme="minorHAnsi"/>
          <w:sz w:val="24"/>
          <w:szCs w:val="24"/>
        </w:rPr>
        <w:t xml:space="preserve">The primary actions taken were to engage with the RP and understand the full circumstances which had led to her reporting this matter. </w:t>
      </w:r>
      <w:proofErr w:type="gramStart"/>
      <w:r w:rsidRPr="00097928">
        <w:rPr>
          <w:rFonts w:asciiTheme="minorHAnsi" w:hAnsiTheme="minorHAnsi" w:cstheme="minorHAnsi"/>
          <w:sz w:val="24"/>
          <w:szCs w:val="24"/>
        </w:rPr>
        <w:t>Following this engagement, it</w:t>
      </w:r>
      <w:proofErr w:type="gramEnd"/>
      <w:r w:rsidRPr="00097928">
        <w:rPr>
          <w:rFonts w:asciiTheme="minorHAnsi" w:hAnsiTheme="minorHAnsi" w:cstheme="minorHAnsi"/>
          <w:sz w:val="24"/>
          <w:szCs w:val="24"/>
        </w:rPr>
        <w:t xml:space="preserve"> was established that the initial circumstances were not as reported and that there was no video which had been created or shared. The RP had explained that this was merely information which was told to her and that she’d confirmed there was never a video. This negated the offences which were under investigation, however left the outstanding issue of safeguarding to ensure that the RP did not find themselves in this type of situation again. To address this, a discussion was had with the RP as well as her parents around ‘safe relationships’, those being ones in which there are established boundaries and consent for any activity conducted. This conversation was supported with the knowledge which has been established in the Duluth ‘Power and Control’ Model (Duluth 1980) for understanding the way in which different forms of abuse can feature in a relationship and be used to create an unhealthy and at its most extreme unsafe environment for a person. This is a notion which is endorsed by Seth &amp; Srivastava (2017) </w:t>
      </w:r>
      <w:proofErr w:type="gramStart"/>
      <w:r w:rsidRPr="00097928">
        <w:rPr>
          <w:rFonts w:asciiTheme="minorHAnsi" w:hAnsiTheme="minorHAnsi" w:cstheme="minorHAnsi"/>
          <w:sz w:val="24"/>
          <w:szCs w:val="24"/>
        </w:rPr>
        <w:t>in order to</w:t>
      </w:r>
      <w:proofErr w:type="gramEnd"/>
      <w:r w:rsidRPr="00097928">
        <w:rPr>
          <w:rFonts w:asciiTheme="minorHAnsi" w:hAnsiTheme="minorHAnsi" w:cstheme="minorHAnsi"/>
          <w:sz w:val="24"/>
          <w:szCs w:val="24"/>
        </w:rPr>
        <w:t xml:space="preserve"> negate the possibility of sexual violence within a relationship. </w:t>
      </w:r>
    </w:p>
    <w:p w14:paraId="5A83ACFF" w14:textId="77777777" w:rsidR="00892E6D" w:rsidRPr="00097928" w:rsidRDefault="00892E6D" w:rsidP="00097928">
      <w:pPr>
        <w:rPr>
          <w:rFonts w:asciiTheme="minorHAnsi" w:hAnsiTheme="minorHAnsi" w:cstheme="minorHAnsi"/>
          <w:sz w:val="24"/>
          <w:szCs w:val="24"/>
        </w:rPr>
      </w:pPr>
    </w:p>
    <w:p w14:paraId="73DAB95C" w14:textId="77777777" w:rsidR="00097928" w:rsidRPr="00097928" w:rsidRDefault="00097928" w:rsidP="00097928">
      <w:pPr>
        <w:rPr>
          <w:rFonts w:asciiTheme="minorHAnsi" w:hAnsiTheme="minorHAnsi" w:cstheme="minorHAnsi"/>
          <w:sz w:val="24"/>
          <w:szCs w:val="24"/>
        </w:rPr>
      </w:pPr>
      <w:r w:rsidRPr="00097928">
        <w:rPr>
          <w:rFonts w:asciiTheme="minorHAnsi" w:hAnsiTheme="minorHAnsi" w:cstheme="minorHAnsi"/>
          <w:sz w:val="24"/>
          <w:szCs w:val="24"/>
        </w:rPr>
        <w:t xml:space="preserve">Moving to the ‘subject’ as he was referred to throughout the investigation, despite the offences having been negated, there existed the same responsibility to safeguard him. This was because as a sixteen-year-old, he was still </w:t>
      </w:r>
      <w:proofErr w:type="gramStart"/>
      <w:r w:rsidRPr="00097928">
        <w:rPr>
          <w:rFonts w:asciiTheme="minorHAnsi" w:hAnsiTheme="minorHAnsi" w:cstheme="minorHAnsi"/>
          <w:sz w:val="24"/>
          <w:szCs w:val="24"/>
        </w:rPr>
        <w:t>legally  a</w:t>
      </w:r>
      <w:proofErr w:type="gramEnd"/>
      <w:r w:rsidRPr="00097928">
        <w:rPr>
          <w:rFonts w:asciiTheme="minorHAnsi" w:hAnsiTheme="minorHAnsi" w:cstheme="minorHAnsi"/>
          <w:sz w:val="24"/>
          <w:szCs w:val="24"/>
        </w:rPr>
        <w:t xml:space="preserve"> ‘child’ and so needed the appropriate education and guidance to ensure that he, much like the RP would not find himself in a situation like this again. A similar conversation was had with the male, again in the presence of his parents, however the emphasis of this conversation differed. A large number of sexual offences are committed by </w:t>
      </w:r>
      <w:proofErr w:type="gramStart"/>
      <w:r w:rsidRPr="00097928">
        <w:rPr>
          <w:rFonts w:asciiTheme="minorHAnsi" w:hAnsiTheme="minorHAnsi" w:cstheme="minorHAnsi"/>
          <w:sz w:val="24"/>
          <w:szCs w:val="24"/>
        </w:rPr>
        <w:t>men</w:t>
      </w:r>
      <w:proofErr w:type="gramEnd"/>
      <w:r w:rsidRPr="00097928">
        <w:rPr>
          <w:rFonts w:asciiTheme="minorHAnsi" w:hAnsiTheme="minorHAnsi" w:cstheme="minorHAnsi"/>
          <w:sz w:val="24"/>
          <w:szCs w:val="24"/>
        </w:rPr>
        <w:t xml:space="preserve"> and, within the realm of child sexual offences, this does not change. This notion is explored by Cossins (2000) and focuses upon the role of men and the position of ‘masculinity’ within the commission of sexual offences. Drawing from this, it was explained to the subject that, moving forward, he would need to be aware of his position within a relationship </w:t>
      </w:r>
      <w:proofErr w:type="gramStart"/>
      <w:r w:rsidRPr="00097928">
        <w:rPr>
          <w:rFonts w:asciiTheme="minorHAnsi" w:hAnsiTheme="minorHAnsi" w:cstheme="minorHAnsi"/>
          <w:sz w:val="24"/>
          <w:szCs w:val="24"/>
        </w:rPr>
        <w:t>and also</w:t>
      </w:r>
      <w:proofErr w:type="gramEnd"/>
      <w:r w:rsidRPr="00097928">
        <w:rPr>
          <w:rFonts w:asciiTheme="minorHAnsi" w:hAnsiTheme="minorHAnsi" w:cstheme="minorHAnsi"/>
          <w:sz w:val="24"/>
          <w:szCs w:val="24"/>
        </w:rPr>
        <w:t xml:space="preserve"> the weight which came from any decision that was made, especially in relation to sexual intercourse. Being sixteen-years-old, he was of a legal age to have sexual intercourse within the UK, it was the fact of ensuring that he understood the responsibility that came with this so that he did not place himself in a vulnerable position or place any future partners in a position where they could be perceived as victims, much the same as they had been in this investigation initially. </w:t>
      </w:r>
    </w:p>
    <w:p w14:paraId="2905FAE1" w14:textId="77777777" w:rsidR="00097928" w:rsidRDefault="00097928" w:rsidP="00097928">
      <w:pPr>
        <w:rPr>
          <w:rFonts w:asciiTheme="minorHAnsi" w:hAnsiTheme="minorHAnsi" w:cstheme="minorHAnsi"/>
          <w:sz w:val="24"/>
          <w:szCs w:val="24"/>
        </w:rPr>
      </w:pPr>
      <w:r w:rsidRPr="00097928">
        <w:rPr>
          <w:rFonts w:asciiTheme="minorHAnsi" w:hAnsiTheme="minorHAnsi" w:cstheme="minorHAnsi"/>
          <w:sz w:val="24"/>
          <w:szCs w:val="24"/>
        </w:rPr>
        <w:t xml:space="preserve">The final stage of safeguarding was that of a public protection notification (PPN). This is a report which highlights any potential risks or areas which it is believed the involved persons need support with. This report is then shared with social services and the local authority and </w:t>
      </w:r>
      <w:r w:rsidRPr="00097928">
        <w:rPr>
          <w:rFonts w:asciiTheme="minorHAnsi" w:hAnsiTheme="minorHAnsi" w:cstheme="minorHAnsi"/>
          <w:sz w:val="24"/>
          <w:szCs w:val="24"/>
        </w:rPr>
        <w:lastRenderedPageBreak/>
        <w:t xml:space="preserve">reviewed for any support they believe is required but also to keep a record of the children’s involvement with the police. This ensures that should there be any further incidents, a holistic approach can be taken, encompassing all known information to appropriately respond. </w:t>
      </w:r>
    </w:p>
    <w:p w14:paraId="514806D5" w14:textId="77777777" w:rsidR="00892E6D" w:rsidRPr="00097928" w:rsidRDefault="00892E6D" w:rsidP="00097928">
      <w:pPr>
        <w:rPr>
          <w:rFonts w:asciiTheme="minorHAnsi" w:hAnsiTheme="minorHAnsi" w:cstheme="minorHAnsi"/>
          <w:sz w:val="24"/>
          <w:szCs w:val="24"/>
        </w:rPr>
      </w:pPr>
    </w:p>
    <w:p w14:paraId="65765856" w14:textId="77777777" w:rsidR="00097928" w:rsidRDefault="00097928" w:rsidP="00097928">
      <w:pPr>
        <w:rPr>
          <w:rFonts w:asciiTheme="minorHAnsi" w:hAnsiTheme="minorHAnsi" w:cstheme="minorHAnsi"/>
          <w:sz w:val="24"/>
          <w:szCs w:val="24"/>
        </w:rPr>
      </w:pPr>
      <w:r w:rsidRPr="00097928">
        <w:rPr>
          <w:rFonts w:asciiTheme="minorHAnsi" w:hAnsiTheme="minorHAnsi" w:cstheme="minorHAnsi"/>
          <w:sz w:val="24"/>
          <w:szCs w:val="24"/>
        </w:rPr>
        <w:t xml:space="preserve">By taking these steps, I believe that from a policing perspective, the investigation was able to effectively address and exhaust the necessary lines of enquiry in a proportionate manner. In addition to this, by then continuing to support both the RP and the subject beyond the conclusion of the criminal investigation, this ensured an appropriate level of safeguarding was in place which ultimately assisted in reducing the potential adverse impact an experience of this kind can have, especially on young persons.      </w:t>
      </w:r>
    </w:p>
    <w:p w14:paraId="105A5B46" w14:textId="77777777" w:rsidR="00892E6D" w:rsidRPr="00097928" w:rsidRDefault="00892E6D" w:rsidP="00097928">
      <w:pPr>
        <w:rPr>
          <w:rFonts w:asciiTheme="minorHAnsi" w:hAnsiTheme="minorHAnsi" w:cstheme="minorHAnsi"/>
          <w:sz w:val="24"/>
          <w:szCs w:val="24"/>
        </w:rPr>
      </w:pPr>
    </w:p>
    <w:p w14:paraId="0827C9D7" w14:textId="77777777" w:rsidR="00097928" w:rsidRPr="00097928" w:rsidRDefault="00097928" w:rsidP="00097928">
      <w:pPr>
        <w:rPr>
          <w:rFonts w:asciiTheme="minorHAnsi" w:hAnsiTheme="minorHAnsi" w:cstheme="minorHAnsi"/>
          <w:b/>
          <w:bCs/>
          <w:sz w:val="24"/>
          <w:szCs w:val="24"/>
        </w:rPr>
      </w:pPr>
      <w:r w:rsidRPr="00097928">
        <w:rPr>
          <w:rFonts w:asciiTheme="minorHAnsi" w:hAnsiTheme="minorHAnsi" w:cstheme="minorHAnsi"/>
          <w:b/>
          <w:bCs/>
          <w:sz w:val="24"/>
          <w:szCs w:val="24"/>
        </w:rPr>
        <w:t xml:space="preserve">SCHOOL APPROACH </w:t>
      </w:r>
    </w:p>
    <w:p w14:paraId="7976F479" w14:textId="77777777" w:rsidR="00097928" w:rsidRDefault="00097928" w:rsidP="00097928">
      <w:pPr>
        <w:rPr>
          <w:rFonts w:asciiTheme="minorHAnsi" w:hAnsiTheme="minorHAnsi" w:cstheme="minorHAnsi"/>
          <w:sz w:val="24"/>
          <w:szCs w:val="24"/>
        </w:rPr>
      </w:pPr>
      <w:r w:rsidRPr="00097928">
        <w:rPr>
          <w:rFonts w:asciiTheme="minorHAnsi" w:hAnsiTheme="minorHAnsi" w:cstheme="minorHAnsi"/>
          <w:sz w:val="24"/>
          <w:szCs w:val="24"/>
        </w:rPr>
        <w:t xml:space="preserve">As this investigation also involved the educational arena, in respect of the alleged video having been shared, the respective schools for the RP and subject were involved in dealing with this incident as part of the School Beat policy. This is an initiative which calls on educational bodies to address incidents which take place on their sites during operational hours to ensure that an effective initial response is taken towards events which could cause disruption or harm towards students. Liaising with the schools, they informed us that they would be taking measures to speak with all pupils in the year group about ‘safe relationships’ as well the way in which, in this modern age, any material shared via social media is ultimately available on the internet forever. The work of Wate &amp; Boulton (2015) has explored this, focusing on the difficulties which are faced once images and videos are distributed via the internet and the challenges in trying to control this spread. Further to this, drawing from the work of Beech et al (2008) into the way in which the internet has assisted in the facilitation of sexual offences, especially child pornography, the school, as part of its education and safeguarding enforced the idea that, as stated previously, these images could have been present on the internet forever and once out of </w:t>
      </w:r>
      <w:proofErr w:type="spellStart"/>
      <w:r w:rsidRPr="00097928">
        <w:rPr>
          <w:rFonts w:asciiTheme="minorHAnsi" w:hAnsiTheme="minorHAnsi" w:cstheme="minorHAnsi"/>
          <w:sz w:val="24"/>
          <w:szCs w:val="24"/>
        </w:rPr>
        <w:t>ones</w:t>
      </w:r>
      <w:proofErr w:type="spellEnd"/>
      <w:r w:rsidRPr="00097928">
        <w:rPr>
          <w:rFonts w:asciiTheme="minorHAnsi" w:hAnsiTheme="minorHAnsi" w:cstheme="minorHAnsi"/>
          <w:sz w:val="24"/>
          <w:szCs w:val="24"/>
        </w:rPr>
        <w:t xml:space="preserve"> control, could very easily be used in respect of more sinister and serious offences.   </w:t>
      </w:r>
    </w:p>
    <w:p w14:paraId="5541146D" w14:textId="77777777" w:rsidR="00892E6D" w:rsidRPr="00097928" w:rsidRDefault="00892E6D" w:rsidP="00097928">
      <w:pPr>
        <w:rPr>
          <w:rFonts w:asciiTheme="minorHAnsi" w:hAnsiTheme="minorHAnsi" w:cstheme="minorHAnsi"/>
          <w:sz w:val="24"/>
          <w:szCs w:val="24"/>
        </w:rPr>
      </w:pPr>
    </w:p>
    <w:p w14:paraId="638DCF13" w14:textId="77777777" w:rsidR="00097928" w:rsidRPr="00097928" w:rsidRDefault="00097928" w:rsidP="00097928">
      <w:pPr>
        <w:rPr>
          <w:rFonts w:asciiTheme="minorHAnsi" w:hAnsiTheme="minorHAnsi" w:cstheme="minorHAnsi"/>
          <w:b/>
          <w:bCs/>
          <w:sz w:val="24"/>
          <w:szCs w:val="24"/>
        </w:rPr>
      </w:pPr>
      <w:r w:rsidRPr="00097928">
        <w:rPr>
          <w:rFonts w:asciiTheme="minorHAnsi" w:hAnsiTheme="minorHAnsi" w:cstheme="minorHAnsi"/>
          <w:b/>
          <w:bCs/>
          <w:sz w:val="24"/>
          <w:szCs w:val="24"/>
        </w:rPr>
        <w:t xml:space="preserve">REPEAT VICTIMISATION </w:t>
      </w:r>
    </w:p>
    <w:p w14:paraId="524DF553" w14:textId="77777777" w:rsidR="00097928" w:rsidRDefault="00097928" w:rsidP="00097928">
      <w:pPr>
        <w:rPr>
          <w:rFonts w:asciiTheme="minorHAnsi" w:hAnsiTheme="minorHAnsi" w:cstheme="minorHAnsi"/>
          <w:sz w:val="24"/>
          <w:szCs w:val="24"/>
        </w:rPr>
      </w:pPr>
      <w:r w:rsidRPr="00097928">
        <w:rPr>
          <w:rFonts w:asciiTheme="minorHAnsi" w:hAnsiTheme="minorHAnsi" w:cstheme="minorHAnsi"/>
          <w:sz w:val="24"/>
          <w:szCs w:val="24"/>
        </w:rPr>
        <w:t xml:space="preserve">Within the context of this investigation and the nature of the offence, it should be noted that “in a digital world, sexuality remains transgressive for children” (May-Chahal &amp; Kelly 2020:65) and this is what I believe poses the biggest challenge in respect of repeat victimisation. With both the ease of access to and volume of sexual </w:t>
      </w:r>
      <w:proofErr w:type="gramStart"/>
      <w:r w:rsidRPr="00097928">
        <w:rPr>
          <w:rFonts w:asciiTheme="minorHAnsi" w:hAnsiTheme="minorHAnsi" w:cstheme="minorHAnsi"/>
          <w:sz w:val="24"/>
          <w:szCs w:val="24"/>
        </w:rPr>
        <w:t>content</w:t>
      </w:r>
      <w:proofErr w:type="gramEnd"/>
      <w:r w:rsidRPr="00097928">
        <w:rPr>
          <w:rFonts w:asciiTheme="minorHAnsi" w:hAnsiTheme="minorHAnsi" w:cstheme="minorHAnsi"/>
          <w:sz w:val="24"/>
          <w:szCs w:val="24"/>
        </w:rPr>
        <w:t xml:space="preserve"> which is available to young people today, it is incredibly difficult to manage this access and exposure to adult content. The result of this is that young people are increasingly not only becoming aware of sexual content and sexuality at a younger </w:t>
      </w:r>
      <w:proofErr w:type="gramStart"/>
      <w:r w:rsidRPr="00097928">
        <w:rPr>
          <w:rFonts w:asciiTheme="minorHAnsi" w:hAnsiTheme="minorHAnsi" w:cstheme="minorHAnsi"/>
          <w:sz w:val="24"/>
          <w:szCs w:val="24"/>
        </w:rPr>
        <w:t>age, but</w:t>
      </w:r>
      <w:proofErr w:type="gramEnd"/>
      <w:r w:rsidRPr="00097928">
        <w:rPr>
          <w:rFonts w:asciiTheme="minorHAnsi" w:hAnsiTheme="minorHAnsi" w:cstheme="minorHAnsi"/>
          <w:sz w:val="24"/>
          <w:szCs w:val="24"/>
        </w:rPr>
        <w:t xml:space="preserve"> are also more open to the risks of sexual communication within a digital arena. As such, drawing from the work of </w:t>
      </w:r>
      <w:proofErr w:type="spellStart"/>
      <w:r w:rsidRPr="00097928">
        <w:rPr>
          <w:rFonts w:asciiTheme="minorHAnsi" w:hAnsiTheme="minorHAnsi" w:cstheme="minorHAnsi"/>
          <w:sz w:val="24"/>
          <w:szCs w:val="24"/>
        </w:rPr>
        <w:t>Kalfoglou</w:t>
      </w:r>
      <w:proofErr w:type="spellEnd"/>
      <w:r w:rsidRPr="00097928">
        <w:rPr>
          <w:rFonts w:asciiTheme="minorHAnsi" w:hAnsiTheme="minorHAnsi" w:cstheme="minorHAnsi"/>
          <w:sz w:val="24"/>
          <w:szCs w:val="24"/>
        </w:rPr>
        <w:t xml:space="preserve"> (2012:153) </w:t>
      </w:r>
    </w:p>
    <w:p w14:paraId="32E1921A" w14:textId="77777777" w:rsidR="00892E6D" w:rsidRPr="00097928" w:rsidRDefault="00892E6D" w:rsidP="00097928">
      <w:pPr>
        <w:rPr>
          <w:rFonts w:asciiTheme="minorHAnsi" w:hAnsiTheme="minorHAnsi" w:cstheme="minorHAnsi"/>
          <w:sz w:val="24"/>
          <w:szCs w:val="24"/>
        </w:rPr>
      </w:pPr>
    </w:p>
    <w:p w14:paraId="13C960CC" w14:textId="77777777" w:rsidR="00097928" w:rsidRDefault="00097928" w:rsidP="00097928">
      <w:pPr>
        <w:ind w:left="720"/>
        <w:rPr>
          <w:rFonts w:asciiTheme="minorHAnsi" w:hAnsiTheme="minorHAnsi" w:cstheme="minorHAnsi"/>
          <w:sz w:val="24"/>
          <w:szCs w:val="24"/>
        </w:rPr>
      </w:pPr>
      <w:r w:rsidRPr="00097928">
        <w:rPr>
          <w:rFonts w:asciiTheme="minorHAnsi" w:hAnsiTheme="minorHAnsi" w:cstheme="minorHAnsi"/>
          <w:sz w:val="24"/>
          <w:szCs w:val="24"/>
        </w:rPr>
        <w:t>“</w:t>
      </w:r>
      <w:proofErr w:type="gramStart"/>
      <w:r w:rsidRPr="00097928">
        <w:rPr>
          <w:rFonts w:asciiTheme="minorHAnsi" w:hAnsiTheme="minorHAnsi" w:cstheme="minorHAnsi"/>
          <w:sz w:val="24"/>
          <w:szCs w:val="24"/>
        </w:rPr>
        <w:t>understanding</w:t>
      </w:r>
      <w:proofErr w:type="gramEnd"/>
      <w:r w:rsidRPr="00097928">
        <w:rPr>
          <w:rFonts w:asciiTheme="minorHAnsi" w:hAnsiTheme="minorHAnsi" w:cstheme="minorHAnsi"/>
          <w:sz w:val="24"/>
          <w:szCs w:val="24"/>
        </w:rPr>
        <w:t xml:space="preserve"> the factors that increases the risk of young people being the victims or perpetrators of violence is essential for developing effective policies and programmes to prevent violence” </w:t>
      </w:r>
    </w:p>
    <w:p w14:paraId="5278F4B7" w14:textId="77777777" w:rsidR="00892E6D" w:rsidRPr="00097928" w:rsidRDefault="00892E6D" w:rsidP="00097928">
      <w:pPr>
        <w:ind w:left="720"/>
        <w:rPr>
          <w:rFonts w:asciiTheme="minorHAnsi" w:hAnsiTheme="minorHAnsi" w:cstheme="minorHAnsi"/>
          <w:sz w:val="24"/>
          <w:szCs w:val="24"/>
        </w:rPr>
      </w:pPr>
    </w:p>
    <w:p w14:paraId="2F933E50" w14:textId="77777777" w:rsidR="00097928" w:rsidRDefault="00097928" w:rsidP="00097928">
      <w:pPr>
        <w:rPr>
          <w:rFonts w:asciiTheme="minorHAnsi" w:hAnsiTheme="minorHAnsi" w:cstheme="minorHAnsi"/>
          <w:sz w:val="24"/>
          <w:szCs w:val="24"/>
        </w:rPr>
      </w:pPr>
      <w:r w:rsidRPr="00097928">
        <w:rPr>
          <w:rFonts w:asciiTheme="minorHAnsi" w:hAnsiTheme="minorHAnsi" w:cstheme="minorHAnsi"/>
          <w:sz w:val="24"/>
          <w:szCs w:val="24"/>
        </w:rPr>
        <w:t xml:space="preserve">This is why, by taking the steps discussed within this essay at each stage of the safeguarding process and with all the necessary actors (police, school, family) it is likely that this created </w:t>
      </w:r>
      <w:r w:rsidRPr="00097928">
        <w:rPr>
          <w:rFonts w:asciiTheme="minorHAnsi" w:hAnsiTheme="minorHAnsi" w:cstheme="minorHAnsi"/>
          <w:sz w:val="24"/>
          <w:szCs w:val="24"/>
        </w:rPr>
        <w:lastRenderedPageBreak/>
        <w:t xml:space="preserve">the most encompassing and effective measures for preventing the likelihood of repeat victimisation. Whilst it cannot be stated with certainty that this is the case, the actions that were taken all form part of a continual network which aims to prevent this type of scenario from occurring again and, if effective will ultimately reduce not only the chance, but the impact of repeat victimisation. </w:t>
      </w:r>
    </w:p>
    <w:p w14:paraId="0B14EAA8" w14:textId="77777777" w:rsidR="00892E6D" w:rsidRPr="00097928" w:rsidRDefault="00892E6D" w:rsidP="00097928">
      <w:pPr>
        <w:rPr>
          <w:rFonts w:asciiTheme="minorHAnsi" w:hAnsiTheme="minorHAnsi" w:cstheme="minorHAnsi"/>
          <w:sz w:val="24"/>
          <w:szCs w:val="24"/>
        </w:rPr>
      </w:pPr>
    </w:p>
    <w:p w14:paraId="3ECA527D" w14:textId="77777777" w:rsidR="00097928" w:rsidRPr="00097928" w:rsidRDefault="00097928" w:rsidP="00097928">
      <w:pPr>
        <w:rPr>
          <w:rFonts w:asciiTheme="minorHAnsi" w:hAnsiTheme="minorHAnsi" w:cstheme="minorHAnsi"/>
          <w:b/>
          <w:bCs/>
          <w:sz w:val="24"/>
          <w:szCs w:val="24"/>
        </w:rPr>
      </w:pPr>
      <w:r w:rsidRPr="00097928">
        <w:rPr>
          <w:rFonts w:asciiTheme="minorHAnsi" w:hAnsiTheme="minorHAnsi" w:cstheme="minorHAnsi"/>
          <w:b/>
          <w:bCs/>
          <w:sz w:val="24"/>
          <w:szCs w:val="24"/>
        </w:rPr>
        <w:t xml:space="preserve">RE-OFFENDING </w:t>
      </w:r>
    </w:p>
    <w:p w14:paraId="72CB4D90" w14:textId="77777777" w:rsidR="00097928" w:rsidRDefault="00097928" w:rsidP="00097928">
      <w:pPr>
        <w:rPr>
          <w:rFonts w:asciiTheme="minorHAnsi" w:hAnsiTheme="minorHAnsi" w:cstheme="minorHAnsi"/>
          <w:sz w:val="24"/>
          <w:szCs w:val="24"/>
        </w:rPr>
      </w:pPr>
      <w:r w:rsidRPr="00097928">
        <w:rPr>
          <w:rFonts w:asciiTheme="minorHAnsi" w:hAnsiTheme="minorHAnsi" w:cstheme="minorHAnsi"/>
          <w:sz w:val="24"/>
          <w:szCs w:val="24"/>
        </w:rPr>
        <w:t xml:space="preserve">Often the most complex factor in any investigation concerns the options and pathways available to assist offenders in reducing their rate of recidivism and this is no different in respect of sexual offences. The work of Seth &amp; Srivastava (2017) highlighted the way in which “minor forms of child sexual abuse (CSA) are mostly ignored” (p.g.949) and this poses one of the largest challenges in relation to re-offending as it often allows offenders to feel as though they have been able to commit certain acts without any negative consequences. As such, it is likely that they would continue to commit offences and therefore, continue to pose a risk to others. </w:t>
      </w:r>
    </w:p>
    <w:p w14:paraId="50FFEA85" w14:textId="77777777" w:rsidR="00892E6D" w:rsidRPr="00097928" w:rsidRDefault="00892E6D" w:rsidP="00097928">
      <w:pPr>
        <w:rPr>
          <w:rFonts w:asciiTheme="minorHAnsi" w:hAnsiTheme="minorHAnsi" w:cstheme="minorHAnsi"/>
          <w:sz w:val="24"/>
          <w:szCs w:val="24"/>
        </w:rPr>
      </w:pPr>
    </w:p>
    <w:p w14:paraId="7C6B8A70" w14:textId="77777777" w:rsidR="00097928" w:rsidRDefault="00097928" w:rsidP="00097928">
      <w:pPr>
        <w:rPr>
          <w:rFonts w:asciiTheme="minorHAnsi" w:hAnsiTheme="minorHAnsi" w:cstheme="minorHAnsi"/>
          <w:sz w:val="24"/>
          <w:szCs w:val="24"/>
        </w:rPr>
      </w:pPr>
      <w:r w:rsidRPr="00097928">
        <w:rPr>
          <w:rFonts w:asciiTheme="minorHAnsi" w:hAnsiTheme="minorHAnsi" w:cstheme="minorHAnsi"/>
          <w:sz w:val="24"/>
          <w:szCs w:val="24"/>
        </w:rPr>
        <w:t xml:space="preserve">This was the reason that steps were taken to address the behaviour and actions of the ‘offender’ in this investigation from multiple angles </w:t>
      </w:r>
      <w:proofErr w:type="gramStart"/>
      <w:r w:rsidRPr="00097928">
        <w:rPr>
          <w:rFonts w:asciiTheme="minorHAnsi" w:hAnsiTheme="minorHAnsi" w:cstheme="minorHAnsi"/>
          <w:sz w:val="24"/>
          <w:szCs w:val="24"/>
        </w:rPr>
        <w:t>in order to</w:t>
      </w:r>
      <w:proofErr w:type="gramEnd"/>
      <w:r w:rsidRPr="00097928">
        <w:rPr>
          <w:rFonts w:asciiTheme="minorHAnsi" w:hAnsiTheme="minorHAnsi" w:cstheme="minorHAnsi"/>
          <w:sz w:val="24"/>
          <w:szCs w:val="24"/>
        </w:rPr>
        <w:t xml:space="preserve"> ensure that there was an appropriate level of understanding created from the different agencies. It has also been noted by </w:t>
      </w:r>
      <w:proofErr w:type="spellStart"/>
      <w:r w:rsidRPr="00097928">
        <w:rPr>
          <w:rFonts w:asciiTheme="minorHAnsi" w:hAnsiTheme="minorHAnsi" w:cstheme="minorHAnsi"/>
          <w:sz w:val="24"/>
          <w:szCs w:val="24"/>
        </w:rPr>
        <w:t>Wastell</w:t>
      </w:r>
      <w:proofErr w:type="spellEnd"/>
      <w:r w:rsidRPr="00097928">
        <w:rPr>
          <w:rFonts w:asciiTheme="minorHAnsi" w:hAnsiTheme="minorHAnsi" w:cstheme="minorHAnsi"/>
          <w:sz w:val="24"/>
          <w:szCs w:val="24"/>
        </w:rPr>
        <w:t xml:space="preserve"> et al (2009) that “Self-awareness and the development of empathy…as being central to reducing re-offending” (p.g.149). As one of the key aspects of this investigation, the educational discussion which was held with the ‘offender’ sought to highlight this notion as explained. Moreover, by establishing this type of rapport and understanding, it is likely that this has been more beneficial in relation to long term tactics to address re-offending, as opposed to more ‘traditional’ disposals in the form of custodial sentences or convictions. </w:t>
      </w:r>
    </w:p>
    <w:p w14:paraId="72567276" w14:textId="77777777" w:rsidR="00892E6D" w:rsidRPr="00097928" w:rsidRDefault="00892E6D" w:rsidP="00097928">
      <w:pPr>
        <w:rPr>
          <w:rFonts w:asciiTheme="minorHAnsi" w:hAnsiTheme="minorHAnsi" w:cstheme="minorHAnsi"/>
          <w:sz w:val="24"/>
          <w:szCs w:val="24"/>
        </w:rPr>
      </w:pPr>
    </w:p>
    <w:p w14:paraId="44AAF814" w14:textId="77777777" w:rsidR="00097928" w:rsidRPr="00097928" w:rsidRDefault="00097928" w:rsidP="00097928">
      <w:pPr>
        <w:rPr>
          <w:rFonts w:asciiTheme="minorHAnsi" w:hAnsiTheme="minorHAnsi" w:cstheme="minorHAnsi"/>
          <w:sz w:val="24"/>
          <w:szCs w:val="24"/>
        </w:rPr>
      </w:pPr>
      <w:r w:rsidRPr="00097928">
        <w:rPr>
          <w:rFonts w:asciiTheme="minorHAnsi" w:hAnsiTheme="minorHAnsi" w:cstheme="minorHAnsi"/>
          <w:b/>
          <w:bCs/>
          <w:sz w:val="24"/>
          <w:szCs w:val="24"/>
        </w:rPr>
        <w:t xml:space="preserve">CONCLUSION </w:t>
      </w:r>
    </w:p>
    <w:p w14:paraId="6DFBE7D0" w14:textId="77777777" w:rsidR="00097928" w:rsidRPr="00097928" w:rsidRDefault="00097928" w:rsidP="00097928">
      <w:pPr>
        <w:rPr>
          <w:rFonts w:asciiTheme="minorHAnsi" w:hAnsiTheme="minorHAnsi" w:cstheme="minorHAnsi"/>
          <w:sz w:val="24"/>
          <w:szCs w:val="24"/>
        </w:rPr>
      </w:pPr>
      <w:r w:rsidRPr="00097928">
        <w:rPr>
          <w:rFonts w:asciiTheme="minorHAnsi" w:hAnsiTheme="minorHAnsi" w:cstheme="minorHAnsi"/>
          <w:sz w:val="24"/>
          <w:szCs w:val="24"/>
        </w:rPr>
        <w:t xml:space="preserve">This investigation involved </w:t>
      </w:r>
      <w:proofErr w:type="gramStart"/>
      <w:r w:rsidRPr="00097928">
        <w:rPr>
          <w:rFonts w:asciiTheme="minorHAnsi" w:hAnsiTheme="minorHAnsi" w:cstheme="minorHAnsi"/>
          <w:sz w:val="24"/>
          <w:szCs w:val="24"/>
        </w:rPr>
        <w:t>a number of</w:t>
      </w:r>
      <w:proofErr w:type="gramEnd"/>
      <w:r w:rsidRPr="00097928">
        <w:rPr>
          <w:rFonts w:asciiTheme="minorHAnsi" w:hAnsiTheme="minorHAnsi" w:cstheme="minorHAnsi"/>
          <w:sz w:val="24"/>
          <w:szCs w:val="24"/>
        </w:rPr>
        <w:t xml:space="preserve"> complex mechanisms which ultimately needed to be addressed holistically in order to be resolved effectively. In taking a holistic approach an effective outcome was reached which ensured the protection of a young vulnerable victim alongside the management of an offender. In this type of investigation, this support centred approach which places safeguarding and continual management at the forefront of the response, ultimately results in the most appropriate outcome for ensuring that vulnerable persons are supported and protected from significant harm whilst also managing offenders, reducing the likelihood of repeat offending. </w:t>
      </w:r>
    </w:p>
    <w:p w14:paraId="0AF66F67" w14:textId="77777777" w:rsidR="00DF0796" w:rsidRPr="00DF0796" w:rsidRDefault="00DF0796" w:rsidP="00211695">
      <w:pPr>
        <w:overflowPunct/>
        <w:autoSpaceDE/>
        <w:autoSpaceDN/>
        <w:adjustRightInd/>
        <w:textAlignment w:val="auto"/>
        <w:rPr>
          <w:sz w:val="24"/>
          <w:szCs w:val="24"/>
        </w:rPr>
      </w:pPr>
    </w:p>
    <w:p w14:paraId="7169B98E" w14:textId="77777777" w:rsidR="007F0BF2" w:rsidRDefault="007F0BF2" w:rsidP="00211695">
      <w:pPr>
        <w:overflowPunct/>
        <w:autoSpaceDE/>
        <w:autoSpaceDN/>
        <w:adjustRightInd/>
        <w:textAlignment w:val="auto"/>
        <w:rPr>
          <w:sz w:val="24"/>
          <w:szCs w:val="24"/>
        </w:rPr>
      </w:pPr>
    </w:p>
    <w:p w14:paraId="2B2DE0D2" w14:textId="77777777" w:rsidR="007F0BF2" w:rsidRDefault="007F0BF2" w:rsidP="00211695">
      <w:pPr>
        <w:overflowPunct/>
        <w:autoSpaceDE/>
        <w:autoSpaceDN/>
        <w:adjustRightInd/>
        <w:textAlignment w:val="auto"/>
        <w:rPr>
          <w:sz w:val="24"/>
          <w:szCs w:val="24"/>
        </w:rPr>
      </w:pPr>
    </w:p>
    <w:p w14:paraId="73749EAD" w14:textId="77777777" w:rsidR="007F0BF2" w:rsidRDefault="007F0BF2" w:rsidP="00211695">
      <w:pPr>
        <w:overflowPunct/>
        <w:autoSpaceDE/>
        <w:autoSpaceDN/>
        <w:adjustRightInd/>
        <w:textAlignment w:val="auto"/>
        <w:rPr>
          <w:sz w:val="24"/>
          <w:szCs w:val="24"/>
        </w:rPr>
      </w:pPr>
    </w:p>
    <w:p w14:paraId="6123C50E" w14:textId="77777777" w:rsidR="007F0BF2" w:rsidRDefault="007F0BF2" w:rsidP="00211695">
      <w:pPr>
        <w:overflowPunct/>
        <w:autoSpaceDE/>
        <w:autoSpaceDN/>
        <w:adjustRightInd/>
        <w:textAlignment w:val="auto"/>
        <w:rPr>
          <w:sz w:val="24"/>
          <w:szCs w:val="24"/>
        </w:rPr>
      </w:pPr>
    </w:p>
    <w:p w14:paraId="543B5CCA" w14:textId="77777777" w:rsidR="007F0BF2" w:rsidRDefault="007F0BF2" w:rsidP="00211695">
      <w:pPr>
        <w:overflowPunct/>
        <w:autoSpaceDE/>
        <w:autoSpaceDN/>
        <w:adjustRightInd/>
        <w:textAlignment w:val="auto"/>
        <w:rPr>
          <w:sz w:val="24"/>
          <w:szCs w:val="24"/>
        </w:rPr>
      </w:pPr>
    </w:p>
    <w:p w14:paraId="4447A49B" w14:textId="77777777" w:rsidR="008C45AE" w:rsidRDefault="008C45AE" w:rsidP="00211695">
      <w:pPr>
        <w:overflowPunct/>
        <w:autoSpaceDE/>
        <w:autoSpaceDN/>
        <w:adjustRightInd/>
        <w:textAlignment w:val="auto"/>
        <w:rPr>
          <w:b/>
          <w:bCs/>
          <w:sz w:val="24"/>
          <w:szCs w:val="24"/>
        </w:rPr>
      </w:pPr>
    </w:p>
    <w:p w14:paraId="76F43C42" w14:textId="77777777" w:rsidR="00E2430C" w:rsidRDefault="00E2430C" w:rsidP="00211695">
      <w:pPr>
        <w:overflowPunct/>
        <w:autoSpaceDE/>
        <w:autoSpaceDN/>
        <w:adjustRightInd/>
        <w:textAlignment w:val="auto"/>
        <w:rPr>
          <w:b/>
          <w:bCs/>
          <w:sz w:val="24"/>
          <w:szCs w:val="24"/>
        </w:rPr>
      </w:pPr>
    </w:p>
    <w:p w14:paraId="432DCC10" w14:textId="77777777" w:rsidR="00990516" w:rsidRDefault="00990516" w:rsidP="00211695">
      <w:pPr>
        <w:overflowPunct/>
        <w:autoSpaceDE/>
        <w:autoSpaceDN/>
        <w:adjustRightInd/>
        <w:textAlignment w:val="auto"/>
        <w:rPr>
          <w:b/>
          <w:bCs/>
          <w:sz w:val="24"/>
          <w:szCs w:val="24"/>
        </w:rPr>
      </w:pPr>
    </w:p>
    <w:p w14:paraId="167F50B8" w14:textId="77777777" w:rsidR="00990516" w:rsidRDefault="00990516" w:rsidP="00211695">
      <w:pPr>
        <w:overflowPunct/>
        <w:autoSpaceDE/>
        <w:autoSpaceDN/>
        <w:adjustRightInd/>
        <w:textAlignment w:val="auto"/>
        <w:rPr>
          <w:b/>
          <w:bCs/>
          <w:sz w:val="24"/>
          <w:szCs w:val="24"/>
        </w:rPr>
      </w:pPr>
    </w:p>
    <w:p w14:paraId="283AB6ED" w14:textId="21B8E8F3" w:rsidR="0024077D" w:rsidRDefault="0023662D" w:rsidP="0024077D">
      <w:pPr>
        <w:overflowPunct/>
        <w:autoSpaceDE/>
        <w:autoSpaceDN/>
        <w:adjustRightInd/>
        <w:textAlignment w:val="auto"/>
        <w:rPr>
          <w:sz w:val="24"/>
          <w:szCs w:val="24"/>
        </w:rPr>
      </w:pPr>
      <w:r>
        <w:rPr>
          <w:sz w:val="24"/>
          <w:szCs w:val="24"/>
        </w:rPr>
        <w:t>.</w:t>
      </w:r>
    </w:p>
    <w:p w14:paraId="5ECAABFF" w14:textId="77777777" w:rsidR="0024077D" w:rsidRPr="0024077D" w:rsidRDefault="0024077D" w:rsidP="0024077D">
      <w:pPr>
        <w:overflowPunct/>
        <w:autoSpaceDE/>
        <w:autoSpaceDN/>
        <w:adjustRightInd/>
        <w:textAlignment w:val="auto"/>
        <w:rPr>
          <w:sz w:val="24"/>
          <w:szCs w:val="24"/>
        </w:rPr>
      </w:pPr>
    </w:p>
    <w:p w14:paraId="58751063" w14:textId="51E1F328" w:rsidR="13AD8C62" w:rsidRDefault="13AD8C62" w:rsidP="00211695">
      <w:pPr>
        <w:ind w:right="237"/>
        <w:jc w:val="center"/>
        <w:rPr>
          <w:rFonts w:eastAsia="Arial"/>
          <w:color w:val="000000" w:themeColor="text1"/>
          <w:sz w:val="28"/>
          <w:szCs w:val="28"/>
        </w:rPr>
      </w:pPr>
      <w:r w:rsidRPr="5CE196A1">
        <w:rPr>
          <w:rFonts w:eastAsia="Arial"/>
          <w:b/>
          <w:bCs/>
          <w:color w:val="000000" w:themeColor="text1"/>
          <w:sz w:val="28"/>
          <w:szCs w:val="28"/>
          <w:u w:val="single"/>
        </w:rPr>
        <w:lastRenderedPageBreak/>
        <w:t xml:space="preserve">Task </w:t>
      </w:r>
      <w:r w:rsidR="2C093D8B" w:rsidRPr="5CE196A1">
        <w:rPr>
          <w:rFonts w:eastAsia="Arial"/>
          <w:b/>
          <w:bCs/>
          <w:color w:val="000000" w:themeColor="text1"/>
          <w:sz w:val="28"/>
          <w:szCs w:val="28"/>
          <w:u w:val="single"/>
        </w:rPr>
        <w:t>2</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62F25455" w:rsidR="0FF883D4" w:rsidRDefault="0FF883D4" w:rsidP="0FF883D4">
      <w:pPr>
        <w:ind w:right="237"/>
        <w:jc w:val="both"/>
        <w:rPr>
          <w:rFonts w:eastAsia="Arial"/>
          <w:color w:val="000000" w:themeColor="text1"/>
          <w:sz w:val="24"/>
          <w:szCs w:val="24"/>
          <w:u w:val="single"/>
        </w:rPr>
      </w:pPr>
    </w:p>
    <w:p w14:paraId="059A243D" w14:textId="77777777" w:rsidR="00211695" w:rsidRDefault="00211695"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08F405AF"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 xml:space="preserve">You should choose </w:t>
      </w:r>
      <w:proofErr w:type="gramStart"/>
      <w:r w:rsidRPr="0FF883D4">
        <w:rPr>
          <w:rFonts w:eastAsia="Arial"/>
          <w:color w:val="000000" w:themeColor="text1"/>
          <w:sz w:val="24"/>
          <w:szCs w:val="24"/>
        </w:rPr>
        <w:t>an</w:t>
      </w:r>
      <w:proofErr w:type="gramEnd"/>
      <w:r w:rsidR="00756425">
        <w:rPr>
          <w:rFonts w:eastAsia="Arial"/>
          <w:color w:val="000000" w:themeColor="text1"/>
          <w:sz w:val="24"/>
          <w:szCs w:val="24"/>
        </w:rPr>
        <w:t xml:space="preserve"> </w:t>
      </w:r>
      <w:r w:rsidR="002D25E7" w:rsidRPr="003901EE">
        <w:rPr>
          <w:b/>
          <w:bCs/>
          <w:color w:val="FF0000"/>
          <w:sz w:val="24"/>
          <w:szCs w:val="24"/>
          <w:u w:val="single"/>
        </w:rPr>
        <w:t xml:space="preserve">serious and complex investigation </w:t>
      </w:r>
      <w:r w:rsidRPr="0FF883D4">
        <w:rPr>
          <w:rFonts w:eastAsia="Arial"/>
          <w:color w:val="000000" w:themeColor="text1"/>
          <w:sz w:val="24"/>
          <w:szCs w:val="24"/>
        </w:rPr>
        <w:t>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3898F4BE" w14:textId="21493F49" w:rsidR="5CE196A1" w:rsidRDefault="5CE196A1" w:rsidP="5CE196A1"/>
    <w:tbl>
      <w:tblPr>
        <w:tblStyle w:val="TableGrid"/>
        <w:tblW w:w="0" w:type="auto"/>
        <w:tblLayout w:type="fixed"/>
        <w:tblLook w:val="06A0" w:firstRow="1" w:lastRow="0" w:firstColumn="1" w:lastColumn="0" w:noHBand="1" w:noVBand="1"/>
      </w:tblPr>
      <w:tblGrid>
        <w:gridCol w:w="9015"/>
      </w:tblGrid>
      <w:tr w:rsidR="0FF883D4" w14:paraId="6A8F306E" w14:textId="77777777" w:rsidTr="5CE196A1">
        <w:trPr>
          <w:trHeight w:val="3420"/>
        </w:trPr>
        <w:tc>
          <w:tcPr>
            <w:tcW w:w="9015" w:type="dxa"/>
          </w:tcPr>
          <w:p w14:paraId="1EBF6864" w14:textId="0222AEFD" w:rsidR="0FF883D4" w:rsidRDefault="0FF883D4" w:rsidP="0FF883D4">
            <w:pPr>
              <w:ind w:right="237"/>
              <w:jc w:val="both"/>
              <w:rPr>
                <w:sz w:val="24"/>
                <w:szCs w:val="24"/>
              </w:rPr>
            </w:pPr>
          </w:p>
          <w:p w14:paraId="44A7DE4C" w14:textId="4762E249" w:rsidR="13AD8C62" w:rsidRDefault="5CE196A1" w:rsidP="5CE196A1">
            <w:pPr>
              <w:ind w:right="237"/>
              <w:jc w:val="both"/>
              <w:rPr>
                <w:rFonts w:eastAsia="Arial"/>
                <w:color w:val="000000" w:themeColor="text1"/>
                <w:sz w:val="24"/>
                <w:szCs w:val="24"/>
              </w:rPr>
            </w:pPr>
            <w:r w:rsidRPr="5CE196A1">
              <w:rPr>
                <w:rFonts w:eastAsia="Arial"/>
                <w:b/>
                <w:bCs/>
                <w:color w:val="000000" w:themeColor="text1"/>
                <w:sz w:val="24"/>
                <w:szCs w:val="24"/>
              </w:rPr>
              <w:t>Critically evaluate</w:t>
            </w:r>
            <w:r w:rsidRPr="5CE196A1">
              <w:rPr>
                <w:rFonts w:eastAsia="Arial"/>
                <w:color w:val="000000" w:themeColor="text1"/>
                <w:sz w:val="24"/>
                <w:szCs w:val="24"/>
              </w:rPr>
              <w:t xml:space="preserve"> the processes employed in a </w:t>
            </w:r>
            <w:r w:rsidRPr="00211695">
              <w:rPr>
                <w:rFonts w:eastAsia="Arial"/>
                <w:color w:val="000000" w:themeColor="text1"/>
                <w:sz w:val="24"/>
                <w:szCs w:val="24"/>
                <w:highlight w:val="yellow"/>
              </w:rPr>
              <w:t>complex investigation</w:t>
            </w:r>
            <w:r w:rsidRPr="5CE196A1">
              <w:rPr>
                <w:rFonts w:eastAsia="Arial"/>
                <w:color w:val="000000" w:themeColor="text1"/>
                <w:sz w:val="24"/>
                <w:szCs w:val="24"/>
              </w:rPr>
              <w:t xml:space="preserve"> you have been involved in, and the fast-track actions that you have utilised.</w:t>
            </w:r>
          </w:p>
          <w:p w14:paraId="38BE50B5" w14:textId="5BD0CFBE" w:rsidR="13AD8C62" w:rsidRDefault="13AD8C62" w:rsidP="5CE196A1">
            <w:pPr>
              <w:ind w:right="237"/>
              <w:jc w:val="both"/>
              <w:rPr>
                <w:rFonts w:eastAsia="Arial"/>
                <w:color w:val="000000" w:themeColor="text1"/>
                <w:sz w:val="24"/>
                <w:szCs w:val="24"/>
              </w:rPr>
            </w:pPr>
          </w:p>
          <w:p w14:paraId="297EA770" w14:textId="165E4249" w:rsidR="13AD8C62" w:rsidRDefault="13AD8C62" w:rsidP="5CE196A1">
            <w:pPr>
              <w:ind w:right="237"/>
              <w:jc w:val="both"/>
              <w:rPr>
                <w:rFonts w:eastAsia="Arial"/>
                <w:color w:val="000000" w:themeColor="text1"/>
                <w:sz w:val="24"/>
                <w:szCs w:val="24"/>
              </w:rPr>
            </w:pPr>
          </w:p>
          <w:p w14:paraId="2AA1635A" w14:textId="5AADEA62" w:rsidR="13AD8C62"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Evaluate the support you have provided to victims, witnesses, and offenders (where appropriate) during a </w:t>
            </w:r>
            <w:r w:rsidRPr="00211695">
              <w:rPr>
                <w:rFonts w:eastAsia="Arial"/>
                <w:color w:val="000000" w:themeColor="text1"/>
                <w:sz w:val="24"/>
                <w:szCs w:val="24"/>
                <w:highlight w:val="yellow"/>
              </w:rPr>
              <w:t>complex investigation</w:t>
            </w:r>
            <w:r w:rsidRPr="5CE196A1">
              <w:rPr>
                <w:rFonts w:eastAsia="Arial"/>
                <w:color w:val="000000" w:themeColor="text1"/>
                <w:sz w:val="24"/>
                <w:szCs w:val="24"/>
              </w:rPr>
              <w:t xml:space="preserve"> and reference the management of your own personal values and attitudes in relation to this.</w:t>
            </w:r>
          </w:p>
          <w:p w14:paraId="4F00E6B5" w14:textId="17A8F5F8" w:rsidR="13AD8C62" w:rsidRDefault="13AD8C62" w:rsidP="5CE196A1">
            <w:pPr>
              <w:ind w:right="237"/>
              <w:jc w:val="both"/>
              <w:rPr>
                <w:sz w:val="24"/>
                <w:szCs w:val="24"/>
              </w:rPr>
            </w:pPr>
          </w:p>
          <w:p w14:paraId="5AD79861" w14:textId="57C44AB0" w:rsidR="13AD8C62" w:rsidRDefault="13AD8C62" w:rsidP="5CE196A1">
            <w:pPr>
              <w:ind w:right="237"/>
              <w:jc w:val="both"/>
              <w:rPr>
                <w:i/>
                <w:iCs/>
                <w:sz w:val="24"/>
                <w:szCs w:val="24"/>
              </w:rPr>
            </w:pPr>
            <w:r w:rsidRPr="5CE196A1">
              <w:rPr>
                <w:sz w:val="24"/>
                <w:szCs w:val="24"/>
              </w:rPr>
              <w:t>2</w:t>
            </w:r>
            <w:r w:rsidR="365C5F3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1505BB66" w14:textId="20F53D3A" w:rsidR="0FF883D4" w:rsidRDefault="00104B97" w:rsidP="0FF883D4">
      <w:pPr>
        <w:ind w:right="237"/>
        <w:jc w:val="both"/>
        <w:rPr>
          <w:b/>
          <w:bCs/>
          <w:color w:val="000000" w:themeColor="text1"/>
          <w:sz w:val="24"/>
          <w:szCs w:val="24"/>
        </w:rPr>
      </w:pPr>
      <w:r>
        <w:rPr>
          <w:b/>
          <w:bCs/>
          <w:color w:val="000000" w:themeColor="text1"/>
          <w:sz w:val="24"/>
          <w:szCs w:val="24"/>
        </w:rPr>
        <w:t>Answer:</w:t>
      </w:r>
    </w:p>
    <w:p w14:paraId="120FB19E" w14:textId="77777777" w:rsidR="00104B97" w:rsidRDefault="00104B97" w:rsidP="0FF883D4">
      <w:pPr>
        <w:ind w:right="237"/>
        <w:jc w:val="both"/>
        <w:rPr>
          <w:b/>
          <w:bCs/>
          <w:color w:val="000000" w:themeColor="text1"/>
          <w:sz w:val="24"/>
          <w:szCs w:val="24"/>
        </w:rPr>
      </w:pPr>
    </w:p>
    <w:p w14:paraId="5E56C0F8" w14:textId="77777777" w:rsidR="00104B97" w:rsidRPr="00104B97" w:rsidRDefault="00104B97" w:rsidP="00104B97">
      <w:pPr>
        <w:rPr>
          <w:rFonts w:asciiTheme="minorHAnsi" w:hAnsiTheme="minorHAnsi" w:cstheme="minorHAnsi"/>
          <w:sz w:val="24"/>
          <w:szCs w:val="24"/>
        </w:rPr>
      </w:pPr>
      <w:r w:rsidRPr="00104B97">
        <w:rPr>
          <w:rFonts w:asciiTheme="minorHAnsi" w:hAnsiTheme="minorHAnsi" w:cstheme="minorHAnsi"/>
          <w:b/>
          <w:bCs/>
          <w:sz w:val="24"/>
          <w:szCs w:val="24"/>
        </w:rPr>
        <w:t xml:space="preserve">INTRO </w:t>
      </w:r>
    </w:p>
    <w:p w14:paraId="4135CEF3" w14:textId="77777777" w:rsidR="00104B97" w:rsidRDefault="00104B97" w:rsidP="00104B97">
      <w:pPr>
        <w:rPr>
          <w:rFonts w:asciiTheme="minorHAnsi" w:hAnsiTheme="minorHAnsi" w:cstheme="minorHAnsi"/>
          <w:sz w:val="24"/>
          <w:szCs w:val="24"/>
        </w:rPr>
      </w:pPr>
      <w:r w:rsidRPr="00104B97">
        <w:rPr>
          <w:rFonts w:asciiTheme="minorHAnsi" w:hAnsiTheme="minorHAnsi" w:cstheme="minorHAnsi"/>
          <w:sz w:val="24"/>
          <w:szCs w:val="24"/>
        </w:rPr>
        <w:t xml:space="preserve">An investigation was launched following a welfare check at an address after the resident had not been heard from in several days. Upon police attendance, the male was located inside and declared deceased. The male had an injury to his ear which had allegedly been inflicted during an assault several days prior to his being located. However, this injury did not appear to be substantial enough to be the leading cause of death and initial checks revealed that there were no known health conditions from which the male was suffering. As such, the male’s death was designated as unexplained. </w:t>
      </w:r>
    </w:p>
    <w:p w14:paraId="01CDADE9" w14:textId="77777777" w:rsidR="00104B97" w:rsidRPr="00104B97" w:rsidRDefault="00104B97" w:rsidP="00104B97">
      <w:pPr>
        <w:rPr>
          <w:rFonts w:asciiTheme="minorHAnsi" w:hAnsiTheme="minorHAnsi" w:cstheme="minorHAnsi"/>
          <w:sz w:val="24"/>
          <w:szCs w:val="24"/>
        </w:rPr>
      </w:pPr>
    </w:p>
    <w:p w14:paraId="4851067C" w14:textId="77777777" w:rsidR="00104B97" w:rsidRDefault="00104B97" w:rsidP="00104B97">
      <w:pPr>
        <w:rPr>
          <w:rFonts w:asciiTheme="minorHAnsi" w:hAnsiTheme="minorHAnsi" w:cstheme="minorHAnsi"/>
          <w:sz w:val="24"/>
          <w:szCs w:val="24"/>
        </w:rPr>
      </w:pPr>
      <w:r w:rsidRPr="00104B97">
        <w:rPr>
          <w:rFonts w:asciiTheme="minorHAnsi" w:hAnsiTheme="minorHAnsi" w:cstheme="minorHAnsi"/>
          <w:sz w:val="24"/>
          <w:szCs w:val="24"/>
        </w:rPr>
        <w:t xml:space="preserve">This response will evaluate some of the key actions which were taken at the scene of this incident as well as immediately following to progress the necessary lines of enquiry. In addition to this, academic work will be discussed </w:t>
      </w:r>
      <w:proofErr w:type="gramStart"/>
      <w:r w:rsidRPr="00104B97">
        <w:rPr>
          <w:rFonts w:asciiTheme="minorHAnsi" w:hAnsiTheme="minorHAnsi" w:cstheme="minorHAnsi"/>
          <w:sz w:val="24"/>
          <w:szCs w:val="24"/>
        </w:rPr>
        <w:t>in order to</w:t>
      </w:r>
      <w:proofErr w:type="gramEnd"/>
      <w:r w:rsidRPr="00104B97">
        <w:rPr>
          <w:rFonts w:asciiTheme="minorHAnsi" w:hAnsiTheme="minorHAnsi" w:cstheme="minorHAnsi"/>
          <w:sz w:val="24"/>
          <w:szCs w:val="24"/>
        </w:rPr>
        <w:t xml:space="preserve"> support my own interpretation of the way in which I dealt with the witnesses of the deceased within this specific example, who ultimately, as the family of the deceased, became an extension of the victim.</w:t>
      </w:r>
    </w:p>
    <w:p w14:paraId="5FE2D625" w14:textId="77777777" w:rsidR="00104B97" w:rsidRPr="00104B97" w:rsidRDefault="00104B97" w:rsidP="00104B97">
      <w:pPr>
        <w:rPr>
          <w:rFonts w:asciiTheme="minorHAnsi" w:hAnsiTheme="minorHAnsi" w:cstheme="minorHAnsi"/>
          <w:sz w:val="24"/>
          <w:szCs w:val="24"/>
        </w:rPr>
      </w:pPr>
    </w:p>
    <w:p w14:paraId="6772A474" w14:textId="77777777" w:rsidR="00104B97" w:rsidRPr="00104B97" w:rsidRDefault="00104B97" w:rsidP="00104B97">
      <w:pPr>
        <w:rPr>
          <w:rFonts w:asciiTheme="minorHAnsi" w:hAnsiTheme="minorHAnsi" w:cstheme="minorHAnsi"/>
          <w:b/>
          <w:bCs/>
          <w:sz w:val="24"/>
          <w:szCs w:val="24"/>
        </w:rPr>
      </w:pPr>
      <w:r w:rsidRPr="00104B97">
        <w:rPr>
          <w:rFonts w:asciiTheme="minorHAnsi" w:hAnsiTheme="minorHAnsi" w:cstheme="minorHAnsi"/>
          <w:b/>
          <w:bCs/>
          <w:sz w:val="24"/>
          <w:szCs w:val="24"/>
        </w:rPr>
        <w:t xml:space="preserve">FAST TRACK ACTONS </w:t>
      </w:r>
    </w:p>
    <w:p w14:paraId="341BD513" w14:textId="77777777" w:rsidR="00104B97" w:rsidRDefault="00104B97" w:rsidP="00104B97">
      <w:pPr>
        <w:rPr>
          <w:rFonts w:asciiTheme="minorHAnsi" w:hAnsiTheme="minorHAnsi" w:cstheme="minorHAnsi"/>
          <w:sz w:val="24"/>
          <w:szCs w:val="24"/>
        </w:rPr>
      </w:pPr>
      <w:r w:rsidRPr="00104B97">
        <w:rPr>
          <w:rFonts w:asciiTheme="minorHAnsi" w:hAnsiTheme="minorHAnsi" w:cstheme="minorHAnsi"/>
          <w:sz w:val="24"/>
          <w:szCs w:val="24"/>
        </w:rPr>
        <w:t xml:space="preserve">Within any investigation, evidence plays an essential part in developing an understanding of what has happened, how it has happened and potentially why it has happened. As such, there are </w:t>
      </w:r>
      <w:proofErr w:type="gramStart"/>
      <w:r w:rsidRPr="00104B97">
        <w:rPr>
          <w:rFonts w:asciiTheme="minorHAnsi" w:hAnsiTheme="minorHAnsi" w:cstheme="minorHAnsi"/>
          <w:sz w:val="24"/>
          <w:szCs w:val="24"/>
        </w:rPr>
        <w:t>a number of</w:t>
      </w:r>
      <w:proofErr w:type="gramEnd"/>
      <w:r w:rsidRPr="00104B97">
        <w:rPr>
          <w:rFonts w:asciiTheme="minorHAnsi" w:hAnsiTheme="minorHAnsi" w:cstheme="minorHAnsi"/>
          <w:sz w:val="24"/>
          <w:szCs w:val="24"/>
        </w:rPr>
        <w:t xml:space="preserve"> actions which can be taken to obtain evidence in what is known as the ‘Golden Hour’. This is the period in which evidence is most </w:t>
      </w:r>
      <w:proofErr w:type="gramStart"/>
      <w:r w:rsidRPr="00104B97">
        <w:rPr>
          <w:rFonts w:asciiTheme="minorHAnsi" w:hAnsiTheme="minorHAnsi" w:cstheme="minorHAnsi"/>
          <w:sz w:val="24"/>
          <w:szCs w:val="24"/>
        </w:rPr>
        <w:t>abundant, but</w:t>
      </w:r>
      <w:proofErr w:type="gramEnd"/>
      <w:r w:rsidRPr="00104B97">
        <w:rPr>
          <w:rFonts w:asciiTheme="minorHAnsi" w:hAnsiTheme="minorHAnsi" w:cstheme="minorHAnsi"/>
          <w:sz w:val="24"/>
          <w:szCs w:val="24"/>
        </w:rPr>
        <w:t xml:space="preserve"> is also the time in which action should be taken in order to ensure that evidence is preserved and </w:t>
      </w:r>
      <w:r w:rsidRPr="00104B97">
        <w:rPr>
          <w:rFonts w:asciiTheme="minorHAnsi" w:hAnsiTheme="minorHAnsi" w:cstheme="minorHAnsi"/>
          <w:sz w:val="24"/>
          <w:szCs w:val="24"/>
        </w:rPr>
        <w:lastRenderedPageBreak/>
        <w:t xml:space="preserve">gathered, in order to prevent it from being lost, altered, damaged or destroyed (College of Policing 2024). </w:t>
      </w:r>
    </w:p>
    <w:p w14:paraId="1AB086BB" w14:textId="77777777" w:rsidR="00104B97" w:rsidRPr="00104B97" w:rsidRDefault="00104B97" w:rsidP="00104B97">
      <w:pPr>
        <w:rPr>
          <w:rFonts w:asciiTheme="minorHAnsi" w:hAnsiTheme="minorHAnsi" w:cstheme="minorHAnsi"/>
          <w:sz w:val="24"/>
          <w:szCs w:val="24"/>
        </w:rPr>
      </w:pPr>
    </w:p>
    <w:p w14:paraId="2ACA1910" w14:textId="77777777" w:rsidR="00104B97" w:rsidRPr="00104B97" w:rsidRDefault="00104B97" w:rsidP="00104B97">
      <w:pPr>
        <w:rPr>
          <w:rFonts w:asciiTheme="minorHAnsi" w:hAnsiTheme="minorHAnsi" w:cstheme="minorHAnsi"/>
          <w:i/>
          <w:iCs/>
          <w:sz w:val="24"/>
          <w:szCs w:val="24"/>
        </w:rPr>
      </w:pPr>
      <w:r w:rsidRPr="00104B97">
        <w:rPr>
          <w:rFonts w:asciiTheme="minorHAnsi" w:hAnsiTheme="minorHAnsi" w:cstheme="minorHAnsi"/>
          <w:i/>
          <w:iCs/>
          <w:sz w:val="24"/>
          <w:szCs w:val="24"/>
        </w:rPr>
        <w:t>CSI PHOTOGRAPHY OF SCENE</w:t>
      </w:r>
    </w:p>
    <w:p w14:paraId="26304884" w14:textId="77777777" w:rsidR="00104B97" w:rsidRDefault="00104B97" w:rsidP="00104B97">
      <w:pPr>
        <w:rPr>
          <w:rFonts w:asciiTheme="minorHAnsi" w:hAnsiTheme="minorHAnsi" w:cstheme="minorHAnsi"/>
          <w:sz w:val="24"/>
          <w:szCs w:val="24"/>
        </w:rPr>
      </w:pPr>
      <w:r w:rsidRPr="00104B97">
        <w:rPr>
          <w:rFonts w:asciiTheme="minorHAnsi" w:hAnsiTheme="minorHAnsi" w:cstheme="minorHAnsi"/>
          <w:sz w:val="24"/>
          <w:szCs w:val="24"/>
        </w:rPr>
        <w:t xml:space="preserve">One of the first actions which was completed at the scene, was the tasking of the crime scene investigation (CSI) unit to attend and photograph in detail, not only the deceased in situ, but also aspects of the surrounding environment. The purpose of this is to create a record of the scene as it was found, prior to any disturbance which is then caused </w:t>
      </w:r>
      <w:proofErr w:type="gramStart"/>
      <w:r w:rsidRPr="00104B97">
        <w:rPr>
          <w:rFonts w:asciiTheme="minorHAnsi" w:hAnsiTheme="minorHAnsi" w:cstheme="minorHAnsi"/>
          <w:sz w:val="24"/>
          <w:szCs w:val="24"/>
        </w:rPr>
        <w:t>as a result of</w:t>
      </w:r>
      <w:proofErr w:type="gramEnd"/>
      <w:r w:rsidRPr="00104B97">
        <w:rPr>
          <w:rFonts w:asciiTheme="minorHAnsi" w:hAnsiTheme="minorHAnsi" w:cstheme="minorHAnsi"/>
          <w:sz w:val="24"/>
          <w:szCs w:val="24"/>
        </w:rPr>
        <w:t xml:space="preserve"> searches or seizures of property. As is the case, “it is police who are required to not only determine the suspicion or not of the death but also to gather any relevant information” (Carpenter et al 2016:699) and by utilising this process, what is essentially created is a permanent ‘picture’ of the scene which can be returned to and assessed as further information is gained, </w:t>
      </w:r>
      <w:proofErr w:type="gramStart"/>
      <w:r w:rsidRPr="00104B97">
        <w:rPr>
          <w:rFonts w:asciiTheme="minorHAnsi" w:hAnsiTheme="minorHAnsi" w:cstheme="minorHAnsi"/>
          <w:sz w:val="24"/>
          <w:szCs w:val="24"/>
        </w:rPr>
        <w:t>reviewed</w:t>
      </w:r>
      <w:proofErr w:type="gramEnd"/>
      <w:r w:rsidRPr="00104B97">
        <w:rPr>
          <w:rFonts w:asciiTheme="minorHAnsi" w:hAnsiTheme="minorHAnsi" w:cstheme="minorHAnsi"/>
          <w:sz w:val="24"/>
          <w:szCs w:val="24"/>
        </w:rPr>
        <w:t xml:space="preserve"> and understood. </w:t>
      </w:r>
    </w:p>
    <w:p w14:paraId="47F30126" w14:textId="77777777" w:rsidR="00104B97" w:rsidRPr="00104B97" w:rsidRDefault="00104B97" w:rsidP="00104B97">
      <w:pPr>
        <w:rPr>
          <w:rFonts w:asciiTheme="minorHAnsi" w:hAnsiTheme="minorHAnsi" w:cstheme="minorHAnsi"/>
          <w:sz w:val="24"/>
          <w:szCs w:val="24"/>
        </w:rPr>
      </w:pPr>
    </w:p>
    <w:p w14:paraId="255AB14B" w14:textId="77777777" w:rsidR="00104B97" w:rsidRDefault="00104B97" w:rsidP="00104B97">
      <w:pPr>
        <w:rPr>
          <w:rFonts w:asciiTheme="minorHAnsi" w:hAnsiTheme="minorHAnsi" w:cstheme="minorHAnsi"/>
          <w:sz w:val="24"/>
          <w:szCs w:val="24"/>
        </w:rPr>
      </w:pPr>
      <w:r w:rsidRPr="00104B97">
        <w:rPr>
          <w:rFonts w:asciiTheme="minorHAnsi" w:hAnsiTheme="minorHAnsi" w:cstheme="minorHAnsi"/>
          <w:sz w:val="24"/>
          <w:szCs w:val="24"/>
        </w:rPr>
        <w:t xml:space="preserve">Further to this, in any scene it is important to </w:t>
      </w:r>
      <w:proofErr w:type="gramStart"/>
      <w:r w:rsidRPr="00104B97">
        <w:rPr>
          <w:rFonts w:asciiTheme="minorHAnsi" w:hAnsiTheme="minorHAnsi" w:cstheme="minorHAnsi"/>
          <w:sz w:val="24"/>
          <w:szCs w:val="24"/>
        </w:rPr>
        <w:t>have an understanding of</w:t>
      </w:r>
      <w:proofErr w:type="gramEnd"/>
      <w:r w:rsidRPr="00104B97">
        <w:rPr>
          <w:rFonts w:asciiTheme="minorHAnsi" w:hAnsiTheme="minorHAnsi" w:cstheme="minorHAnsi"/>
          <w:sz w:val="24"/>
          <w:szCs w:val="24"/>
        </w:rPr>
        <w:t xml:space="preserve"> Locard’s Principle of Exchange. This is the notion that “every contact leaves a trace” that being that anyone who </w:t>
      </w:r>
      <w:proofErr w:type="gramStart"/>
      <w:r w:rsidRPr="00104B97">
        <w:rPr>
          <w:rFonts w:asciiTheme="minorHAnsi" w:hAnsiTheme="minorHAnsi" w:cstheme="minorHAnsi"/>
          <w:sz w:val="24"/>
          <w:szCs w:val="24"/>
        </w:rPr>
        <w:t>comes into contact with</w:t>
      </w:r>
      <w:proofErr w:type="gramEnd"/>
      <w:r w:rsidRPr="00104B97">
        <w:rPr>
          <w:rFonts w:asciiTheme="minorHAnsi" w:hAnsiTheme="minorHAnsi" w:cstheme="minorHAnsi"/>
          <w:sz w:val="24"/>
          <w:szCs w:val="24"/>
        </w:rPr>
        <w:t xml:space="preserve"> anything, will leave some type of mark. This could be in the form of DNA, clothing fibres or a plethora of other marks all of which could provide some type of explanation as to what has happened. As such, by obtaining photographs prior to any major disturbance caused to the scene, anything which is seen can later be used to piece together a timeline as an aid in developing a working hypothesis as to how an event has come to pass. </w:t>
      </w:r>
    </w:p>
    <w:p w14:paraId="57F2A938" w14:textId="77777777" w:rsidR="00104B97" w:rsidRPr="00104B97" w:rsidRDefault="00104B97" w:rsidP="00104B97">
      <w:pPr>
        <w:rPr>
          <w:rFonts w:asciiTheme="minorHAnsi" w:hAnsiTheme="minorHAnsi" w:cstheme="minorHAnsi"/>
          <w:sz w:val="24"/>
          <w:szCs w:val="24"/>
        </w:rPr>
      </w:pPr>
    </w:p>
    <w:p w14:paraId="23504CB6" w14:textId="77777777" w:rsidR="00104B97" w:rsidRPr="00104B97" w:rsidRDefault="00104B97" w:rsidP="00104B97">
      <w:pPr>
        <w:rPr>
          <w:rFonts w:asciiTheme="minorHAnsi" w:hAnsiTheme="minorHAnsi" w:cstheme="minorHAnsi"/>
          <w:i/>
          <w:iCs/>
          <w:sz w:val="24"/>
          <w:szCs w:val="24"/>
        </w:rPr>
      </w:pPr>
      <w:r w:rsidRPr="00104B97">
        <w:rPr>
          <w:rFonts w:asciiTheme="minorHAnsi" w:hAnsiTheme="minorHAnsi" w:cstheme="minorHAnsi"/>
          <w:i/>
          <w:iCs/>
          <w:sz w:val="24"/>
          <w:szCs w:val="24"/>
        </w:rPr>
        <w:t xml:space="preserve">DE-BREIF OF KNOWN FAMILY MEMBERS </w:t>
      </w:r>
    </w:p>
    <w:p w14:paraId="5A9B9A03" w14:textId="77777777" w:rsidR="00104B97" w:rsidRDefault="00104B97" w:rsidP="00104B97">
      <w:pPr>
        <w:rPr>
          <w:rFonts w:asciiTheme="minorHAnsi" w:hAnsiTheme="minorHAnsi" w:cstheme="minorHAnsi"/>
          <w:sz w:val="24"/>
          <w:szCs w:val="24"/>
        </w:rPr>
      </w:pPr>
      <w:r w:rsidRPr="00104B97">
        <w:rPr>
          <w:rFonts w:asciiTheme="minorHAnsi" w:hAnsiTheme="minorHAnsi" w:cstheme="minorHAnsi"/>
          <w:sz w:val="24"/>
          <w:szCs w:val="24"/>
        </w:rPr>
        <w:t xml:space="preserve">Outside of the scene itself, there were </w:t>
      </w:r>
      <w:proofErr w:type="gramStart"/>
      <w:r w:rsidRPr="00104B97">
        <w:rPr>
          <w:rFonts w:asciiTheme="minorHAnsi" w:hAnsiTheme="minorHAnsi" w:cstheme="minorHAnsi"/>
          <w:sz w:val="24"/>
          <w:szCs w:val="24"/>
        </w:rPr>
        <w:t>a number of</w:t>
      </w:r>
      <w:proofErr w:type="gramEnd"/>
      <w:r w:rsidRPr="00104B97">
        <w:rPr>
          <w:rFonts w:asciiTheme="minorHAnsi" w:hAnsiTheme="minorHAnsi" w:cstheme="minorHAnsi"/>
          <w:sz w:val="24"/>
          <w:szCs w:val="24"/>
        </w:rPr>
        <w:t xml:space="preserve"> other lines of enquiry which were identified as needing to be actioned in order to gather information which could assist in the progression of the investigation. One such enquiry was to speak with persons close to the deceased who could provide details about his actions and behaviour in the days leading up to his death. The aim of this action was to establish any significant events which had taken place which could be attributed to the death or could provide additional enquiries to be completed. </w:t>
      </w:r>
    </w:p>
    <w:p w14:paraId="67E2EA5C" w14:textId="77777777" w:rsidR="00104B97" w:rsidRPr="00104B97" w:rsidRDefault="00104B97" w:rsidP="00104B97">
      <w:pPr>
        <w:rPr>
          <w:rFonts w:asciiTheme="minorHAnsi" w:hAnsiTheme="minorHAnsi" w:cstheme="minorHAnsi"/>
          <w:sz w:val="24"/>
          <w:szCs w:val="24"/>
        </w:rPr>
      </w:pPr>
    </w:p>
    <w:p w14:paraId="1E705243" w14:textId="77777777" w:rsidR="00104B97" w:rsidRDefault="00104B97" w:rsidP="00104B97">
      <w:pPr>
        <w:rPr>
          <w:rFonts w:asciiTheme="minorHAnsi" w:hAnsiTheme="minorHAnsi" w:cstheme="minorHAnsi"/>
          <w:sz w:val="24"/>
          <w:szCs w:val="24"/>
        </w:rPr>
      </w:pPr>
      <w:r w:rsidRPr="00104B97">
        <w:rPr>
          <w:rFonts w:asciiTheme="minorHAnsi" w:hAnsiTheme="minorHAnsi" w:cstheme="minorHAnsi"/>
          <w:sz w:val="24"/>
          <w:szCs w:val="24"/>
        </w:rPr>
        <w:t xml:space="preserve">In speaking with these persons, it was established that there was a history of drug misuse linked to the deceased but that this had fluctuated over </w:t>
      </w:r>
      <w:proofErr w:type="gramStart"/>
      <w:r w:rsidRPr="00104B97">
        <w:rPr>
          <w:rFonts w:asciiTheme="minorHAnsi" w:hAnsiTheme="minorHAnsi" w:cstheme="minorHAnsi"/>
          <w:sz w:val="24"/>
          <w:szCs w:val="24"/>
        </w:rPr>
        <w:t>a number of</w:t>
      </w:r>
      <w:proofErr w:type="gramEnd"/>
      <w:r w:rsidRPr="00104B97">
        <w:rPr>
          <w:rFonts w:asciiTheme="minorHAnsi" w:hAnsiTheme="minorHAnsi" w:cstheme="minorHAnsi"/>
          <w:sz w:val="24"/>
          <w:szCs w:val="24"/>
        </w:rPr>
        <w:t xml:space="preserve"> years. In recent months, it was understood that the deceased had been ‘clean’ and was now only taking prescribed medication alongside the recreational use of cannabis. In addition to this, further information was gained around the alleged assault which had taken place, resulting in the injury to the deceased’s ear. It became known that the deceased had been assaulted several days prior to his death, however the mechanism of this assault was unknown as the deceased has provided different accounts to different persons. </w:t>
      </w:r>
      <w:proofErr w:type="gramStart"/>
      <w:r w:rsidRPr="00104B97">
        <w:rPr>
          <w:rFonts w:asciiTheme="minorHAnsi" w:hAnsiTheme="minorHAnsi" w:cstheme="minorHAnsi"/>
          <w:sz w:val="24"/>
          <w:szCs w:val="24"/>
        </w:rPr>
        <w:t>With this being said, what</w:t>
      </w:r>
      <w:proofErr w:type="gramEnd"/>
      <w:r w:rsidRPr="00104B97">
        <w:rPr>
          <w:rFonts w:asciiTheme="minorHAnsi" w:hAnsiTheme="minorHAnsi" w:cstheme="minorHAnsi"/>
          <w:sz w:val="24"/>
          <w:szCs w:val="24"/>
        </w:rPr>
        <w:t xml:space="preserve"> was consistent was the level of injury, which at this stage of the investigation was satisfied as not being a leading cause of the death itself. </w:t>
      </w:r>
    </w:p>
    <w:p w14:paraId="19686468" w14:textId="77777777" w:rsidR="00104B97" w:rsidRPr="00104B97" w:rsidRDefault="00104B97" w:rsidP="00104B97">
      <w:pPr>
        <w:rPr>
          <w:rFonts w:asciiTheme="minorHAnsi" w:hAnsiTheme="minorHAnsi" w:cstheme="minorHAnsi"/>
          <w:sz w:val="24"/>
          <w:szCs w:val="24"/>
        </w:rPr>
      </w:pPr>
    </w:p>
    <w:p w14:paraId="5610A0C4" w14:textId="77777777" w:rsidR="00104B97" w:rsidRPr="00104B97" w:rsidRDefault="00104B97" w:rsidP="00104B97">
      <w:pPr>
        <w:rPr>
          <w:rFonts w:asciiTheme="minorHAnsi" w:hAnsiTheme="minorHAnsi" w:cstheme="minorHAnsi"/>
          <w:i/>
          <w:iCs/>
          <w:sz w:val="24"/>
          <w:szCs w:val="24"/>
        </w:rPr>
      </w:pPr>
      <w:r w:rsidRPr="00104B97">
        <w:rPr>
          <w:rFonts w:asciiTheme="minorHAnsi" w:hAnsiTheme="minorHAnsi" w:cstheme="minorHAnsi"/>
          <w:i/>
          <w:iCs/>
          <w:sz w:val="24"/>
          <w:szCs w:val="24"/>
        </w:rPr>
        <w:t xml:space="preserve">FORENSIC POST-MORTEM </w:t>
      </w:r>
    </w:p>
    <w:p w14:paraId="56F46388" w14:textId="77777777" w:rsidR="00104B97" w:rsidRDefault="00104B97" w:rsidP="00104B97">
      <w:pPr>
        <w:rPr>
          <w:rFonts w:asciiTheme="minorHAnsi" w:hAnsiTheme="minorHAnsi" w:cstheme="minorHAnsi"/>
          <w:sz w:val="24"/>
          <w:szCs w:val="24"/>
        </w:rPr>
      </w:pPr>
      <w:r w:rsidRPr="00104B97">
        <w:rPr>
          <w:rFonts w:asciiTheme="minorHAnsi" w:hAnsiTheme="minorHAnsi" w:cstheme="minorHAnsi"/>
          <w:sz w:val="24"/>
          <w:szCs w:val="24"/>
        </w:rPr>
        <w:t xml:space="preserve">Perhaps the most important </w:t>
      </w:r>
      <w:proofErr w:type="gramStart"/>
      <w:r w:rsidRPr="00104B97">
        <w:rPr>
          <w:rFonts w:asciiTheme="minorHAnsi" w:hAnsiTheme="minorHAnsi" w:cstheme="minorHAnsi"/>
          <w:sz w:val="24"/>
          <w:szCs w:val="24"/>
        </w:rPr>
        <w:t>action</w:t>
      </w:r>
      <w:proofErr w:type="gramEnd"/>
      <w:r w:rsidRPr="00104B97">
        <w:rPr>
          <w:rFonts w:asciiTheme="minorHAnsi" w:hAnsiTheme="minorHAnsi" w:cstheme="minorHAnsi"/>
          <w:sz w:val="24"/>
          <w:szCs w:val="24"/>
        </w:rPr>
        <w:t xml:space="preserve"> which was taken in this investigation, the post-mortem played a key part in understanding the death and directing the investigation. As a forensic tool, a post-mortem can give answers which are simply impossible to see from any other </w:t>
      </w:r>
      <w:r w:rsidRPr="00104B97">
        <w:rPr>
          <w:rFonts w:asciiTheme="minorHAnsi" w:hAnsiTheme="minorHAnsi" w:cstheme="minorHAnsi"/>
          <w:sz w:val="24"/>
          <w:szCs w:val="24"/>
        </w:rPr>
        <w:lastRenderedPageBreak/>
        <w:t xml:space="preserve">perspective. In this investigation, a forensic post-mortem was carried out, which involved a greater level of inspection of both the external and internal features of the body </w:t>
      </w:r>
      <w:proofErr w:type="gramStart"/>
      <w:r w:rsidRPr="00104B97">
        <w:rPr>
          <w:rFonts w:asciiTheme="minorHAnsi" w:hAnsiTheme="minorHAnsi" w:cstheme="minorHAnsi"/>
          <w:sz w:val="24"/>
          <w:szCs w:val="24"/>
        </w:rPr>
        <w:t>in order to</w:t>
      </w:r>
      <w:proofErr w:type="gramEnd"/>
      <w:r w:rsidRPr="00104B97">
        <w:rPr>
          <w:rFonts w:asciiTheme="minorHAnsi" w:hAnsiTheme="minorHAnsi" w:cstheme="minorHAnsi"/>
          <w:sz w:val="24"/>
          <w:szCs w:val="24"/>
        </w:rPr>
        <w:t xml:space="preserve"> create a complete report of the condition of the deceased. </w:t>
      </w:r>
    </w:p>
    <w:p w14:paraId="49792D94" w14:textId="77777777" w:rsidR="00104B97" w:rsidRPr="00104B97" w:rsidRDefault="00104B97" w:rsidP="00104B97">
      <w:pPr>
        <w:rPr>
          <w:rFonts w:asciiTheme="minorHAnsi" w:hAnsiTheme="minorHAnsi" w:cstheme="minorHAnsi"/>
          <w:sz w:val="24"/>
          <w:szCs w:val="24"/>
        </w:rPr>
      </w:pPr>
    </w:p>
    <w:p w14:paraId="789B3A8F" w14:textId="77777777" w:rsidR="00104B97" w:rsidRDefault="00104B97" w:rsidP="00104B97">
      <w:pPr>
        <w:rPr>
          <w:rFonts w:asciiTheme="minorHAnsi" w:hAnsiTheme="minorHAnsi" w:cstheme="minorHAnsi"/>
          <w:sz w:val="24"/>
          <w:szCs w:val="24"/>
        </w:rPr>
      </w:pPr>
      <w:r w:rsidRPr="00104B97">
        <w:rPr>
          <w:rFonts w:asciiTheme="minorHAnsi" w:hAnsiTheme="minorHAnsi" w:cstheme="minorHAnsi"/>
          <w:sz w:val="24"/>
          <w:szCs w:val="24"/>
        </w:rPr>
        <w:t xml:space="preserve">As a result of the post-mortem, it was concluded that no physical trauma to the body was present which led to the death and so this allowed for the direction of a toxicology test to be conducted to understand whether the presence of any foreign substances could instead be the cause of death. </w:t>
      </w:r>
    </w:p>
    <w:p w14:paraId="622B38A7" w14:textId="77777777" w:rsidR="00104B97" w:rsidRPr="00104B97" w:rsidRDefault="00104B97" w:rsidP="00104B97">
      <w:pPr>
        <w:rPr>
          <w:rFonts w:asciiTheme="minorHAnsi" w:hAnsiTheme="minorHAnsi" w:cstheme="minorHAnsi"/>
          <w:sz w:val="24"/>
          <w:szCs w:val="24"/>
        </w:rPr>
      </w:pPr>
    </w:p>
    <w:p w14:paraId="76227E33" w14:textId="77777777" w:rsidR="00104B97" w:rsidRDefault="00104B97" w:rsidP="00104B97">
      <w:pPr>
        <w:rPr>
          <w:rFonts w:asciiTheme="minorHAnsi" w:hAnsiTheme="minorHAnsi" w:cstheme="minorHAnsi"/>
          <w:sz w:val="24"/>
          <w:szCs w:val="24"/>
        </w:rPr>
      </w:pPr>
      <w:r w:rsidRPr="00104B97">
        <w:rPr>
          <w:rFonts w:asciiTheme="minorHAnsi" w:hAnsiTheme="minorHAnsi" w:cstheme="minorHAnsi"/>
          <w:sz w:val="24"/>
          <w:szCs w:val="24"/>
        </w:rPr>
        <w:t xml:space="preserve">Given the deceased’s history of drug abuse, this presented a potentially sensitive topic, should the results come back to show a large </w:t>
      </w:r>
      <w:proofErr w:type="gramStart"/>
      <w:r w:rsidRPr="00104B97">
        <w:rPr>
          <w:rFonts w:asciiTheme="minorHAnsi" w:hAnsiTheme="minorHAnsi" w:cstheme="minorHAnsi"/>
          <w:sz w:val="24"/>
          <w:szCs w:val="24"/>
        </w:rPr>
        <w:t>amount</w:t>
      </w:r>
      <w:proofErr w:type="gramEnd"/>
      <w:r w:rsidRPr="00104B97">
        <w:rPr>
          <w:rFonts w:asciiTheme="minorHAnsi" w:hAnsiTheme="minorHAnsi" w:cstheme="minorHAnsi"/>
          <w:sz w:val="24"/>
          <w:szCs w:val="24"/>
        </w:rPr>
        <w:t xml:space="preserve"> of drugs in the system which could have contributed to the death. As such, the explanation behind the requirement for the post-mortem, formed an essential part in ensuring that the family understood the reason and ultimately supported the action of it being conducted. </w:t>
      </w:r>
    </w:p>
    <w:p w14:paraId="5E6082C1" w14:textId="77777777" w:rsidR="00104B97" w:rsidRPr="00104B97" w:rsidRDefault="00104B97" w:rsidP="00104B97">
      <w:pPr>
        <w:rPr>
          <w:rFonts w:asciiTheme="minorHAnsi" w:hAnsiTheme="minorHAnsi" w:cstheme="minorHAnsi"/>
          <w:sz w:val="24"/>
          <w:szCs w:val="24"/>
        </w:rPr>
      </w:pPr>
    </w:p>
    <w:p w14:paraId="24506D47" w14:textId="77777777" w:rsidR="00104B97" w:rsidRDefault="00104B97" w:rsidP="00104B97">
      <w:pPr>
        <w:rPr>
          <w:rFonts w:asciiTheme="minorHAnsi" w:hAnsiTheme="minorHAnsi" w:cstheme="minorHAnsi"/>
          <w:sz w:val="24"/>
          <w:szCs w:val="24"/>
        </w:rPr>
      </w:pPr>
      <w:r w:rsidRPr="00104B97">
        <w:rPr>
          <w:rFonts w:asciiTheme="minorHAnsi" w:hAnsiTheme="minorHAnsi" w:cstheme="minorHAnsi"/>
          <w:sz w:val="24"/>
          <w:szCs w:val="24"/>
        </w:rPr>
        <w:t xml:space="preserve">A standard post-mortem can be an invasive procedure and a forensic post-mortem almost certainly is. “Although informed consent is not required for a forensic autopsy, it is known that the bereaved family wish to have an explanation of the autopsy results” (Ito et al 2010). As such, the result of this was a clear and concise explanation being given to the family so that they understood the requirement from the police for the procedure. </w:t>
      </w:r>
      <w:proofErr w:type="gramStart"/>
      <w:r w:rsidRPr="00104B97">
        <w:rPr>
          <w:rFonts w:asciiTheme="minorHAnsi" w:hAnsiTheme="minorHAnsi" w:cstheme="minorHAnsi"/>
          <w:sz w:val="24"/>
          <w:szCs w:val="24"/>
        </w:rPr>
        <w:t>By having this discussion, it</w:t>
      </w:r>
      <w:proofErr w:type="gramEnd"/>
      <w:r w:rsidRPr="00104B97">
        <w:rPr>
          <w:rFonts w:asciiTheme="minorHAnsi" w:hAnsiTheme="minorHAnsi" w:cstheme="minorHAnsi"/>
          <w:sz w:val="24"/>
          <w:szCs w:val="24"/>
        </w:rPr>
        <w:t xml:space="preserve"> ensured that the family could be involved in the investigation and therefore continue to be supported and supportive. </w:t>
      </w:r>
    </w:p>
    <w:p w14:paraId="07F99BAC" w14:textId="77777777" w:rsidR="00104B97" w:rsidRPr="00104B97" w:rsidRDefault="00104B97" w:rsidP="00104B97">
      <w:pPr>
        <w:rPr>
          <w:rFonts w:asciiTheme="minorHAnsi" w:hAnsiTheme="minorHAnsi" w:cstheme="minorHAnsi"/>
          <w:sz w:val="24"/>
          <w:szCs w:val="24"/>
        </w:rPr>
      </w:pPr>
    </w:p>
    <w:p w14:paraId="3C7D1549" w14:textId="77777777" w:rsidR="00104B97" w:rsidRPr="00104B97" w:rsidRDefault="00104B97" w:rsidP="00104B97">
      <w:pPr>
        <w:rPr>
          <w:rFonts w:asciiTheme="minorHAnsi" w:hAnsiTheme="minorHAnsi" w:cstheme="minorHAnsi"/>
          <w:b/>
          <w:bCs/>
          <w:sz w:val="24"/>
          <w:szCs w:val="24"/>
        </w:rPr>
      </w:pPr>
      <w:r w:rsidRPr="00104B97">
        <w:rPr>
          <w:rFonts w:asciiTheme="minorHAnsi" w:hAnsiTheme="minorHAnsi" w:cstheme="minorHAnsi"/>
          <w:b/>
          <w:bCs/>
          <w:sz w:val="24"/>
          <w:szCs w:val="24"/>
        </w:rPr>
        <w:t xml:space="preserve">VICTIM SUPPORT </w:t>
      </w:r>
    </w:p>
    <w:p w14:paraId="25A658DA" w14:textId="77777777" w:rsidR="00104B97" w:rsidRDefault="00104B97" w:rsidP="00104B97">
      <w:pPr>
        <w:rPr>
          <w:rFonts w:asciiTheme="minorHAnsi" w:hAnsiTheme="minorHAnsi" w:cstheme="minorHAnsi"/>
          <w:sz w:val="24"/>
          <w:szCs w:val="24"/>
        </w:rPr>
      </w:pPr>
      <w:r w:rsidRPr="00104B97">
        <w:rPr>
          <w:rFonts w:asciiTheme="minorHAnsi" w:hAnsiTheme="minorHAnsi" w:cstheme="minorHAnsi"/>
          <w:sz w:val="24"/>
          <w:szCs w:val="24"/>
        </w:rPr>
        <w:t xml:space="preserve">Alongside the investigative actions which were completed, came the requirement to support the next of kin. This was necessary to not only assist the investigation as it progressed, but to also recognise the wider impact upon the involved persons, who ultimately became the ‘voice’ of the victim. Drawing from the work of Roycroft (2019) on the way in which decision making within a policing context is often impacted by a degree of variables, it was important when dealing with the next of kin, to not allow personal feelings to ultimately impact the nature of the investigation. </w:t>
      </w:r>
    </w:p>
    <w:p w14:paraId="5FD5BCA8" w14:textId="77777777" w:rsidR="00104B97" w:rsidRPr="00104B97" w:rsidRDefault="00104B97" w:rsidP="00104B97">
      <w:pPr>
        <w:rPr>
          <w:rFonts w:asciiTheme="minorHAnsi" w:hAnsiTheme="minorHAnsi" w:cstheme="minorHAnsi"/>
          <w:sz w:val="24"/>
          <w:szCs w:val="24"/>
        </w:rPr>
      </w:pPr>
    </w:p>
    <w:p w14:paraId="79AB7A09" w14:textId="77777777" w:rsidR="00104B97" w:rsidRDefault="00104B97" w:rsidP="00104B97">
      <w:pPr>
        <w:rPr>
          <w:rFonts w:asciiTheme="minorHAnsi" w:hAnsiTheme="minorHAnsi" w:cstheme="minorHAnsi"/>
          <w:sz w:val="24"/>
          <w:szCs w:val="24"/>
        </w:rPr>
      </w:pPr>
      <w:r w:rsidRPr="00104B97">
        <w:rPr>
          <w:rFonts w:asciiTheme="minorHAnsi" w:hAnsiTheme="minorHAnsi" w:cstheme="minorHAnsi"/>
          <w:sz w:val="24"/>
          <w:szCs w:val="24"/>
        </w:rPr>
        <w:t xml:space="preserve">In respect of this, feelings of grief obviously played a major part in the interactions with the family as they not only processed the sudden death of a loved one, but also had to establish how they would continue with their own lives and come to terms with that absence. As an individual suddenly located within the centre of this grief, I found that there were </w:t>
      </w:r>
      <w:proofErr w:type="gramStart"/>
      <w:r w:rsidRPr="00104B97">
        <w:rPr>
          <w:rFonts w:asciiTheme="minorHAnsi" w:hAnsiTheme="minorHAnsi" w:cstheme="minorHAnsi"/>
          <w:sz w:val="24"/>
          <w:szCs w:val="24"/>
        </w:rPr>
        <w:t>a number of</w:t>
      </w:r>
      <w:proofErr w:type="gramEnd"/>
      <w:r w:rsidRPr="00104B97">
        <w:rPr>
          <w:rFonts w:asciiTheme="minorHAnsi" w:hAnsiTheme="minorHAnsi" w:cstheme="minorHAnsi"/>
          <w:sz w:val="24"/>
          <w:szCs w:val="24"/>
        </w:rPr>
        <w:t xml:space="preserve"> aspects which I had to manage in relation to not only my role in the investigation and as a police officer, but the persons themselves as I became a constant during this incredibly difficult time for them. </w:t>
      </w:r>
    </w:p>
    <w:p w14:paraId="6BEC41C4" w14:textId="77777777" w:rsidR="00104B97" w:rsidRPr="00104B97" w:rsidRDefault="00104B97" w:rsidP="00104B97">
      <w:pPr>
        <w:rPr>
          <w:rFonts w:asciiTheme="minorHAnsi" w:hAnsiTheme="minorHAnsi" w:cstheme="minorHAnsi"/>
          <w:sz w:val="24"/>
          <w:szCs w:val="24"/>
        </w:rPr>
      </w:pPr>
    </w:p>
    <w:p w14:paraId="4275991D" w14:textId="77777777" w:rsidR="00104B97" w:rsidRPr="00104B97" w:rsidRDefault="00104B97" w:rsidP="00104B97">
      <w:pPr>
        <w:rPr>
          <w:rFonts w:asciiTheme="minorHAnsi" w:hAnsiTheme="minorHAnsi" w:cstheme="minorHAnsi"/>
          <w:sz w:val="24"/>
          <w:szCs w:val="24"/>
        </w:rPr>
      </w:pPr>
      <w:r w:rsidRPr="00104B97">
        <w:rPr>
          <w:rFonts w:asciiTheme="minorHAnsi" w:hAnsiTheme="minorHAnsi" w:cstheme="minorHAnsi"/>
          <w:sz w:val="24"/>
          <w:szCs w:val="24"/>
        </w:rPr>
        <w:t xml:space="preserve">The work of Howarth (2000) establishes the many ways in which people who are experiencing grief not only have to process the loss of the person, but also a loss of their own identity which is tied to that person. In this regard, when supporting the family, it became clear that because they were a very close-knit family unit and had been for some time, the loss extended far beyond the simple physical absence of the deceased. As a result of this, when dealing with the family, I sought to establish the best times to make contact to either provide an update or seek additional information when required. An agreement was </w:t>
      </w:r>
      <w:r w:rsidRPr="00104B97">
        <w:rPr>
          <w:rFonts w:asciiTheme="minorHAnsi" w:hAnsiTheme="minorHAnsi" w:cstheme="minorHAnsi"/>
          <w:sz w:val="24"/>
          <w:szCs w:val="24"/>
        </w:rPr>
        <w:lastRenderedPageBreak/>
        <w:t xml:space="preserve">put in place that on certain days, for example Thursdays after 16:00 hours, I wouldn’t make contact as the family explained that this is when they would normally go shopping with deceased and in the first weeks following the death, found this time particularly difficult. By respecting and understanding this decision, I feel I was able to strengthen the rapport with the family and therefore increase the amount to which they were willing to engage with not only myself, but the investigation, with a shared objective of reaching a definitive answer. </w:t>
      </w:r>
    </w:p>
    <w:p w14:paraId="347FD277" w14:textId="77777777" w:rsidR="00104B97" w:rsidRDefault="00104B97" w:rsidP="00104B97">
      <w:pPr>
        <w:rPr>
          <w:rFonts w:asciiTheme="minorHAnsi" w:hAnsiTheme="minorHAnsi" w:cstheme="minorHAnsi"/>
          <w:sz w:val="24"/>
          <w:szCs w:val="24"/>
        </w:rPr>
      </w:pPr>
      <w:r w:rsidRPr="00104B97">
        <w:rPr>
          <w:rFonts w:asciiTheme="minorHAnsi" w:hAnsiTheme="minorHAnsi" w:cstheme="minorHAnsi"/>
          <w:sz w:val="24"/>
          <w:szCs w:val="24"/>
        </w:rPr>
        <w:t xml:space="preserve">An investigation of this nature, from a personal standpoint introduced </w:t>
      </w:r>
      <w:proofErr w:type="gramStart"/>
      <w:r w:rsidRPr="00104B97">
        <w:rPr>
          <w:rFonts w:asciiTheme="minorHAnsi" w:hAnsiTheme="minorHAnsi" w:cstheme="minorHAnsi"/>
          <w:sz w:val="24"/>
          <w:szCs w:val="24"/>
        </w:rPr>
        <w:t>a number of</w:t>
      </w:r>
      <w:proofErr w:type="gramEnd"/>
      <w:r w:rsidRPr="00104B97">
        <w:rPr>
          <w:rFonts w:asciiTheme="minorHAnsi" w:hAnsiTheme="minorHAnsi" w:cstheme="minorHAnsi"/>
          <w:sz w:val="24"/>
          <w:szCs w:val="24"/>
        </w:rPr>
        <w:t xml:space="preserve"> challenges. Using </w:t>
      </w:r>
      <w:proofErr w:type="spellStart"/>
      <w:r w:rsidRPr="00104B97">
        <w:rPr>
          <w:rFonts w:asciiTheme="minorHAnsi" w:hAnsiTheme="minorHAnsi" w:cstheme="minorHAnsi"/>
          <w:sz w:val="24"/>
          <w:szCs w:val="24"/>
        </w:rPr>
        <w:t>Borton’s</w:t>
      </w:r>
      <w:proofErr w:type="spellEnd"/>
      <w:r w:rsidRPr="00104B97">
        <w:rPr>
          <w:rFonts w:asciiTheme="minorHAnsi" w:hAnsiTheme="minorHAnsi" w:cstheme="minorHAnsi"/>
          <w:sz w:val="24"/>
          <w:szCs w:val="24"/>
        </w:rPr>
        <w:t xml:space="preserve"> (1970) reflective model I shall examine these in retrospect to provide an evaluation on my role within this investigation in respect of the investigation itself to obtain closure for the deceased and his family as well the support which I offered throughout this time. </w:t>
      </w:r>
    </w:p>
    <w:p w14:paraId="6A8CF9BC" w14:textId="77777777" w:rsidR="00104B97" w:rsidRPr="00104B97" w:rsidRDefault="00104B97" w:rsidP="00104B97">
      <w:pPr>
        <w:rPr>
          <w:rFonts w:asciiTheme="minorHAnsi" w:hAnsiTheme="minorHAnsi" w:cstheme="minorHAnsi"/>
          <w:sz w:val="24"/>
          <w:szCs w:val="24"/>
        </w:rPr>
      </w:pPr>
    </w:p>
    <w:p w14:paraId="26B9EC69" w14:textId="77777777" w:rsidR="00104B97" w:rsidRDefault="00104B97" w:rsidP="00104B97">
      <w:pPr>
        <w:rPr>
          <w:rFonts w:asciiTheme="minorHAnsi" w:hAnsiTheme="minorHAnsi" w:cstheme="minorHAnsi"/>
          <w:sz w:val="24"/>
          <w:szCs w:val="24"/>
        </w:rPr>
      </w:pPr>
      <w:r w:rsidRPr="00104B97">
        <w:rPr>
          <w:rFonts w:asciiTheme="minorHAnsi" w:hAnsiTheme="minorHAnsi" w:cstheme="minorHAnsi"/>
          <w:sz w:val="24"/>
          <w:szCs w:val="24"/>
        </w:rPr>
        <w:t xml:space="preserve">It is central when dealing with a family in these circumstances, to recognise “The ways in which police engage with families during a death investigation has the potential to either minimise or exacerbate the pain and suffering of a sudden death” (Carpenter et al 2016:703). Subsequently, I strongly believe that in my approach to the family, by explaining to them at each stage what actions were being taken and why. in an open and honest </w:t>
      </w:r>
      <w:proofErr w:type="gramStart"/>
      <w:r w:rsidRPr="00104B97">
        <w:rPr>
          <w:rFonts w:asciiTheme="minorHAnsi" w:hAnsiTheme="minorHAnsi" w:cstheme="minorHAnsi"/>
          <w:sz w:val="24"/>
          <w:szCs w:val="24"/>
        </w:rPr>
        <w:t>manner</w:t>
      </w:r>
      <w:proofErr w:type="gramEnd"/>
      <w:r w:rsidRPr="00104B97">
        <w:rPr>
          <w:rFonts w:asciiTheme="minorHAnsi" w:hAnsiTheme="minorHAnsi" w:cstheme="minorHAnsi"/>
          <w:sz w:val="24"/>
          <w:szCs w:val="24"/>
        </w:rPr>
        <w:t xml:space="preserve"> I was able to effectively progress the investigation whilst also managing their welfare and ensuring that they were supported during the investigation. The result of this support, whilst it did not lessen the impact of the loss ultimately allowed the family to feel as though an outcome was reached which gave them closure around the sudden death of a loved one. </w:t>
      </w:r>
    </w:p>
    <w:p w14:paraId="1541C9CB" w14:textId="77777777" w:rsidR="00104B97" w:rsidRPr="00104B97" w:rsidRDefault="00104B97" w:rsidP="00104B97">
      <w:pPr>
        <w:rPr>
          <w:rFonts w:asciiTheme="minorHAnsi" w:hAnsiTheme="minorHAnsi" w:cstheme="minorHAnsi"/>
          <w:sz w:val="24"/>
          <w:szCs w:val="24"/>
        </w:rPr>
      </w:pPr>
    </w:p>
    <w:p w14:paraId="45AF2F11" w14:textId="77777777" w:rsidR="00104B97" w:rsidRPr="00104B97" w:rsidRDefault="00104B97" w:rsidP="00104B97">
      <w:pPr>
        <w:rPr>
          <w:rFonts w:asciiTheme="minorHAnsi" w:hAnsiTheme="minorHAnsi" w:cstheme="minorHAnsi"/>
          <w:b/>
          <w:bCs/>
          <w:sz w:val="24"/>
          <w:szCs w:val="24"/>
        </w:rPr>
      </w:pPr>
      <w:r w:rsidRPr="00104B97">
        <w:rPr>
          <w:rFonts w:asciiTheme="minorHAnsi" w:hAnsiTheme="minorHAnsi" w:cstheme="minorHAnsi"/>
          <w:b/>
          <w:bCs/>
          <w:sz w:val="24"/>
          <w:szCs w:val="24"/>
        </w:rPr>
        <w:t xml:space="preserve">CONCLUSION </w:t>
      </w:r>
    </w:p>
    <w:p w14:paraId="33339E90" w14:textId="62D9291E" w:rsidR="00104B97" w:rsidRPr="00104B97" w:rsidRDefault="00104B97" w:rsidP="00104B97">
      <w:pPr>
        <w:ind w:right="237"/>
        <w:jc w:val="both"/>
        <w:rPr>
          <w:rFonts w:asciiTheme="minorHAnsi" w:hAnsiTheme="minorHAnsi" w:cstheme="minorHAnsi"/>
          <w:color w:val="000000" w:themeColor="text1"/>
          <w:sz w:val="32"/>
          <w:szCs w:val="32"/>
        </w:rPr>
      </w:pPr>
      <w:r w:rsidRPr="00104B97">
        <w:rPr>
          <w:rFonts w:asciiTheme="minorHAnsi" w:hAnsiTheme="minorHAnsi" w:cstheme="minorHAnsi"/>
          <w:sz w:val="24"/>
          <w:szCs w:val="24"/>
        </w:rPr>
        <w:t xml:space="preserve">A complex investigation in which there was a strong connection between actions completed and emotional management, this case presented </w:t>
      </w:r>
      <w:proofErr w:type="gramStart"/>
      <w:r w:rsidRPr="00104B97">
        <w:rPr>
          <w:rFonts w:asciiTheme="minorHAnsi" w:hAnsiTheme="minorHAnsi" w:cstheme="minorHAnsi"/>
          <w:sz w:val="24"/>
          <w:szCs w:val="24"/>
        </w:rPr>
        <w:t>a number of</w:t>
      </w:r>
      <w:proofErr w:type="gramEnd"/>
      <w:r w:rsidRPr="00104B97">
        <w:rPr>
          <w:rFonts w:asciiTheme="minorHAnsi" w:hAnsiTheme="minorHAnsi" w:cstheme="minorHAnsi"/>
          <w:sz w:val="24"/>
          <w:szCs w:val="24"/>
        </w:rPr>
        <w:t xml:space="preserve"> complex components which required considerable effort to manage efficiently. By being presented with a ‘victim’ in the form of the deceased who was unable to have a voice, it fell to the family to ultimately become this voice. Therefore, by engaging with them in a way that sought to bring them answers and closure as to the sudden death of a loved</w:t>
      </w:r>
      <w:r w:rsidR="00753B6B">
        <w:rPr>
          <w:rFonts w:asciiTheme="minorHAnsi" w:hAnsiTheme="minorHAnsi" w:cstheme="minorHAnsi"/>
          <w:sz w:val="24"/>
          <w:szCs w:val="24"/>
        </w:rPr>
        <w:t xml:space="preserve"> one, I believe that this investigation effectively managed </w:t>
      </w:r>
      <w:r w:rsidR="00914A24">
        <w:rPr>
          <w:rFonts w:asciiTheme="minorHAnsi" w:hAnsiTheme="minorHAnsi" w:cstheme="minorHAnsi"/>
          <w:sz w:val="24"/>
          <w:szCs w:val="24"/>
        </w:rPr>
        <w:t xml:space="preserve">the necessary responsibility of both a professional and personal response. </w:t>
      </w:r>
    </w:p>
    <w:p w14:paraId="22F2900A" w14:textId="77777777" w:rsidR="00660A17" w:rsidRDefault="00660A17" w:rsidP="009370AE">
      <w:pPr>
        <w:ind w:right="237"/>
        <w:jc w:val="both"/>
        <w:rPr>
          <w:b/>
          <w:bCs/>
          <w:color w:val="000000" w:themeColor="text1"/>
          <w:sz w:val="28"/>
          <w:szCs w:val="28"/>
        </w:rPr>
      </w:pPr>
    </w:p>
    <w:p w14:paraId="03712E1A" w14:textId="77777777" w:rsidR="00660A17" w:rsidRDefault="00660A17" w:rsidP="009370AE">
      <w:pPr>
        <w:ind w:right="237"/>
        <w:jc w:val="both"/>
        <w:rPr>
          <w:b/>
          <w:bCs/>
          <w:color w:val="000000" w:themeColor="text1"/>
          <w:sz w:val="28"/>
          <w:szCs w:val="28"/>
        </w:rPr>
      </w:pPr>
    </w:p>
    <w:p w14:paraId="7A92114D" w14:textId="77777777" w:rsidR="00660A17" w:rsidRDefault="00660A17" w:rsidP="009370AE">
      <w:pPr>
        <w:ind w:right="237"/>
        <w:jc w:val="both"/>
        <w:rPr>
          <w:b/>
          <w:bCs/>
          <w:color w:val="000000" w:themeColor="text1"/>
          <w:sz w:val="28"/>
          <w:szCs w:val="28"/>
        </w:rPr>
      </w:pPr>
    </w:p>
    <w:p w14:paraId="58F853A1" w14:textId="77777777" w:rsidR="00660A17" w:rsidRDefault="00660A17" w:rsidP="009370AE">
      <w:pPr>
        <w:ind w:right="237"/>
        <w:jc w:val="both"/>
        <w:rPr>
          <w:b/>
          <w:bCs/>
          <w:color w:val="000000" w:themeColor="text1"/>
          <w:sz w:val="28"/>
          <w:szCs w:val="28"/>
        </w:rPr>
      </w:pPr>
    </w:p>
    <w:p w14:paraId="1362B3FD" w14:textId="77777777" w:rsidR="00660A17" w:rsidRDefault="00660A17" w:rsidP="009370AE">
      <w:pPr>
        <w:ind w:right="237"/>
        <w:jc w:val="both"/>
        <w:rPr>
          <w:b/>
          <w:bCs/>
          <w:color w:val="000000" w:themeColor="text1"/>
          <w:sz w:val="28"/>
          <w:szCs w:val="28"/>
        </w:rPr>
      </w:pPr>
    </w:p>
    <w:p w14:paraId="277A2D36" w14:textId="77777777" w:rsidR="00660A17" w:rsidRDefault="00660A17" w:rsidP="009370AE">
      <w:pPr>
        <w:ind w:right="237"/>
        <w:jc w:val="both"/>
        <w:rPr>
          <w:b/>
          <w:bCs/>
          <w:color w:val="000000" w:themeColor="text1"/>
          <w:sz w:val="28"/>
          <w:szCs w:val="28"/>
        </w:rPr>
      </w:pPr>
    </w:p>
    <w:p w14:paraId="4F564254" w14:textId="77777777" w:rsidR="00660A17" w:rsidRDefault="00660A17" w:rsidP="009370AE">
      <w:pPr>
        <w:ind w:right="237"/>
        <w:jc w:val="both"/>
        <w:rPr>
          <w:b/>
          <w:bCs/>
          <w:color w:val="000000" w:themeColor="text1"/>
          <w:sz w:val="28"/>
          <w:szCs w:val="28"/>
        </w:rPr>
      </w:pPr>
    </w:p>
    <w:p w14:paraId="7E34EB8D" w14:textId="77777777" w:rsidR="006A67DA" w:rsidRDefault="006A67DA" w:rsidP="5CE196A1">
      <w:pPr>
        <w:rPr>
          <w:b/>
          <w:bCs/>
          <w:color w:val="000000" w:themeColor="text1"/>
          <w:sz w:val="28"/>
          <w:szCs w:val="28"/>
        </w:rPr>
      </w:pPr>
    </w:p>
    <w:p w14:paraId="03190282" w14:textId="77777777" w:rsidR="006A67DA" w:rsidRDefault="006A67DA" w:rsidP="5CE196A1">
      <w:pPr>
        <w:rPr>
          <w:b/>
          <w:bCs/>
          <w:color w:val="000000" w:themeColor="text1"/>
          <w:sz w:val="28"/>
          <w:szCs w:val="28"/>
        </w:rPr>
      </w:pPr>
    </w:p>
    <w:p w14:paraId="576B8114" w14:textId="77777777" w:rsidR="006A67DA" w:rsidRDefault="006A67DA" w:rsidP="5CE196A1">
      <w:pPr>
        <w:rPr>
          <w:b/>
          <w:bCs/>
          <w:color w:val="000000" w:themeColor="text1"/>
          <w:sz w:val="28"/>
          <w:szCs w:val="28"/>
        </w:rPr>
      </w:pPr>
    </w:p>
    <w:p w14:paraId="7B11BEB1" w14:textId="77777777" w:rsidR="0024077D" w:rsidRDefault="0024077D" w:rsidP="5CE196A1">
      <w:pPr>
        <w:rPr>
          <w:rFonts w:eastAsia="Arial"/>
          <w:b/>
          <w:bCs/>
          <w:color w:val="000000" w:themeColor="text1"/>
          <w:sz w:val="24"/>
          <w:szCs w:val="24"/>
        </w:rPr>
      </w:pPr>
    </w:p>
    <w:p w14:paraId="50665BB3" w14:textId="77777777" w:rsidR="0024077D" w:rsidRDefault="0024077D" w:rsidP="5CE196A1">
      <w:pPr>
        <w:rPr>
          <w:rFonts w:eastAsia="Arial"/>
          <w:b/>
          <w:bCs/>
          <w:color w:val="000000" w:themeColor="text1"/>
          <w:sz w:val="24"/>
          <w:szCs w:val="24"/>
        </w:rPr>
      </w:pPr>
    </w:p>
    <w:p w14:paraId="72BD448B" w14:textId="77777777" w:rsidR="0024077D" w:rsidRDefault="0024077D" w:rsidP="5CE196A1">
      <w:pPr>
        <w:rPr>
          <w:rFonts w:eastAsia="Arial"/>
          <w:b/>
          <w:bCs/>
          <w:color w:val="000000" w:themeColor="text1"/>
          <w:sz w:val="24"/>
          <w:szCs w:val="24"/>
        </w:rPr>
      </w:pPr>
    </w:p>
    <w:p w14:paraId="46A2CA71" w14:textId="77777777" w:rsidR="00E43427" w:rsidRDefault="00E43427" w:rsidP="5CE196A1">
      <w:pPr>
        <w:rPr>
          <w:rFonts w:eastAsia="Arial"/>
          <w:b/>
          <w:bCs/>
          <w:color w:val="000000" w:themeColor="text1"/>
          <w:sz w:val="24"/>
          <w:szCs w:val="24"/>
        </w:rPr>
      </w:pPr>
    </w:p>
    <w:p w14:paraId="1ADEFAE5" w14:textId="1ED0ADA8" w:rsidR="0FF883D4" w:rsidRDefault="5CE196A1" w:rsidP="5CE196A1">
      <w:r w:rsidRPr="5CE196A1">
        <w:rPr>
          <w:rFonts w:eastAsia="Arial"/>
          <w:b/>
          <w:bCs/>
          <w:color w:val="000000" w:themeColor="text1"/>
          <w:sz w:val="24"/>
          <w:szCs w:val="24"/>
        </w:rPr>
        <w:lastRenderedPageBreak/>
        <w:t xml:space="preserve">Authentication signature: </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64207DFA" w:rsidR="0FF883D4" w:rsidRDefault="5CE196A1" w:rsidP="5CE196A1">
      <w:r w:rsidRPr="5CE196A1">
        <w:rPr>
          <w:rFonts w:eastAsia="Arial"/>
          <w:b/>
          <w:bCs/>
          <w:color w:val="000000" w:themeColor="text1"/>
          <w:sz w:val="24"/>
          <w:szCs w:val="24"/>
        </w:rPr>
        <w:t xml:space="preserve">Signed: </w:t>
      </w:r>
    </w:p>
    <w:p w14:paraId="563192E7" w14:textId="7A83C86F" w:rsidR="0FF883D4" w:rsidRDefault="5CE196A1" w:rsidP="5CE196A1">
      <w:r w:rsidRPr="5CE196A1">
        <w:rPr>
          <w:rFonts w:eastAsia="Arial"/>
          <w:b/>
          <w:bCs/>
          <w:color w:val="000000" w:themeColor="text1"/>
          <w:sz w:val="24"/>
          <w:szCs w:val="24"/>
        </w:rPr>
        <w:t xml:space="preserve"> </w:t>
      </w:r>
    </w:p>
    <w:p w14:paraId="22DBB0E5" w14:textId="43985F4F" w:rsidR="0FF883D4" w:rsidRDefault="5CE196A1" w:rsidP="5CE196A1">
      <w:r w:rsidRPr="5CE196A1">
        <w:rPr>
          <w:rFonts w:eastAsia="Arial"/>
          <w:b/>
          <w:bCs/>
          <w:color w:val="000000" w:themeColor="text1"/>
          <w:sz w:val="24"/>
          <w:szCs w:val="24"/>
        </w:rPr>
        <w:t>Date:</w:t>
      </w:r>
    </w:p>
    <w:p w14:paraId="482B2B3A" w14:textId="58CD1802" w:rsidR="0FF883D4" w:rsidRDefault="0FF883D4" w:rsidP="5CE196A1">
      <w:pPr>
        <w:ind w:left="2880" w:right="225" w:firstLine="720"/>
        <w:rPr>
          <w:b/>
          <w:bCs/>
          <w:sz w:val="24"/>
          <w:szCs w:val="24"/>
          <w:lang w:eastAsia="zh-TW"/>
        </w:rPr>
        <w:sectPr w:rsidR="0FF883D4" w:rsidSect="0022001B">
          <w:headerReference w:type="even" r:id="rId15"/>
          <w:headerReference w:type="default" r:id="rId16"/>
          <w:footerReference w:type="even" r:id="rId17"/>
          <w:footerReference w:type="default" r:id="rId18"/>
          <w:headerReference w:type="first" r:id="rId19"/>
          <w:footerReference w:type="first" r:id="rId20"/>
          <w:pgSz w:w="11906" w:h="16838" w:code="9"/>
          <w:pgMar w:top="1440" w:right="1440" w:bottom="1440" w:left="1440" w:header="720" w:footer="720" w:gutter="0"/>
          <w:cols w:space="720"/>
          <w:docGrid w:linePitch="272"/>
        </w:sectPr>
      </w:pP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1EAEB4A4"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02F53A42" w14:textId="77777777" w:rsidR="00A570F0" w:rsidRDefault="00A570F0" w:rsidP="00A570F0">
      <w:pPr>
        <w:keepNext/>
        <w:spacing w:before="240" w:after="60"/>
        <w:ind w:right="237"/>
        <w:jc w:val="both"/>
      </w:pPr>
      <w:r>
        <w:t xml:space="preserve">Beech, A R. Elliott, I A. </w:t>
      </w:r>
      <w:proofErr w:type="spellStart"/>
      <w:r>
        <w:t>Birgden</w:t>
      </w:r>
      <w:proofErr w:type="spellEnd"/>
      <w:r>
        <w:t xml:space="preserve">, A and </w:t>
      </w:r>
      <w:proofErr w:type="spellStart"/>
      <w:r>
        <w:t>Findlater</w:t>
      </w:r>
      <w:proofErr w:type="spellEnd"/>
      <w:r>
        <w:t xml:space="preserve">, D K. (2008) ‘The Internet and child sexual offending: A criminological review’ </w:t>
      </w:r>
      <w:r>
        <w:rPr>
          <w:i/>
          <w:iCs/>
        </w:rPr>
        <w:t xml:space="preserve">Aggression and violent behaviour (13:3) </w:t>
      </w:r>
      <w:proofErr w:type="spellStart"/>
      <w:r>
        <w:t>p.g.</w:t>
      </w:r>
      <w:proofErr w:type="spellEnd"/>
      <w:r>
        <w:t xml:space="preserve"> 216-228 Available at: </w:t>
      </w:r>
      <w:hyperlink r:id="rId21" w:history="1">
        <w:r>
          <w:rPr>
            <w:rStyle w:val="Hyperlink"/>
          </w:rPr>
          <w:t>The Internet and child sexual offending: A criminological review - ScienceDirect (uwtsd.ac.uk)</w:t>
        </w:r>
      </w:hyperlink>
      <w:r>
        <w:t xml:space="preserve"> (Accessed on 28/06/2024) </w:t>
      </w:r>
    </w:p>
    <w:p w14:paraId="6EF1F961" w14:textId="77777777" w:rsidR="00A570F0" w:rsidRDefault="00A570F0" w:rsidP="00A570F0">
      <w:pPr>
        <w:keepNext/>
        <w:spacing w:before="240" w:after="60"/>
        <w:ind w:right="237"/>
        <w:jc w:val="both"/>
      </w:pPr>
      <w:proofErr w:type="spellStart"/>
      <w:r>
        <w:t>Borton</w:t>
      </w:r>
      <w:proofErr w:type="spellEnd"/>
      <w:r>
        <w:t xml:space="preserve">, T (1970) </w:t>
      </w:r>
      <w:r>
        <w:rPr>
          <w:i/>
          <w:iCs/>
        </w:rPr>
        <w:t xml:space="preserve">Reach, touch and teach. </w:t>
      </w:r>
      <w:r>
        <w:t xml:space="preserve">Hutchinson. </w:t>
      </w:r>
    </w:p>
    <w:p w14:paraId="03EC917F" w14:textId="5059BD0B" w:rsidR="00070603" w:rsidRPr="000D7E13" w:rsidRDefault="00070603" w:rsidP="00A570F0">
      <w:pPr>
        <w:keepNext/>
        <w:spacing w:before="240" w:after="60"/>
        <w:ind w:right="237"/>
        <w:jc w:val="both"/>
      </w:pPr>
      <w:r>
        <w:t xml:space="preserve">Carpenter, B. Tait, G. </w:t>
      </w:r>
      <w:proofErr w:type="spellStart"/>
      <w:r>
        <w:t>Quadrelli</w:t>
      </w:r>
      <w:proofErr w:type="spellEnd"/>
      <w:r>
        <w:t xml:space="preserve">, C. Thompson, I A. (2016) ‘Investigating death: the emotional and cultural challenge for police’ </w:t>
      </w:r>
      <w:r>
        <w:rPr>
          <w:i/>
          <w:iCs/>
        </w:rPr>
        <w:t xml:space="preserve">Routledge Policing &amp; society (26:6) </w:t>
      </w:r>
      <w:proofErr w:type="spellStart"/>
      <w:r>
        <w:rPr>
          <w:i/>
          <w:iCs/>
        </w:rPr>
        <w:t>p.g.</w:t>
      </w:r>
      <w:proofErr w:type="spellEnd"/>
      <w:r>
        <w:rPr>
          <w:i/>
          <w:iCs/>
        </w:rPr>
        <w:t xml:space="preserve"> 698-712 </w:t>
      </w:r>
      <w:r>
        <w:t xml:space="preserve">Available at: </w:t>
      </w:r>
      <w:hyperlink r:id="rId22" w:history="1">
        <w:r>
          <w:rPr>
            <w:rStyle w:val="Hyperlink"/>
          </w:rPr>
          <w:t>Full article: Investigating death: the emotional and cultural challenges for police (uwtsd.ac.uk)</w:t>
        </w:r>
      </w:hyperlink>
      <w:r>
        <w:t xml:space="preserve"> Accessed 25/06/2024) </w:t>
      </w:r>
    </w:p>
    <w:p w14:paraId="228CD464" w14:textId="77777777" w:rsidR="00A570F0" w:rsidRDefault="00A570F0" w:rsidP="00A570F0">
      <w:pPr>
        <w:keepNext/>
        <w:spacing w:before="240" w:after="60"/>
        <w:ind w:right="237"/>
        <w:jc w:val="both"/>
      </w:pPr>
      <w:r>
        <w:t xml:space="preserve">Cossins, A (2000) </w:t>
      </w:r>
      <w:r>
        <w:rPr>
          <w:i/>
          <w:iCs/>
        </w:rPr>
        <w:t xml:space="preserve">Masculinities, </w:t>
      </w:r>
      <w:proofErr w:type="gramStart"/>
      <w:r>
        <w:rPr>
          <w:i/>
          <w:iCs/>
        </w:rPr>
        <w:t>sexualities</w:t>
      </w:r>
      <w:proofErr w:type="gramEnd"/>
      <w:r>
        <w:rPr>
          <w:i/>
          <w:iCs/>
        </w:rPr>
        <w:t xml:space="preserve"> and child sexual abuse. </w:t>
      </w:r>
      <w:r>
        <w:t xml:space="preserve">Kluwer Law International. </w:t>
      </w:r>
    </w:p>
    <w:p w14:paraId="3484B492" w14:textId="77777777" w:rsidR="00A570F0" w:rsidRDefault="00A570F0" w:rsidP="00A570F0">
      <w:pPr>
        <w:keepNext/>
        <w:spacing w:before="240" w:after="60"/>
        <w:ind w:right="237"/>
        <w:jc w:val="both"/>
      </w:pPr>
      <w:r>
        <w:rPr>
          <w:i/>
          <w:iCs/>
        </w:rPr>
        <w:t xml:space="preserve">Criminal Justice Act 1988 c 33. </w:t>
      </w:r>
      <w:r>
        <w:t xml:space="preserve">Available at: </w:t>
      </w:r>
      <w:hyperlink r:id="rId23" w:history="1">
        <w:r>
          <w:rPr>
            <w:rStyle w:val="Hyperlink"/>
          </w:rPr>
          <w:t>Criminal Justice Act 1988 (legislation.gov.uk)</w:t>
        </w:r>
      </w:hyperlink>
      <w:r>
        <w:t xml:space="preserve"> (Accessed 15 Match 2024) </w:t>
      </w:r>
    </w:p>
    <w:p w14:paraId="74C56AC9" w14:textId="77777777" w:rsidR="00070603" w:rsidRDefault="00070603" w:rsidP="00070603">
      <w:pPr>
        <w:keepNext/>
        <w:spacing w:before="240" w:after="60"/>
        <w:ind w:right="237"/>
        <w:jc w:val="both"/>
      </w:pPr>
      <w:r>
        <w:t xml:space="preserve">Howarth, G (2000) ‘Dismantling the boundaries between life and death’ </w:t>
      </w:r>
      <w:r>
        <w:rPr>
          <w:i/>
          <w:iCs/>
        </w:rPr>
        <w:t xml:space="preserve">Mortality (5:2) </w:t>
      </w:r>
      <w:r>
        <w:t xml:space="preserve">p.g.127-138. Available at: </w:t>
      </w:r>
      <w:hyperlink r:id="rId24" w:history="1">
        <w:r>
          <w:rPr>
            <w:rStyle w:val="Hyperlink"/>
          </w:rPr>
          <w:t>Dismantling the boundaries between life and death - ProQuest</w:t>
        </w:r>
      </w:hyperlink>
      <w:r>
        <w:t xml:space="preserve"> (Accessed 25/04/2024)</w:t>
      </w:r>
    </w:p>
    <w:p w14:paraId="061A97CC" w14:textId="7F05E1D7" w:rsidR="003D4C88" w:rsidRDefault="003D4C88" w:rsidP="00070603">
      <w:pPr>
        <w:keepNext/>
        <w:spacing w:before="240" w:after="60"/>
        <w:ind w:right="237"/>
        <w:jc w:val="both"/>
      </w:pPr>
      <w:hyperlink r:id="rId25" w:anchor="golden-hour-eaaa6299-ad83-4e0d-9e3c-00be51961cdd" w:history="1">
        <w:r>
          <w:rPr>
            <w:rStyle w:val="Hyperlink"/>
          </w:rPr>
          <w:t>Investigation process | College of Policing</w:t>
        </w:r>
      </w:hyperlink>
      <w:r>
        <w:t xml:space="preserve"> (Accessed 28 June 2024) </w:t>
      </w:r>
    </w:p>
    <w:p w14:paraId="63D6A1C6" w14:textId="77777777" w:rsidR="00070603" w:rsidRDefault="00070603" w:rsidP="00070603">
      <w:pPr>
        <w:keepNext/>
        <w:spacing w:before="240" w:after="60"/>
        <w:ind w:right="237"/>
        <w:jc w:val="both"/>
      </w:pPr>
      <w:r>
        <w:t xml:space="preserve">Ito T. </w:t>
      </w:r>
      <w:proofErr w:type="spellStart"/>
      <w:r>
        <w:t>Nobutomo</w:t>
      </w:r>
      <w:proofErr w:type="spellEnd"/>
      <w:r>
        <w:t xml:space="preserve">, K. </w:t>
      </w:r>
      <w:proofErr w:type="spellStart"/>
      <w:r>
        <w:t>Fujimiya</w:t>
      </w:r>
      <w:proofErr w:type="spellEnd"/>
      <w:r>
        <w:t xml:space="preserve"> T. </w:t>
      </w:r>
      <w:proofErr w:type="spellStart"/>
      <w:r>
        <w:t>Yoshia</w:t>
      </w:r>
      <w:proofErr w:type="spellEnd"/>
      <w:r>
        <w:t xml:space="preserve"> K. (2010) ‘Importance of explanation before and after forensic autopsy to the bereaved family: lessons from a questionnaire study’ </w:t>
      </w:r>
      <w:r>
        <w:rPr>
          <w:i/>
          <w:iCs/>
        </w:rPr>
        <w:t xml:space="preserve">Law, </w:t>
      </w:r>
      <w:proofErr w:type="gramStart"/>
      <w:r>
        <w:rPr>
          <w:i/>
          <w:iCs/>
        </w:rPr>
        <w:t>ethics</w:t>
      </w:r>
      <w:proofErr w:type="gramEnd"/>
      <w:r>
        <w:rPr>
          <w:i/>
          <w:iCs/>
        </w:rPr>
        <w:t xml:space="preserve"> and medicine (36:2) </w:t>
      </w:r>
      <w:r>
        <w:t xml:space="preserve">p.g.103-105. Available at: </w:t>
      </w:r>
      <w:hyperlink r:id="rId26" w:history="1">
        <w:r>
          <w:rPr>
            <w:rStyle w:val="Hyperlink"/>
          </w:rPr>
          <w:t>Importance of explanation before and after forensic autopsy to the bereaved family: lessons from a questionnaire study on JSTOR (uwtsd.ac.uk)</w:t>
        </w:r>
      </w:hyperlink>
      <w:r>
        <w:t xml:space="preserve"> (Accessed 25/04/2024)</w:t>
      </w:r>
    </w:p>
    <w:p w14:paraId="17D51F49" w14:textId="77777777" w:rsidR="00070603" w:rsidRDefault="00070603" w:rsidP="00070603">
      <w:pPr>
        <w:keepNext/>
        <w:spacing w:before="240" w:after="60"/>
        <w:ind w:right="237"/>
        <w:jc w:val="both"/>
      </w:pPr>
      <w:proofErr w:type="spellStart"/>
      <w:r>
        <w:t>Kalfoglou</w:t>
      </w:r>
      <w:proofErr w:type="spellEnd"/>
      <w:r>
        <w:t xml:space="preserve">, E. (2012) </w:t>
      </w:r>
      <w:r>
        <w:rPr>
          <w:i/>
          <w:iCs/>
        </w:rPr>
        <w:t xml:space="preserve">Sexual Abuse: Breaking the Silence. </w:t>
      </w:r>
      <w:proofErr w:type="spellStart"/>
      <w:r>
        <w:t>IntechOpen</w:t>
      </w:r>
      <w:proofErr w:type="spellEnd"/>
      <w:r>
        <w:t xml:space="preserve">. </w:t>
      </w:r>
    </w:p>
    <w:p w14:paraId="421F315A" w14:textId="77777777" w:rsidR="00070603" w:rsidRDefault="00070603" w:rsidP="00070603">
      <w:pPr>
        <w:keepNext/>
        <w:spacing w:before="240" w:after="60"/>
        <w:ind w:right="237"/>
        <w:jc w:val="both"/>
      </w:pPr>
      <w:r>
        <w:t xml:space="preserve">May-Chahal, C &amp; Kelly, E, (2020) </w:t>
      </w:r>
      <w:r>
        <w:rPr>
          <w:i/>
          <w:iCs/>
        </w:rPr>
        <w:t xml:space="preserve">Online child sexual victimisation. </w:t>
      </w:r>
      <w:r>
        <w:t xml:space="preserve">Policy Press. </w:t>
      </w:r>
    </w:p>
    <w:p w14:paraId="27EDD89B" w14:textId="77777777" w:rsidR="003D4C88" w:rsidRDefault="003D4C88" w:rsidP="003D4C88">
      <w:pPr>
        <w:keepNext/>
        <w:spacing w:before="240" w:after="60"/>
        <w:ind w:right="237"/>
        <w:jc w:val="both"/>
      </w:pPr>
      <w:r>
        <w:t xml:space="preserve">Roycroft, M &amp; Roach, J. (2019) </w:t>
      </w:r>
      <w:r>
        <w:rPr>
          <w:i/>
          <w:iCs/>
        </w:rPr>
        <w:t xml:space="preserve">Decision Making in Police Enquiries and Critical Incidents What Really Works? </w:t>
      </w:r>
      <w:r>
        <w:t xml:space="preserve">Palgrave Macmillan UK. </w:t>
      </w:r>
    </w:p>
    <w:p w14:paraId="751ED119" w14:textId="35B2F40C" w:rsidR="003D4C88" w:rsidRDefault="003D4C88" w:rsidP="003D4C88">
      <w:pPr>
        <w:keepNext/>
        <w:spacing w:before="240" w:after="60"/>
        <w:ind w:right="237"/>
        <w:jc w:val="both"/>
      </w:pPr>
      <w:hyperlink r:id="rId27" w:history="1">
        <w:proofErr w:type="spellStart"/>
        <w:r>
          <w:rPr>
            <w:rStyle w:val="Hyperlink"/>
          </w:rPr>
          <w:t>SchoolBeat.cymru</w:t>
        </w:r>
        <w:proofErr w:type="spellEnd"/>
      </w:hyperlink>
      <w:r>
        <w:t xml:space="preserve"> (Accessed: 28 June 2024)</w:t>
      </w:r>
    </w:p>
    <w:p w14:paraId="08A3B0BC" w14:textId="77777777" w:rsidR="003D4C88" w:rsidRDefault="003D4C88" w:rsidP="003D4C88">
      <w:pPr>
        <w:keepNext/>
        <w:spacing w:before="240" w:after="60"/>
        <w:ind w:right="237"/>
        <w:jc w:val="both"/>
      </w:pPr>
      <w:r>
        <w:t xml:space="preserve">Seth R, Srivastava R N. (2017) ‘Child Sexual Abuse: Management and Prevention and Protection of Children from Sexual Offences (POCSO) Act’ </w:t>
      </w:r>
      <w:r>
        <w:rPr>
          <w:i/>
          <w:iCs/>
        </w:rPr>
        <w:t xml:space="preserve">New Delhi: Springer India; Indian </w:t>
      </w:r>
      <w:proofErr w:type="spellStart"/>
      <w:r>
        <w:rPr>
          <w:i/>
          <w:iCs/>
        </w:rPr>
        <w:t>Pediatrics</w:t>
      </w:r>
      <w:proofErr w:type="spellEnd"/>
      <w:r>
        <w:rPr>
          <w:i/>
          <w:iCs/>
        </w:rPr>
        <w:t xml:space="preserve"> (54:11) </w:t>
      </w:r>
      <w:proofErr w:type="spellStart"/>
      <w:r>
        <w:rPr>
          <w:i/>
          <w:iCs/>
        </w:rPr>
        <w:t>p.g.</w:t>
      </w:r>
      <w:proofErr w:type="spellEnd"/>
      <w:r>
        <w:rPr>
          <w:i/>
          <w:iCs/>
        </w:rPr>
        <w:t xml:space="preserve"> 949-953. </w:t>
      </w:r>
      <w:r>
        <w:t xml:space="preserve">Available at: </w:t>
      </w:r>
      <w:hyperlink r:id="rId28" w:history="1">
        <w:r>
          <w:rPr>
            <w:rStyle w:val="Hyperlink"/>
          </w:rPr>
          <w:t xml:space="preserve">Child Sexual Abuse: Management and prevention, and protection of </w:t>
        </w:r>
        <w:r>
          <w:rPr>
            <w:rStyle w:val="Hyperlink"/>
          </w:rPr>
          <w:lastRenderedPageBreak/>
          <w:t xml:space="preserve">children from Sexual Offences (POCSO) Act | Indian </w:t>
        </w:r>
        <w:proofErr w:type="spellStart"/>
        <w:r>
          <w:rPr>
            <w:rStyle w:val="Hyperlink"/>
          </w:rPr>
          <w:t>Pediatrics</w:t>
        </w:r>
        <w:proofErr w:type="spellEnd"/>
        <w:r>
          <w:rPr>
            <w:rStyle w:val="Hyperlink"/>
          </w:rPr>
          <w:t xml:space="preserve"> (springer.com)</w:t>
        </w:r>
      </w:hyperlink>
      <w:r>
        <w:t xml:space="preserve"> (Accessed on 21/03/2024) </w:t>
      </w:r>
    </w:p>
    <w:p w14:paraId="7B23F27F" w14:textId="2A4B2D7E" w:rsidR="00D84E55" w:rsidRDefault="00D84E55" w:rsidP="00EA28F1">
      <w:pPr>
        <w:keepNext/>
        <w:spacing w:before="240" w:after="60"/>
        <w:ind w:right="237"/>
        <w:jc w:val="both"/>
      </w:pPr>
      <w:r>
        <w:rPr>
          <w:i/>
          <w:iCs/>
        </w:rPr>
        <w:t>Sexual Offences Act</w:t>
      </w:r>
      <w:r w:rsidR="006A3009">
        <w:rPr>
          <w:i/>
          <w:iCs/>
        </w:rPr>
        <w:t xml:space="preserve"> 200</w:t>
      </w:r>
      <w:r w:rsidR="0005247B">
        <w:rPr>
          <w:i/>
          <w:iCs/>
        </w:rPr>
        <w:t>3</w:t>
      </w:r>
      <w:r w:rsidR="00ED384E">
        <w:rPr>
          <w:i/>
          <w:iCs/>
        </w:rPr>
        <w:t xml:space="preserve"> c 42</w:t>
      </w:r>
      <w:r w:rsidR="006A3009">
        <w:rPr>
          <w:i/>
          <w:iCs/>
        </w:rPr>
        <w:t xml:space="preserve">. </w:t>
      </w:r>
      <w:r w:rsidR="006A3009">
        <w:t xml:space="preserve">Available at: </w:t>
      </w:r>
      <w:hyperlink r:id="rId29" w:history="1">
        <w:r>
          <w:rPr>
            <w:rStyle w:val="Hyperlink"/>
          </w:rPr>
          <w:t>Sexual Offences Act 2003 (legislation.gov.uk)</w:t>
        </w:r>
      </w:hyperlink>
      <w:r w:rsidR="0079772A">
        <w:t xml:space="preserve"> (Accessed 15 March 2024)</w:t>
      </w:r>
    </w:p>
    <w:p w14:paraId="30881335" w14:textId="40F745C2" w:rsidR="00FB017B" w:rsidRDefault="00FB017B" w:rsidP="00EA28F1">
      <w:pPr>
        <w:keepNext/>
        <w:spacing w:before="240" w:after="60"/>
        <w:ind w:right="237"/>
        <w:jc w:val="both"/>
      </w:pPr>
      <w:r>
        <w:t xml:space="preserve">Thomas, T. (2016) </w:t>
      </w:r>
      <w:r w:rsidR="00D81479">
        <w:rPr>
          <w:i/>
          <w:iCs/>
        </w:rPr>
        <w:t xml:space="preserve">Policing Sexual Offences and Sex Offenders. </w:t>
      </w:r>
      <w:r w:rsidR="00D81479">
        <w:t xml:space="preserve">Palgrave Macmillan UK. </w:t>
      </w:r>
    </w:p>
    <w:p w14:paraId="176B3456" w14:textId="61DD5BD2" w:rsidR="0074138F" w:rsidRDefault="004E4106" w:rsidP="00F1276E">
      <w:pPr>
        <w:keepNext/>
        <w:spacing w:before="240" w:after="60"/>
        <w:ind w:right="237"/>
        <w:jc w:val="both"/>
      </w:pPr>
      <w:hyperlink r:id="rId30" w:history="1">
        <w:r>
          <w:rPr>
            <w:rStyle w:val="Hyperlink"/>
          </w:rPr>
          <w:t>Understanding the Power and Control Wheel - Domestic Abuse Intervention Programs (theduluthmodel.org)</w:t>
        </w:r>
      </w:hyperlink>
      <w:r w:rsidR="0062000B">
        <w:t xml:space="preserve"> (Accessed: 28 June 2024) </w:t>
      </w:r>
    </w:p>
    <w:p w14:paraId="07AF3F33" w14:textId="62523D03" w:rsidR="003D4C88" w:rsidRDefault="003D4C88" w:rsidP="00F1276E">
      <w:pPr>
        <w:keepNext/>
        <w:spacing w:before="240" w:after="60"/>
        <w:ind w:right="237"/>
        <w:jc w:val="both"/>
      </w:pPr>
      <w:proofErr w:type="spellStart"/>
      <w:r>
        <w:t>Wastell</w:t>
      </w:r>
      <w:proofErr w:type="spellEnd"/>
      <w:r>
        <w:t xml:space="preserve">, C A. Cairns, D. Haywood, H. (2009) ‘Empathy training, sex offenders and re-offending’ </w:t>
      </w:r>
      <w:r>
        <w:rPr>
          <w:i/>
          <w:iCs/>
        </w:rPr>
        <w:t xml:space="preserve">The Journal of Sexual Aggression (15:2) </w:t>
      </w:r>
      <w:proofErr w:type="spellStart"/>
      <w:r>
        <w:t>p.g.</w:t>
      </w:r>
      <w:proofErr w:type="spellEnd"/>
      <w:r>
        <w:t xml:space="preserve"> 149-159 Available at: </w:t>
      </w:r>
      <w:hyperlink r:id="rId31" w:history="1">
        <w:r>
          <w:rPr>
            <w:rStyle w:val="Hyperlink"/>
          </w:rPr>
          <w:t>Empathy training, sex offenders and re-offending. - EBSCO (uwtsd.ac.uk)</w:t>
        </w:r>
      </w:hyperlink>
      <w:r>
        <w:t xml:space="preserve"> (Accessed 30/06/2024) </w:t>
      </w:r>
    </w:p>
    <w:p w14:paraId="471ED253" w14:textId="54BF9023" w:rsidR="008D0216" w:rsidRDefault="002B682C" w:rsidP="00F1276E">
      <w:pPr>
        <w:keepNext/>
        <w:spacing w:before="240" w:after="60"/>
        <w:ind w:right="237"/>
        <w:jc w:val="both"/>
      </w:pPr>
      <w:r>
        <w:t xml:space="preserve">Wate, R and Boulton, N. (2015) </w:t>
      </w:r>
      <w:r>
        <w:rPr>
          <w:i/>
          <w:iCs/>
        </w:rPr>
        <w:t>Multi-agency safeguarding in a public protection world: a handbook for protecting children and vulnerable adults</w:t>
      </w:r>
      <w:r w:rsidR="002C7691">
        <w:rPr>
          <w:i/>
          <w:iCs/>
        </w:rPr>
        <w:t xml:space="preserve">. </w:t>
      </w:r>
      <w:r w:rsidR="002C7691">
        <w:t>Pav</w:t>
      </w:r>
      <w:r w:rsidR="00436073">
        <w:t xml:space="preserve">ilion. </w:t>
      </w:r>
    </w:p>
    <w:sectPr w:rsidR="008D0216"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64AF0A" w14:textId="77777777" w:rsidR="00BE587F" w:rsidRDefault="00BE587F">
      <w:r>
        <w:separator/>
      </w:r>
    </w:p>
  </w:endnote>
  <w:endnote w:type="continuationSeparator" w:id="0">
    <w:p w14:paraId="3FEBFC3F" w14:textId="77777777" w:rsidR="00BE587F" w:rsidRDefault="00BE587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12E32A" w14:textId="77777777" w:rsidR="002D25E7" w:rsidRDefault="002D25E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EAD281" w14:textId="77777777" w:rsidR="002D25E7" w:rsidRDefault="002D25E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9CB279" w14:textId="77777777" w:rsidR="00BE587F" w:rsidRDefault="00BE587F">
      <w:r>
        <w:separator/>
      </w:r>
    </w:p>
  </w:footnote>
  <w:footnote w:type="continuationSeparator" w:id="0">
    <w:p w14:paraId="7CD5EF29" w14:textId="77777777" w:rsidR="00BE587F" w:rsidRDefault="00BE587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26B49C" w14:textId="77777777" w:rsidR="002D25E7" w:rsidRDefault="002D25E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95B0AF" w14:textId="77777777" w:rsidR="002D25E7" w:rsidRDefault="002D25E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2DA56B" w14:textId="77777777" w:rsidR="002D25E7" w:rsidRDefault="002D25E7">
    <w:pPr>
      <w:pStyle w:val="Header"/>
    </w:pPr>
  </w:p>
</w:hdr>
</file>

<file path=word/intelligence2.xml><?xml version="1.0" encoding="utf-8"?>
<int2:intelligence xmlns:int2="http://schemas.microsoft.com/office/intelligence/2020/intelligence" xmlns:oel="http://schemas.microsoft.com/office/2019/extlst">
  <int2:observations>
    <int2:textHash int2:hashCode="CIzEkdJ0/bblq0" int2:id="f+fQUpQP">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B55ECFC"/>
    <w:multiLevelType w:val="hybridMultilevel"/>
    <w:tmpl w:val="837CD4D8"/>
    <w:lvl w:ilvl="0" w:tplc="1630A4CE">
      <w:start w:val="1"/>
      <w:numFmt w:val="decimal"/>
      <w:lvlText w:val="%1."/>
      <w:lvlJc w:val="left"/>
      <w:pPr>
        <w:ind w:left="720" w:hanging="360"/>
      </w:pPr>
    </w:lvl>
    <w:lvl w:ilvl="1" w:tplc="152ECA9A">
      <w:start w:val="1"/>
      <w:numFmt w:val="lowerLetter"/>
      <w:lvlText w:val="%2."/>
      <w:lvlJc w:val="left"/>
      <w:pPr>
        <w:ind w:left="1440" w:hanging="360"/>
      </w:pPr>
    </w:lvl>
    <w:lvl w:ilvl="2" w:tplc="EE667680">
      <w:start w:val="1"/>
      <w:numFmt w:val="lowerRoman"/>
      <w:lvlText w:val="%3."/>
      <w:lvlJc w:val="right"/>
      <w:pPr>
        <w:ind w:left="2160" w:hanging="180"/>
      </w:pPr>
    </w:lvl>
    <w:lvl w:ilvl="3" w:tplc="81E2500E">
      <w:start w:val="1"/>
      <w:numFmt w:val="decimal"/>
      <w:lvlText w:val="%4."/>
      <w:lvlJc w:val="left"/>
      <w:pPr>
        <w:ind w:left="2880" w:hanging="360"/>
      </w:pPr>
    </w:lvl>
    <w:lvl w:ilvl="4" w:tplc="7F2E7434">
      <w:start w:val="1"/>
      <w:numFmt w:val="lowerLetter"/>
      <w:lvlText w:val="%5."/>
      <w:lvlJc w:val="left"/>
      <w:pPr>
        <w:ind w:left="3600" w:hanging="360"/>
      </w:pPr>
    </w:lvl>
    <w:lvl w:ilvl="5" w:tplc="59CEB08A">
      <w:start w:val="1"/>
      <w:numFmt w:val="lowerRoman"/>
      <w:lvlText w:val="%6."/>
      <w:lvlJc w:val="right"/>
      <w:pPr>
        <w:ind w:left="4320" w:hanging="180"/>
      </w:pPr>
    </w:lvl>
    <w:lvl w:ilvl="6" w:tplc="37AC5234">
      <w:start w:val="1"/>
      <w:numFmt w:val="decimal"/>
      <w:lvlText w:val="%7."/>
      <w:lvlJc w:val="left"/>
      <w:pPr>
        <w:ind w:left="5040" w:hanging="360"/>
      </w:pPr>
    </w:lvl>
    <w:lvl w:ilvl="7" w:tplc="0CA8F422">
      <w:start w:val="1"/>
      <w:numFmt w:val="lowerLetter"/>
      <w:lvlText w:val="%8."/>
      <w:lvlJc w:val="left"/>
      <w:pPr>
        <w:ind w:left="5760" w:hanging="360"/>
      </w:pPr>
    </w:lvl>
    <w:lvl w:ilvl="8" w:tplc="868072E4">
      <w:start w:val="1"/>
      <w:numFmt w:val="lowerRoman"/>
      <w:lvlText w:val="%9."/>
      <w:lvlJc w:val="right"/>
      <w:pPr>
        <w:ind w:left="6480" w:hanging="180"/>
      </w:p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CBE36CD"/>
    <w:multiLevelType w:val="hybridMultilevel"/>
    <w:tmpl w:val="76284200"/>
    <w:lvl w:ilvl="0" w:tplc="5090FA36">
      <w:start w:val="200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0"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94CF194"/>
    <w:multiLevelType w:val="hybridMultilevel"/>
    <w:tmpl w:val="2496F49C"/>
    <w:lvl w:ilvl="0" w:tplc="CD224C08">
      <w:start w:val="1"/>
      <w:numFmt w:val="decimal"/>
      <w:lvlText w:val="%1."/>
      <w:lvlJc w:val="left"/>
      <w:pPr>
        <w:ind w:left="720" w:hanging="360"/>
      </w:pPr>
    </w:lvl>
    <w:lvl w:ilvl="1" w:tplc="1EAADA86">
      <w:start w:val="1"/>
      <w:numFmt w:val="decimal"/>
      <w:lvlText w:val="%2."/>
      <w:lvlJc w:val="left"/>
      <w:pPr>
        <w:ind w:left="1440" w:hanging="360"/>
      </w:pPr>
    </w:lvl>
    <w:lvl w:ilvl="2" w:tplc="F1BC38F8">
      <w:start w:val="1"/>
      <w:numFmt w:val="lowerRoman"/>
      <w:lvlText w:val="%3."/>
      <w:lvlJc w:val="right"/>
      <w:pPr>
        <w:ind w:left="2160" w:hanging="180"/>
      </w:pPr>
    </w:lvl>
    <w:lvl w:ilvl="3" w:tplc="12F220B0">
      <w:start w:val="1"/>
      <w:numFmt w:val="decimal"/>
      <w:lvlText w:val="%4."/>
      <w:lvlJc w:val="left"/>
      <w:pPr>
        <w:ind w:left="2880" w:hanging="360"/>
      </w:pPr>
    </w:lvl>
    <w:lvl w:ilvl="4" w:tplc="73E249F6">
      <w:start w:val="1"/>
      <w:numFmt w:val="lowerLetter"/>
      <w:lvlText w:val="%5."/>
      <w:lvlJc w:val="left"/>
      <w:pPr>
        <w:ind w:left="3600" w:hanging="360"/>
      </w:pPr>
    </w:lvl>
    <w:lvl w:ilvl="5" w:tplc="DCECCD7E">
      <w:start w:val="1"/>
      <w:numFmt w:val="lowerRoman"/>
      <w:lvlText w:val="%6."/>
      <w:lvlJc w:val="right"/>
      <w:pPr>
        <w:ind w:left="4320" w:hanging="180"/>
      </w:pPr>
    </w:lvl>
    <w:lvl w:ilvl="6" w:tplc="EC8A02A8">
      <w:start w:val="1"/>
      <w:numFmt w:val="decimal"/>
      <w:lvlText w:val="%7."/>
      <w:lvlJc w:val="left"/>
      <w:pPr>
        <w:ind w:left="5040" w:hanging="360"/>
      </w:pPr>
    </w:lvl>
    <w:lvl w:ilvl="7" w:tplc="33D2666A">
      <w:start w:val="1"/>
      <w:numFmt w:val="lowerLetter"/>
      <w:lvlText w:val="%8."/>
      <w:lvlJc w:val="left"/>
      <w:pPr>
        <w:ind w:left="5760" w:hanging="360"/>
      </w:pPr>
    </w:lvl>
    <w:lvl w:ilvl="8" w:tplc="5DD07144">
      <w:start w:val="1"/>
      <w:numFmt w:val="lowerRoman"/>
      <w:lvlText w:val="%9."/>
      <w:lvlJc w:val="right"/>
      <w:pPr>
        <w:ind w:left="6480" w:hanging="180"/>
      </w:pPr>
    </w:lvl>
  </w:abstractNum>
  <w:abstractNum w:abstractNumId="4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646740758">
    <w:abstractNumId w:val="48"/>
  </w:num>
  <w:num w:numId="2" w16cid:durableId="417675724">
    <w:abstractNumId w:val="10"/>
  </w:num>
  <w:num w:numId="3" w16cid:durableId="1512835332">
    <w:abstractNumId w:val="1"/>
    <w:lvlOverride w:ilvl="0">
      <w:lvl w:ilvl="0">
        <w:start w:val="1"/>
        <w:numFmt w:val="bullet"/>
        <w:lvlText w:val=""/>
        <w:lvlJc w:val="left"/>
        <w:pPr>
          <w:ind w:left="720" w:hanging="360"/>
        </w:pPr>
        <w:rPr>
          <w:rFonts w:ascii="Symbol" w:hAnsi="Symbol" w:hint="default"/>
        </w:rPr>
      </w:lvl>
    </w:lvlOverride>
  </w:num>
  <w:num w:numId="4" w16cid:durableId="38629978">
    <w:abstractNumId w:val="23"/>
  </w:num>
  <w:num w:numId="5" w16cid:durableId="292910358">
    <w:abstractNumId w:val="45"/>
  </w:num>
  <w:num w:numId="6" w16cid:durableId="1535117422">
    <w:abstractNumId w:val="47"/>
  </w:num>
  <w:num w:numId="7" w16cid:durableId="497159976">
    <w:abstractNumId w:val="35"/>
  </w:num>
  <w:num w:numId="8" w16cid:durableId="1969892037">
    <w:abstractNumId w:val="33"/>
  </w:num>
  <w:num w:numId="9" w16cid:durableId="1373725377">
    <w:abstractNumId w:val="30"/>
  </w:num>
  <w:num w:numId="10" w16cid:durableId="825324590">
    <w:abstractNumId w:val="31"/>
  </w:num>
  <w:num w:numId="11" w16cid:durableId="813445957">
    <w:abstractNumId w:val="9"/>
  </w:num>
  <w:num w:numId="12" w16cid:durableId="232394586">
    <w:abstractNumId w:val="34"/>
  </w:num>
  <w:num w:numId="13" w16cid:durableId="1039740215">
    <w:abstractNumId w:val="17"/>
  </w:num>
  <w:num w:numId="14" w16cid:durableId="1170288507">
    <w:abstractNumId w:val="16"/>
  </w:num>
  <w:num w:numId="15" w16cid:durableId="456804283">
    <w:abstractNumId w:val="27"/>
  </w:num>
  <w:num w:numId="16" w16cid:durableId="647825036">
    <w:abstractNumId w:val="7"/>
  </w:num>
  <w:num w:numId="17" w16cid:durableId="431701502">
    <w:abstractNumId w:val="26"/>
  </w:num>
  <w:num w:numId="18" w16cid:durableId="55593141">
    <w:abstractNumId w:val="15"/>
  </w:num>
  <w:num w:numId="19" w16cid:durableId="514465446">
    <w:abstractNumId w:val="13"/>
  </w:num>
  <w:num w:numId="20" w16cid:durableId="491603296">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1227761350">
    <w:abstractNumId w:val="24"/>
  </w:num>
  <w:num w:numId="22" w16cid:durableId="2142264046">
    <w:abstractNumId w:val="18"/>
  </w:num>
  <w:num w:numId="23" w16cid:durableId="137846151">
    <w:abstractNumId w:val="14"/>
  </w:num>
  <w:num w:numId="24" w16cid:durableId="1914271120">
    <w:abstractNumId w:val="11"/>
  </w:num>
  <w:num w:numId="25" w16cid:durableId="885063891">
    <w:abstractNumId w:val="28"/>
  </w:num>
  <w:num w:numId="26" w16cid:durableId="236403065">
    <w:abstractNumId w:val="19"/>
  </w:num>
  <w:num w:numId="27" w16cid:durableId="1573000687">
    <w:abstractNumId w:val="41"/>
  </w:num>
  <w:num w:numId="28" w16cid:durableId="66197777">
    <w:abstractNumId w:val="36"/>
  </w:num>
  <w:num w:numId="29" w16cid:durableId="1127815727">
    <w:abstractNumId w:val="40"/>
  </w:num>
  <w:num w:numId="30" w16cid:durableId="1139540040">
    <w:abstractNumId w:val="20"/>
  </w:num>
  <w:num w:numId="31" w16cid:durableId="34090301">
    <w:abstractNumId w:val="43"/>
  </w:num>
  <w:num w:numId="32" w16cid:durableId="222646112">
    <w:abstractNumId w:val="32"/>
  </w:num>
  <w:num w:numId="33" w16cid:durableId="2043940194">
    <w:abstractNumId w:val="12"/>
  </w:num>
  <w:num w:numId="34" w16cid:durableId="1879196244">
    <w:abstractNumId w:val="44"/>
  </w:num>
  <w:num w:numId="35" w16cid:durableId="682361466">
    <w:abstractNumId w:val="39"/>
  </w:num>
  <w:num w:numId="36" w16cid:durableId="1977442909">
    <w:abstractNumId w:val="4"/>
  </w:num>
  <w:num w:numId="37" w16cid:durableId="1583488633">
    <w:abstractNumId w:val="46"/>
  </w:num>
  <w:num w:numId="38" w16cid:durableId="440271129">
    <w:abstractNumId w:val="42"/>
  </w:num>
  <w:num w:numId="39" w16cid:durableId="738553744">
    <w:abstractNumId w:val="37"/>
  </w:num>
  <w:num w:numId="40" w16cid:durableId="1665820156">
    <w:abstractNumId w:val="38"/>
  </w:num>
  <w:num w:numId="41" w16cid:durableId="180051086">
    <w:abstractNumId w:val="3"/>
  </w:num>
  <w:num w:numId="42" w16cid:durableId="659695053">
    <w:abstractNumId w:val="5"/>
  </w:num>
  <w:num w:numId="43" w16cid:durableId="799807383">
    <w:abstractNumId w:val="25"/>
  </w:num>
  <w:num w:numId="44" w16cid:durableId="1438983801">
    <w:abstractNumId w:val="6"/>
  </w:num>
  <w:num w:numId="45" w16cid:durableId="3284368">
    <w:abstractNumId w:val="2"/>
  </w:num>
  <w:num w:numId="46" w16cid:durableId="397748815">
    <w:abstractNumId w:val="0"/>
  </w:num>
  <w:num w:numId="47" w16cid:durableId="220332332">
    <w:abstractNumId w:val="21"/>
  </w:num>
  <w:num w:numId="48" w16cid:durableId="504830301">
    <w:abstractNumId w:val="29"/>
  </w:num>
  <w:num w:numId="49" w16cid:durableId="54592622">
    <w:abstractNumId w:val="49"/>
  </w:num>
  <w:num w:numId="50" w16cid:durableId="948927747">
    <w:abstractNumId w:val="22"/>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149F"/>
    <w:rsid w:val="00003990"/>
    <w:rsid w:val="000045B8"/>
    <w:rsid w:val="00016C84"/>
    <w:rsid w:val="00020EEC"/>
    <w:rsid w:val="00025650"/>
    <w:rsid w:val="00026FAB"/>
    <w:rsid w:val="00027B1F"/>
    <w:rsid w:val="00030552"/>
    <w:rsid w:val="0003088B"/>
    <w:rsid w:val="000325D9"/>
    <w:rsid w:val="000372B2"/>
    <w:rsid w:val="0004079F"/>
    <w:rsid w:val="00043692"/>
    <w:rsid w:val="00045B87"/>
    <w:rsid w:val="00045C07"/>
    <w:rsid w:val="0005247B"/>
    <w:rsid w:val="00055D43"/>
    <w:rsid w:val="00056FAC"/>
    <w:rsid w:val="00057751"/>
    <w:rsid w:val="00062E39"/>
    <w:rsid w:val="0006580E"/>
    <w:rsid w:val="00070603"/>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9784E"/>
    <w:rsid w:val="00097928"/>
    <w:rsid w:val="000A3A73"/>
    <w:rsid w:val="000A4240"/>
    <w:rsid w:val="000A469A"/>
    <w:rsid w:val="000B1E96"/>
    <w:rsid w:val="000C378F"/>
    <w:rsid w:val="000C62F6"/>
    <w:rsid w:val="000C6892"/>
    <w:rsid w:val="000C6FFE"/>
    <w:rsid w:val="000D0BB6"/>
    <w:rsid w:val="000D7E13"/>
    <w:rsid w:val="000E26B0"/>
    <w:rsid w:val="000F1599"/>
    <w:rsid w:val="000F1769"/>
    <w:rsid w:val="000F6196"/>
    <w:rsid w:val="000F7ECD"/>
    <w:rsid w:val="00102E64"/>
    <w:rsid w:val="0010312C"/>
    <w:rsid w:val="00104B97"/>
    <w:rsid w:val="00106DC7"/>
    <w:rsid w:val="00112391"/>
    <w:rsid w:val="00114F52"/>
    <w:rsid w:val="0012135C"/>
    <w:rsid w:val="00130E83"/>
    <w:rsid w:val="001315FE"/>
    <w:rsid w:val="001347F8"/>
    <w:rsid w:val="00136CBE"/>
    <w:rsid w:val="00137925"/>
    <w:rsid w:val="00137BB5"/>
    <w:rsid w:val="00137E05"/>
    <w:rsid w:val="001447F6"/>
    <w:rsid w:val="00147DE3"/>
    <w:rsid w:val="00150794"/>
    <w:rsid w:val="001608C4"/>
    <w:rsid w:val="00171418"/>
    <w:rsid w:val="00184381"/>
    <w:rsid w:val="00190913"/>
    <w:rsid w:val="001961CF"/>
    <w:rsid w:val="001977B7"/>
    <w:rsid w:val="001A59BB"/>
    <w:rsid w:val="001A6A51"/>
    <w:rsid w:val="001A79C4"/>
    <w:rsid w:val="001B331A"/>
    <w:rsid w:val="001B35BA"/>
    <w:rsid w:val="001C0E74"/>
    <w:rsid w:val="001C1E29"/>
    <w:rsid w:val="001C6CEC"/>
    <w:rsid w:val="001D229F"/>
    <w:rsid w:val="001D2F95"/>
    <w:rsid w:val="001D6162"/>
    <w:rsid w:val="001E6FAD"/>
    <w:rsid w:val="001E7592"/>
    <w:rsid w:val="001F3878"/>
    <w:rsid w:val="001F4552"/>
    <w:rsid w:val="002019EB"/>
    <w:rsid w:val="002030F2"/>
    <w:rsid w:val="0020310A"/>
    <w:rsid w:val="00205051"/>
    <w:rsid w:val="002109F2"/>
    <w:rsid w:val="00211695"/>
    <w:rsid w:val="00211F65"/>
    <w:rsid w:val="00213A97"/>
    <w:rsid w:val="0022001B"/>
    <w:rsid w:val="00220D06"/>
    <w:rsid w:val="002219BA"/>
    <w:rsid w:val="002246A0"/>
    <w:rsid w:val="00224AF9"/>
    <w:rsid w:val="00230439"/>
    <w:rsid w:val="00235176"/>
    <w:rsid w:val="00236061"/>
    <w:rsid w:val="0023662D"/>
    <w:rsid w:val="0024077D"/>
    <w:rsid w:val="0024100E"/>
    <w:rsid w:val="00241C1B"/>
    <w:rsid w:val="002423B2"/>
    <w:rsid w:val="0024288B"/>
    <w:rsid w:val="002452C9"/>
    <w:rsid w:val="00255D8E"/>
    <w:rsid w:val="002657E9"/>
    <w:rsid w:val="0026665E"/>
    <w:rsid w:val="00270EEB"/>
    <w:rsid w:val="0027147E"/>
    <w:rsid w:val="00271F49"/>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86D"/>
    <w:rsid w:val="002B5B35"/>
    <w:rsid w:val="002B682C"/>
    <w:rsid w:val="002C256A"/>
    <w:rsid w:val="002C496D"/>
    <w:rsid w:val="002C7691"/>
    <w:rsid w:val="002D05EB"/>
    <w:rsid w:val="002D25E7"/>
    <w:rsid w:val="002D2F29"/>
    <w:rsid w:val="002D2FD3"/>
    <w:rsid w:val="002E7017"/>
    <w:rsid w:val="002F4F6E"/>
    <w:rsid w:val="003015C3"/>
    <w:rsid w:val="0030698D"/>
    <w:rsid w:val="0031350A"/>
    <w:rsid w:val="00316815"/>
    <w:rsid w:val="003168CA"/>
    <w:rsid w:val="00321255"/>
    <w:rsid w:val="0032230D"/>
    <w:rsid w:val="00322A0B"/>
    <w:rsid w:val="00332F54"/>
    <w:rsid w:val="00335FC5"/>
    <w:rsid w:val="00340E9A"/>
    <w:rsid w:val="003516C0"/>
    <w:rsid w:val="00352E59"/>
    <w:rsid w:val="00354DBE"/>
    <w:rsid w:val="00355210"/>
    <w:rsid w:val="003555D5"/>
    <w:rsid w:val="00362675"/>
    <w:rsid w:val="00365DF9"/>
    <w:rsid w:val="0036668D"/>
    <w:rsid w:val="00372DB4"/>
    <w:rsid w:val="0037490C"/>
    <w:rsid w:val="00374C12"/>
    <w:rsid w:val="00375AF5"/>
    <w:rsid w:val="003761BD"/>
    <w:rsid w:val="003769F6"/>
    <w:rsid w:val="00385414"/>
    <w:rsid w:val="00390074"/>
    <w:rsid w:val="003915C4"/>
    <w:rsid w:val="00394EC2"/>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D4C88"/>
    <w:rsid w:val="003E16D7"/>
    <w:rsid w:val="003E197E"/>
    <w:rsid w:val="004046F0"/>
    <w:rsid w:val="0040668F"/>
    <w:rsid w:val="00412677"/>
    <w:rsid w:val="00417925"/>
    <w:rsid w:val="004348AE"/>
    <w:rsid w:val="00435E9A"/>
    <w:rsid w:val="00436073"/>
    <w:rsid w:val="004376C0"/>
    <w:rsid w:val="0044115F"/>
    <w:rsid w:val="00441BA2"/>
    <w:rsid w:val="0044223A"/>
    <w:rsid w:val="00446792"/>
    <w:rsid w:val="00446F80"/>
    <w:rsid w:val="00450C83"/>
    <w:rsid w:val="00451851"/>
    <w:rsid w:val="00453343"/>
    <w:rsid w:val="004608B9"/>
    <w:rsid w:val="00460ADB"/>
    <w:rsid w:val="00465947"/>
    <w:rsid w:val="004672C1"/>
    <w:rsid w:val="00470BB1"/>
    <w:rsid w:val="004718F7"/>
    <w:rsid w:val="00473153"/>
    <w:rsid w:val="004743AF"/>
    <w:rsid w:val="00482C17"/>
    <w:rsid w:val="004911B4"/>
    <w:rsid w:val="0049196A"/>
    <w:rsid w:val="004923DA"/>
    <w:rsid w:val="00493434"/>
    <w:rsid w:val="004962F9"/>
    <w:rsid w:val="004968E2"/>
    <w:rsid w:val="004A07F1"/>
    <w:rsid w:val="004A14C4"/>
    <w:rsid w:val="004A2A49"/>
    <w:rsid w:val="004A58FC"/>
    <w:rsid w:val="004B600B"/>
    <w:rsid w:val="004B6822"/>
    <w:rsid w:val="004B69F6"/>
    <w:rsid w:val="004B7622"/>
    <w:rsid w:val="004C2D3A"/>
    <w:rsid w:val="004D03C4"/>
    <w:rsid w:val="004D0BF1"/>
    <w:rsid w:val="004D0DEF"/>
    <w:rsid w:val="004D24D2"/>
    <w:rsid w:val="004D35A4"/>
    <w:rsid w:val="004D445F"/>
    <w:rsid w:val="004D66E6"/>
    <w:rsid w:val="004E087B"/>
    <w:rsid w:val="004E4106"/>
    <w:rsid w:val="004E44A4"/>
    <w:rsid w:val="004E7B8B"/>
    <w:rsid w:val="004E7BDD"/>
    <w:rsid w:val="004F1E21"/>
    <w:rsid w:val="004F740D"/>
    <w:rsid w:val="004F7B8F"/>
    <w:rsid w:val="00500748"/>
    <w:rsid w:val="005011D6"/>
    <w:rsid w:val="0050167A"/>
    <w:rsid w:val="005042F1"/>
    <w:rsid w:val="00510D6A"/>
    <w:rsid w:val="00513C7D"/>
    <w:rsid w:val="005169D1"/>
    <w:rsid w:val="00521123"/>
    <w:rsid w:val="00521221"/>
    <w:rsid w:val="00536FA9"/>
    <w:rsid w:val="005414F4"/>
    <w:rsid w:val="00546187"/>
    <w:rsid w:val="005463F1"/>
    <w:rsid w:val="0054766D"/>
    <w:rsid w:val="00557D77"/>
    <w:rsid w:val="00562EAA"/>
    <w:rsid w:val="00563B58"/>
    <w:rsid w:val="005640C4"/>
    <w:rsid w:val="00564C53"/>
    <w:rsid w:val="0056684C"/>
    <w:rsid w:val="00574A0C"/>
    <w:rsid w:val="00576E4C"/>
    <w:rsid w:val="0057780F"/>
    <w:rsid w:val="00581E0A"/>
    <w:rsid w:val="00582870"/>
    <w:rsid w:val="00586D89"/>
    <w:rsid w:val="00587A83"/>
    <w:rsid w:val="005916B8"/>
    <w:rsid w:val="00593D00"/>
    <w:rsid w:val="005A0FE5"/>
    <w:rsid w:val="005A1B4C"/>
    <w:rsid w:val="005A1BA3"/>
    <w:rsid w:val="005A545C"/>
    <w:rsid w:val="005B014B"/>
    <w:rsid w:val="005C1567"/>
    <w:rsid w:val="005C6CE5"/>
    <w:rsid w:val="005C76DE"/>
    <w:rsid w:val="005D3F07"/>
    <w:rsid w:val="005D583E"/>
    <w:rsid w:val="005D7A91"/>
    <w:rsid w:val="005E13EA"/>
    <w:rsid w:val="005E53BD"/>
    <w:rsid w:val="006062DD"/>
    <w:rsid w:val="00606E27"/>
    <w:rsid w:val="006108C9"/>
    <w:rsid w:val="00615C7E"/>
    <w:rsid w:val="0062000B"/>
    <w:rsid w:val="0062158D"/>
    <w:rsid w:val="00630F39"/>
    <w:rsid w:val="006326D1"/>
    <w:rsid w:val="00632E0A"/>
    <w:rsid w:val="00633165"/>
    <w:rsid w:val="00634246"/>
    <w:rsid w:val="00636B6C"/>
    <w:rsid w:val="00642AE2"/>
    <w:rsid w:val="006447DE"/>
    <w:rsid w:val="0065276E"/>
    <w:rsid w:val="00654329"/>
    <w:rsid w:val="00654CEC"/>
    <w:rsid w:val="00655507"/>
    <w:rsid w:val="00660A17"/>
    <w:rsid w:val="006712A7"/>
    <w:rsid w:val="006733CC"/>
    <w:rsid w:val="00673DE0"/>
    <w:rsid w:val="00674FC2"/>
    <w:rsid w:val="00677E42"/>
    <w:rsid w:val="00682334"/>
    <w:rsid w:val="00684B16"/>
    <w:rsid w:val="0069270E"/>
    <w:rsid w:val="00694C00"/>
    <w:rsid w:val="00696F65"/>
    <w:rsid w:val="006A3009"/>
    <w:rsid w:val="006A67DA"/>
    <w:rsid w:val="006A7A6D"/>
    <w:rsid w:val="006B10D8"/>
    <w:rsid w:val="006B5E67"/>
    <w:rsid w:val="006B71C6"/>
    <w:rsid w:val="006C2EB5"/>
    <w:rsid w:val="006C3F19"/>
    <w:rsid w:val="006D18A3"/>
    <w:rsid w:val="006D5970"/>
    <w:rsid w:val="006E481E"/>
    <w:rsid w:val="006E795F"/>
    <w:rsid w:val="00700249"/>
    <w:rsid w:val="0070604C"/>
    <w:rsid w:val="0070662D"/>
    <w:rsid w:val="007069CD"/>
    <w:rsid w:val="00710D69"/>
    <w:rsid w:val="007110E6"/>
    <w:rsid w:val="00711A70"/>
    <w:rsid w:val="00712E6F"/>
    <w:rsid w:val="00712E90"/>
    <w:rsid w:val="00713B7E"/>
    <w:rsid w:val="0071499F"/>
    <w:rsid w:val="007203DA"/>
    <w:rsid w:val="007204AE"/>
    <w:rsid w:val="0072678F"/>
    <w:rsid w:val="00727C4C"/>
    <w:rsid w:val="00732BE3"/>
    <w:rsid w:val="00734809"/>
    <w:rsid w:val="0073644B"/>
    <w:rsid w:val="00736A11"/>
    <w:rsid w:val="007406E1"/>
    <w:rsid w:val="0074138F"/>
    <w:rsid w:val="00743E40"/>
    <w:rsid w:val="00751263"/>
    <w:rsid w:val="00753B6B"/>
    <w:rsid w:val="00756425"/>
    <w:rsid w:val="0075704F"/>
    <w:rsid w:val="00763B2D"/>
    <w:rsid w:val="00772924"/>
    <w:rsid w:val="00784EC4"/>
    <w:rsid w:val="007872F2"/>
    <w:rsid w:val="007874BC"/>
    <w:rsid w:val="007908E0"/>
    <w:rsid w:val="00793EB3"/>
    <w:rsid w:val="00794205"/>
    <w:rsid w:val="00797012"/>
    <w:rsid w:val="0079772A"/>
    <w:rsid w:val="007A1F6A"/>
    <w:rsid w:val="007B0DE3"/>
    <w:rsid w:val="007B491F"/>
    <w:rsid w:val="007B5CB2"/>
    <w:rsid w:val="007B7191"/>
    <w:rsid w:val="007B7B10"/>
    <w:rsid w:val="007C1634"/>
    <w:rsid w:val="007C1D94"/>
    <w:rsid w:val="007C2879"/>
    <w:rsid w:val="007C6A87"/>
    <w:rsid w:val="007C705D"/>
    <w:rsid w:val="007D0A07"/>
    <w:rsid w:val="007D0C96"/>
    <w:rsid w:val="007D133D"/>
    <w:rsid w:val="007D3EB4"/>
    <w:rsid w:val="007D3F16"/>
    <w:rsid w:val="007D78CC"/>
    <w:rsid w:val="007F0BF2"/>
    <w:rsid w:val="007F3F7E"/>
    <w:rsid w:val="007F5497"/>
    <w:rsid w:val="00803238"/>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2E6D"/>
    <w:rsid w:val="00893067"/>
    <w:rsid w:val="008933DE"/>
    <w:rsid w:val="00895FCE"/>
    <w:rsid w:val="00897F3E"/>
    <w:rsid w:val="008A1BA8"/>
    <w:rsid w:val="008A21B4"/>
    <w:rsid w:val="008A4576"/>
    <w:rsid w:val="008A5259"/>
    <w:rsid w:val="008B01F5"/>
    <w:rsid w:val="008B07DE"/>
    <w:rsid w:val="008B28E7"/>
    <w:rsid w:val="008C00EC"/>
    <w:rsid w:val="008C14C7"/>
    <w:rsid w:val="008C2FFB"/>
    <w:rsid w:val="008C45AE"/>
    <w:rsid w:val="008C6EEA"/>
    <w:rsid w:val="008D0216"/>
    <w:rsid w:val="008D5813"/>
    <w:rsid w:val="008D634E"/>
    <w:rsid w:val="008D778A"/>
    <w:rsid w:val="008D7A82"/>
    <w:rsid w:val="008F22BD"/>
    <w:rsid w:val="008F3259"/>
    <w:rsid w:val="009079BD"/>
    <w:rsid w:val="00912BD9"/>
    <w:rsid w:val="00914A24"/>
    <w:rsid w:val="00916CFB"/>
    <w:rsid w:val="00920E5B"/>
    <w:rsid w:val="00923BBF"/>
    <w:rsid w:val="009249F8"/>
    <w:rsid w:val="00926436"/>
    <w:rsid w:val="0093018C"/>
    <w:rsid w:val="00932CCA"/>
    <w:rsid w:val="009370AE"/>
    <w:rsid w:val="00942027"/>
    <w:rsid w:val="009544C0"/>
    <w:rsid w:val="00954FA4"/>
    <w:rsid w:val="00956AE9"/>
    <w:rsid w:val="00964CC6"/>
    <w:rsid w:val="00990516"/>
    <w:rsid w:val="00991FDA"/>
    <w:rsid w:val="009927A1"/>
    <w:rsid w:val="0099774D"/>
    <w:rsid w:val="009A310E"/>
    <w:rsid w:val="009A5F3B"/>
    <w:rsid w:val="009A5F8E"/>
    <w:rsid w:val="009B0B61"/>
    <w:rsid w:val="009B28C0"/>
    <w:rsid w:val="009B395A"/>
    <w:rsid w:val="009B7136"/>
    <w:rsid w:val="009B7806"/>
    <w:rsid w:val="009C3AC2"/>
    <w:rsid w:val="009D4365"/>
    <w:rsid w:val="009D4E3B"/>
    <w:rsid w:val="009D7BC9"/>
    <w:rsid w:val="009E0C5A"/>
    <w:rsid w:val="009E1982"/>
    <w:rsid w:val="009E4D2C"/>
    <w:rsid w:val="009F0978"/>
    <w:rsid w:val="009F3AEC"/>
    <w:rsid w:val="00A00081"/>
    <w:rsid w:val="00A015F7"/>
    <w:rsid w:val="00A016A8"/>
    <w:rsid w:val="00A10D56"/>
    <w:rsid w:val="00A118EA"/>
    <w:rsid w:val="00A12AAE"/>
    <w:rsid w:val="00A154E0"/>
    <w:rsid w:val="00A16DD1"/>
    <w:rsid w:val="00A221AB"/>
    <w:rsid w:val="00A22441"/>
    <w:rsid w:val="00A23F3B"/>
    <w:rsid w:val="00A24406"/>
    <w:rsid w:val="00A25F64"/>
    <w:rsid w:val="00A27CC2"/>
    <w:rsid w:val="00A3273B"/>
    <w:rsid w:val="00A40E90"/>
    <w:rsid w:val="00A40ED6"/>
    <w:rsid w:val="00A470EE"/>
    <w:rsid w:val="00A47621"/>
    <w:rsid w:val="00A479CD"/>
    <w:rsid w:val="00A50CFC"/>
    <w:rsid w:val="00A54D67"/>
    <w:rsid w:val="00A55A3F"/>
    <w:rsid w:val="00A56BC4"/>
    <w:rsid w:val="00A570F0"/>
    <w:rsid w:val="00A652F6"/>
    <w:rsid w:val="00A732EA"/>
    <w:rsid w:val="00A7489E"/>
    <w:rsid w:val="00A8015F"/>
    <w:rsid w:val="00A80BD2"/>
    <w:rsid w:val="00A8438C"/>
    <w:rsid w:val="00A85039"/>
    <w:rsid w:val="00A851F7"/>
    <w:rsid w:val="00A906AA"/>
    <w:rsid w:val="00A910D2"/>
    <w:rsid w:val="00A94C5E"/>
    <w:rsid w:val="00A97938"/>
    <w:rsid w:val="00AA23FD"/>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048D7"/>
    <w:rsid w:val="00B07553"/>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074B"/>
    <w:rsid w:val="00BA1FFA"/>
    <w:rsid w:val="00BA2666"/>
    <w:rsid w:val="00BA7FF1"/>
    <w:rsid w:val="00BB06CB"/>
    <w:rsid w:val="00BB261F"/>
    <w:rsid w:val="00BB2887"/>
    <w:rsid w:val="00BB5EAA"/>
    <w:rsid w:val="00BB5F11"/>
    <w:rsid w:val="00BC0401"/>
    <w:rsid w:val="00BC04FA"/>
    <w:rsid w:val="00BC1C22"/>
    <w:rsid w:val="00BC460B"/>
    <w:rsid w:val="00BC5725"/>
    <w:rsid w:val="00BD30B1"/>
    <w:rsid w:val="00BD544E"/>
    <w:rsid w:val="00BE0F7B"/>
    <w:rsid w:val="00BE10C2"/>
    <w:rsid w:val="00BE587F"/>
    <w:rsid w:val="00BF4CAA"/>
    <w:rsid w:val="00C01D14"/>
    <w:rsid w:val="00C025B4"/>
    <w:rsid w:val="00C0275F"/>
    <w:rsid w:val="00C11EB1"/>
    <w:rsid w:val="00C11F61"/>
    <w:rsid w:val="00C15A68"/>
    <w:rsid w:val="00C161FD"/>
    <w:rsid w:val="00C23F17"/>
    <w:rsid w:val="00C26A95"/>
    <w:rsid w:val="00C26D0D"/>
    <w:rsid w:val="00C27C95"/>
    <w:rsid w:val="00C300D2"/>
    <w:rsid w:val="00C3270F"/>
    <w:rsid w:val="00C3278B"/>
    <w:rsid w:val="00C33375"/>
    <w:rsid w:val="00C34C23"/>
    <w:rsid w:val="00C36544"/>
    <w:rsid w:val="00C41ED6"/>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4BF2"/>
    <w:rsid w:val="00CA2745"/>
    <w:rsid w:val="00CA3108"/>
    <w:rsid w:val="00CA3593"/>
    <w:rsid w:val="00CA7F4F"/>
    <w:rsid w:val="00CB258E"/>
    <w:rsid w:val="00CB3C8F"/>
    <w:rsid w:val="00CB75CE"/>
    <w:rsid w:val="00CC02F1"/>
    <w:rsid w:val="00CC11A6"/>
    <w:rsid w:val="00CC135E"/>
    <w:rsid w:val="00CC7017"/>
    <w:rsid w:val="00CD28DB"/>
    <w:rsid w:val="00CD5D3F"/>
    <w:rsid w:val="00CF1E90"/>
    <w:rsid w:val="00CF3DB3"/>
    <w:rsid w:val="00CF78AE"/>
    <w:rsid w:val="00D052BC"/>
    <w:rsid w:val="00D07026"/>
    <w:rsid w:val="00D07BAB"/>
    <w:rsid w:val="00D11C62"/>
    <w:rsid w:val="00D17084"/>
    <w:rsid w:val="00D17F5E"/>
    <w:rsid w:val="00D22C8F"/>
    <w:rsid w:val="00D33491"/>
    <w:rsid w:val="00D3370E"/>
    <w:rsid w:val="00D44F8E"/>
    <w:rsid w:val="00D44FD0"/>
    <w:rsid w:val="00D5733C"/>
    <w:rsid w:val="00D607EF"/>
    <w:rsid w:val="00D60F88"/>
    <w:rsid w:val="00D625E7"/>
    <w:rsid w:val="00D646BD"/>
    <w:rsid w:val="00D70239"/>
    <w:rsid w:val="00D71201"/>
    <w:rsid w:val="00D720C7"/>
    <w:rsid w:val="00D77A04"/>
    <w:rsid w:val="00D81479"/>
    <w:rsid w:val="00D81D06"/>
    <w:rsid w:val="00D84E55"/>
    <w:rsid w:val="00D8652C"/>
    <w:rsid w:val="00D876E6"/>
    <w:rsid w:val="00DA1025"/>
    <w:rsid w:val="00DA22EC"/>
    <w:rsid w:val="00DA5860"/>
    <w:rsid w:val="00DB2767"/>
    <w:rsid w:val="00DC0316"/>
    <w:rsid w:val="00DC08B3"/>
    <w:rsid w:val="00DC4729"/>
    <w:rsid w:val="00DE556F"/>
    <w:rsid w:val="00DE6052"/>
    <w:rsid w:val="00DF0796"/>
    <w:rsid w:val="00DF0A6F"/>
    <w:rsid w:val="00E03B6D"/>
    <w:rsid w:val="00E0649E"/>
    <w:rsid w:val="00E17160"/>
    <w:rsid w:val="00E211BF"/>
    <w:rsid w:val="00E2430C"/>
    <w:rsid w:val="00E35BEC"/>
    <w:rsid w:val="00E43427"/>
    <w:rsid w:val="00E50821"/>
    <w:rsid w:val="00E50EF8"/>
    <w:rsid w:val="00E51F91"/>
    <w:rsid w:val="00E579A4"/>
    <w:rsid w:val="00E676F7"/>
    <w:rsid w:val="00E7086E"/>
    <w:rsid w:val="00E7374A"/>
    <w:rsid w:val="00E73C41"/>
    <w:rsid w:val="00E7598F"/>
    <w:rsid w:val="00E76F60"/>
    <w:rsid w:val="00E83D90"/>
    <w:rsid w:val="00E83F28"/>
    <w:rsid w:val="00E83F91"/>
    <w:rsid w:val="00E846EB"/>
    <w:rsid w:val="00E9107A"/>
    <w:rsid w:val="00E91F62"/>
    <w:rsid w:val="00E929FD"/>
    <w:rsid w:val="00E93240"/>
    <w:rsid w:val="00E9479B"/>
    <w:rsid w:val="00EA28F1"/>
    <w:rsid w:val="00EA4D48"/>
    <w:rsid w:val="00EB2173"/>
    <w:rsid w:val="00EB62E6"/>
    <w:rsid w:val="00ED1B30"/>
    <w:rsid w:val="00ED250E"/>
    <w:rsid w:val="00ED384E"/>
    <w:rsid w:val="00ED6535"/>
    <w:rsid w:val="00EE1AC1"/>
    <w:rsid w:val="00EE39D6"/>
    <w:rsid w:val="00EE413C"/>
    <w:rsid w:val="00EE52AD"/>
    <w:rsid w:val="00F01F92"/>
    <w:rsid w:val="00F10A08"/>
    <w:rsid w:val="00F1276E"/>
    <w:rsid w:val="00F139CF"/>
    <w:rsid w:val="00F22AC5"/>
    <w:rsid w:val="00F254D1"/>
    <w:rsid w:val="00F32B82"/>
    <w:rsid w:val="00F4043E"/>
    <w:rsid w:val="00F40CB5"/>
    <w:rsid w:val="00F41BBC"/>
    <w:rsid w:val="00F43B9D"/>
    <w:rsid w:val="00F444F0"/>
    <w:rsid w:val="00F50847"/>
    <w:rsid w:val="00F53F27"/>
    <w:rsid w:val="00F546D1"/>
    <w:rsid w:val="00F62211"/>
    <w:rsid w:val="00F6513F"/>
    <w:rsid w:val="00F66272"/>
    <w:rsid w:val="00F6ACA0"/>
    <w:rsid w:val="00F709C0"/>
    <w:rsid w:val="00F8610A"/>
    <w:rsid w:val="00F927A1"/>
    <w:rsid w:val="00F92E4D"/>
    <w:rsid w:val="00F94392"/>
    <w:rsid w:val="00FA3764"/>
    <w:rsid w:val="00FA56ED"/>
    <w:rsid w:val="00FB017B"/>
    <w:rsid w:val="00FB5FA6"/>
    <w:rsid w:val="00FC1310"/>
    <w:rsid w:val="00FC1328"/>
    <w:rsid w:val="00FC2FF3"/>
    <w:rsid w:val="00FC3263"/>
    <w:rsid w:val="00FC51F9"/>
    <w:rsid w:val="00FC5B40"/>
    <w:rsid w:val="00FC5FF8"/>
    <w:rsid w:val="00FC702B"/>
    <w:rsid w:val="00FC7A0F"/>
    <w:rsid w:val="00FD3D7C"/>
    <w:rsid w:val="00FD4F8F"/>
    <w:rsid w:val="00FD4FF1"/>
    <w:rsid w:val="00FD648D"/>
    <w:rsid w:val="00FE0C16"/>
    <w:rsid w:val="00FE14AD"/>
    <w:rsid w:val="00FE14B1"/>
    <w:rsid w:val="00FE1F6A"/>
    <w:rsid w:val="00FF0070"/>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E5AF60"/>
    <w:rsid w:val="35574223"/>
    <w:rsid w:val="35959687"/>
    <w:rsid w:val="35A1BCE6"/>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C444E11"/>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63EF9"/>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2.xml"/><Relationship Id="rId26" Type="http://schemas.openxmlformats.org/officeDocument/2006/relationships/hyperlink" Target="https://www-jstor-org.ezproxy.uwtsd.ac.uk/stable/20696732?sid=primo" TargetMode="External"/><Relationship Id="rId3" Type="http://schemas.openxmlformats.org/officeDocument/2006/relationships/customXml" Target="../customXml/item3.xml"/><Relationship Id="rId21" Type="http://schemas.openxmlformats.org/officeDocument/2006/relationships/hyperlink" Target="https://www-sciencedirect-com.ezproxy.uwtsd.ac.uk/science/article/pii/S1359178908000141?via%3Dihub" TargetMode="External"/><Relationship Id="rId34" Type="http://schemas.microsoft.com/office/2020/10/relationships/intelligence" Target="intelligence2.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1.xml"/><Relationship Id="rId25" Type="http://schemas.openxmlformats.org/officeDocument/2006/relationships/hyperlink" Target="https://www.college.police.uk/app/investigation/investigation-process" TargetMode="Externa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29" Type="http://schemas.openxmlformats.org/officeDocument/2006/relationships/hyperlink" Target="https://www.legislation.gov.uk/ukpga/2003/42/content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proquest.com/docview/208754926?accountid=130472&amp;parentSessionId=8dvFvFRNfvMs1mm1GUAjEX4SdNkyE5v6kNgQYyJ7F0I%3D&amp;pq-origsite=primo&amp;sourcetype=Scholarly%20Journals" TargetMode="External"/><Relationship Id="rId32"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eader" Target="header1.xml"/><Relationship Id="rId23" Type="http://schemas.openxmlformats.org/officeDocument/2006/relationships/hyperlink" Target="https://www.legislation.gov.uk/ukpga/1988/33/contents" TargetMode="External"/><Relationship Id="rId28" Type="http://schemas.openxmlformats.org/officeDocument/2006/relationships/hyperlink" Target="https://link.springer.com/article/10.1007/s13312-017-1189-9" TargetMode="External"/><Relationship Id="rId10" Type="http://schemas.openxmlformats.org/officeDocument/2006/relationships/endnotes" Target="endnotes.xml"/><Relationship Id="rId19" Type="http://schemas.openxmlformats.org/officeDocument/2006/relationships/header" Target="header3.xml"/><Relationship Id="rId31" Type="http://schemas.openxmlformats.org/officeDocument/2006/relationships/hyperlink" Target="https://research-ebsco-com.ezproxy.uwtsd.ac.uk/c/onvpsy/viewer/pdf/qxb6ymgdqj?route=detail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hyperlink" Target="https://www-tandfonline-com.ezproxy.uwtsd.ac.uk/doi/full/10.1080/10439463.2015.1016024" TargetMode="External"/><Relationship Id="rId27" Type="http://schemas.openxmlformats.org/officeDocument/2006/relationships/hyperlink" Target="https://schoolbeat.cymru/croeso/about/policies/" TargetMode="External"/><Relationship Id="rId30" Type="http://schemas.openxmlformats.org/officeDocument/2006/relationships/hyperlink" Target="https://www.theduluthmodel.org/wheels/understanding-power-control-whee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customXml/itemProps2.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3.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680</TotalTime>
  <Pages>16</Pages>
  <Words>5136</Words>
  <Characters>29276</Characters>
  <Application>Microsoft Office Word</Application>
  <DocSecurity>0</DocSecurity>
  <Lines>243</Lines>
  <Paragraphs>68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34344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Mills, Ethan</cp:lastModifiedBy>
  <cp:revision>115</cp:revision>
  <cp:lastPrinted>2014-08-26T08:55:00Z</cp:lastPrinted>
  <dcterms:created xsi:type="dcterms:W3CDTF">2024-01-02T11:34:00Z</dcterms:created>
  <dcterms:modified xsi:type="dcterms:W3CDTF">2024-07-14T13:32:00Z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2022-12-07T13:24:29Z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4a6e23d7-9131-4902-b50f-5eff6479e690</vt:lpwstr>
  </property>
  <property fmtid="{D5CDD505-2E9C-101B-9397-08002B2CF9AE}" pid="9" name="MSIP_Label_66cf8fe5-b7b7-4df7-b38d-1c61ac2f6639_ContentBits">
    <vt:lpwstr>0</vt:lpwstr>
  </property>
  <property fmtid="{D5CDD505-2E9C-101B-9397-08002B2CF9AE}" pid="10" name="MSIP_Label_f2acd28b-79a3-4a0f-b0ff-4b75658b1549_Enabled">
    <vt:lpwstr>true</vt:lpwstr>
  </property>
  <property fmtid="{D5CDD505-2E9C-101B-9397-08002B2CF9AE}" pid="11" name="MSIP_Label_f2acd28b-79a3-4a0f-b0ff-4b75658b1549_SetDate">
    <vt:lpwstr>2024-01-02T11:34:09Z</vt:lpwstr>
  </property>
  <property fmtid="{D5CDD505-2E9C-101B-9397-08002B2CF9AE}" pid="12" name="MSIP_Label_f2acd28b-79a3-4a0f-b0ff-4b75658b1549_Method">
    <vt:lpwstr>Standard</vt:lpwstr>
  </property>
  <property fmtid="{D5CDD505-2E9C-101B-9397-08002B2CF9AE}" pid="13" name="MSIP_Label_f2acd28b-79a3-4a0f-b0ff-4b75658b1549_Name">
    <vt:lpwstr>OFFICIAL</vt:lpwstr>
  </property>
  <property fmtid="{D5CDD505-2E9C-101B-9397-08002B2CF9AE}" pid="14" name="MSIP_Label_f2acd28b-79a3-4a0f-b0ff-4b75658b1549_SiteId">
    <vt:lpwstr>e46c8472-ef5d-4b63-bc74-4a60db42c371</vt:lpwstr>
  </property>
  <property fmtid="{D5CDD505-2E9C-101B-9397-08002B2CF9AE}" pid="15" name="MSIP_Label_f2acd28b-79a3-4a0f-b0ff-4b75658b1549_ActionId">
    <vt:lpwstr>b1713715-260a-43d8-ada2-028d0d63e6bb</vt:lpwstr>
  </property>
  <property fmtid="{D5CDD505-2E9C-101B-9397-08002B2CF9AE}" pid="16" name="MSIP_Label_f2acd28b-79a3-4a0f-b0ff-4b75658b1549_ContentBits">
    <vt:lpwstr>0</vt:lpwstr>
  </property>
</Properties>
</file>