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34215109"/>
        <w:docPartObj>
          <w:docPartGallery w:val="Cover Pages"/>
          <w:docPartUnique/>
        </w:docPartObj>
      </w:sdtPr>
      <w:sdtEndPr>
        <w:rPr>
          <w:rFonts w:ascii="Arial Black" w:hAnsi="Arial Black" w:cs="Arial"/>
        </w:rPr>
      </w:sdtEndPr>
      <w:sdtContent>
        <w:p w14:paraId="4B52E839" w14:textId="5FE65165" w:rsidR="00EA351D" w:rsidRDefault="00EA351D"/>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EA351D" w14:paraId="0E535D3A" w14:textId="77777777">
            <w:tc>
              <w:tcPr>
                <w:tcW w:w="7672" w:type="dxa"/>
                <w:tcMar>
                  <w:top w:w="216" w:type="dxa"/>
                  <w:left w:w="115" w:type="dxa"/>
                  <w:bottom w:w="216" w:type="dxa"/>
                  <w:right w:w="115" w:type="dxa"/>
                </w:tcMar>
              </w:tcPr>
              <w:p w14:paraId="46A3A08F" w14:textId="5B0BDAE9" w:rsidR="00EA351D" w:rsidRDefault="00EA351D">
                <w:pPr>
                  <w:pStyle w:val="NoSpacing"/>
                  <w:rPr>
                    <w:color w:val="0F4761" w:themeColor="accent1" w:themeShade="BF"/>
                    <w:sz w:val="24"/>
                  </w:rPr>
                </w:pPr>
              </w:p>
            </w:tc>
          </w:tr>
          <w:tr w:rsidR="00EA351D" w:rsidRPr="00EA351D" w14:paraId="4DDED9E4" w14:textId="77777777">
            <w:tc>
              <w:tcPr>
                <w:tcW w:w="7672" w:type="dxa"/>
              </w:tcPr>
              <w:sdt>
                <w:sdtPr>
                  <w:rPr>
                    <w:rFonts w:ascii="Arial Black" w:eastAsiaTheme="majorEastAsia" w:hAnsi="Arial Black" w:cstheme="majorBidi"/>
                    <w:color w:val="156082" w:themeColor="accent1"/>
                    <w:sz w:val="40"/>
                    <w:szCs w:val="40"/>
                  </w:rPr>
                  <w:alias w:val="Title"/>
                  <w:id w:val="13406919"/>
                  <w:placeholder>
                    <w:docPart w:val="159FA6C8E6F44A73AC912326EACE0659"/>
                  </w:placeholder>
                  <w:dataBinding w:prefixMappings="xmlns:ns0='http://schemas.openxmlformats.org/package/2006/metadata/core-properties' xmlns:ns1='http://purl.org/dc/elements/1.1/'" w:xpath="/ns0:coreProperties[1]/ns1:title[1]" w:storeItemID="{6C3C8BC8-F283-45AE-878A-BAB7291924A1}"/>
                  <w:text/>
                </w:sdtPr>
                <w:sdtContent>
                  <w:p w14:paraId="2F2C344A" w14:textId="5A5F0C1A" w:rsidR="00EA351D" w:rsidRPr="00EA351D" w:rsidRDefault="00EA351D">
                    <w:pPr>
                      <w:pStyle w:val="NoSpacing"/>
                      <w:spacing w:line="216" w:lineRule="auto"/>
                      <w:rPr>
                        <w:rFonts w:ascii="Arial Black" w:eastAsiaTheme="majorEastAsia" w:hAnsi="Arial Black" w:cstheme="majorBidi"/>
                        <w:color w:val="156082" w:themeColor="accent1"/>
                        <w:sz w:val="40"/>
                        <w:szCs w:val="40"/>
                      </w:rPr>
                    </w:pPr>
                    <w:r w:rsidRPr="00EA351D">
                      <w:rPr>
                        <w:rFonts w:ascii="Arial Black" w:eastAsiaTheme="majorEastAsia" w:hAnsi="Arial Black" w:cstheme="majorBidi"/>
                        <w:color w:val="156082" w:themeColor="accent1"/>
                        <w:sz w:val="40"/>
                        <w:szCs w:val="40"/>
                      </w:rPr>
                      <w:t>Community Development and Growth in Swansea: A Case Study of the Elderly Community through the Swansea Dementia and Carer Project</w:t>
                    </w:r>
                  </w:p>
                </w:sdtContent>
              </w:sdt>
            </w:tc>
          </w:tr>
          <w:tr w:rsidR="00EA351D" w:rsidRPr="00EA351D" w14:paraId="08D7B196" w14:textId="77777777">
            <w:tc>
              <w:tcPr>
                <w:tcW w:w="7672" w:type="dxa"/>
                <w:tcMar>
                  <w:top w:w="216" w:type="dxa"/>
                  <w:left w:w="115" w:type="dxa"/>
                  <w:bottom w:w="216" w:type="dxa"/>
                  <w:right w:w="115" w:type="dxa"/>
                </w:tcMar>
              </w:tcPr>
              <w:p w14:paraId="7959E5F4" w14:textId="5541D1CD" w:rsidR="00EA351D" w:rsidRPr="00EA351D" w:rsidRDefault="00EA351D">
                <w:pPr>
                  <w:pStyle w:val="NoSpacing"/>
                  <w:rPr>
                    <w:rFonts w:ascii="Arial Black" w:hAnsi="Arial Black"/>
                    <w:color w:val="0F4761" w:themeColor="accent1" w:themeShade="BF"/>
                    <w:sz w:val="32"/>
                    <w:szCs w:val="32"/>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EA351D" w:rsidRPr="00EA351D" w14:paraId="76B98972" w14:textId="77777777">
            <w:tc>
              <w:tcPr>
                <w:tcW w:w="7221" w:type="dxa"/>
                <w:tcMar>
                  <w:top w:w="216" w:type="dxa"/>
                  <w:left w:w="115" w:type="dxa"/>
                  <w:bottom w:w="216" w:type="dxa"/>
                  <w:right w:w="115" w:type="dxa"/>
                </w:tcMar>
              </w:tcPr>
              <w:p w14:paraId="07B99C9B" w14:textId="77777777" w:rsidR="00EA351D" w:rsidRPr="00EA351D" w:rsidRDefault="00EA351D" w:rsidP="00EA351D">
                <w:pPr>
                  <w:pStyle w:val="NoSpacing"/>
                  <w:rPr>
                    <w:rFonts w:ascii="Arial Black" w:hAnsi="Arial Black"/>
                    <w:color w:val="156082" w:themeColor="accent1"/>
                    <w:sz w:val="32"/>
                    <w:szCs w:val="32"/>
                  </w:rPr>
                </w:pPr>
              </w:p>
            </w:tc>
          </w:tr>
        </w:tbl>
        <w:p w14:paraId="75FACF4B" w14:textId="77777777" w:rsidR="00EA351D" w:rsidRDefault="00EA351D">
          <w:pPr>
            <w:rPr>
              <w:rFonts w:ascii="Arial Black" w:hAnsi="Arial Black" w:cs="Arial"/>
              <w:sz w:val="32"/>
              <w:szCs w:val="32"/>
            </w:rPr>
          </w:pPr>
        </w:p>
        <w:p w14:paraId="488BEB2E" w14:textId="77777777" w:rsidR="00EA351D" w:rsidRDefault="00EA351D">
          <w:pPr>
            <w:rPr>
              <w:rFonts w:ascii="Arial Black" w:hAnsi="Arial Black" w:cs="Arial"/>
              <w:sz w:val="32"/>
              <w:szCs w:val="32"/>
            </w:rPr>
          </w:pPr>
        </w:p>
        <w:p w14:paraId="74BD3456" w14:textId="77777777" w:rsidR="00EA351D" w:rsidRDefault="00EA351D">
          <w:pPr>
            <w:rPr>
              <w:rFonts w:ascii="Arial Black" w:hAnsi="Arial Black" w:cs="Arial"/>
              <w:sz w:val="32"/>
              <w:szCs w:val="32"/>
            </w:rPr>
          </w:pPr>
        </w:p>
        <w:p w14:paraId="6B15C107" w14:textId="77777777" w:rsidR="00EA351D" w:rsidRDefault="00EA351D">
          <w:pPr>
            <w:rPr>
              <w:rFonts w:ascii="Arial Black" w:hAnsi="Arial Black" w:cs="Arial"/>
              <w:sz w:val="32"/>
              <w:szCs w:val="32"/>
            </w:rPr>
          </w:pPr>
        </w:p>
        <w:p w14:paraId="27837760" w14:textId="77777777" w:rsidR="00EA351D" w:rsidRDefault="00EA351D">
          <w:pPr>
            <w:rPr>
              <w:rFonts w:ascii="Arial Black" w:hAnsi="Arial Black" w:cs="Arial"/>
              <w:sz w:val="32"/>
              <w:szCs w:val="32"/>
            </w:rPr>
          </w:pPr>
        </w:p>
        <w:p w14:paraId="591D4649" w14:textId="77777777" w:rsidR="00EA351D" w:rsidRDefault="00EA351D">
          <w:pPr>
            <w:rPr>
              <w:rFonts w:ascii="Arial Black" w:hAnsi="Arial Black" w:cs="Arial"/>
              <w:sz w:val="32"/>
              <w:szCs w:val="32"/>
            </w:rPr>
          </w:pPr>
        </w:p>
        <w:p w14:paraId="4C281347" w14:textId="77777777" w:rsidR="00EA351D" w:rsidRDefault="00EA351D">
          <w:pPr>
            <w:rPr>
              <w:rFonts w:ascii="Arial Black" w:hAnsi="Arial Black" w:cs="Arial"/>
              <w:sz w:val="32"/>
              <w:szCs w:val="32"/>
            </w:rPr>
          </w:pPr>
        </w:p>
        <w:p w14:paraId="00F54748" w14:textId="77777777" w:rsidR="00EA351D" w:rsidRDefault="00EA351D">
          <w:pPr>
            <w:rPr>
              <w:rFonts w:ascii="Arial Black" w:hAnsi="Arial Black" w:cs="Arial"/>
              <w:sz w:val="32"/>
              <w:szCs w:val="32"/>
            </w:rPr>
          </w:pPr>
        </w:p>
        <w:p w14:paraId="3E85FD2A" w14:textId="77777777" w:rsidR="00EA351D" w:rsidRDefault="00EA351D">
          <w:pPr>
            <w:rPr>
              <w:rFonts w:ascii="Arial Black" w:hAnsi="Arial Black" w:cs="Arial"/>
              <w:sz w:val="32"/>
              <w:szCs w:val="32"/>
            </w:rPr>
          </w:pPr>
        </w:p>
        <w:p w14:paraId="0B972841" w14:textId="77777777" w:rsidR="00EA351D" w:rsidRDefault="00EA351D">
          <w:pPr>
            <w:rPr>
              <w:rFonts w:ascii="Arial Black" w:hAnsi="Arial Black" w:cs="Arial"/>
              <w:sz w:val="32"/>
              <w:szCs w:val="32"/>
            </w:rPr>
          </w:pPr>
        </w:p>
        <w:p w14:paraId="501CE592" w14:textId="77777777" w:rsidR="00EA351D" w:rsidRDefault="00EA351D">
          <w:pPr>
            <w:rPr>
              <w:rFonts w:ascii="Arial Black" w:hAnsi="Arial Black" w:cs="Arial"/>
              <w:sz w:val="32"/>
              <w:szCs w:val="32"/>
            </w:rPr>
          </w:pPr>
        </w:p>
        <w:p w14:paraId="3781AD62" w14:textId="77777777" w:rsidR="00EA351D" w:rsidRDefault="00EA351D">
          <w:pPr>
            <w:rPr>
              <w:rFonts w:ascii="Arial Black" w:hAnsi="Arial Black" w:cs="Arial"/>
              <w:sz w:val="32"/>
              <w:szCs w:val="32"/>
            </w:rPr>
          </w:pPr>
        </w:p>
        <w:p w14:paraId="7DD9920F" w14:textId="0796ED1F" w:rsidR="00EA351D" w:rsidRPr="00EA351D" w:rsidRDefault="00EA351D" w:rsidP="00EA351D">
          <w:pPr>
            <w:rPr>
              <w:rFonts w:ascii="Arial Black" w:hAnsi="Arial Black" w:cs="Arial"/>
            </w:rPr>
          </w:pPr>
          <w:r w:rsidRPr="00EA351D">
            <w:rPr>
              <w:rFonts w:ascii="Arial Black" w:hAnsi="Arial Black" w:cs="Arial"/>
            </w:rPr>
            <w:t>Student name:</w:t>
          </w:r>
          <w:r>
            <w:rPr>
              <w:rFonts w:ascii="Arial Black" w:hAnsi="Arial Black" w:cs="Arial"/>
            </w:rPr>
            <w:t xml:space="preserve"> Armando Butacu</w:t>
          </w:r>
          <w:r w:rsidRPr="00EA351D">
            <w:rPr>
              <w:rFonts w:ascii="Arial Black" w:hAnsi="Arial Black" w:cs="Arial"/>
            </w:rPr>
            <w:tab/>
          </w:r>
        </w:p>
        <w:p w14:paraId="1EC53B31" w14:textId="4179E96F" w:rsidR="00EA351D" w:rsidRPr="00EA351D" w:rsidRDefault="00EA351D" w:rsidP="00EA351D">
          <w:pPr>
            <w:rPr>
              <w:rFonts w:ascii="Arial Black" w:hAnsi="Arial Black" w:cs="Arial"/>
            </w:rPr>
          </w:pPr>
          <w:r w:rsidRPr="00EA351D">
            <w:rPr>
              <w:rFonts w:ascii="Arial Black" w:hAnsi="Arial Black" w:cs="Arial"/>
            </w:rPr>
            <w:t>Programme:</w:t>
          </w:r>
          <w:r>
            <w:rPr>
              <w:rFonts w:ascii="Arial Black" w:hAnsi="Arial Black" w:cs="Arial"/>
            </w:rPr>
            <w:t xml:space="preserve"> </w:t>
          </w:r>
          <w:r w:rsidRPr="00EA351D">
            <w:rPr>
              <w:rFonts w:ascii="Arial Black" w:hAnsi="Arial Black" w:cs="Arial"/>
            </w:rPr>
            <w:t>Sustainability Enterprise</w:t>
          </w:r>
        </w:p>
        <w:p w14:paraId="0F7C9674" w14:textId="5E48CCAF" w:rsidR="00EA351D" w:rsidRPr="00EA351D" w:rsidRDefault="00EA351D" w:rsidP="00EA351D">
          <w:pPr>
            <w:rPr>
              <w:rFonts w:ascii="Arial Black" w:hAnsi="Arial Black" w:cs="Arial"/>
            </w:rPr>
          </w:pPr>
          <w:r w:rsidRPr="00EA351D">
            <w:rPr>
              <w:rFonts w:ascii="Arial Black" w:hAnsi="Arial Black" w:cs="Arial"/>
            </w:rPr>
            <w:t>Module:</w:t>
          </w:r>
          <w:r>
            <w:rPr>
              <w:rFonts w:ascii="Arial Black" w:hAnsi="Arial Black" w:cs="Arial"/>
            </w:rPr>
            <w:t xml:space="preserve"> </w:t>
          </w:r>
          <w:r w:rsidRPr="00EA351D">
            <w:rPr>
              <w:rFonts w:ascii="Arial Black" w:hAnsi="Arial Black" w:cs="Arial"/>
            </w:rPr>
            <w:t>Community Development</w:t>
          </w:r>
        </w:p>
        <w:p w14:paraId="39A496D7" w14:textId="11EF098C" w:rsidR="00EA351D" w:rsidRPr="00EA351D" w:rsidRDefault="00EA351D" w:rsidP="00EA351D">
          <w:pPr>
            <w:rPr>
              <w:rFonts w:ascii="Arial Black" w:hAnsi="Arial Black" w:cs="Arial"/>
            </w:rPr>
          </w:pPr>
          <w:r w:rsidRPr="00EA351D">
            <w:rPr>
              <w:rFonts w:ascii="Arial Black" w:hAnsi="Arial Black" w:cs="Arial"/>
            </w:rPr>
            <w:t>Module code:</w:t>
          </w:r>
          <w:r>
            <w:rPr>
              <w:rFonts w:ascii="Arial Black" w:hAnsi="Arial Black" w:cs="Arial"/>
            </w:rPr>
            <w:t xml:space="preserve"> </w:t>
          </w:r>
          <w:r w:rsidRPr="00EA351D">
            <w:rPr>
              <w:rFonts w:ascii="Arial Black" w:hAnsi="Arial Black" w:cs="Arial"/>
            </w:rPr>
            <w:t>BMSE4004D</w:t>
          </w:r>
        </w:p>
        <w:p w14:paraId="73136D3E" w14:textId="3B82BBA8" w:rsidR="00EA351D" w:rsidRDefault="00EA351D" w:rsidP="00EA351D">
          <w:pPr>
            <w:rPr>
              <w:rFonts w:ascii="Arial Black" w:hAnsi="Arial Black" w:cs="Arial"/>
            </w:rPr>
          </w:pPr>
          <w:r w:rsidRPr="00EA351D">
            <w:rPr>
              <w:rFonts w:ascii="Arial Black" w:hAnsi="Arial Black" w:cs="Arial"/>
            </w:rPr>
            <w:t>Lecturer:</w:t>
          </w:r>
          <w:r>
            <w:rPr>
              <w:rFonts w:ascii="Arial Black" w:hAnsi="Arial Black" w:cs="Arial"/>
            </w:rPr>
            <w:t xml:space="preserve"> </w:t>
          </w:r>
          <w:r w:rsidRPr="00EA351D">
            <w:rPr>
              <w:rFonts w:ascii="Arial Black" w:hAnsi="Arial Black" w:cs="Arial"/>
            </w:rPr>
            <w:t>Navdeep Randhawa</w:t>
          </w:r>
          <w:r w:rsidRPr="00EA351D">
            <w:rPr>
              <w:rFonts w:ascii="Arial Black" w:hAnsi="Arial Black" w:cs="Arial"/>
              <w:sz w:val="32"/>
              <w:szCs w:val="32"/>
            </w:rPr>
            <w:br w:type="page"/>
          </w:r>
        </w:p>
      </w:sdtContent>
    </w:sdt>
    <w:p w14:paraId="4A833B5F" w14:textId="68A3E84B" w:rsidR="00837238" w:rsidRPr="00753CFE" w:rsidRDefault="00837238" w:rsidP="00837238">
      <w:pPr>
        <w:spacing w:line="360" w:lineRule="auto"/>
        <w:rPr>
          <w:rFonts w:ascii="Arial Black" w:hAnsi="Arial Black" w:cs="Arial"/>
        </w:rPr>
      </w:pPr>
      <w:r w:rsidRPr="00753CFE">
        <w:rPr>
          <w:rFonts w:ascii="Arial Black" w:hAnsi="Arial Black" w:cs="Arial"/>
        </w:rPr>
        <w:lastRenderedPageBreak/>
        <w:t>Introduction</w:t>
      </w:r>
    </w:p>
    <w:p w14:paraId="27898008" w14:textId="77777777" w:rsidR="00837238" w:rsidRPr="00837238" w:rsidRDefault="00837238" w:rsidP="00837238">
      <w:pPr>
        <w:spacing w:line="360" w:lineRule="auto"/>
        <w:rPr>
          <w:rFonts w:ascii="Arial" w:hAnsi="Arial" w:cs="Arial"/>
        </w:rPr>
      </w:pPr>
      <w:r w:rsidRPr="00837238">
        <w:rPr>
          <w:rFonts w:ascii="Arial" w:hAnsi="Arial" w:cs="Arial"/>
        </w:rPr>
        <w:t>Communities are naturally dynamic and multifaceted, with features such as ethnicity, colour, class, age, and culture. Individuals frequently belong to many communities at the same time, each with its own set of shared qualities and motivators for participation and engagement. Understanding these processes is essential for promoting growth and development in certain communities. This research identifies and analyses Swansea's ageing community, with an emphasis on the Swansea Dementia and Carer Project, which is managed by the Swansea Council for Voluntary Service. It investigates the techniques chosen to assist this community, examines the cultural, sociological, economic, political, and environmental consequences, and assesses the long-term viability of community development procedures used.</w:t>
      </w:r>
    </w:p>
    <w:p w14:paraId="12E0544E" w14:textId="77777777" w:rsidR="00837238" w:rsidRPr="00753CFE" w:rsidRDefault="00837238" w:rsidP="00837238">
      <w:pPr>
        <w:spacing w:line="360" w:lineRule="auto"/>
        <w:rPr>
          <w:rFonts w:ascii="Arial Black" w:hAnsi="Arial Black" w:cs="Arial"/>
        </w:rPr>
      </w:pPr>
      <w:r w:rsidRPr="00753CFE">
        <w:rPr>
          <w:rFonts w:ascii="Arial Black" w:hAnsi="Arial Black" w:cs="Arial"/>
        </w:rPr>
        <w:t>Literature review</w:t>
      </w:r>
    </w:p>
    <w:p w14:paraId="430EE7F6" w14:textId="77777777" w:rsidR="00837238" w:rsidRPr="00753CFE" w:rsidRDefault="00837238" w:rsidP="00837238">
      <w:pPr>
        <w:spacing w:line="360" w:lineRule="auto"/>
        <w:rPr>
          <w:rFonts w:ascii="Arial Black" w:hAnsi="Arial Black" w:cs="Arial"/>
        </w:rPr>
      </w:pPr>
      <w:r w:rsidRPr="00753CFE">
        <w:rPr>
          <w:rFonts w:ascii="Arial Black" w:hAnsi="Arial Black" w:cs="Arial"/>
        </w:rPr>
        <w:t>Empowerment Evaluation:</w:t>
      </w:r>
    </w:p>
    <w:p w14:paraId="2DE5A7FA" w14:textId="77777777" w:rsidR="00837238" w:rsidRPr="00837238" w:rsidRDefault="00837238" w:rsidP="00837238">
      <w:pPr>
        <w:spacing w:line="360" w:lineRule="auto"/>
        <w:rPr>
          <w:rFonts w:ascii="Arial" w:hAnsi="Arial" w:cs="Arial"/>
        </w:rPr>
      </w:pPr>
      <w:r w:rsidRPr="00837238">
        <w:rPr>
          <w:rFonts w:ascii="Arial" w:hAnsi="Arial" w:cs="Arial"/>
        </w:rPr>
        <w:t>Fetterman (1996) presents the notion of empowerment evaluation, emphasising the significance of incorporating community members in assessment and accountability procedures. This strategy adheres to the concepts of self-determination and capacity building, ensuring that communities have the tools and information to assess their progress and effectiveness. Empowerment evaluation enhances community members' sense of ownership, which is necessary for long-term growth (Fetterman, 1996).</w:t>
      </w:r>
    </w:p>
    <w:p w14:paraId="219AE312" w14:textId="77777777" w:rsidR="00837238" w:rsidRPr="00753CFE" w:rsidRDefault="00837238" w:rsidP="00837238">
      <w:pPr>
        <w:spacing w:line="360" w:lineRule="auto"/>
        <w:rPr>
          <w:rFonts w:ascii="Arial Black" w:hAnsi="Arial Black" w:cs="Arial"/>
        </w:rPr>
      </w:pPr>
      <w:r w:rsidRPr="00753CFE">
        <w:rPr>
          <w:rFonts w:ascii="Arial Black" w:hAnsi="Arial Black" w:cs="Arial"/>
        </w:rPr>
        <w:t>Rural Communities and Change.</w:t>
      </w:r>
    </w:p>
    <w:p w14:paraId="4E05EE3F" w14:textId="77777777" w:rsidR="00837238" w:rsidRPr="00837238" w:rsidRDefault="00837238" w:rsidP="00837238">
      <w:pPr>
        <w:spacing w:line="360" w:lineRule="auto"/>
        <w:rPr>
          <w:rFonts w:ascii="Arial" w:hAnsi="Arial" w:cs="Arial"/>
        </w:rPr>
      </w:pPr>
      <w:r w:rsidRPr="00837238">
        <w:rPr>
          <w:rFonts w:ascii="Arial" w:hAnsi="Arial" w:cs="Arial"/>
        </w:rPr>
        <w:t xml:space="preserve">Flora, Flora, and </w:t>
      </w:r>
      <w:proofErr w:type="spellStart"/>
      <w:r w:rsidRPr="00837238">
        <w:rPr>
          <w:rFonts w:ascii="Arial" w:hAnsi="Arial" w:cs="Arial"/>
        </w:rPr>
        <w:t>Gasteyer</w:t>
      </w:r>
      <w:proofErr w:type="spellEnd"/>
      <w:r w:rsidRPr="00837238">
        <w:rPr>
          <w:rFonts w:ascii="Arial" w:hAnsi="Arial" w:cs="Arial"/>
        </w:rPr>
        <w:t xml:space="preserve"> (2016) address the legacy and change in rural communities, emphasising the significance of responding to changing societal needs while protecting cultural heritage. Although Swansea is an urban centre, rural community development insights might help grasp the balance of tradition and modernisation in community activities. This balance is critical for preserving community cohesion while tackling current issues (Flora et al., 2016).</w:t>
      </w:r>
    </w:p>
    <w:p w14:paraId="5491D661" w14:textId="77777777" w:rsidR="00837238" w:rsidRPr="00837238" w:rsidRDefault="00837238" w:rsidP="00837238">
      <w:pPr>
        <w:spacing w:line="360" w:lineRule="auto"/>
        <w:rPr>
          <w:rFonts w:ascii="Arial" w:hAnsi="Arial" w:cs="Arial"/>
        </w:rPr>
      </w:pPr>
    </w:p>
    <w:p w14:paraId="032E115A" w14:textId="77777777" w:rsidR="009E5562" w:rsidRDefault="009E5562" w:rsidP="00837238">
      <w:pPr>
        <w:spacing w:line="360" w:lineRule="auto"/>
        <w:rPr>
          <w:rFonts w:ascii="Arial" w:hAnsi="Arial" w:cs="Arial"/>
        </w:rPr>
      </w:pPr>
    </w:p>
    <w:p w14:paraId="79DA2BDD" w14:textId="5FFCE019" w:rsidR="00837238" w:rsidRPr="00753CFE" w:rsidRDefault="00837238" w:rsidP="00837238">
      <w:pPr>
        <w:spacing w:line="360" w:lineRule="auto"/>
        <w:rPr>
          <w:rFonts w:ascii="Arial Black" w:hAnsi="Arial Black" w:cs="Arial"/>
        </w:rPr>
      </w:pPr>
      <w:r w:rsidRPr="00753CFE">
        <w:rPr>
          <w:rFonts w:ascii="Arial Black" w:hAnsi="Arial Black" w:cs="Arial"/>
        </w:rPr>
        <w:lastRenderedPageBreak/>
        <w:t>Community: Moral Proximity</w:t>
      </w:r>
    </w:p>
    <w:p w14:paraId="41D1BB51" w14:textId="77777777" w:rsidR="00837238" w:rsidRPr="00837238" w:rsidRDefault="00837238" w:rsidP="00837238">
      <w:pPr>
        <w:spacing w:line="360" w:lineRule="auto"/>
        <w:rPr>
          <w:rFonts w:ascii="Arial" w:hAnsi="Arial" w:cs="Arial"/>
        </w:rPr>
      </w:pPr>
      <w:r w:rsidRPr="00837238">
        <w:rPr>
          <w:rFonts w:ascii="Arial" w:hAnsi="Arial" w:cs="Arial"/>
        </w:rPr>
        <w:t>Goodsell, Flaherty, and Brown (2014) define community in a global economy as a moral proximity, with shared values and ethical considerations underpinning community cohesion. This viewpoint is critical in understanding the ethical framework that guides community development programs, ensuring that activities are consistent with the community's moral and cultural values. Moral proximity promotes trust and collaboration, all of which are required for successful community growth (Goodsell et al., 2014).</w:t>
      </w:r>
    </w:p>
    <w:p w14:paraId="2FB65DEF" w14:textId="77777777" w:rsidR="00837238" w:rsidRPr="00753CFE" w:rsidRDefault="00837238" w:rsidP="00837238">
      <w:pPr>
        <w:spacing w:line="360" w:lineRule="auto"/>
        <w:rPr>
          <w:rFonts w:ascii="Arial Black" w:hAnsi="Arial Black" w:cs="Arial"/>
        </w:rPr>
      </w:pPr>
      <w:r w:rsidRPr="00753CFE">
        <w:rPr>
          <w:rFonts w:ascii="Arial Black" w:hAnsi="Arial Black" w:cs="Arial"/>
        </w:rPr>
        <w:t>Asset Creation and Community Development</w:t>
      </w:r>
    </w:p>
    <w:p w14:paraId="023E54F2" w14:textId="77777777" w:rsidR="00837238" w:rsidRPr="00837238" w:rsidRDefault="00837238" w:rsidP="00837238">
      <w:pPr>
        <w:spacing w:line="360" w:lineRule="auto"/>
        <w:rPr>
          <w:rFonts w:ascii="Arial" w:hAnsi="Arial" w:cs="Arial"/>
        </w:rPr>
      </w:pPr>
      <w:r w:rsidRPr="00837238">
        <w:rPr>
          <w:rFonts w:ascii="Arial" w:hAnsi="Arial" w:cs="Arial"/>
        </w:rPr>
        <w:t>Green and Haines (2011) advocate for asset-based community development (ABCD), which focusses on recognising and using existing community strengths and resources. This strategy, unlike deficit-based strategies, promotes sustainability by building on what communities already have. ABCD empowers communities by identifying their inherent strengths, allowing for more successful and resilient development initiatives (Green &amp; Haines, 2011).</w:t>
      </w:r>
    </w:p>
    <w:p w14:paraId="3552482F" w14:textId="77777777" w:rsidR="00837238" w:rsidRPr="009E5562" w:rsidRDefault="00837238" w:rsidP="00837238">
      <w:pPr>
        <w:spacing w:line="360" w:lineRule="auto"/>
        <w:rPr>
          <w:rFonts w:ascii="Arial Black" w:hAnsi="Arial Black" w:cs="Arial"/>
        </w:rPr>
      </w:pPr>
      <w:r w:rsidRPr="009E5562">
        <w:rPr>
          <w:rFonts w:ascii="Arial Black" w:hAnsi="Arial Black" w:cs="Arial"/>
        </w:rPr>
        <w:t>Sustainable livelihoods and community capital</w:t>
      </w:r>
    </w:p>
    <w:p w14:paraId="30A7F1CA" w14:textId="07721288" w:rsidR="00837238" w:rsidRPr="00837238" w:rsidRDefault="00837238" w:rsidP="00837238">
      <w:pPr>
        <w:spacing w:line="360" w:lineRule="auto"/>
        <w:rPr>
          <w:rFonts w:ascii="Arial" w:hAnsi="Arial" w:cs="Arial"/>
        </w:rPr>
      </w:pPr>
      <w:r w:rsidRPr="00837238">
        <w:rPr>
          <w:rFonts w:ascii="Arial" w:hAnsi="Arial" w:cs="Arial"/>
        </w:rPr>
        <w:t xml:space="preserve">Gutierrez-Montes, Emery, and Fernandez-Baca (2009) investigate the sustainable livelihoods approach and the community capitals framework, advocating for systems-level strategies that </w:t>
      </w:r>
      <w:r w:rsidR="009E5562" w:rsidRPr="00837238">
        <w:rPr>
          <w:rFonts w:ascii="Arial" w:hAnsi="Arial" w:cs="Arial"/>
        </w:rPr>
        <w:t>consider</w:t>
      </w:r>
      <w:r w:rsidRPr="00837238">
        <w:rPr>
          <w:rFonts w:ascii="Arial" w:hAnsi="Arial" w:cs="Arial"/>
        </w:rPr>
        <w:t xml:space="preserve"> various forms of capital—human, social, financial, and natural—to promote community resilience and sustainability. This comprehensive strategy guarantees that community development initiatives are thorough and encompass all aspects of community life (Gutierrez-Montes et al., 2009).</w:t>
      </w:r>
    </w:p>
    <w:p w14:paraId="6053B62E" w14:textId="77777777" w:rsidR="00837238" w:rsidRPr="009E5562" w:rsidRDefault="00837238" w:rsidP="00837238">
      <w:pPr>
        <w:spacing w:line="360" w:lineRule="auto"/>
        <w:rPr>
          <w:rFonts w:ascii="Arial Black" w:hAnsi="Arial Black" w:cs="Arial"/>
        </w:rPr>
      </w:pPr>
      <w:r w:rsidRPr="009E5562">
        <w:rPr>
          <w:rFonts w:ascii="Arial Black" w:hAnsi="Arial Black" w:cs="Arial"/>
        </w:rPr>
        <w:t>Community Organisation and Development</w:t>
      </w:r>
    </w:p>
    <w:p w14:paraId="0680E2C6" w14:textId="77777777" w:rsidR="00837238" w:rsidRPr="00837238" w:rsidRDefault="00837238" w:rsidP="00837238">
      <w:pPr>
        <w:spacing w:line="360" w:lineRule="auto"/>
        <w:rPr>
          <w:rFonts w:ascii="Arial" w:hAnsi="Arial" w:cs="Arial"/>
        </w:rPr>
      </w:pPr>
      <w:r w:rsidRPr="00837238">
        <w:rPr>
          <w:rFonts w:ascii="Arial" w:hAnsi="Arial" w:cs="Arial"/>
        </w:rPr>
        <w:t>Popple (2018) examines the history of community organisation and development, calling for inclusive, participatory forms that can be adapted to future difficulties. This historical viewpoint gives context to modern community development approaches, emphasising the importance of ongoing innovation and responsiveness. Effective community organising necessitates adaptability and the ability to involve a varied range of community members.</w:t>
      </w:r>
    </w:p>
    <w:p w14:paraId="1988742A" w14:textId="77777777" w:rsidR="00837238" w:rsidRPr="00837238" w:rsidRDefault="00837238" w:rsidP="00837238">
      <w:pPr>
        <w:spacing w:line="360" w:lineRule="auto"/>
        <w:rPr>
          <w:rFonts w:ascii="Arial" w:hAnsi="Arial" w:cs="Arial"/>
        </w:rPr>
      </w:pPr>
    </w:p>
    <w:p w14:paraId="22DD2582" w14:textId="19EE4941" w:rsidR="00837238" w:rsidRPr="00753CFE" w:rsidRDefault="00753CFE" w:rsidP="00837238">
      <w:pPr>
        <w:spacing w:line="360" w:lineRule="auto"/>
        <w:rPr>
          <w:rFonts w:ascii="Arial Black" w:hAnsi="Arial Black" w:cs="Arial"/>
        </w:rPr>
      </w:pPr>
      <w:r w:rsidRPr="00753CFE">
        <w:rPr>
          <w:rFonts w:ascii="Arial Black" w:hAnsi="Arial Black" w:cs="Arial"/>
        </w:rPr>
        <w:lastRenderedPageBreak/>
        <w:t>G</w:t>
      </w:r>
      <w:r w:rsidR="00837238" w:rsidRPr="00753CFE">
        <w:rPr>
          <w:rFonts w:ascii="Arial Black" w:hAnsi="Arial Black" w:cs="Arial"/>
        </w:rPr>
        <w:t>overnment frameworks</w:t>
      </w:r>
    </w:p>
    <w:p w14:paraId="18F4B330" w14:textId="77777777" w:rsidR="00837238" w:rsidRPr="00837238" w:rsidRDefault="00837238" w:rsidP="00837238">
      <w:pPr>
        <w:spacing w:line="360" w:lineRule="auto"/>
        <w:rPr>
          <w:rFonts w:ascii="Arial" w:hAnsi="Arial" w:cs="Arial"/>
        </w:rPr>
      </w:pPr>
      <w:r w:rsidRPr="00837238">
        <w:rPr>
          <w:rFonts w:ascii="Arial" w:hAnsi="Arial" w:cs="Arial"/>
        </w:rPr>
        <w:t>The Community Development Handbook (UK Government, n.d.) details the frameworks and membership models required for effective community assistance. These standards serve as a structural underpinning for community development projects, ensuring that they are well-organised, inclusive, and consistent with broader governmental policies and goals. Adherence to these frameworks increases the effectiveness and validity of community development projects (UK Government, n.d.).</w:t>
      </w:r>
    </w:p>
    <w:p w14:paraId="329D60C7" w14:textId="77777777" w:rsidR="00837238" w:rsidRPr="009E5562" w:rsidRDefault="00837238" w:rsidP="00837238">
      <w:pPr>
        <w:spacing w:line="360" w:lineRule="auto"/>
        <w:rPr>
          <w:rFonts w:ascii="Arial Black" w:hAnsi="Arial Black" w:cs="Arial"/>
        </w:rPr>
      </w:pPr>
      <w:r w:rsidRPr="009E5562">
        <w:rPr>
          <w:rFonts w:ascii="Arial Black" w:hAnsi="Arial Black" w:cs="Arial"/>
        </w:rPr>
        <w:t>Community identification and description</w:t>
      </w:r>
    </w:p>
    <w:p w14:paraId="5A966EE9" w14:textId="77777777" w:rsidR="00837238" w:rsidRPr="00837238" w:rsidRDefault="00837238" w:rsidP="00837238">
      <w:pPr>
        <w:spacing w:line="360" w:lineRule="auto"/>
        <w:rPr>
          <w:rFonts w:ascii="Arial" w:hAnsi="Arial" w:cs="Arial"/>
        </w:rPr>
      </w:pPr>
      <w:r w:rsidRPr="009E5562">
        <w:rPr>
          <w:rFonts w:ascii="Arial Black" w:hAnsi="Arial Black" w:cs="Arial"/>
        </w:rPr>
        <w:t>Swansea's elderly community</w:t>
      </w:r>
    </w:p>
    <w:p w14:paraId="5829B876" w14:textId="77777777" w:rsidR="00837238" w:rsidRPr="00837238" w:rsidRDefault="00837238" w:rsidP="00837238">
      <w:pPr>
        <w:spacing w:line="360" w:lineRule="auto"/>
        <w:rPr>
          <w:rFonts w:ascii="Arial" w:hAnsi="Arial" w:cs="Arial"/>
        </w:rPr>
      </w:pPr>
      <w:r w:rsidRPr="00837238">
        <w:rPr>
          <w:rFonts w:ascii="Arial" w:hAnsi="Arial" w:cs="Arial"/>
        </w:rPr>
        <w:t>Swansea's old population is a large and distinct community with unique demands and concerns. This population frequently experiences social isolation, health challenges, and restricted access to resources, particularly those living with dementia or caring for someone with dementia. The Swansea Dementia and Carer Project, a cooperation between SCVS and Swansea GP Clusters, serves this population by offering personalised assistance and resources.</w:t>
      </w:r>
    </w:p>
    <w:p w14:paraId="4A5C592F" w14:textId="77777777" w:rsidR="00837238" w:rsidRPr="009E5562" w:rsidRDefault="00837238" w:rsidP="00837238">
      <w:pPr>
        <w:spacing w:line="360" w:lineRule="auto"/>
        <w:rPr>
          <w:rFonts w:ascii="Arial Black" w:hAnsi="Arial Black" w:cs="Arial"/>
        </w:rPr>
      </w:pPr>
      <w:r w:rsidRPr="009E5562">
        <w:rPr>
          <w:rFonts w:ascii="Arial Black" w:hAnsi="Arial Black" w:cs="Arial"/>
        </w:rPr>
        <w:t>Demographics and characteristics</w:t>
      </w:r>
    </w:p>
    <w:p w14:paraId="53D64A8C" w14:textId="2F63E144" w:rsidR="00837238" w:rsidRPr="00837238" w:rsidRDefault="00837238" w:rsidP="00837238">
      <w:pPr>
        <w:spacing w:line="360" w:lineRule="auto"/>
        <w:rPr>
          <w:rFonts w:ascii="Arial" w:hAnsi="Arial" w:cs="Arial"/>
        </w:rPr>
      </w:pPr>
      <w:r w:rsidRPr="00837238">
        <w:rPr>
          <w:rFonts w:ascii="Arial" w:hAnsi="Arial" w:cs="Arial"/>
        </w:rPr>
        <w:t xml:space="preserve">Swansea's old population is diversified, coming from a variety of socioeconomic, ethnic, and cultural backgrounds. According to SCVS (n.d.), many elderly people live alone or require assistance with daily tasks, making accessible support systems critical to their health. Because dementia is so prevalent in this community, specialised services are required to meet both the physical and emotional requirements of persons and their </w:t>
      </w:r>
      <w:r w:rsidR="00753CFE" w:rsidRPr="00837238">
        <w:rPr>
          <w:rFonts w:ascii="Arial" w:hAnsi="Arial" w:cs="Arial"/>
        </w:rPr>
        <w:t>careers</w:t>
      </w:r>
      <w:r w:rsidRPr="00837238">
        <w:rPr>
          <w:rFonts w:ascii="Arial" w:hAnsi="Arial" w:cs="Arial"/>
        </w:rPr>
        <w:t>.</w:t>
      </w:r>
    </w:p>
    <w:p w14:paraId="3A6F9B54" w14:textId="77777777" w:rsidR="00837238" w:rsidRPr="00753CFE" w:rsidRDefault="00837238" w:rsidP="00837238">
      <w:pPr>
        <w:spacing w:line="360" w:lineRule="auto"/>
        <w:rPr>
          <w:rFonts w:ascii="Arial Black" w:hAnsi="Arial Black" w:cs="Arial"/>
        </w:rPr>
      </w:pPr>
      <w:r w:rsidRPr="00753CFE">
        <w:rPr>
          <w:rFonts w:ascii="Arial Black" w:hAnsi="Arial Black" w:cs="Arial"/>
        </w:rPr>
        <w:t>Approaches for Growth and Development: Asset-Based Community Development (ABCD).</w:t>
      </w:r>
    </w:p>
    <w:p w14:paraId="66A6BA2F" w14:textId="77777777" w:rsidR="00837238" w:rsidRPr="00837238" w:rsidRDefault="00837238" w:rsidP="00837238">
      <w:pPr>
        <w:spacing w:line="360" w:lineRule="auto"/>
        <w:rPr>
          <w:rFonts w:ascii="Arial" w:hAnsi="Arial" w:cs="Arial"/>
        </w:rPr>
      </w:pPr>
      <w:r w:rsidRPr="00837238">
        <w:rPr>
          <w:rFonts w:ascii="Arial" w:hAnsi="Arial" w:cs="Arial"/>
        </w:rPr>
        <w:t xml:space="preserve">SCVS uses the ABCD strategy, as recommended by Green and Haines (2011), which focusses on the senior community's strengths and resources. SCVS creates a strong support system for the elderly and their caretakers by identifying existing assets such as volunteer networks, local healthcare services, and community </w:t>
      </w:r>
      <w:r w:rsidRPr="00837238">
        <w:rPr>
          <w:rFonts w:ascii="Arial" w:hAnsi="Arial" w:cs="Arial"/>
        </w:rPr>
        <w:lastRenderedPageBreak/>
        <w:t>centres. This technique guarantees that development activities are based on the community's inherent capacities, promoting sustainability and resilience (Green &amp; Haines, 2011).</w:t>
      </w:r>
    </w:p>
    <w:p w14:paraId="5CF16FDE" w14:textId="77777777" w:rsidR="00837238" w:rsidRPr="00753CFE" w:rsidRDefault="00837238" w:rsidP="00837238">
      <w:pPr>
        <w:spacing w:line="360" w:lineRule="auto"/>
        <w:rPr>
          <w:rFonts w:ascii="Arial Black" w:hAnsi="Arial Black" w:cs="Arial"/>
        </w:rPr>
      </w:pPr>
      <w:r w:rsidRPr="00753CFE">
        <w:rPr>
          <w:rFonts w:ascii="Arial Black" w:hAnsi="Arial Black" w:cs="Arial"/>
        </w:rPr>
        <w:t>Empowerment and participation</w:t>
      </w:r>
    </w:p>
    <w:p w14:paraId="355D7263" w14:textId="77777777" w:rsidR="00837238" w:rsidRPr="00837238" w:rsidRDefault="00837238" w:rsidP="00837238">
      <w:pPr>
        <w:spacing w:line="360" w:lineRule="auto"/>
        <w:rPr>
          <w:rFonts w:ascii="Arial" w:hAnsi="Arial" w:cs="Arial"/>
        </w:rPr>
      </w:pPr>
      <w:r w:rsidRPr="00837238">
        <w:rPr>
          <w:rFonts w:ascii="Arial" w:hAnsi="Arial" w:cs="Arial"/>
        </w:rPr>
        <w:t>Fetterman's (1996) empowerment evaluation ideas are incorporated into the project, ensuring that senior community members actively participate in their support systems. This involvement generates a sense of ownership and responsibility, which increases the effectiveness and sustainability of the efforts. Empowered community members are more likely to join in and sustain development activities, resulting in long-term good effects (Fetterman, 1996).</w:t>
      </w:r>
    </w:p>
    <w:p w14:paraId="018BE7B6" w14:textId="3BA2E525" w:rsidR="00837238" w:rsidRPr="00753CFE" w:rsidRDefault="00753CFE" w:rsidP="00837238">
      <w:pPr>
        <w:spacing w:line="360" w:lineRule="auto"/>
        <w:rPr>
          <w:rFonts w:ascii="Arial Black" w:hAnsi="Arial Black" w:cs="Arial"/>
        </w:rPr>
      </w:pPr>
      <w:r w:rsidRPr="00753CFE">
        <w:rPr>
          <w:rFonts w:ascii="Arial Black" w:hAnsi="Arial Black" w:cs="Arial"/>
        </w:rPr>
        <w:t>C</w:t>
      </w:r>
      <w:r w:rsidR="00837238" w:rsidRPr="00753CFE">
        <w:rPr>
          <w:rFonts w:ascii="Arial Black" w:hAnsi="Arial Black" w:cs="Arial"/>
        </w:rPr>
        <w:t>ollaborative partnerships</w:t>
      </w:r>
    </w:p>
    <w:p w14:paraId="6F44DD79" w14:textId="77777777" w:rsidR="00837238" w:rsidRPr="00837238" w:rsidRDefault="00837238" w:rsidP="00837238">
      <w:pPr>
        <w:spacing w:line="360" w:lineRule="auto"/>
        <w:rPr>
          <w:rFonts w:ascii="Arial" w:hAnsi="Arial" w:cs="Arial"/>
        </w:rPr>
      </w:pPr>
      <w:r w:rsidRPr="00837238">
        <w:rPr>
          <w:rFonts w:ascii="Arial" w:hAnsi="Arial" w:cs="Arial"/>
        </w:rPr>
        <w:t>The Swansea Dementia and Carer Project exemplifies collaborative efforts, with partners including healthcare professionals, local government, and other third-party organisations. These collaborations allow for the pooling of resources, skills, and networks, resulting in a comprehensive support system that covers the complex requirements of the ageing community. Collaboration expands the reach and effectiveness of community development projects by combining varied abilities and resources (SCVS, n.d.).</w:t>
      </w:r>
    </w:p>
    <w:p w14:paraId="28F70038" w14:textId="77777777" w:rsidR="00837238" w:rsidRPr="00753CFE" w:rsidRDefault="00837238" w:rsidP="00837238">
      <w:pPr>
        <w:spacing w:line="360" w:lineRule="auto"/>
        <w:rPr>
          <w:rFonts w:ascii="Arial Black" w:hAnsi="Arial Black" w:cs="Arial"/>
        </w:rPr>
      </w:pPr>
      <w:r w:rsidRPr="00753CFE">
        <w:rPr>
          <w:rFonts w:ascii="Arial Black" w:hAnsi="Arial Black" w:cs="Arial"/>
        </w:rPr>
        <w:t>Personalised communication and messaging</w:t>
      </w:r>
    </w:p>
    <w:p w14:paraId="26D03B43" w14:textId="5E2BEC3B" w:rsidR="00837238" w:rsidRPr="00837238" w:rsidRDefault="00837238" w:rsidP="00837238">
      <w:pPr>
        <w:spacing w:line="360" w:lineRule="auto"/>
        <w:rPr>
          <w:rFonts w:ascii="Arial" w:hAnsi="Arial" w:cs="Arial"/>
        </w:rPr>
      </w:pPr>
      <w:r w:rsidRPr="00837238">
        <w:rPr>
          <w:rFonts w:ascii="Arial" w:hAnsi="Arial" w:cs="Arial"/>
        </w:rPr>
        <w:t xml:space="preserve">Understanding the older community's specific environment, SCVS </w:t>
      </w:r>
      <w:r w:rsidR="00753CFE" w:rsidRPr="00837238">
        <w:rPr>
          <w:rFonts w:ascii="Arial" w:hAnsi="Arial" w:cs="Arial"/>
        </w:rPr>
        <w:t>tailors’</w:t>
      </w:r>
      <w:r w:rsidRPr="00837238">
        <w:rPr>
          <w:rFonts w:ascii="Arial" w:hAnsi="Arial" w:cs="Arial"/>
        </w:rPr>
        <w:t xml:space="preserve"> communication tactics to ensure accessibility and relevance. This includes utilising clear, succinct language, presenting information across numerous channels (e.g., print, internet, in-person), and adding culturally sensitive materials that appeal to diverse segments of the senior population. Effective communication ensures that messages are comprehended and that community members are aware of available resources (SCVS, </w:t>
      </w:r>
      <w:proofErr w:type="spellStart"/>
      <w:r w:rsidRPr="00837238">
        <w:rPr>
          <w:rFonts w:ascii="Arial" w:hAnsi="Arial" w:cs="Arial"/>
        </w:rPr>
        <w:t>n.d</w:t>
      </w:r>
      <w:proofErr w:type="spellEnd"/>
      <w:r w:rsidR="00753CFE">
        <w:rPr>
          <w:rFonts w:ascii="Arial" w:hAnsi="Arial" w:cs="Arial"/>
        </w:rPr>
        <w:t>).</w:t>
      </w:r>
    </w:p>
    <w:p w14:paraId="1D7E47CB" w14:textId="77777777" w:rsidR="00837238" w:rsidRPr="00837238" w:rsidRDefault="00837238" w:rsidP="00837238">
      <w:pPr>
        <w:spacing w:line="360" w:lineRule="auto"/>
        <w:rPr>
          <w:rFonts w:ascii="Arial" w:hAnsi="Arial" w:cs="Arial"/>
        </w:rPr>
      </w:pPr>
    </w:p>
    <w:p w14:paraId="29C76235" w14:textId="77777777" w:rsidR="00753CFE" w:rsidRDefault="00753CFE" w:rsidP="00837238">
      <w:pPr>
        <w:spacing w:line="360" w:lineRule="auto"/>
        <w:rPr>
          <w:rFonts w:ascii="Arial" w:hAnsi="Arial" w:cs="Arial"/>
        </w:rPr>
      </w:pPr>
    </w:p>
    <w:p w14:paraId="246CF500" w14:textId="77777777" w:rsidR="00753CFE" w:rsidRDefault="00753CFE" w:rsidP="00837238">
      <w:pPr>
        <w:spacing w:line="360" w:lineRule="auto"/>
        <w:rPr>
          <w:rFonts w:ascii="Arial" w:hAnsi="Arial" w:cs="Arial"/>
        </w:rPr>
      </w:pPr>
    </w:p>
    <w:p w14:paraId="1094F10B" w14:textId="610F5641" w:rsidR="00837238" w:rsidRPr="00753CFE" w:rsidRDefault="00837238" w:rsidP="00837238">
      <w:pPr>
        <w:spacing w:line="360" w:lineRule="auto"/>
        <w:rPr>
          <w:rFonts w:ascii="Arial Black" w:hAnsi="Arial Black" w:cs="Arial"/>
        </w:rPr>
      </w:pPr>
      <w:r w:rsidRPr="00753CFE">
        <w:rPr>
          <w:rFonts w:ascii="Arial Black" w:hAnsi="Arial Black" w:cs="Arial"/>
        </w:rPr>
        <w:lastRenderedPageBreak/>
        <w:t>Impact analysis</w:t>
      </w:r>
    </w:p>
    <w:p w14:paraId="3CEFF29C" w14:textId="77777777" w:rsidR="00837238" w:rsidRPr="00753CFE" w:rsidRDefault="00837238" w:rsidP="00837238">
      <w:pPr>
        <w:spacing w:line="360" w:lineRule="auto"/>
        <w:rPr>
          <w:rFonts w:ascii="Arial Black" w:hAnsi="Arial Black" w:cs="Arial"/>
        </w:rPr>
      </w:pPr>
      <w:r w:rsidRPr="00753CFE">
        <w:rPr>
          <w:rFonts w:ascii="Arial Black" w:hAnsi="Arial Black" w:cs="Arial"/>
        </w:rPr>
        <w:t>The Cultural Impact</w:t>
      </w:r>
    </w:p>
    <w:p w14:paraId="5C3B2CAD" w14:textId="24B71E09" w:rsidR="00837238" w:rsidRPr="00837238" w:rsidRDefault="00837238" w:rsidP="00837238">
      <w:pPr>
        <w:spacing w:line="360" w:lineRule="auto"/>
        <w:rPr>
          <w:rFonts w:ascii="Arial" w:hAnsi="Arial" w:cs="Arial"/>
        </w:rPr>
      </w:pPr>
      <w:r w:rsidRPr="00837238">
        <w:rPr>
          <w:rFonts w:ascii="Arial" w:hAnsi="Arial" w:cs="Arial"/>
        </w:rPr>
        <w:t xml:space="preserve">The Swansea Dementia and Carer Project encourages cultural inclusion by acknowledging and appreciating the senior community's different roots. This strategy promotes an atmosphere in which cultural identity is </w:t>
      </w:r>
      <w:r w:rsidR="00753CFE" w:rsidRPr="00837238">
        <w:rPr>
          <w:rFonts w:ascii="Arial" w:hAnsi="Arial" w:cs="Arial"/>
        </w:rPr>
        <w:t>protected,</w:t>
      </w:r>
      <w:r w:rsidRPr="00837238">
        <w:rPr>
          <w:rFonts w:ascii="Arial" w:hAnsi="Arial" w:cs="Arial"/>
        </w:rPr>
        <w:t xml:space="preserve"> and services are tailored to address culturally unique demands, hence improving the overall effectiveness of the support provided. Cultural sensitivity in service delivery ensures that all community members are appreciated and understood (Goodsell et al., 2014).</w:t>
      </w:r>
    </w:p>
    <w:p w14:paraId="2AF104D0" w14:textId="77777777" w:rsidR="00837238" w:rsidRPr="00753CFE" w:rsidRDefault="00837238" w:rsidP="00837238">
      <w:pPr>
        <w:spacing w:line="360" w:lineRule="auto"/>
        <w:rPr>
          <w:rFonts w:ascii="Arial Black" w:hAnsi="Arial Black" w:cs="Arial"/>
        </w:rPr>
      </w:pPr>
      <w:r w:rsidRPr="00753CFE">
        <w:rPr>
          <w:rFonts w:ascii="Arial Black" w:hAnsi="Arial Black" w:cs="Arial"/>
        </w:rPr>
        <w:t>Societal impact</w:t>
      </w:r>
    </w:p>
    <w:p w14:paraId="7B527042" w14:textId="77777777" w:rsidR="00837238" w:rsidRPr="00837238" w:rsidRDefault="00837238" w:rsidP="00837238">
      <w:pPr>
        <w:spacing w:line="360" w:lineRule="auto"/>
        <w:rPr>
          <w:rFonts w:ascii="Arial" w:hAnsi="Arial" w:cs="Arial"/>
        </w:rPr>
      </w:pPr>
      <w:r w:rsidRPr="00837238">
        <w:rPr>
          <w:rFonts w:ascii="Arial" w:hAnsi="Arial" w:cs="Arial"/>
        </w:rPr>
        <w:t>The project greatly enhances societal well-being for the senior community by addressing concerns such as social isolation and mental health. Peer support groups and social events promote interaction, lowering feelings of loneliness while also developing a sense of community and belonging. Improved social relationships help elderly people have better mental health and a higher quality of life.</w:t>
      </w:r>
    </w:p>
    <w:p w14:paraId="16817316" w14:textId="735C297D" w:rsidR="00837238" w:rsidRPr="00753CFE" w:rsidRDefault="00837238" w:rsidP="00837238">
      <w:pPr>
        <w:spacing w:line="360" w:lineRule="auto"/>
        <w:rPr>
          <w:rFonts w:ascii="Arial Black" w:hAnsi="Arial Black" w:cs="Arial"/>
        </w:rPr>
      </w:pPr>
      <w:r w:rsidRPr="00753CFE">
        <w:rPr>
          <w:rFonts w:ascii="Arial Black" w:hAnsi="Arial Black" w:cs="Arial"/>
        </w:rPr>
        <w:t>Economic Impact</w:t>
      </w:r>
    </w:p>
    <w:p w14:paraId="7F28D9DF" w14:textId="77777777" w:rsidR="00837238" w:rsidRPr="00837238" w:rsidRDefault="00837238" w:rsidP="00837238">
      <w:pPr>
        <w:spacing w:line="360" w:lineRule="auto"/>
        <w:rPr>
          <w:rFonts w:ascii="Arial" w:hAnsi="Arial" w:cs="Arial"/>
        </w:rPr>
      </w:pPr>
      <w:r w:rsidRPr="00837238">
        <w:rPr>
          <w:rFonts w:ascii="Arial" w:hAnsi="Arial" w:cs="Arial"/>
        </w:rPr>
        <w:t>Supporting the elderly has positive economic consequences. SCVS contributes to lower healthcare expenses related to unmanaged dementia and carer burnout by giving resources and assistance. Additionally, empowering carers improves their ability to stay in the workforce and contribute to the local economy. Economic assistance for carers can reduce financial stress and enhance economic stability in the community (Gutierrez-Montes et al. 2009).</w:t>
      </w:r>
    </w:p>
    <w:p w14:paraId="44241AD9" w14:textId="77777777" w:rsidR="00837238" w:rsidRPr="00753CFE" w:rsidRDefault="00837238" w:rsidP="00837238">
      <w:pPr>
        <w:spacing w:line="360" w:lineRule="auto"/>
        <w:rPr>
          <w:rFonts w:ascii="Arial Black" w:hAnsi="Arial Black" w:cs="Arial"/>
        </w:rPr>
      </w:pPr>
      <w:r w:rsidRPr="00753CFE">
        <w:rPr>
          <w:rFonts w:ascii="Arial Black" w:hAnsi="Arial Black" w:cs="Arial"/>
        </w:rPr>
        <w:t>Political Implications</w:t>
      </w:r>
    </w:p>
    <w:p w14:paraId="3826E055" w14:textId="77777777" w:rsidR="00837238" w:rsidRPr="00837238" w:rsidRDefault="00837238" w:rsidP="00837238">
      <w:pPr>
        <w:spacing w:line="360" w:lineRule="auto"/>
        <w:rPr>
          <w:rFonts w:ascii="Arial" w:hAnsi="Arial" w:cs="Arial"/>
        </w:rPr>
      </w:pPr>
      <w:r w:rsidRPr="00837238">
        <w:rPr>
          <w:rFonts w:ascii="Arial" w:hAnsi="Arial" w:cs="Arial"/>
        </w:rPr>
        <w:t>The concept is consistent with government policies targeted at enhancing elder care and mental health services. By working with local governments and following the frameworks provided in the Community Development Handbook (UK Government, n.d.), SCVS guarantees that its programs are politically supported and long-lasting. Alignment with government policy makes funding and institutional support more accessible, hence increasing project lifetime.</w:t>
      </w:r>
    </w:p>
    <w:p w14:paraId="4678ED21" w14:textId="77777777" w:rsidR="00837238" w:rsidRPr="00837238" w:rsidRDefault="00837238" w:rsidP="00837238">
      <w:pPr>
        <w:spacing w:line="360" w:lineRule="auto"/>
        <w:rPr>
          <w:rFonts w:ascii="Arial" w:hAnsi="Arial" w:cs="Arial"/>
        </w:rPr>
      </w:pPr>
    </w:p>
    <w:p w14:paraId="282DD312" w14:textId="77777777" w:rsidR="00837238" w:rsidRPr="00753CFE" w:rsidRDefault="00837238" w:rsidP="00837238">
      <w:pPr>
        <w:spacing w:line="360" w:lineRule="auto"/>
        <w:rPr>
          <w:rFonts w:ascii="Arial Black" w:hAnsi="Arial Black" w:cs="Arial"/>
        </w:rPr>
      </w:pPr>
      <w:r w:rsidRPr="00753CFE">
        <w:rPr>
          <w:rFonts w:ascii="Arial Black" w:hAnsi="Arial Black" w:cs="Arial"/>
        </w:rPr>
        <w:lastRenderedPageBreak/>
        <w:t>Environmental impact</w:t>
      </w:r>
    </w:p>
    <w:p w14:paraId="01072958" w14:textId="77777777" w:rsidR="00837238" w:rsidRPr="00837238" w:rsidRDefault="00837238" w:rsidP="00837238">
      <w:pPr>
        <w:spacing w:line="360" w:lineRule="auto"/>
        <w:rPr>
          <w:rFonts w:ascii="Arial" w:hAnsi="Arial" w:cs="Arial"/>
        </w:rPr>
      </w:pPr>
      <w:r w:rsidRPr="00837238">
        <w:rPr>
          <w:rFonts w:ascii="Arial" w:hAnsi="Arial" w:cs="Arial"/>
        </w:rPr>
        <w:t>While the primary goal is to improve social and health outcomes, the project also indirectly contributes to environmental sustainability by creating community-based support networks. These solutions lessen the need for institutional care facilities, which can have a larger environmental impact, helping to achieve broader sustainability goals. Sustainable community support models can result in more effective resource utilisation and decreased environmental impacts (Green &amp; Haines, 2011).</w:t>
      </w:r>
    </w:p>
    <w:p w14:paraId="76EE13AF" w14:textId="77777777" w:rsidR="00837238" w:rsidRPr="00753CFE" w:rsidRDefault="00837238" w:rsidP="00837238">
      <w:pPr>
        <w:spacing w:line="360" w:lineRule="auto"/>
        <w:rPr>
          <w:rFonts w:ascii="Arial Black" w:hAnsi="Arial Black" w:cs="Arial"/>
        </w:rPr>
      </w:pPr>
      <w:r w:rsidRPr="00753CFE">
        <w:rPr>
          <w:rFonts w:ascii="Arial Black" w:hAnsi="Arial Black" w:cs="Arial"/>
        </w:rPr>
        <w:t>Changes in Behaviour and Challenges</w:t>
      </w:r>
    </w:p>
    <w:p w14:paraId="267614D4" w14:textId="77777777" w:rsidR="00837238" w:rsidRPr="00753CFE" w:rsidRDefault="00837238" w:rsidP="00837238">
      <w:pPr>
        <w:spacing w:line="360" w:lineRule="auto"/>
        <w:rPr>
          <w:rFonts w:ascii="Arial Black" w:hAnsi="Arial Black" w:cs="Arial"/>
        </w:rPr>
      </w:pPr>
      <w:r w:rsidRPr="00753CFE">
        <w:rPr>
          <w:rFonts w:ascii="Arial Black" w:hAnsi="Arial Black" w:cs="Arial"/>
        </w:rPr>
        <w:t>Key Concepts for Behavioural Change</w:t>
      </w:r>
    </w:p>
    <w:p w14:paraId="1B09C8A2" w14:textId="40BE48A0" w:rsidR="00837238" w:rsidRPr="00837238" w:rsidRDefault="00837238" w:rsidP="00837238">
      <w:pPr>
        <w:spacing w:line="360" w:lineRule="auto"/>
        <w:rPr>
          <w:rFonts w:ascii="Arial" w:hAnsi="Arial" w:cs="Arial"/>
        </w:rPr>
      </w:pPr>
      <w:r w:rsidRPr="00837238">
        <w:rPr>
          <w:rFonts w:ascii="Arial" w:hAnsi="Arial" w:cs="Arial"/>
        </w:rPr>
        <w:t>The project employs fundamental themes to foster behavioural change in the ageing community:</w:t>
      </w:r>
    </w:p>
    <w:p w14:paraId="03555B79" w14:textId="77777777" w:rsidR="00753CFE" w:rsidRDefault="00837238" w:rsidP="00753CFE">
      <w:pPr>
        <w:pStyle w:val="ListParagraph"/>
        <w:numPr>
          <w:ilvl w:val="0"/>
          <w:numId w:val="1"/>
        </w:numPr>
        <w:spacing w:line="360" w:lineRule="auto"/>
        <w:rPr>
          <w:rFonts w:ascii="Arial" w:hAnsi="Arial" w:cs="Arial"/>
        </w:rPr>
      </w:pPr>
      <w:r w:rsidRPr="00753CFE">
        <w:rPr>
          <w:rFonts w:ascii="Arial" w:hAnsi="Arial" w:cs="Arial"/>
        </w:rPr>
        <w:t>Empowerment is the promotion of self-efficacy and autonomy among the elderly and their carers (Fetterman, 1996).</w:t>
      </w:r>
    </w:p>
    <w:p w14:paraId="52C51AE9" w14:textId="2729A2C0" w:rsidR="00837238" w:rsidRPr="00753CFE" w:rsidRDefault="00837238" w:rsidP="00753CFE">
      <w:pPr>
        <w:pStyle w:val="ListParagraph"/>
        <w:numPr>
          <w:ilvl w:val="0"/>
          <w:numId w:val="1"/>
        </w:numPr>
        <w:spacing w:line="360" w:lineRule="auto"/>
        <w:rPr>
          <w:rFonts w:ascii="Arial" w:hAnsi="Arial" w:cs="Arial"/>
        </w:rPr>
      </w:pPr>
      <w:r w:rsidRPr="00753CFE">
        <w:rPr>
          <w:rFonts w:ascii="Arial" w:hAnsi="Arial" w:cs="Arial"/>
        </w:rPr>
        <w:t>Creating networks that provide emotional and practical support (Green &amp; Haines, 2011).</w:t>
      </w:r>
    </w:p>
    <w:p w14:paraId="6EA62D57" w14:textId="39E44EB7" w:rsidR="00837238" w:rsidRPr="00753CFE" w:rsidRDefault="00837238" w:rsidP="00753CFE">
      <w:pPr>
        <w:pStyle w:val="ListParagraph"/>
        <w:numPr>
          <w:ilvl w:val="0"/>
          <w:numId w:val="1"/>
        </w:numPr>
        <w:spacing w:line="360" w:lineRule="auto"/>
        <w:rPr>
          <w:rFonts w:ascii="Arial" w:hAnsi="Arial" w:cs="Arial"/>
        </w:rPr>
      </w:pPr>
      <w:r w:rsidRPr="00753CFE">
        <w:rPr>
          <w:rFonts w:ascii="Arial" w:hAnsi="Arial" w:cs="Arial"/>
        </w:rPr>
        <w:t>Increasing understanding of dementia and appropriate caring practices (Gutierrez-Montes et al., 2009).</w:t>
      </w:r>
    </w:p>
    <w:p w14:paraId="7826547E" w14:textId="77777777" w:rsidR="00837238" w:rsidRPr="00753CFE" w:rsidRDefault="00837238" w:rsidP="00753CFE">
      <w:pPr>
        <w:spacing w:line="360" w:lineRule="auto"/>
        <w:rPr>
          <w:rFonts w:ascii="Arial" w:hAnsi="Arial" w:cs="Arial"/>
        </w:rPr>
      </w:pPr>
      <w:r w:rsidRPr="00753CFE">
        <w:rPr>
          <w:rFonts w:ascii="Arial" w:hAnsi="Arial" w:cs="Arial"/>
        </w:rPr>
        <w:t>These notions are essential for creating a supportive environment in which people feel competent of controlling their health and well-being.</w:t>
      </w:r>
    </w:p>
    <w:p w14:paraId="7FD2F35B" w14:textId="371B2E85" w:rsidR="00837238" w:rsidRPr="00753CFE" w:rsidRDefault="00EA351D" w:rsidP="00837238">
      <w:pPr>
        <w:spacing w:line="360" w:lineRule="auto"/>
        <w:rPr>
          <w:rFonts w:ascii="Arial Black" w:hAnsi="Arial Black" w:cs="Arial"/>
        </w:rPr>
      </w:pPr>
      <w:r>
        <w:rPr>
          <w:rFonts w:ascii="Arial Black" w:hAnsi="Arial Black" w:cs="Arial"/>
        </w:rPr>
        <w:t xml:space="preserve">Obstacles and challenges </w:t>
      </w:r>
    </w:p>
    <w:p w14:paraId="5ACEEADC" w14:textId="77777777" w:rsidR="00837238" w:rsidRPr="00837238" w:rsidRDefault="00837238" w:rsidP="00837238">
      <w:pPr>
        <w:spacing w:line="360" w:lineRule="auto"/>
        <w:rPr>
          <w:rFonts w:ascii="Arial" w:hAnsi="Arial" w:cs="Arial"/>
        </w:rPr>
      </w:pPr>
      <w:r w:rsidRPr="00837238">
        <w:rPr>
          <w:rFonts w:ascii="Arial" w:hAnsi="Arial" w:cs="Arial"/>
        </w:rPr>
        <w:t>Despite the comprehensive techniques, numerous issues remain.</w:t>
      </w:r>
    </w:p>
    <w:p w14:paraId="6E712179" w14:textId="77777777" w:rsidR="00837238" w:rsidRPr="00EA351D" w:rsidRDefault="00837238" w:rsidP="00EA351D">
      <w:pPr>
        <w:pStyle w:val="ListParagraph"/>
        <w:numPr>
          <w:ilvl w:val="0"/>
          <w:numId w:val="2"/>
        </w:numPr>
        <w:spacing w:line="360" w:lineRule="auto"/>
        <w:rPr>
          <w:rFonts w:ascii="Arial" w:hAnsi="Arial" w:cs="Arial"/>
        </w:rPr>
      </w:pPr>
      <w:r w:rsidRPr="00EA351D">
        <w:rPr>
          <w:rFonts w:ascii="Arial" w:hAnsi="Arial" w:cs="Arial"/>
        </w:rPr>
        <w:t>Resource constraints: Limited funds and resources may limit the extent and reach of support services. Having enough resources is critical for preserving service quality and accessibility (Flora et al., 2016).</w:t>
      </w:r>
    </w:p>
    <w:p w14:paraId="051E126D" w14:textId="77777777" w:rsidR="00837238" w:rsidRPr="00EA351D" w:rsidRDefault="00837238" w:rsidP="00EA351D">
      <w:pPr>
        <w:pStyle w:val="ListParagraph"/>
        <w:numPr>
          <w:ilvl w:val="0"/>
          <w:numId w:val="2"/>
        </w:numPr>
        <w:spacing w:line="360" w:lineRule="auto"/>
        <w:rPr>
          <w:rFonts w:ascii="Arial" w:hAnsi="Arial" w:cs="Arial"/>
        </w:rPr>
      </w:pPr>
      <w:r w:rsidRPr="00EA351D">
        <w:rPr>
          <w:rFonts w:ascii="Arial" w:hAnsi="Arial" w:cs="Arial"/>
        </w:rPr>
        <w:t>Stigma and Misconceptions: Persistent stigma surrounding dementia can prevent people from getting treatment. Addressing misunderstandings through education is critical for increasing service utilisation (Goodsell et al. 2014).</w:t>
      </w:r>
    </w:p>
    <w:p w14:paraId="6DB58FA0" w14:textId="77777777" w:rsidR="00837238" w:rsidRPr="00EA351D" w:rsidRDefault="00837238" w:rsidP="00EA351D">
      <w:pPr>
        <w:pStyle w:val="ListParagraph"/>
        <w:numPr>
          <w:ilvl w:val="0"/>
          <w:numId w:val="2"/>
        </w:numPr>
        <w:spacing w:line="360" w:lineRule="auto"/>
        <w:rPr>
          <w:rFonts w:ascii="Arial" w:hAnsi="Arial" w:cs="Arial"/>
        </w:rPr>
      </w:pPr>
      <w:r w:rsidRPr="00EA351D">
        <w:rPr>
          <w:rFonts w:ascii="Arial" w:hAnsi="Arial" w:cs="Arial"/>
        </w:rPr>
        <w:lastRenderedPageBreak/>
        <w:t>Barriers To Accessibility: Some older people may be unable to receive services due to physical or technological limitations. To overcome these limitations, focused strategies for improving accessibility are required (Popple, 2018).</w:t>
      </w:r>
    </w:p>
    <w:p w14:paraId="6953D785" w14:textId="77777777" w:rsidR="00837238" w:rsidRPr="00EA351D" w:rsidRDefault="00837238" w:rsidP="00EA351D">
      <w:pPr>
        <w:pStyle w:val="ListParagraph"/>
        <w:numPr>
          <w:ilvl w:val="0"/>
          <w:numId w:val="2"/>
        </w:numPr>
        <w:spacing w:line="360" w:lineRule="auto"/>
        <w:rPr>
          <w:rFonts w:ascii="Arial" w:hAnsi="Arial" w:cs="Arial"/>
        </w:rPr>
      </w:pPr>
      <w:r w:rsidRPr="00EA351D">
        <w:rPr>
          <w:rFonts w:ascii="Arial" w:hAnsi="Arial" w:cs="Arial"/>
        </w:rPr>
        <w:t>Diverse Needs: Due to the older community's heterogeneity, highly personalised and adaptive assistance measures are required, which can be difficult to implement effectively. Customising services to fulfil various demands is an ongoing problem (Gutierrez-Montes et al. 2009).</w:t>
      </w:r>
    </w:p>
    <w:p w14:paraId="508006D2" w14:textId="77777777" w:rsidR="00837238" w:rsidRPr="00837238" w:rsidRDefault="00837238" w:rsidP="00837238">
      <w:pPr>
        <w:spacing w:line="360" w:lineRule="auto"/>
        <w:rPr>
          <w:rFonts w:ascii="Arial" w:hAnsi="Arial" w:cs="Arial"/>
        </w:rPr>
      </w:pPr>
      <w:r w:rsidRPr="00837238">
        <w:rPr>
          <w:rFonts w:ascii="Arial" w:hAnsi="Arial" w:cs="Arial"/>
        </w:rPr>
        <w:t>Addressing these difficulties is critical for the long-term effectiveness of community development projects.</w:t>
      </w:r>
    </w:p>
    <w:p w14:paraId="42B7533C" w14:textId="77777777" w:rsidR="00837238" w:rsidRPr="00EA351D" w:rsidRDefault="00837238" w:rsidP="00837238">
      <w:pPr>
        <w:spacing w:line="360" w:lineRule="auto"/>
        <w:rPr>
          <w:rFonts w:ascii="Arial Black" w:hAnsi="Arial Black" w:cs="Arial"/>
        </w:rPr>
      </w:pPr>
      <w:r w:rsidRPr="00EA351D">
        <w:rPr>
          <w:rFonts w:ascii="Arial Black" w:hAnsi="Arial Black" w:cs="Arial"/>
        </w:rPr>
        <w:t>Evaluation of community development processes</w:t>
      </w:r>
    </w:p>
    <w:p w14:paraId="0E010BE7" w14:textId="77777777" w:rsidR="00837238" w:rsidRPr="00EA351D" w:rsidRDefault="00837238" w:rsidP="00837238">
      <w:pPr>
        <w:spacing w:line="360" w:lineRule="auto"/>
        <w:rPr>
          <w:rFonts w:ascii="Arial Black" w:hAnsi="Arial Black" w:cs="Arial"/>
        </w:rPr>
      </w:pPr>
      <w:r w:rsidRPr="00EA351D">
        <w:rPr>
          <w:rFonts w:ascii="Arial Black" w:hAnsi="Arial Black" w:cs="Arial"/>
        </w:rPr>
        <w:t>Improvements are sustainable.</w:t>
      </w:r>
    </w:p>
    <w:p w14:paraId="59324DFF" w14:textId="77777777" w:rsidR="00837238" w:rsidRPr="00837238" w:rsidRDefault="00837238" w:rsidP="00837238">
      <w:pPr>
        <w:spacing w:line="360" w:lineRule="auto"/>
        <w:rPr>
          <w:rFonts w:ascii="Arial" w:hAnsi="Arial" w:cs="Arial"/>
        </w:rPr>
      </w:pPr>
      <w:r w:rsidRPr="00837238">
        <w:rPr>
          <w:rFonts w:ascii="Arial" w:hAnsi="Arial" w:cs="Arial"/>
        </w:rPr>
        <w:t>The Swansea Dementia and Carer Project's asset-based approach and collaborative relationships are key to its long-term success. The project's ongoing relevance and flexibility to changing demands are ensured by its continual engagement with community people and stakeholders. Furthermore, a focus on empowerment and capacity building creates community resilience, allowing for long-term benefits. Regular volunteer training, ongoing community participation, and adaptive service models are all examples of sustainable approaches (Green &amp; Haines, 2011).</w:t>
      </w:r>
    </w:p>
    <w:p w14:paraId="2F3E00AD" w14:textId="77777777" w:rsidR="00837238" w:rsidRPr="00EA351D" w:rsidRDefault="00837238" w:rsidP="00837238">
      <w:pPr>
        <w:spacing w:line="360" w:lineRule="auto"/>
        <w:rPr>
          <w:rFonts w:ascii="Arial Black" w:hAnsi="Arial Black" w:cs="Arial"/>
        </w:rPr>
      </w:pPr>
      <w:r w:rsidRPr="00EA351D">
        <w:rPr>
          <w:rFonts w:ascii="Arial Black" w:hAnsi="Arial Black" w:cs="Arial"/>
        </w:rPr>
        <w:t>The effectiveness of approaches</w:t>
      </w:r>
    </w:p>
    <w:p w14:paraId="78ACAF28" w14:textId="77777777" w:rsidR="00837238" w:rsidRPr="00837238" w:rsidRDefault="00837238" w:rsidP="00837238">
      <w:pPr>
        <w:spacing w:line="360" w:lineRule="auto"/>
        <w:rPr>
          <w:rFonts w:ascii="Arial" w:hAnsi="Arial" w:cs="Arial"/>
        </w:rPr>
      </w:pPr>
      <w:r w:rsidRPr="00837238">
        <w:rPr>
          <w:rFonts w:ascii="Arial" w:hAnsi="Arial" w:cs="Arial"/>
        </w:rPr>
        <w:t xml:space="preserve">The project's effectiveness is demonstrated by greater involvement in support groups, improved mental health outcomes among carers, and improved quality of life for people with dementia. Community members report high levels of satisfaction with the services offered, demonstrating the effectiveness of targeted communication and inclusive policies. Quantitative measurements, such as decreased healthcare utilisation and qualitative feedback, confirm the project's good impact (SCVS, </w:t>
      </w:r>
      <w:proofErr w:type="spellStart"/>
      <w:r w:rsidRPr="00837238">
        <w:rPr>
          <w:rFonts w:ascii="Arial" w:hAnsi="Arial" w:cs="Arial"/>
        </w:rPr>
        <w:t>n.d</w:t>
      </w:r>
      <w:proofErr w:type="spellEnd"/>
      <w:r w:rsidRPr="00837238">
        <w:rPr>
          <w:rFonts w:ascii="Arial" w:hAnsi="Arial" w:cs="Arial"/>
        </w:rPr>
        <w:t>).</w:t>
      </w:r>
    </w:p>
    <w:p w14:paraId="0F1E9B65" w14:textId="77777777" w:rsidR="00837238" w:rsidRPr="00EA351D" w:rsidRDefault="00837238" w:rsidP="00837238">
      <w:pPr>
        <w:spacing w:line="360" w:lineRule="auto"/>
        <w:rPr>
          <w:rFonts w:ascii="Arial Black" w:hAnsi="Arial Black" w:cs="Arial"/>
        </w:rPr>
      </w:pPr>
      <w:r w:rsidRPr="00EA351D">
        <w:rPr>
          <w:rFonts w:ascii="Arial Black" w:hAnsi="Arial Black" w:cs="Arial"/>
        </w:rPr>
        <w:t>Continuous Improvement</w:t>
      </w:r>
    </w:p>
    <w:p w14:paraId="243C3D5F" w14:textId="77777777" w:rsidR="00837238" w:rsidRPr="00837238" w:rsidRDefault="00837238" w:rsidP="00837238">
      <w:pPr>
        <w:spacing w:line="360" w:lineRule="auto"/>
        <w:rPr>
          <w:rFonts w:ascii="Arial" w:hAnsi="Arial" w:cs="Arial"/>
        </w:rPr>
      </w:pPr>
      <w:r w:rsidRPr="00837238">
        <w:rPr>
          <w:rFonts w:ascii="Arial" w:hAnsi="Arial" w:cs="Arial"/>
        </w:rPr>
        <w:t xml:space="preserve">In keeping with Fetterman's (1996) empowerment evaluation, the initiative includes frequent assessments and feedback systems to identify areas for improvement. This </w:t>
      </w:r>
      <w:r w:rsidRPr="00837238">
        <w:rPr>
          <w:rFonts w:ascii="Arial" w:hAnsi="Arial" w:cs="Arial"/>
        </w:rPr>
        <w:lastRenderedPageBreak/>
        <w:t>iterative process guarantees that the programs stay responsive to the community's changing needs and that best practices are consistently integrated into service delivery. Periodic surveys, focus groups, and collaborative planning meetings with stakeholders are all examples of continuous improvement initiatives (Fetterman 1996).</w:t>
      </w:r>
    </w:p>
    <w:p w14:paraId="656B1551" w14:textId="77777777" w:rsidR="00837238" w:rsidRPr="00EA351D" w:rsidRDefault="00837238" w:rsidP="00837238">
      <w:pPr>
        <w:spacing w:line="360" w:lineRule="auto"/>
        <w:rPr>
          <w:rFonts w:ascii="Arial Black" w:hAnsi="Arial Black" w:cs="Aharoni"/>
        </w:rPr>
      </w:pPr>
      <w:r w:rsidRPr="00EA351D">
        <w:rPr>
          <w:rFonts w:ascii="Arial Black" w:hAnsi="Arial Black" w:cs="Aharoni"/>
        </w:rPr>
        <w:t>Conclusion</w:t>
      </w:r>
    </w:p>
    <w:p w14:paraId="13461310" w14:textId="581DBEEF" w:rsidR="00837238" w:rsidRDefault="00837238" w:rsidP="00837238">
      <w:pPr>
        <w:spacing w:line="360" w:lineRule="auto"/>
        <w:rPr>
          <w:rFonts w:ascii="Arial" w:hAnsi="Arial" w:cs="Arial"/>
        </w:rPr>
      </w:pPr>
      <w:r w:rsidRPr="00837238">
        <w:rPr>
          <w:rFonts w:ascii="Arial" w:hAnsi="Arial" w:cs="Arial"/>
        </w:rPr>
        <w:t>The Swansea Dementia and Carer Project shows successful community development with its comprehensive, asset-based, and collaborative approach. SCVS has effectively encouraged growth and development among Swansea's older community by emphasising empowerment, targeted communication, and sustainable practices. Despite resource constraints and accessibility difficulties, the project's focus on participation, cultural inclusivity, and constant improvement ensures its long-term effect and viability. This case study demonstrates the significance of holistic, community-driven initiatives in creating meaningful and long-term changes in community welfare.</w:t>
      </w:r>
    </w:p>
    <w:p w14:paraId="49A78623" w14:textId="77777777" w:rsidR="00EA351D" w:rsidRDefault="00EA351D" w:rsidP="00837238">
      <w:pPr>
        <w:spacing w:line="360" w:lineRule="auto"/>
        <w:rPr>
          <w:rFonts w:ascii="Arial" w:hAnsi="Arial" w:cs="Arial"/>
        </w:rPr>
      </w:pPr>
    </w:p>
    <w:p w14:paraId="1E5614C4" w14:textId="77777777" w:rsidR="00EA351D" w:rsidRDefault="00EA351D" w:rsidP="00837238">
      <w:pPr>
        <w:spacing w:line="360" w:lineRule="auto"/>
        <w:rPr>
          <w:rFonts w:ascii="Arial" w:hAnsi="Arial" w:cs="Arial"/>
        </w:rPr>
      </w:pPr>
    </w:p>
    <w:p w14:paraId="060FD95F" w14:textId="77777777" w:rsidR="00EA351D" w:rsidRDefault="00EA351D" w:rsidP="00837238">
      <w:pPr>
        <w:spacing w:line="360" w:lineRule="auto"/>
        <w:rPr>
          <w:rFonts w:ascii="Arial" w:hAnsi="Arial" w:cs="Arial"/>
        </w:rPr>
      </w:pPr>
    </w:p>
    <w:p w14:paraId="53046E16" w14:textId="77777777" w:rsidR="00EA351D" w:rsidRDefault="00EA351D" w:rsidP="00837238">
      <w:pPr>
        <w:spacing w:line="360" w:lineRule="auto"/>
        <w:rPr>
          <w:rFonts w:ascii="Arial" w:hAnsi="Arial" w:cs="Arial"/>
        </w:rPr>
      </w:pPr>
    </w:p>
    <w:p w14:paraId="5C2CE10F" w14:textId="77777777" w:rsidR="00EA351D" w:rsidRDefault="00EA351D" w:rsidP="00837238">
      <w:pPr>
        <w:spacing w:line="360" w:lineRule="auto"/>
        <w:rPr>
          <w:rFonts w:ascii="Arial" w:hAnsi="Arial" w:cs="Arial"/>
        </w:rPr>
      </w:pPr>
    </w:p>
    <w:p w14:paraId="0CD4AFDF" w14:textId="77777777" w:rsidR="00EA351D" w:rsidRDefault="00EA351D" w:rsidP="00837238">
      <w:pPr>
        <w:spacing w:line="360" w:lineRule="auto"/>
        <w:rPr>
          <w:rFonts w:ascii="Arial" w:hAnsi="Arial" w:cs="Arial"/>
        </w:rPr>
      </w:pPr>
    </w:p>
    <w:p w14:paraId="7AECAC71" w14:textId="77777777" w:rsidR="00EA351D" w:rsidRDefault="00EA351D" w:rsidP="00837238">
      <w:pPr>
        <w:spacing w:line="360" w:lineRule="auto"/>
        <w:rPr>
          <w:rFonts w:ascii="Arial" w:hAnsi="Arial" w:cs="Arial"/>
        </w:rPr>
      </w:pPr>
    </w:p>
    <w:p w14:paraId="7AA3DE52" w14:textId="77777777" w:rsidR="00EA351D" w:rsidRDefault="00EA351D" w:rsidP="00837238">
      <w:pPr>
        <w:spacing w:line="360" w:lineRule="auto"/>
        <w:rPr>
          <w:rFonts w:ascii="Arial" w:hAnsi="Arial" w:cs="Arial"/>
        </w:rPr>
      </w:pPr>
    </w:p>
    <w:p w14:paraId="1AEA5F0E" w14:textId="77777777" w:rsidR="00EA351D" w:rsidRDefault="00EA351D" w:rsidP="00837238">
      <w:pPr>
        <w:spacing w:line="360" w:lineRule="auto"/>
        <w:rPr>
          <w:rFonts w:ascii="Arial" w:hAnsi="Arial" w:cs="Arial"/>
        </w:rPr>
      </w:pPr>
    </w:p>
    <w:p w14:paraId="3089EF9A" w14:textId="77777777" w:rsidR="00EA351D" w:rsidRDefault="00EA351D" w:rsidP="00837238">
      <w:pPr>
        <w:spacing w:line="360" w:lineRule="auto"/>
        <w:rPr>
          <w:rFonts w:ascii="Arial" w:hAnsi="Arial" w:cs="Arial"/>
        </w:rPr>
      </w:pPr>
    </w:p>
    <w:p w14:paraId="0CEC8A4D" w14:textId="77777777" w:rsidR="00EA351D" w:rsidRDefault="00EA351D" w:rsidP="00837238">
      <w:pPr>
        <w:spacing w:line="360" w:lineRule="auto"/>
        <w:rPr>
          <w:rFonts w:ascii="Arial" w:hAnsi="Arial" w:cs="Arial"/>
        </w:rPr>
      </w:pPr>
    </w:p>
    <w:p w14:paraId="4B0FFF61" w14:textId="77777777" w:rsidR="00EA351D" w:rsidRDefault="00EA351D" w:rsidP="00837238">
      <w:pPr>
        <w:spacing w:line="360" w:lineRule="auto"/>
        <w:rPr>
          <w:rFonts w:ascii="Arial" w:hAnsi="Arial" w:cs="Arial"/>
        </w:rPr>
      </w:pPr>
    </w:p>
    <w:p w14:paraId="036D4B9E" w14:textId="77777777" w:rsidR="00EA351D" w:rsidRDefault="00EA351D" w:rsidP="00837238">
      <w:pPr>
        <w:spacing w:line="360" w:lineRule="auto"/>
        <w:rPr>
          <w:rFonts w:ascii="Arial" w:hAnsi="Arial" w:cs="Arial"/>
        </w:rPr>
      </w:pPr>
    </w:p>
    <w:p w14:paraId="310B461F" w14:textId="14B7943F" w:rsidR="00EA351D" w:rsidRDefault="00EA351D" w:rsidP="00837238">
      <w:pPr>
        <w:spacing w:line="360" w:lineRule="auto"/>
        <w:rPr>
          <w:rFonts w:ascii="Arial Black" w:hAnsi="Arial Black" w:cs="Arial"/>
        </w:rPr>
      </w:pPr>
      <w:r w:rsidRPr="000C6B3C">
        <w:rPr>
          <w:rFonts w:ascii="Arial Black" w:hAnsi="Arial Black" w:cs="Arial"/>
        </w:rPr>
        <w:lastRenderedPageBreak/>
        <w:t xml:space="preserve">References list </w:t>
      </w:r>
    </w:p>
    <w:p w14:paraId="7A11BB43" w14:textId="77777777" w:rsidR="000C6B3C" w:rsidRPr="000C6B3C" w:rsidRDefault="000C6B3C" w:rsidP="00837238">
      <w:pPr>
        <w:spacing w:line="360" w:lineRule="auto"/>
        <w:rPr>
          <w:rFonts w:ascii="Arial Black" w:hAnsi="Arial Black" w:cs="Arial"/>
        </w:rPr>
      </w:pPr>
    </w:p>
    <w:p w14:paraId="2F029C6A" w14:textId="77777777" w:rsidR="000C6B3C" w:rsidRPr="000C6B3C" w:rsidRDefault="000C6B3C" w:rsidP="000C6B3C">
      <w:pPr>
        <w:spacing w:line="360" w:lineRule="auto"/>
        <w:rPr>
          <w:rFonts w:ascii="Arial" w:hAnsi="Arial" w:cs="Arial"/>
        </w:rPr>
      </w:pPr>
      <w:r w:rsidRPr="000C6B3C">
        <w:rPr>
          <w:rFonts w:ascii="Arial" w:hAnsi="Arial" w:cs="Arial"/>
        </w:rPr>
        <w:t xml:space="preserve">Fetterman, D. (1996). Empowerment evaluation: An introduction to theory and practice. In D. Fetterman, S. </w:t>
      </w:r>
      <w:proofErr w:type="spellStart"/>
      <w:r w:rsidRPr="000C6B3C">
        <w:rPr>
          <w:rFonts w:ascii="Arial" w:hAnsi="Arial" w:cs="Arial"/>
        </w:rPr>
        <w:t>Kaftarian</w:t>
      </w:r>
      <w:proofErr w:type="spellEnd"/>
      <w:r w:rsidRPr="000C6B3C">
        <w:rPr>
          <w:rFonts w:ascii="Arial" w:hAnsi="Arial" w:cs="Arial"/>
        </w:rPr>
        <w:t xml:space="preserve">, &amp; A. </w:t>
      </w:r>
      <w:proofErr w:type="spellStart"/>
      <w:r w:rsidRPr="000C6B3C">
        <w:rPr>
          <w:rFonts w:ascii="Arial" w:hAnsi="Arial" w:cs="Arial"/>
        </w:rPr>
        <w:t>Wandersman</w:t>
      </w:r>
      <w:proofErr w:type="spellEnd"/>
      <w:r w:rsidRPr="000C6B3C">
        <w:rPr>
          <w:rFonts w:ascii="Arial" w:hAnsi="Arial" w:cs="Arial"/>
        </w:rPr>
        <w:t xml:space="preserve"> (Eds</w:t>
      </w:r>
      <w:r w:rsidRPr="000C6B3C">
        <w:rPr>
          <w:rFonts w:ascii="Arial" w:hAnsi="Arial" w:cs="Arial"/>
          <w:i/>
          <w:iCs/>
        </w:rPr>
        <w:t>.), Empowerment evaluation: Knowledge and tools for self-assessment and accountability</w:t>
      </w:r>
      <w:r w:rsidRPr="000C6B3C">
        <w:rPr>
          <w:rFonts w:ascii="Arial" w:hAnsi="Arial" w:cs="Arial"/>
        </w:rPr>
        <w:t xml:space="preserve"> (pp. 3–46). Thousand Oaks, CA: SAGE Publications.</w:t>
      </w:r>
    </w:p>
    <w:p w14:paraId="6DFF25CD" w14:textId="77777777" w:rsidR="000C6B3C" w:rsidRPr="000C6B3C" w:rsidRDefault="000C6B3C" w:rsidP="000C6B3C">
      <w:pPr>
        <w:spacing w:line="360" w:lineRule="auto"/>
        <w:rPr>
          <w:rFonts w:ascii="Arial" w:hAnsi="Arial" w:cs="Arial"/>
        </w:rPr>
      </w:pPr>
      <w:r w:rsidRPr="000C6B3C">
        <w:rPr>
          <w:rFonts w:ascii="Arial" w:hAnsi="Arial" w:cs="Arial"/>
        </w:rPr>
        <w:t xml:space="preserve">Flora, C. B., Flora, J. L., &amp; </w:t>
      </w:r>
      <w:proofErr w:type="spellStart"/>
      <w:r w:rsidRPr="000C6B3C">
        <w:rPr>
          <w:rFonts w:ascii="Arial" w:hAnsi="Arial" w:cs="Arial"/>
        </w:rPr>
        <w:t>Gasteyer</w:t>
      </w:r>
      <w:proofErr w:type="spellEnd"/>
      <w:r w:rsidRPr="000C6B3C">
        <w:rPr>
          <w:rFonts w:ascii="Arial" w:hAnsi="Arial" w:cs="Arial"/>
        </w:rPr>
        <w:t xml:space="preserve">, S. P. (2016). </w:t>
      </w:r>
      <w:r w:rsidRPr="000C6B3C">
        <w:rPr>
          <w:rFonts w:ascii="Arial" w:hAnsi="Arial" w:cs="Arial"/>
          <w:i/>
          <w:iCs/>
        </w:rPr>
        <w:t>Rural communities: Legacy + change</w:t>
      </w:r>
      <w:r w:rsidRPr="000C6B3C">
        <w:rPr>
          <w:rFonts w:ascii="Arial" w:hAnsi="Arial" w:cs="Arial"/>
        </w:rPr>
        <w:t xml:space="preserve"> (5th ed.). Boulder, CO: Westview Press.</w:t>
      </w:r>
    </w:p>
    <w:p w14:paraId="4C207910" w14:textId="77777777" w:rsidR="000C6B3C" w:rsidRPr="000C6B3C" w:rsidRDefault="000C6B3C" w:rsidP="000C6B3C">
      <w:pPr>
        <w:spacing w:line="360" w:lineRule="auto"/>
        <w:rPr>
          <w:rFonts w:ascii="Arial" w:hAnsi="Arial" w:cs="Arial"/>
        </w:rPr>
      </w:pPr>
      <w:r w:rsidRPr="000C6B3C">
        <w:rPr>
          <w:rFonts w:ascii="Arial" w:hAnsi="Arial" w:cs="Arial"/>
        </w:rPr>
        <w:t xml:space="preserve">Goodsell, T. L., Flaherty, J., &amp; Brown, R. B. (2014). Community as moral proximity: Theorizing community in a global economy. In C. Bailey, L. Jensen, &amp; E. Ransom (Eds.), </w:t>
      </w:r>
      <w:r w:rsidRPr="000C6B3C">
        <w:rPr>
          <w:rFonts w:ascii="Arial" w:hAnsi="Arial" w:cs="Arial"/>
          <w:i/>
          <w:iCs/>
        </w:rPr>
        <w:t>Rural America in a globalizing world: Problems and prospects for the 2010s</w:t>
      </w:r>
      <w:r w:rsidRPr="000C6B3C">
        <w:rPr>
          <w:rFonts w:ascii="Arial" w:hAnsi="Arial" w:cs="Arial"/>
        </w:rPr>
        <w:t xml:space="preserve"> (pp. 626–641). Morgantown, WV: West Virginia University Press.</w:t>
      </w:r>
    </w:p>
    <w:p w14:paraId="38E37C15" w14:textId="77777777" w:rsidR="000C6B3C" w:rsidRPr="000C6B3C" w:rsidRDefault="000C6B3C" w:rsidP="000C6B3C">
      <w:pPr>
        <w:spacing w:line="360" w:lineRule="auto"/>
        <w:rPr>
          <w:rFonts w:ascii="Arial" w:hAnsi="Arial" w:cs="Arial"/>
        </w:rPr>
      </w:pPr>
      <w:r w:rsidRPr="000C6B3C">
        <w:rPr>
          <w:rFonts w:ascii="Arial" w:hAnsi="Arial" w:cs="Arial"/>
        </w:rPr>
        <w:t>Green, G. P., &amp; Haines, A. (2011</w:t>
      </w:r>
      <w:r w:rsidRPr="000C6B3C">
        <w:rPr>
          <w:rFonts w:ascii="Arial" w:hAnsi="Arial" w:cs="Arial"/>
          <w:i/>
          <w:iCs/>
        </w:rPr>
        <w:t>). Asset building and community development</w:t>
      </w:r>
      <w:r w:rsidRPr="000C6B3C">
        <w:rPr>
          <w:rFonts w:ascii="Arial" w:hAnsi="Arial" w:cs="Arial"/>
        </w:rPr>
        <w:t xml:space="preserve"> (3rd ed.). Thousand Oaks, CA: SAGE Publications.</w:t>
      </w:r>
    </w:p>
    <w:p w14:paraId="14053976" w14:textId="2174DB67" w:rsidR="000C6B3C" w:rsidRDefault="000C6B3C" w:rsidP="000C6B3C">
      <w:pPr>
        <w:spacing w:line="360" w:lineRule="auto"/>
        <w:rPr>
          <w:rFonts w:ascii="Arial" w:hAnsi="Arial" w:cs="Arial"/>
        </w:rPr>
      </w:pPr>
      <w:r w:rsidRPr="000C6B3C">
        <w:rPr>
          <w:rFonts w:ascii="Arial" w:hAnsi="Arial" w:cs="Arial"/>
        </w:rPr>
        <w:t xml:space="preserve">Gutierrez-Montes, I., Emery, M., &amp; Fernandez-Baca, E. (2009). The sustainable livelihoods approach and the community capitals framework: The importance of systems-level approaches to community change efforts. </w:t>
      </w:r>
      <w:r w:rsidRPr="000C6B3C">
        <w:rPr>
          <w:rFonts w:ascii="Arial" w:hAnsi="Arial" w:cs="Arial"/>
          <w:i/>
          <w:iCs/>
        </w:rPr>
        <w:t>Community Development, 40</w:t>
      </w:r>
      <w:r w:rsidRPr="000C6B3C">
        <w:rPr>
          <w:rFonts w:ascii="Arial" w:hAnsi="Arial" w:cs="Arial"/>
        </w:rPr>
        <w:t xml:space="preserve">(1), 106–113. </w:t>
      </w:r>
      <w:hyperlink r:id="rId7" w:history="1">
        <w:r w:rsidRPr="008006A0">
          <w:rPr>
            <w:rStyle w:val="Hyperlink"/>
            <w:rFonts w:ascii="Arial" w:hAnsi="Arial" w:cs="Arial"/>
          </w:rPr>
          <w:t>https://doi.org/10.1080/15575330903011785</w:t>
        </w:r>
      </w:hyperlink>
    </w:p>
    <w:p w14:paraId="458F21DC" w14:textId="7B414633" w:rsidR="000C6B3C" w:rsidRDefault="000C6B3C" w:rsidP="000C6B3C">
      <w:pPr>
        <w:spacing w:line="360" w:lineRule="auto"/>
        <w:rPr>
          <w:rFonts w:ascii="Arial" w:hAnsi="Arial" w:cs="Arial"/>
        </w:rPr>
      </w:pPr>
      <w:r w:rsidRPr="000C6B3C">
        <w:rPr>
          <w:rFonts w:ascii="Arial" w:hAnsi="Arial" w:cs="Arial"/>
        </w:rPr>
        <w:t xml:space="preserve">Popple, K. (2018). Review of Community organization and development: From its history towards a model for the future, by S. Clarke. </w:t>
      </w:r>
      <w:r w:rsidRPr="000C6B3C">
        <w:rPr>
          <w:rFonts w:ascii="Arial" w:hAnsi="Arial" w:cs="Arial"/>
          <w:i/>
          <w:iCs/>
        </w:rPr>
        <w:t>Community Development Journal, 53</w:t>
      </w:r>
      <w:r w:rsidRPr="000C6B3C">
        <w:rPr>
          <w:rFonts w:ascii="Arial" w:hAnsi="Arial" w:cs="Arial"/>
        </w:rPr>
        <w:t xml:space="preserve">(4), 792–794. </w:t>
      </w:r>
      <w:hyperlink r:id="rId8" w:history="1">
        <w:r w:rsidRPr="008006A0">
          <w:rPr>
            <w:rStyle w:val="Hyperlink"/>
            <w:rFonts w:ascii="Arial" w:hAnsi="Arial" w:cs="Arial"/>
          </w:rPr>
          <w:t>https://doi.org/10.1093/cdj/bsy001</w:t>
        </w:r>
      </w:hyperlink>
    </w:p>
    <w:p w14:paraId="5C04CD98" w14:textId="1B9BD998" w:rsidR="000C6B3C" w:rsidRDefault="000C6B3C" w:rsidP="000C6B3C">
      <w:pPr>
        <w:spacing w:line="360" w:lineRule="auto"/>
        <w:rPr>
          <w:rFonts w:ascii="Arial" w:hAnsi="Arial" w:cs="Arial"/>
        </w:rPr>
      </w:pPr>
      <w:r w:rsidRPr="000C6B3C">
        <w:rPr>
          <w:rFonts w:ascii="Arial" w:hAnsi="Arial" w:cs="Arial"/>
        </w:rPr>
        <w:t>Swansea Council for Voluntary Service (SCVS). (n.d.). About us. Retrieved fro</w:t>
      </w:r>
      <w:r>
        <w:rPr>
          <w:rFonts w:ascii="Arial" w:hAnsi="Arial" w:cs="Arial"/>
        </w:rPr>
        <w:t xml:space="preserve">m: </w:t>
      </w:r>
      <w:hyperlink r:id="rId9" w:history="1">
        <w:r w:rsidRPr="008006A0">
          <w:rPr>
            <w:rStyle w:val="Hyperlink"/>
            <w:rFonts w:ascii="Arial" w:hAnsi="Arial" w:cs="Arial"/>
          </w:rPr>
          <w:t>https://localgiving.org/charity/swanseacvs</w:t>
        </w:r>
      </w:hyperlink>
    </w:p>
    <w:p w14:paraId="72E814D6" w14:textId="5E3CC2AA" w:rsidR="00EA351D" w:rsidRDefault="000C6B3C" w:rsidP="000C6B3C">
      <w:pPr>
        <w:spacing w:line="360" w:lineRule="auto"/>
        <w:rPr>
          <w:rFonts w:ascii="Arial" w:hAnsi="Arial" w:cs="Arial"/>
        </w:rPr>
      </w:pPr>
      <w:r w:rsidRPr="000C6B3C">
        <w:rPr>
          <w:rFonts w:ascii="Arial" w:hAnsi="Arial" w:cs="Arial"/>
        </w:rPr>
        <w:t xml:space="preserve">UK Government. (n.d.). Community development handbook. Retrieved from </w:t>
      </w:r>
      <w:hyperlink r:id="rId10" w:history="1">
        <w:r w:rsidRPr="008006A0">
          <w:rPr>
            <w:rStyle w:val="Hyperlink"/>
            <w:rFonts w:ascii="Arial" w:hAnsi="Arial" w:cs="Arial"/>
          </w:rPr>
          <w:t>https://www.gov.uk/government/publications/community-development-handbook/community-development-handbook</w:t>
        </w:r>
      </w:hyperlink>
    </w:p>
    <w:p w14:paraId="19EDC58E" w14:textId="49CF1FB5" w:rsidR="000C6B3C" w:rsidRDefault="000C6B3C" w:rsidP="000C6B3C">
      <w:pPr>
        <w:spacing w:line="360" w:lineRule="auto"/>
        <w:rPr>
          <w:rFonts w:ascii="Arial" w:hAnsi="Arial" w:cs="Arial"/>
        </w:rPr>
      </w:pPr>
      <w:hyperlink r:id="rId11" w:history="1">
        <w:r w:rsidRPr="008006A0">
          <w:rPr>
            <w:rStyle w:val="Hyperlink"/>
            <w:rFonts w:ascii="Arial" w:hAnsi="Arial" w:cs="Arial"/>
          </w:rPr>
          <w:t>https://www.gov.uk/government/publications/community-development-handbook</w:t>
        </w:r>
      </w:hyperlink>
    </w:p>
    <w:p w14:paraId="4F1C470B" w14:textId="3E46E2A1" w:rsidR="000C6B3C" w:rsidRDefault="000C6B3C" w:rsidP="000C6B3C">
      <w:pPr>
        <w:spacing w:line="360" w:lineRule="auto"/>
        <w:rPr>
          <w:rFonts w:ascii="Arial" w:hAnsi="Arial" w:cs="Arial"/>
        </w:rPr>
      </w:pPr>
      <w:hyperlink r:id="rId12" w:history="1">
        <w:r w:rsidRPr="008006A0">
          <w:rPr>
            <w:rStyle w:val="Hyperlink"/>
            <w:rFonts w:ascii="Arial" w:hAnsi="Arial" w:cs="Arial"/>
          </w:rPr>
          <w:t>https://www.swansea.gov.uk/AnchorProjects</w:t>
        </w:r>
      </w:hyperlink>
    </w:p>
    <w:p w14:paraId="1119C63E" w14:textId="7F6C9D47" w:rsidR="000C6B3C" w:rsidRDefault="000C6B3C" w:rsidP="000C6B3C">
      <w:pPr>
        <w:spacing w:line="360" w:lineRule="auto"/>
        <w:rPr>
          <w:rFonts w:ascii="Arial" w:hAnsi="Arial" w:cs="Arial"/>
        </w:rPr>
      </w:pPr>
      <w:hyperlink r:id="rId13" w:history="1">
        <w:r w:rsidRPr="008006A0">
          <w:rPr>
            <w:rStyle w:val="Hyperlink"/>
            <w:rFonts w:ascii="Arial" w:hAnsi="Arial" w:cs="Arial"/>
          </w:rPr>
          <w:t>https://www.scvs.org.uk/communities-together</w:t>
        </w:r>
      </w:hyperlink>
    </w:p>
    <w:p w14:paraId="5CBCFA36" w14:textId="46F72537" w:rsidR="000C6B3C" w:rsidRDefault="000C6B3C" w:rsidP="000C6B3C">
      <w:pPr>
        <w:spacing w:line="360" w:lineRule="auto"/>
        <w:rPr>
          <w:rFonts w:ascii="Arial" w:hAnsi="Arial" w:cs="Arial"/>
        </w:rPr>
      </w:pPr>
      <w:hyperlink r:id="rId14" w:history="1">
        <w:r w:rsidRPr="008006A0">
          <w:rPr>
            <w:rStyle w:val="Hyperlink"/>
            <w:rFonts w:ascii="Arial" w:hAnsi="Arial" w:cs="Arial"/>
          </w:rPr>
          <w:t>https://www.scvs.org.uk/Pages/Category/our-vol-projects</w:t>
        </w:r>
      </w:hyperlink>
    </w:p>
    <w:p w14:paraId="3274A91D" w14:textId="40C74A98" w:rsidR="000C6B3C" w:rsidRDefault="000C6B3C" w:rsidP="000C6B3C">
      <w:pPr>
        <w:spacing w:line="360" w:lineRule="auto"/>
        <w:rPr>
          <w:rFonts w:ascii="Arial" w:hAnsi="Arial" w:cs="Arial"/>
        </w:rPr>
      </w:pPr>
      <w:hyperlink r:id="rId15" w:history="1">
        <w:r w:rsidRPr="008006A0">
          <w:rPr>
            <w:rStyle w:val="Hyperlink"/>
            <w:rFonts w:ascii="Arial" w:hAnsi="Arial" w:cs="Arial"/>
          </w:rPr>
          <w:t>https://www.scvs.org.uk/Pages/Category/hscandwb-services</w:t>
        </w:r>
      </w:hyperlink>
    </w:p>
    <w:p w14:paraId="221934D0" w14:textId="20DE5F7C" w:rsidR="000C6B3C" w:rsidRDefault="002158EB" w:rsidP="000C6B3C">
      <w:pPr>
        <w:spacing w:line="360" w:lineRule="auto"/>
        <w:rPr>
          <w:rFonts w:ascii="Arial" w:hAnsi="Arial" w:cs="Arial"/>
        </w:rPr>
      </w:pPr>
      <w:hyperlink r:id="rId16" w:history="1">
        <w:r w:rsidRPr="008006A0">
          <w:rPr>
            <w:rStyle w:val="Hyperlink"/>
            <w:rFonts w:ascii="Arial" w:hAnsi="Arial" w:cs="Arial"/>
          </w:rPr>
          <w:t>https://www.scvs.org.uk/sn-dem-carer-proj</w:t>
        </w:r>
      </w:hyperlink>
    </w:p>
    <w:p w14:paraId="3699C9A5" w14:textId="77777777" w:rsidR="002158EB" w:rsidRDefault="002158EB" w:rsidP="000C6B3C">
      <w:pPr>
        <w:spacing w:line="360" w:lineRule="auto"/>
        <w:rPr>
          <w:rFonts w:ascii="Arial" w:hAnsi="Arial" w:cs="Arial"/>
        </w:rPr>
      </w:pPr>
    </w:p>
    <w:p w14:paraId="33951A2E" w14:textId="77777777" w:rsidR="000C6B3C" w:rsidRPr="00837238" w:rsidRDefault="000C6B3C" w:rsidP="000C6B3C">
      <w:pPr>
        <w:spacing w:line="360" w:lineRule="auto"/>
        <w:rPr>
          <w:rFonts w:ascii="Arial" w:hAnsi="Arial" w:cs="Arial"/>
        </w:rPr>
      </w:pPr>
    </w:p>
    <w:sectPr w:rsidR="000C6B3C" w:rsidRPr="00837238" w:rsidSect="00EA351D">
      <w:head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E08D7D" w14:textId="77777777" w:rsidR="00950E31" w:rsidRDefault="00950E31" w:rsidP="00EA351D">
      <w:pPr>
        <w:spacing w:after="0" w:line="240" w:lineRule="auto"/>
      </w:pPr>
      <w:r>
        <w:separator/>
      </w:r>
    </w:p>
  </w:endnote>
  <w:endnote w:type="continuationSeparator" w:id="0">
    <w:p w14:paraId="24C2E7BC" w14:textId="77777777" w:rsidR="00950E31" w:rsidRDefault="00950E31" w:rsidP="00EA35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Aharoni">
    <w:charset w:val="B1"/>
    <w:family w:val="auto"/>
    <w:pitch w:val="variable"/>
    <w:sig w:usb0="00000803" w:usb1="00000000" w:usb2="00000000" w:usb3="00000000" w:csb0="0000002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547BB9" w14:textId="77777777" w:rsidR="00950E31" w:rsidRDefault="00950E31" w:rsidP="00EA351D">
      <w:pPr>
        <w:spacing w:after="0" w:line="240" w:lineRule="auto"/>
      </w:pPr>
      <w:r>
        <w:separator/>
      </w:r>
    </w:p>
  </w:footnote>
  <w:footnote w:type="continuationSeparator" w:id="0">
    <w:p w14:paraId="5F8591C4" w14:textId="77777777" w:rsidR="00950E31" w:rsidRDefault="00950E31" w:rsidP="00EA35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color w:val="7F7F7F" w:themeColor="background1" w:themeShade="7F"/>
        <w:spacing w:val="60"/>
      </w:rPr>
      <w:id w:val="-549837427"/>
      <w:docPartObj>
        <w:docPartGallery w:val="Page Numbers (Top of Page)"/>
        <w:docPartUnique/>
      </w:docPartObj>
    </w:sdtPr>
    <w:sdtEndPr>
      <w:rPr>
        <w:b/>
        <w:bCs/>
        <w:noProof/>
        <w:color w:val="auto"/>
        <w:spacing w:val="0"/>
      </w:rPr>
    </w:sdtEndPr>
    <w:sdtContent>
      <w:p w14:paraId="61AD8E6A" w14:textId="54E4FBD4" w:rsidR="00EA351D" w:rsidRDefault="00EA351D">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72E463DA" w14:textId="77777777" w:rsidR="00EA351D" w:rsidRDefault="00EA35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4109AB"/>
    <w:multiLevelType w:val="hybridMultilevel"/>
    <w:tmpl w:val="3BE068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5E5522"/>
    <w:multiLevelType w:val="hybridMultilevel"/>
    <w:tmpl w:val="950A4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52731">
    <w:abstractNumId w:val="0"/>
  </w:num>
  <w:num w:numId="2" w16cid:durableId="3791347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238"/>
    <w:rsid w:val="000C6B3C"/>
    <w:rsid w:val="002158EB"/>
    <w:rsid w:val="00753CFE"/>
    <w:rsid w:val="00837238"/>
    <w:rsid w:val="00930CF1"/>
    <w:rsid w:val="00950E31"/>
    <w:rsid w:val="009E5562"/>
    <w:rsid w:val="00EA3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B802E"/>
  <w15:chartTrackingRefBased/>
  <w15:docId w15:val="{CF140DBE-F34F-4D57-AD1C-23DB9B553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2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72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72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72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72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72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72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72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72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2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72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72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72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72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72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72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72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7238"/>
    <w:rPr>
      <w:rFonts w:eastAsiaTheme="majorEastAsia" w:cstheme="majorBidi"/>
      <w:color w:val="272727" w:themeColor="text1" w:themeTint="D8"/>
    </w:rPr>
  </w:style>
  <w:style w:type="paragraph" w:styleId="Title">
    <w:name w:val="Title"/>
    <w:basedOn w:val="Normal"/>
    <w:next w:val="Normal"/>
    <w:link w:val="TitleChar"/>
    <w:uiPriority w:val="10"/>
    <w:qFormat/>
    <w:rsid w:val="008372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72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72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72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7238"/>
    <w:pPr>
      <w:spacing w:before="160"/>
      <w:jc w:val="center"/>
    </w:pPr>
    <w:rPr>
      <w:i/>
      <w:iCs/>
      <w:color w:val="404040" w:themeColor="text1" w:themeTint="BF"/>
    </w:rPr>
  </w:style>
  <w:style w:type="character" w:customStyle="1" w:styleId="QuoteChar">
    <w:name w:val="Quote Char"/>
    <w:basedOn w:val="DefaultParagraphFont"/>
    <w:link w:val="Quote"/>
    <w:uiPriority w:val="29"/>
    <w:rsid w:val="00837238"/>
    <w:rPr>
      <w:i/>
      <w:iCs/>
      <w:color w:val="404040" w:themeColor="text1" w:themeTint="BF"/>
    </w:rPr>
  </w:style>
  <w:style w:type="paragraph" w:styleId="ListParagraph">
    <w:name w:val="List Paragraph"/>
    <w:basedOn w:val="Normal"/>
    <w:uiPriority w:val="34"/>
    <w:qFormat/>
    <w:rsid w:val="00837238"/>
    <w:pPr>
      <w:ind w:left="720"/>
      <w:contextualSpacing/>
    </w:pPr>
  </w:style>
  <w:style w:type="character" w:styleId="IntenseEmphasis">
    <w:name w:val="Intense Emphasis"/>
    <w:basedOn w:val="DefaultParagraphFont"/>
    <w:uiPriority w:val="21"/>
    <w:qFormat/>
    <w:rsid w:val="00837238"/>
    <w:rPr>
      <w:i/>
      <w:iCs/>
      <w:color w:val="0F4761" w:themeColor="accent1" w:themeShade="BF"/>
    </w:rPr>
  </w:style>
  <w:style w:type="paragraph" w:styleId="IntenseQuote">
    <w:name w:val="Intense Quote"/>
    <w:basedOn w:val="Normal"/>
    <w:next w:val="Normal"/>
    <w:link w:val="IntenseQuoteChar"/>
    <w:uiPriority w:val="30"/>
    <w:qFormat/>
    <w:rsid w:val="008372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7238"/>
    <w:rPr>
      <w:i/>
      <w:iCs/>
      <w:color w:val="0F4761" w:themeColor="accent1" w:themeShade="BF"/>
    </w:rPr>
  </w:style>
  <w:style w:type="character" w:styleId="IntenseReference">
    <w:name w:val="Intense Reference"/>
    <w:basedOn w:val="DefaultParagraphFont"/>
    <w:uiPriority w:val="32"/>
    <w:qFormat/>
    <w:rsid w:val="00837238"/>
    <w:rPr>
      <w:b/>
      <w:bCs/>
      <w:smallCaps/>
      <w:color w:val="0F4761" w:themeColor="accent1" w:themeShade="BF"/>
      <w:spacing w:val="5"/>
    </w:rPr>
  </w:style>
  <w:style w:type="paragraph" w:styleId="Header">
    <w:name w:val="header"/>
    <w:basedOn w:val="Normal"/>
    <w:link w:val="HeaderChar"/>
    <w:uiPriority w:val="99"/>
    <w:unhideWhenUsed/>
    <w:rsid w:val="00EA35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51D"/>
  </w:style>
  <w:style w:type="paragraph" w:styleId="Footer">
    <w:name w:val="footer"/>
    <w:basedOn w:val="Normal"/>
    <w:link w:val="FooterChar"/>
    <w:uiPriority w:val="99"/>
    <w:unhideWhenUsed/>
    <w:rsid w:val="00EA35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351D"/>
  </w:style>
  <w:style w:type="paragraph" w:styleId="NoSpacing">
    <w:name w:val="No Spacing"/>
    <w:link w:val="NoSpacingChar"/>
    <w:uiPriority w:val="1"/>
    <w:qFormat/>
    <w:rsid w:val="00EA351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51D"/>
    <w:rPr>
      <w:rFonts w:eastAsiaTheme="minorEastAsia"/>
      <w:kern w:val="0"/>
      <w:sz w:val="22"/>
      <w:szCs w:val="22"/>
      <w:lang w:val="en-US"/>
      <w14:ligatures w14:val="none"/>
    </w:rPr>
  </w:style>
  <w:style w:type="character" w:styleId="Hyperlink">
    <w:name w:val="Hyperlink"/>
    <w:basedOn w:val="DefaultParagraphFont"/>
    <w:uiPriority w:val="99"/>
    <w:unhideWhenUsed/>
    <w:rsid w:val="000C6B3C"/>
    <w:rPr>
      <w:color w:val="467886" w:themeColor="hyperlink"/>
      <w:u w:val="single"/>
    </w:rPr>
  </w:style>
  <w:style w:type="character" w:styleId="UnresolvedMention">
    <w:name w:val="Unresolved Mention"/>
    <w:basedOn w:val="DefaultParagraphFont"/>
    <w:uiPriority w:val="99"/>
    <w:semiHidden/>
    <w:unhideWhenUsed/>
    <w:rsid w:val="000C6B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cdj/bsy001" TargetMode="External"/><Relationship Id="rId13" Type="http://schemas.openxmlformats.org/officeDocument/2006/relationships/hyperlink" Target="https://www.scvs.org.uk/communities-together"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15575330903011785" TargetMode="External"/><Relationship Id="rId12" Type="http://schemas.openxmlformats.org/officeDocument/2006/relationships/hyperlink" Target="https://www.swansea.gov.uk/AnchorProject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scvs.org.uk/sn-dem-carer-proj"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community-development-handbook" TargetMode="External"/><Relationship Id="rId5" Type="http://schemas.openxmlformats.org/officeDocument/2006/relationships/footnotes" Target="footnotes.xml"/><Relationship Id="rId15" Type="http://schemas.openxmlformats.org/officeDocument/2006/relationships/hyperlink" Target="https://www.scvs.org.uk/Pages/Category/hscandwb-services" TargetMode="External"/><Relationship Id="rId10" Type="http://schemas.openxmlformats.org/officeDocument/2006/relationships/hyperlink" Target="https://www.gov.uk/government/publications/community-development-handbook/community-development-handbook" TargetMode="Externa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localgiving.org/charity/swanseacvs" TargetMode="External"/><Relationship Id="rId14" Type="http://schemas.openxmlformats.org/officeDocument/2006/relationships/hyperlink" Target="https://www.scvs.org.uk/Pages/Category/our-vol-project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59FA6C8E6F44A73AC912326EACE0659"/>
        <w:category>
          <w:name w:val="General"/>
          <w:gallery w:val="placeholder"/>
        </w:category>
        <w:types>
          <w:type w:val="bbPlcHdr"/>
        </w:types>
        <w:behaviors>
          <w:behavior w:val="content"/>
        </w:behaviors>
        <w:guid w:val="{2DC8C38A-12E5-4702-97D6-71577CC44236}"/>
      </w:docPartPr>
      <w:docPartBody>
        <w:p w:rsidR="00000000" w:rsidRDefault="00C5414D" w:rsidP="00C5414D">
          <w:pPr>
            <w:pStyle w:val="159FA6C8E6F44A73AC912326EACE0659"/>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Aharoni">
    <w:charset w:val="B1"/>
    <w:family w:val="auto"/>
    <w:pitch w:val="variable"/>
    <w:sig w:usb0="00000803" w:usb1="00000000" w:usb2="00000000" w:usb3="00000000" w:csb0="0000002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14D"/>
    <w:rsid w:val="005E7DDD"/>
    <w:rsid w:val="00930CF1"/>
    <w:rsid w:val="00C541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92B708BC6A4F9C81FEA641E668583F">
    <w:name w:val="1B92B708BC6A4F9C81FEA641E668583F"/>
    <w:rsid w:val="00C5414D"/>
  </w:style>
  <w:style w:type="paragraph" w:customStyle="1" w:styleId="159FA6C8E6F44A73AC912326EACE0659">
    <w:name w:val="159FA6C8E6F44A73AC912326EACE0659"/>
    <w:rsid w:val="00C5414D"/>
  </w:style>
  <w:style w:type="paragraph" w:customStyle="1" w:styleId="EEA0F11FC6A04456B7172F81AB756DF5">
    <w:name w:val="EEA0F11FC6A04456B7172F81AB756DF5"/>
    <w:rsid w:val="00C5414D"/>
  </w:style>
  <w:style w:type="paragraph" w:customStyle="1" w:styleId="38BDBFEEE150453CAB29B7A54F164A71">
    <w:name w:val="38BDBFEEE150453CAB29B7A54F164A71"/>
    <w:rsid w:val="00C5414D"/>
  </w:style>
  <w:style w:type="paragraph" w:customStyle="1" w:styleId="B7D636CDF5D848309C5676150157D598">
    <w:name w:val="B7D636CDF5D848309C5676150157D598"/>
    <w:rsid w:val="00C541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TotalTime>
  <Pages>11</Pages>
  <Words>2522</Words>
  <Characters>14382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Development and Growth in Swansea: A Case Study of the Elderly Community through the Swansea Dementia and Carer Project</dc:title>
  <dc:subject/>
  <dc:creator>Mirabela Voican (1907947)</dc:creator>
  <cp:keywords/>
  <dc:description/>
  <cp:lastModifiedBy>Mirabela Voican (1907947)</cp:lastModifiedBy>
  <cp:revision>1</cp:revision>
  <dcterms:created xsi:type="dcterms:W3CDTF">2024-11-12T20:57:00Z</dcterms:created>
  <dcterms:modified xsi:type="dcterms:W3CDTF">2024-11-12T21:48:00Z</dcterms:modified>
</cp:coreProperties>
</file>