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00AE88" w14:textId="5C0BB90A" w:rsidR="004A0E3E" w:rsidRDefault="00093090" w:rsidP="00093090">
      <w:pPr>
        <w:ind w:left="720" w:firstLine="720"/>
      </w:pPr>
      <w:r>
        <w:t xml:space="preserve">HPLA 7004. </w:t>
      </w:r>
      <w:r w:rsidR="004A0E3E">
        <w:t>Latin Advanced Verse. Kevin Greene. 26001477</w:t>
      </w:r>
    </w:p>
    <w:p w14:paraId="1770AC20" w14:textId="77777777" w:rsidR="004A0E3E" w:rsidRDefault="004A0E3E" w:rsidP="004A0E3E">
      <w:pPr>
        <w:ind w:left="1440" w:firstLine="720"/>
      </w:pPr>
    </w:p>
    <w:p w14:paraId="02DF7F86" w14:textId="77777777" w:rsidR="000005AD" w:rsidRDefault="0039767D" w:rsidP="0039767D">
      <w:pPr>
        <w:ind w:left="3600"/>
      </w:pPr>
      <w:r>
        <w:t xml:space="preserve">Ovid Heroides </w:t>
      </w:r>
    </w:p>
    <w:p w14:paraId="42C4E7F6" w14:textId="66812118" w:rsidR="0039767D" w:rsidRDefault="004A0E3E" w:rsidP="0039767D">
      <w:pPr>
        <w:ind w:left="3600"/>
      </w:pPr>
      <w:r>
        <w:tab/>
      </w:r>
      <w:r>
        <w:tab/>
      </w:r>
    </w:p>
    <w:p w14:paraId="3B5846A8" w14:textId="550A1E99" w:rsidR="0039767D" w:rsidRDefault="0039767D" w:rsidP="004A0E3E">
      <w:pPr>
        <w:ind w:left="2880"/>
      </w:pPr>
      <w:r>
        <w:t xml:space="preserve">        Translation </w:t>
      </w:r>
      <w:r w:rsidR="005961F9">
        <w:t>10</w:t>
      </w:r>
      <w:r w:rsidR="000E6668">
        <w:t>.1-</w:t>
      </w:r>
      <w:r w:rsidR="005961F9">
        <w:t>12</w:t>
      </w:r>
    </w:p>
    <w:p w14:paraId="1DBBE5C4" w14:textId="4C6A410E" w:rsidR="00B44CFE" w:rsidRDefault="00B44CFE" w:rsidP="006B4D25">
      <w:pPr>
        <w:spacing w:line="480" w:lineRule="auto"/>
      </w:pPr>
    </w:p>
    <w:p w14:paraId="50679679" w14:textId="1D70979C" w:rsidR="00B44CFE" w:rsidRDefault="007C6DAE" w:rsidP="0047023E">
      <w:pPr>
        <w:spacing w:line="480" w:lineRule="auto"/>
      </w:pPr>
      <w:r>
        <w:t xml:space="preserve">Softer than you have I found every species of wild animal; </w:t>
      </w:r>
      <w:r w:rsidR="006D3A79">
        <w:t xml:space="preserve">to none of them </w:t>
      </w:r>
      <w:r>
        <w:t xml:space="preserve">could </w:t>
      </w:r>
      <w:r w:rsidR="006D3A79">
        <w:t xml:space="preserve">I </w:t>
      </w:r>
      <w:r>
        <w:t xml:space="preserve">have entrusted myself </w:t>
      </w:r>
      <w:r w:rsidR="006D3A79">
        <w:t xml:space="preserve">[to] </w:t>
      </w:r>
      <w:r>
        <w:t xml:space="preserve">worse </w:t>
      </w:r>
      <w:r w:rsidR="006D3A79">
        <w:t xml:space="preserve">[effect] </w:t>
      </w:r>
      <w:r>
        <w:t xml:space="preserve">than </w:t>
      </w:r>
      <w:r w:rsidR="006D3A79">
        <w:t xml:space="preserve">to </w:t>
      </w:r>
      <w:r>
        <w:t>you</w:t>
      </w:r>
      <w:r w:rsidR="006D3A79">
        <w:t xml:space="preserve">. </w:t>
      </w:r>
      <w:r>
        <w:t xml:space="preserve"> </w:t>
      </w:r>
      <w:r w:rsidR="006D3A79">
        <w:t>The lines which you are reading, Theseus, I am sending to you from that shore whence your sails carry your ship without me.</w:t>
      </w:r>
      <w:r w:rsidR="004326F2">
        <w:t xml:space="preserve"> On that shore my sleep and you </w:t>
      </w:r>
      <w:r w:rsidR="00915098">
        <w:t xml:space="preserve">betrayed me in an evil way, you criminally ambushing me in my sleep. </w:t>
      </w:r>
      <w:r w:rsidR="00C45B40">
        <w:t xml:space="preserve">It was the time when glassy frost is first spreading on the earth and hidden birds are singing in the foliage. </w:t>
      </w:r>
      <w:r w:rsidR="00F300ED">
        <w:t xml:space="preserve">Half awake, in sluggish sleep, half lying back, </w:t>
      </w:r>
      <w:r w:rsidR="00210BEB">
        <w:t xml:space="preserve">I moved </w:t>
      </w:r>
      <w:r w:rsidR="00F300ED">
        <w:t>my hand</w:t>
      </w:r>
      <w:r w:rsidR="00210BEB">
        <w:t>s</w:t>
      </w:r>
      <w:r w:rsidR="00F300ED">
        <w:t xml:space="preserve"> to take hold of Theseus. </w:t>
      </w:r>
      <w:r w:rsidR="00C26CD8">
        <w:t>H</w:t>
      </w:r>
      <w:r w:rsidR="00F300ED">
        <w:t>e was no</w:t>
      </w:r>
      <w:r w:rsidR="00C26CD8">
        <w:t>t</w:t>
      </w:r>
      <w:r w:rsidR="00F300ED">
        <w:t xml:space="preserve"> there!  </w:t>
      </w:r>
      <w:r w:rsidR="00C26CD8">
        <w:t xml:space="preserve">I bring back my hands and try again, </w:t>
      </w:r>
      <w:r w:rsidR="00F83909">
        <w:t xml:space="preserve">and </w:t>
      </w:r>
      <w:r w:rsidR="00C26CD8">
        <w:t xml:space="preserve">throughout the bed I move my arms: </w:t>
      </w:r>
      <w:r w:rsidR="001165E6">
        <w:t>he was not there!</w:t>
      </w:r>
    </w:p>
    <w:p w14:paraId="0374FA04" w14:textId="77777777" w:rsidR="00623B4C" w:rsidRDefault="00623B4C" w:rsidP="0047023E">
      <w:pPr>
        <w:spacing w:line="480" w:lineRule="auto"/>
      </w:pPr>
    </w:p>
    <w:p w14:paraId="0F0CDD0D" w14:textId="0E684FFC" w:rsidR="00993C71" w:rsidRDefault="003B28FF" w:rsidP="00993C71">
      <w:pPr>
        <w:ind w:left="2880"/>
      </w:pPr>
      <w:r>
        <w:t xml:space="preserve">         </w:t>
      </w:r>
      <w:r w:rsidR="006F301D">
        <w:t xml:space="preserve">Translation </w:t>
      </w:r>
      <w:r w:rsidR="005961F9">
        <w:t>10</w:t>
      </w:r>
      <w:r w:rsidR="006F301D">
        <w:t>.</w:t>
      </w:r>
      <w:r w:rsidR="00FC1E39">
        <w:t>1</w:t>
      </w:r>
      <w:r w:rsidR="008F7A79">
        <w:t>1</w:t>
      </w:r>
      <w:r w:rsidR="005961F9">
        <w:t>9</w:t>
      </w:r>
      <w:r w:rsidR="00FC1E39">
        <w:t>-</w:t>
      </w:r>
      <w:r w:rsidR="00D3200A">
        <w:t>1</w:t>
      </w:r>
      <w:r w:rsidR="008F7A79">
        <w:t>3</w:t>
      </w:r>
      <w:r w:rsidR="00993C71">
        <w:t>0</w:t>
      </w:r>
    </w:p>
    <w:p w14:paraId="6DF14EC1" w14:textId="5D673ECB" w:rsidR="00993C71" w:rsidRDefault="00993C71" w:rsidP="00993C71">
      <w:pPr>
        <w:ind w:left="2880"/>
      </w:pPr>
    </w:p>
    <w:p w14:paraId="2D0296B8" w14:textId="658D73B9" w:rsidR="00B44CFE" w:rsidRDefault="00A52A96" w:rsidP="003F6FD7">
      <w:pPr>
        <w:spacing w:line="480" w:lineRule="auto"/>
      </w:pPr>
      <w:r>
        <w:t xml:space="preserve">Therefore, </w:t>
      </w:r>
      <w:r w:rsidR="00FE2A5D">
        <w:t xml:space="preserve">shall I, </w:t>
      </w:r>
      <w:r>
        <w:t xml:space="preserve">about to die, not see the tears of my mother, [and] will there not be someone to close my eyes with his or her fingers? </w:t>
      </w:r>
      <w:r w:rsidR="00B4623A">
        <w:t>Will my unhappy spirit wander in foreign breezes, with no friendly hand to anoint my laid</w:t>
      </w:r>
      <w:r w:rsidR="002D7A07">
        <w:t>-</w:t>
      </w:r>
      <w:r w:rsidR="00B4623A">
        <w:t xml:space="preserve">out body? </w:t>
      </w:r>
      <w:r w:rsidR="005C3F9B">
        <w:t xml:space="preserve">Will seabirds stand over my unburied bones? Is this a tomb worthy of my services? </w:t>
      </w:r>
      <w:r w:rsidR="007D2D90">
        <w:t xml:space="preserve">You will go to the Athenian harbour, and, received by your fatherland, </w:t>
      </w:r>
      <w:r w:rsidR="00FE2A5D">
        <w:t xml:space="preserve">when </w:t>
      </w:r>
      <w:r w:rsidR="00BE6F33">
        <w:t xml:space="preserve">you will have stood </w:t>
      </w:r>
      <w:r w:rsidR="0061343D">
        <w:t xml:space="preserve">haughtily in the face of your crowd [of followers], and will </w:t>
      </w:r>
      <w:r w:rsidR="00FE2A5D">
        <w:t xml:space="preserve">have </w:t>
      </w:r>
      <w:r w:rsidR="0061343D">
        <w:t>t</w:t>
      </w:r>
      <w:r w:rsidR="00FE2A5D">
        <w:t>old</w:t>
      </w:r>
      <w:r w:rsidR="0061343D">
        <w:t xml:space="preserve"> a good story of the death of the bull-man,</w:t>
      </w:r>
      <w:r w:rsidR="00FE2A5D">
        <w:t xml:space="preserve"> and of its rocky dwelling-house cut into w</w:t>
      </w:r>
      <w:r w:rsidR="00426E14">
        <w:t>ind</w:t>
      </w:r>
      <w:r w:rsidR="00FE2A5D">
        <w:t>ing paths, tell also of me, left alone in this land! I am not to be taken secretly away f</w:t>
      </w:r>
      <w:r w:rsidR="003451D4">
        <w:t xml:space="preserve">rom your </w:t>
      </w:r>
      <w:r w:rsidR="00B10CC1">
        <w:t xml:space="preserve">list of </w:t>
      </w:r>
      <w:r w:rsidR="003451D4">
        <w:t>honour</w:t>
      </w:r>
      <w:r w:rsidR="003F6FD7">
        <w:t>s.</w:t>
      </w:r>
    </w:p>
    <w:p w14:paraId="2BB1A784" w14:textId="1DEFD3BE" w:rsidR="001F1E19" w:rsidRDefault="001F1E19" w:rsidP="003B28FF">
      <w:pPr>
        <w:ind w:left="2880"/>
      </w:pPr>
      <w:r>
        <w:lastRenderedPageBreak/>
        <w:t xml:space="preserve">Commentary </w:t>
      </w:r>
      <w:r w:rsidR="005961F9">
        <w:t>10</w:t>
      </w:r>
      <w:r w:rsidR="00FC1E39">
        <w:t>.1</w:t>
      </w:r>
      <w:r w:rsidR="00B66FEF">
        <w:t>1</w:t>
      </w:r>
      <w:r w:rsidR="005961F9">
        <w:t>9</w:t>
      </w:r>
      <w:r w:rsidR="00FC1E39">
        <w:t>-</w:t>
      </w:r>
      <w:r w:rsidR="00B66FEF">
        <w:t>130</w:t>
      </w:r>
    </w:p>
    <w:p w14:paraId="345BA5AA" w14:textId="77777777" w:rsidR="00F922F2" w:rsidRDefault="00EB3EB7" w:rsidP="00DD6E29">
      <w:r>
        <w:t xml:space="preserve">  </w:t>
      </w:r>
    </w:p>
    <w:p w14:paraId="47354314" w14:textId="5A34390A" w:rsidR="00F21DB3" w:rsidRDefault="00531E03" w:rsidP="005961F9">
      <w:pPr>
        <w:spacing w:line="480" w:lineRule="auto"/>
      </w:pPr>
      <w:r>
        <w:t xml:space="preserve">This letter </w:t>
      </w:r>
      <w:r w:rsidR="00F51579">
        <w:t xml:space="preserve">is another example of the rhetorical theme of the </w:t>
      </w:r>
      <w:r w:rsidR="00F51579" w:rsidRPr="00CA6E27">
        <w:rPr>
          <w:i/>
          <w:iCs/>
        </w:rPr>
        <w:t>Heroides</w:t>
      </w:r>
      <w:r w:rsidR="00F51579">
        <w:t xml:space="preserve">, namely </w:t>
      </w:r>
      <w:r w:rsidR="00F51579" w:rsidRPr="00F51579">
        <w:rPr>
          <w:i/>
          <w:iCs/>
        </w:rPr>
        <w:t>querimonia</w:t>
      </w:r>
      <w:r w:rsidR="00F51579">
        <w:t xml:space="preserve"> o</w:t>
      </w:r>
      <w:r w:rsidR="00A10618">
        <w:t>n the grounds of</w:t>
      </w:r>
      <w:r w:rsidR="00F51579">
        <w:t xml:space="preserve"> betrayal by an ungrateful lover.</w:t>
      </w:r>
      <w:r w:rsidR="00FC1CCE">
        <w:t xml:space="preserve"> It belongs to the group of four </w:t>
      </w:r>
      <w:r w:rsidR="007532E1">
        <w:t xml:space="preserve">letters </w:t>
      </w:r>
      <w:r w:rsidR="00FC1CCE">
        <w:t xml:space="preserve">involving men who have sailed away or are about to do so, and thus can be linked with </w:t>
      </w:r>
      <w:r w:rsidR="00A93EE5">
        <w:t xml:space="preserve">the </w:t>
      </w:r>
      <w:r w:rsidR="00FC1CCE">
        <w:t xml:space="preserve">epistles </w:t>
      </w:r>
      <w:r w:rsidR="00A93EE5">
        <w:t>of</w:t>
      </w:r>
      <w:r w:rsidR="00FC1CCE">
        <w:t xml:space="preserve"> Phyllis </w:t>
      </w:r>
      <w:r w:rsidR="007532E1">
        <w:t>to</w:t>
      </w:r>
      <w:r w:rsidR="00FC1CCE">
        <w:t xml:space="preserve"> Demophoon, Hypsipyle </w:t>
      </w:r>
      <w:r w:rsidR="007532E1">
        <w:t>to</w:t>
      </w:r>
      <w:r w:rsidR="00FC1CCE">
        <w:t xml:space="preserve"> Jason, and </w:t>
      </w:r>
      <w:r w:rsidR="009807C9">
        <w:t>Dido</w:t>
      </w:r>
      <w:r w:rsidR="00FC1CCE">
        <w:t xml:space="preserve"> </w:t>
      </w:r>
      <w:r w:rsidR="007532E1">
        <w:t>to</w:t>
      </w:r>
      <w:r w:rsidR="00FC1CCE">
        <w:t xml:space="preserve"> </w:t>
      </w:r>
      <w:r w:rsidR="009807C9">
        <w:t>Aen</w:t>
      </w:r>
      <w:r w:rsidR="00FC1CCE">
        <w:t>e</w:t>
      </w:r>
      <w:r w:rsidR="009807C9">
        <w:t>a</w:t>
      </w:r>
      <w:r w:rsidR="00FC1CCE">
        <w:t xml:space="preserve">s. </w:t>
      </w:r>
      <w:r w:rsidR="00A93EE5">
        <w:t>The myth on which the poem is based can be traced back to Homer</w:t>
      </w:r>
      <w:r w:rsidR="009473B2">
        <w:t xml:space="preserve"> (</w:t>
      </w:r>
      <w:r w:rsidR="009473B2" w:rsidRPr="00A95063">
        <w:rPr>
          <w:i/>
          <w:iCs/>
        </w:rPr>
        <w:t>Od</w:t>
      </w:r>
      <w:r w:rsidR="009473B2">
        <w:t>.11.321-5)</w:t>
      </w:r>
      <w:r w:rsidR="00A93EE5">
        <w:t xml:space="preserve">, and there were </w:t>
      </w:r>
      <w:r w:rsidR="00775D33">
        <w:t xml:space="preserve">subsequently </w:t>
      </w:r>
      <w:r w:rsidR="00A93EE5">
        <w:t xml:space="preserve">many variations in the story. However, </w:t>
      </w:r>
      <w:r w:rsidR="009473B2">
        <w:t xml:space="preserve">whereas </w:t>
      </w:r>
      <w:r w:rsidR="00A93EE5">
        <w:t xml:space="preserve">the source text for the epistle is </w:t>
      </w:r>
      <w:r w:rsidR="009473B2">
        <w:t>clearly</w:t>
      </w:r>
      <w:r w:rsidR="00D158B1">
        <w:t>,</w:t>
      </w:r>
      <w:r w:rsidR="009473B2">
        <w:t xml:space="preserve"> in the main</w:t>
      </w:r>
      <w:r w:rsidR="00D158B1">
        <w:t>,</w:t>
      </w:r>
      <w:r w:rsidR="009473B2">
        <w:t xml:space="preserve"> </w:t>
      </w:r>
      <w:r w:rsidR="00A93EE5">
        <w:t>Catullus 64</w:t>
      </w:r>
      <w:r w:rsidR="009473B2">
        <w:t>, t</w:t>
      </w:r>
      <w:r w:rsidR="00A93EE5">
        <w:t xml:space="preserve">here </w:t>
      </w:r>
      <w:r w:rsidR="009473B2">
        <w:t xml:space="preserve">are indications that </w:t>
      </w:r>
      <w:r w:rsidR="006F450C">
        <w:t xml:space="preserve">Catullus himself may have been influenced by </w:t>
      </w:r>
      <w:r w:rsidR="009473B2">
        <w:t>a now lost Hellenic Gree</w:t>
      </w:r>
      <w:r w:rsidR="006F450C">
        <w:t>k text (Knox, 1995, p. 234)</w:t>
      </w:r>
      <w:r w:rsidR="009473B2">
        <w:t>.</w:t>
      </w:r>
      <w:r w:rsidR="000E72F0">
        <w:t xml:space="preserve"> In the narratologist terminology of Morson, Ovid’s poem is an interquel, filling a gap in the story (Liveley, 2008, p. 97).</w:t>
      </w:r>
      <w:r w:rsidR="008632FF">
        <w:t xml:space="preserve"> </w:t>
      </w:r>
      <w:r w:rsidR="008632FF" w:rsidRPr="008632FF">
        <w:rPr>
          <w:i/>
          <w:iCs/>
        </w:rPr>
        <w:t>Her</w:t>
      </w:r>
      <w:r w:rsidR="008632FF">
        <w:t>.10 is also a perfect example of Bal’s model of the crisis narrative, which permits the expansion of a single moment of crisis into a sequence of events (Liveley, 2008, p. 92).</w:t>
      </w:r>
    </w:p>
    <w:p w14:paraId="0366EE72" w14:textId="77777777" w:rsidR="00C742C7" w:rsidRDefault="00C742C7" w:rsidP="005961F9">
      <w:pPr>
        <w:spacing w:line="480" w:lineRule="auto"/>
      </w:pPr>
    </w:p>
    <w:p w14:paraId="26242E1E" w14:textId="77777777" w:rsidR="00C55BA7" w:rsidRDefault="00A95063" w:rsidP="005961F9">
      <w:pPr>
        <w:spacing w:line="480" w:lineRule="auto"/>
      </w:pPr>
      <w:r>
        <w:t>The section under review comes towards the end of a long declamation</w:t>
      </w:r>
      <w:r w:rsidR="007B74FE">
        <w:t>,</w:t>
      </w:r>
      <w:r>
        <w:t xml:space="preserve"> which for the most part is in </w:t>
      </w:r>
      <w:r w:rsidR="000E72F0">
        <w:t>a</w:t>
      </w:r>
      <w:r>
        <w:t xml:space="preserve"> </w:t>
      </w:r>
      <w:r w:rsidR="007B74FE">
        <w:t xml:space="preserve">restrained and well-ordered </w:t>
      </w:r>
      <w:r>
        <w:t>style of oration (10.75-133)</w:t>
      </w:r>
      <w:r w:rsidR="007B74FE">
        <w:t>. In this section (10.119-130) Ariadne, apparently resigned to her own imminent death, considers the circumstances that will attend it, reflecting</w:t>
      </w:r>
      <w:r w:rsidR="00CC66A9">
        <w:t>, possibly anachronistically,</w:t>
      </w:r>
      <w:r w:rsidR="007B74FE">
        <w:t xml:space="preserve"> contemporary Roman concerns</w:t>
      </w:r>
      <w:r w:rsidR="00AC0452">
        <w:t>; i</w:t>
      </w:r>
      <w:r w:rsidR="007B74FE">
        <w:t>t was important to be buried in order to permit the spirit or shade to rest (10.121-122, Knox, 1995, p. 254)</w:t>
      </w:r>
      <w:r w:rsidR="000E72F0">
        <w:t>. T</w:t>
      </w:r>
      <w:r w:rsidR="00273AAB">
        <w:t xml:space="preserve">here are echoes here of </w:t>
      </w:r>
      <w:r w:rsidR="00273AAB" w:rsidRPr="00273AAB">
        <w:rPr>
          <w:i/>
          <w:iCs/>
        </w:rPr>
        <w:t>Cat</w:t>
      </w:r>
      <w:r w:rsidR="00273AAB">
        <w:t xml:space="preserve">.64.153 and </w:t>
      </w:r>
      <w:r w:rsidR="00273AAB" w:rsidRPr="00273AAB">
        <w:rPr>
          <w:i/>
          <w:iCs/>
        </w:rPr>
        <w:t>Prop</w:t>
      </w:r>
      <w:r w:rsidR="00273AAB">
        <w:t xml:space="preserve">.3.7.9-12. </w:t>
      </w:r>
      <w:r w:rsidR="00AD0215">
        <w:t>The desire</w:t>
      </w:r>
      <w:r w:rsidR="000F0EDA">
        <w:t xml:space="preserve"> of Ariadne</w:t>
      </w:r>
      <w:r w:rsidR="00D158B1">
        <w:t xml:space="preserve">, expressed in </w:t>
      </w:r>
      <w:r w:rsidR="000F0EDA">
        <w:t xml:space="preserve">language of </w:t>
      </w:r>
      <w:r w:rsidR="00D158B1">
        <w:t>bitter irony,</w:t>
      </w:r>
      <w:r w:rsidR="00AD0215">
        <w:t xml:space="preserve"> </w:t>
      </w:r>
      <w:r w:rsidR="00D158B1">
        <w:t xml:space="preserve">for her maltreatment by Theseus </w:t>
      </w:r>
      <w:r w:rsidR="00AD0215">
        <w:t xml:space="preserve">not to be excluded from the memorial inscription on any </w:t>
      </w:r>
      <w:r w:rsidR="00D158B1">
        <w:t xml:space="preserve">public </w:t>
      </w:r>
      <w:r w:rsidR="00AD0215">
        <w:t xml:space="preserve">tribute to </w:t>
      </w:r>
      <w:r w:rsidR="00D158B1">
        <w:t>him</w:t>
      </w:r>
      <w:r w:rsidR="00AD0215">
        <w:t xml:space="preserve"> (10.</w:t>
      </w:r>
      <w:r w:rsidR="00D158B1">
        <w:t>129-130),</w:t>
      </w:r>
      <w:r w:rsidR="00AD0215">
        <w:t xml:space="preserve"> </w:t>
      </w:r>
      <w:r w:rsidR="00D158B1">
        <w:t>also reflects a contemporary Roman preoccupation</w:t>
      </w:r>
      <w:r w:rsidR="000E72F0">
        <w:t xml:space="preserve"> with inscriptions</w:t>
      </w:r>
      <w:r w:rsidR="00D158B1">
        <w:t>.</w:t>
      </w:r>
      <w:r w:rsidR="00AD0215">
        <w:t xml:space="preserve"> </w:t>
      </w:r>
    </w:p>
    <w:p w14:paraId="785DF9F5" w14:textId="77777777" w:rsidR="00C55BA7" w:rsidRDefault="00C55BA7" w:rsidP="005961F9">
      <w:pPr>
        <w:spacing w:line="480" w:lineRule="auto"/>
      </w:pPr>
    </w:p>
    <w:p w14:paraId="686B8953" w14:textId="2B0960AE" w:rsidR="00D158B1" w:rsidRDefault="00C55BA7" w:rsidP="005961F9">
      <w:pPr>
        <w:spacing w:line="480" w:lineRule="auto"/>
      </w:pPr>
      <w:r>
        <w:lastRenderedPageBreak/>
        <w:t>As far as elegiac poetic references are concerned in this passage, the sea is an impassable barrier for Ariadne, and may be taken as equivalent to the shut door barring access to the sleeping female for the elegiac lover. However, as Parkes (2019c) points out, in this case the male lover does not want to cross the threshold and does not wait to receive an invitation to do so.</w:t>
      </w:r>
    </w:p>
    <w:p w14:paraId="13CE7238" w14:textId="77777777" w:rsidR="00C55BA7" w:rsidRDefault="00C55BA7" w:rsidP="005961F9">
      <w:pPr>
        <w:spacing w:line="480" w:lineRule="auto"/>
      </w:pPr>
    </w:p>
    <w:p w14:paraId="7706A7F7" w14:textId="160DAA28" w:rsidR="009473B2" w:rsidRDefault="00216D32" w:rsidP="005961F9">
      <w:pPr>
        <w:spacing w:line="480" w:lineRule="auto"/>
      </w:pPr>
      <w:r>
        <w:t xml:space="preserve">It is in this </w:t>
      </w:r>
      <w:r w:rsidR="00B404A7">
        <w:t>passage</w:t>
      </w:r>
      <w:r>
        <w:t xml:space="preserve"> </w:t>
      </w:r>
      <w:r w:rsidR="00B404A7">
        <w:t xml:space="preserve">also </w:t>
      </w:r>
      <w:r>
        <w:t xml:space="preserve">that a more personal and pitiful </w:t>
      </w:r>
      <w:r w:rsidR="007A454E">
        <w:t>note</w:t>
      </w:r>
      <w:r>
        <w:t xml:space="preserve"> starts to </w:t>
      </w:r>
      <w:r w:rsidR="007A454E">
        <w:t>be sounded</w:t>
      </w:r>
      <w:r w:rsidR="00AC0452">
        <w:t xml:space="preserve"> again</w:t>
      </w:r>
      <w:r w:rsidR="00182838">
        <w:t>, which Armstrong characterises as ‘slipping further into the mire of self-pity’ (2006, p. 239)</w:t>
      </w:r>
      <w:r>
        <w:t xml:space="preserve">. The reference to </w:t>
      </w:r>
      <w:r w:rsidR="00D158B1">
        <w:t xml:space="preserve">not being able to </w:t>
      </w:r>
      <w:r>
        <w:t xml:space="preserve">see her weeping mother and to </w:t>
      </w:r>
      <w:r w:rsidR="000443DB">
        <w:t xml:space="preserve">not </w:t>
      </w:r>
      <w:r>
        <w:t xml:space="preserve">having hers eyes closed </w:t>
      </w:r>
      <w:r w:rsidR="007A454E">
        <w:t xml:space="preserve">(10.119-120) presages the plaintive </w:t>
      </w:r>
      <w:r w:rsidR="006B788E">
        <w:t>pleas</w:t>
      </w:r>
      <w:r w:rsidR="007A454E">
        <w:t xml:space="preserve"> of the final lines of the poem (10.145-152)</w:t>
      </w:r>
      <w:r w:rsidR="00182838">
        <w:t xml:space="preserve">, </w:t>
      </w:r>
      <w:r w:rsidR="000E25C8">
        <w:t xml:space="preserve">described as </w:t>
      </w:r>
      <w:r w:rsidR="00182838">
        <w:t xml:space="preserve">a ‘weak and tearful entreaty’ </w:t>
      </w:r>
      <w:r w:rsidR="008C1DDC">
        <w:t xml:space="preserve">by </w:t>
      </w:r>
      <w:r w:rsidR="00182838">
        <w:t xml:space="preserve">Armstrong </w:t>
      </w:r>
      <w:r w:rsidR="008C1DDC">
        <w:t>(</w:t>
      </w:r>
      <w:r w:rsidR="00182838">
        <w:t>2006, p.</w:t>
      </w:r>
      <w:r w:rsidR="000F0EDA">
        <w:t xml:space="preserve"> </w:t>
      </w:r>
      <w:r w:rsidR="00182838">
        <w:t>240)</w:t>
      </w:r>
      <w:r w:rsidR="007A454E">
        <w:t>.</w:t>
      </w:r>
      <w:r w:rsidR="00AD0215">
        <w:t xml:space="preserve"> </w:t>
      </w:r>
      <w:r w:rsidR="006B788E">
        <w:t>Th</w:t>
      </w:r>
      <w:r w:rsidR="000F0EDA">
        <w:t>is ending constitutes a</w:t>
      </w:r>
      <w:r w:rsidR="006B788E">
        <w:t xml:space="preserve"> </w:t>
      </w:r>
      <w:r w:rsidR="000F0EDA">
        <w:t xml:space="preserve">marked </w:t>
      </w:r>
      <w:r w:rsidR="006B788E">
        <w:t>contrast with Catullus’ Ariadne, whose long monologue (64.132-201) ends with her uttering a curse on Theseus (64.190-201)</w:t>
      </w:r>
      <w:r w:rsidR="000F0EDA">
        <w:t>, a curse</w:t>
      </w:r>
      <w:r w:rsidR="006B788E">
        <w:t xml:space="preserve"> which results </w:t>
      </w:r>
      <w:r w:rsidR="00830240">
        <w:t>in the death of his father, king Aegeus. Th</w:t>
      </w:r>
      <w:r w:rsidR="006F3F6B">
        <w:t>at</w:t>
      </w:r>
      <w:r w:rsidR="00830240">
        <w:t xml:space="preserve"> </w:t>
      </w:r>
      <w:r w:rsidR="000F0EDA">
        <w:t>death</w:t>
      </w:r>
      <w:r w:rsidR="00830240">
        <w:t xml:space="preserve"> is </w:t>
      </w:r>
      <w:r w:rsidR="00686841">
        <w:t xml:space="preserve">to be </w:t>
      </w:r>
      <w:r w:rsidR="00830240">
        <w:t xml:space="preserve">understood </w:t>
      </w:r>
      <w:r w:rsidR="003144DE">
        <w:t xml:space="preserve">by </w:t>
      </w:r>
      <w:r w:rsidR="000F0EDA">
        <w:t>Ovid’s</w:t>
      </w:r>
      <w:r w:rsidR="003144DE">
        <w:t xml:space="preserve"> external reader</w:t>
      </w:r>
      <w:r w:rsidR="000B7C8B">
        <w:t xml:space="preserve"> as being</w:t>
      </w:r>
      <w:r w:rsidR="00830240">
        <w:t xml:space="preserve"> implied by the </w:t>
      </w:r>
      <w:r w:rsidR="00830240" w:rsidRPr="00830240">
        <w:rPr>
          <w:i/>
          <w:iCs/>
        </w:rPr>
        <w:t>versoque relabere velo</w:t>
      </w:r>
      <w:r w:rsidR="00830240">
        <w:t xml:space="preserve"> of 151, </w:t>
      </w:r>
      <w:r w:rsidR="003144DE">
        <w:t xml:space="preserve">which </w:t>
      </w:r>
      <w:r w:rsidR="00830240">
        <w:t>foreshadow</w:t>
      </w:r>
      <w:r w:rsidR="003144DE">
        <w:t>s</w:t>
      </w:r>
      <w:r w:rsidR="00830240">
        <w:t xml:space="preserve"> Theseus’ god-induced forgetfulness </w:t>
      </w:r>
      <w:r w:rsidR="00182838">
        <w:t xml:space="preserve">of the agreed signal </w:t>
      </w:r>
      <w:r w:rsidR="00830240">
        <w:t>to change the sails to white</w:t>
      </w:r>
      <w:r w:rsidR="000B7C8B">
        <w:t xml:space="preserve"> on his return to Athens</w:t>
      </w:r>
      <w:r w:rsidR="00830240">
        <w:t>.</w:t>
      </w:r>
      <w:r w:rsidR="003144DE">
        <w:t xml:space="preserve"> </w:t>
      </w:r>
    </w:p>
    <w:p w14:paraId="1EB5A5CB" w14:textId="77777777" w:rsidR="00C742C7" w:rsidRDefault="00C742C7" w:rsidP="005961F9">
      <w:pPr>
        <w:spacing w:line="480" w:lineRule="auto"/>
      </w:pPr>
    </w:p>
    <w:p w14:paraId="7D7E7E8B" w14:textId="6A7FB8F8" w:rsidR="00686841" w:rsidRDefault="00686841" w:rsidP="005961F9">
      <w:pPr>
        <w:spacing w:line="480" w:lineRule="auto"/>
      </w:pPr>
      <w:r>
        <w:t xml:space="preserve">As Armstrong has noted, one god-induced instance </w:t>
      </w:r>
      <w:r w:rsidR="00AC194B">
        <w:t>(</w:t>
      </w:r>
      <w:r w:rsidR="00AC194B" w:rsidRPr="00AC194B">
        <w:rPr>
          <w:i/>
          <w:iCs/>
        </w:rPr>
        <w:t>Cat</w:t>
      </w:r>
      <w:r w:rsidR="00AC194B">
        <w:t>.64.58)</w:t>
      </w:r>
      <w:r w:rsidR="0081645E">
        <w:t xml:space="preserve"> </w:t>
      </w:r>
      <w:r>
        <w:t xml:space="preserve">of being </w:t>
      </w:r>
      <w:r w:rsidRPr="00686841">
        <w:rPr>
          <w:i/>
          <w:iCs/>
        </w:rPr>
        <w:t>immemor</w:t>
      </w:r>
      <w:r>
        <w:t xml:space="preserve"> may imply another</w:t>
      </w:r>
      <w:r w:rsidR="00F9195B">
        <w:t>, and t</w:t>
      </w:r>
      <w:r>
        <w:t xml:space="preserve">here have </w:t>
      </w:r>
      <w:r w:rsidR="008632FF">
        <w:t xml:space="preserve">traditionally </w:t>
      </w:r>
      <w:r>
        <w:t>been attempts</w:t>
      </w:r>
      <w:r w:rsidR="008632FF">
        <w:t>,</w:t>
      </w:r>
      <w:r>
        <w:t xml:space="preserve"> </w:t>
      </w:r>
      <w:r w:rsidR="008632FF">
        <w:t xml:space="preserve">on various grounds, </w:t>
      </w:r>
      <w:r>
        <w:t xml:space="preserve">to exonerate Theseus, </w:t>
      </w:r>
      <w:r w:rsidR="000D1A2D">
        <w:t>whose intentions on going to Crete were agreed to be entirely honourable</w:t>
      </w:r>
      <w:r w:rsidR="00AC194B">
        <w:t xml:space="preserve"> (2006, 195-6)</w:t>
      </w:r>
      <w:r>
        <w:t xml:space="preserve">. One </w:t>
      </w:r>
      <w:r w:rsidR="00470ABF">
        <w:t>attempt at exoneration relied on attributing T</w:t>
      </w:r>
      <w:r>
        <w:t>he</w:t>
      </w:r>
      <w:r w:rsidR="00470ABF">
        <w:t>seus’</w:t>
      </w:r>
      <w:r>
        <w:t xml:space="preserve"> forgetfulness </w:t>
      </w:r>
      <w:r w:rsidR="00470ABF">
        <w:t>to the intervention of Bacchus, whose purpose was to</w:t>
      </w:r>
      <w:r w:rsidR="00515961">
        <w:t xml:space="preserve"> </w:t>
      </w:r>
      <w:r>
        <w:t xml:space="preserve">make Ariadne his own. </w:t>
      </w:r>
      <w:r w:rsidR="00515961">
        <w:t xml:space="preserve">In the context of a world in which gods regularly interacted with humans this would seem a better excuse than </w:t>
      </w:r>
      <w:r w:rsidR="002E5352">
        <w:t xml:space="preserve">any of </w:t>
      </w:r>
      <w:r w:rsidR="00515961">
        <w:t xml:space="preserve">those </w:t>
      </w:r>
      <w:r w:rsidR="00515961">
        <w:lastRenderedPageBreak/>
        <w:t>relying on some mere mortal failing</w:t>
      </w:r>
      <w:r w:rsidR="00470ABF">
        <w:t>,</w:t>
      </w:r>
      <w:r w:rsidR="00515961">
        <w:t xml:space="preserve"> </w:t>
      </w:r>
      <w:r w:rsidR="000D1A2D">
        <w:t>such as different understandings about the meaning of word</w:t>
      </w:r>
      <w:r w:rsidR="00987024">
        <w:t>s or promises</w:t>
      </w:r>
      <w:r w:rsidR="000D1A2D">
        <w:t xml:space="preserve"> </w:t>
      </w:r>
      <w:r w:rsidR="00515961">
        <w:t>(Kinsey</w:t>
      </w:r>
      <w:r w:rsidR="00987024">
        <w:t>, 1965, p. 919 in Armstrong, 2006, p. 195</w:t>
      </w:r>
      <w:r w:rsidR="00515961">
        <w:t>). However, the notion of guilt and retribution cannot just be applied to Theseus. Armstrong draws attention to the ancient and long-standing view of Cretans as liars, and as being, with their reliance on archery, perhaps not wholly honourable in war</w:t>
      </w:r>
      <w:r w:rsidR="00AC194B">
        <w:t xml:space="preserve"> (2006, pp. 1-5)</w:t>
      </w:r>
      <w:r w:rsidR="00515961">
        <w:t>. In addition, the house of Minos was far from perfect. The proud and powerful king Minos exacted a peculiar</w:t>
      </w:r>
      <w:r w:rsidR="003F3D2C">
        <w:t xml:space="preserve">, cruel, </w:t>
      </w:r>
      <w:r w:rsidR="003E1DC3">
        <w:t xml:space="preserve">and arguably quite disproportionate </w:t>
      </w:r>
      <w:r w:rsidR="00515961">
        <w:t>revenge on the weak Athens for the murder of his son</w:t>
      </w:r>
      <w:r w:rsidR="003E1DC3">
        <w:t xml:space="preserve">. His wife engaged in </w:t>
      </w:r>
      <w:r w:rsidR="00470ABF">
        <w:t xml:space="preserve">an </w:t>
      </w:r>
      <w:r w:rsidR="003E1DC3">
        <w:t xml:space="preserve">act of bestiality which produced the birth of a monster. His daughter Ariadne betrayed him and her brother, the Minotaur, albeit for a love of the intense ‘at first sight’ kind. Can Ariadne’s abandonment of her family and home be seen as providing a moral justification for her own abandonment? Armstrong thinks </w:t>
      </w:r>
      <w:r w:rsidR="008632FF">
        <w:t xml:space="preserve">that </w:t>
      </w:r>
      <w:r w:rsidR="000D1A2D">
        <w:t>whereas th</w:t>
      </w:r>
      <w:r w:rsidR="008632FF">
        <w:t>is</w:t>
      </w:r>
      <w:r w:rsidR="000D1A2D">
        <w:t xml:space="preserve"> might superficially appear to be so, the actual circumstances </w:t>
      </w:r>
      <w:r w:rsidR="00676FE6">
        <w:t xml:space="preserve">of the deserted island </w:t>
      </w:r>
      <w:r w:rsidR="000D1A2D">
        <w:t>make it</w:t>
      </w:r>
      <w:r w:rsidR="003E1DC3">
        <w:t xml:space="preserve">, before </w:t>
      </w:r>
      <w:r w:rsidR="008632FF">
        <w:t>Ariadne’s</w:t>
      </w:r>
      <w:r w:rsidR="003E1DC3">
        <w:t xml:space="preserve"> Dionysian rescue, disproportionate</w:t>
      </w:r>
      <w:r w:rsidR="00775372">
        <w:t xml:space="preserve"> (2006, p. 202)</w:t>
      </w:r>
      <w:r w:rsidR="003E1DC3">
        <w:t xml:space="preserve">. There are, however, distinct parallels with Medea, whose similar betrayal of family for an ostensibly honourable hero led to her </w:t>
      </w:r>
      <w:r w:rsidR="000D1A2D">
        <w:t xml:space="preserve">too </w:t>
      </w:r>
      <w:r w:rsidR="003E1DC3">
        <w:t>being abandoned, albeit not in life-threatening circumstances</w:t>
      </w:r>
      <w:r w:rsidR="00775372">
        <w:t xml:space="preserve"> (2006, p. 208)</w:t>
      </w:r>
      <w:r w:rsidR="003E1DC3">
        <w:t>.</w:t>
      </w:r>
    </w:p>
    <w:p w14:paraId="3E5305C8" w14:textId="77777777" w:rsidR="003B02D4" w:rsidRDefault="003B02D4" w:rsidP="005961F9">
      <w:pPr>
        <w:spacing w:line="480" w:lineRule="auto"/>
      </w:pPr>
    </w:p>
    <w:p w14:paraId="61A811B9" w14:textId="1ED40621" w:rsidR="008C49E8" w:rsidRDefault="000D1A2D" w:rsidP="005961F9">
      <w:pPr>
        <w:spacing w:line="480" w:lineRule="auto"/>
      </w:pPr>
      <w:r>
        <w:t xml:space="preserve">If the Ariadne of </w:t>
      </w:r>
      <w:r w:rsidRPr="000D1A2D">
        <w:rPr>
          <w:i/>
          <w:iCs/>
        </w:rPr>
        <w:t>Cat</w:t>
      </w:r>
      <w:r>
        <w:t>.64</w:t>
      </w:r>
      <w:r w:rsidR="00F27D92">
        <w:t xml:space="preserve"> is very similar </w:t>
      </w:r>
      <w:r w:rsidR="00DE6478">
        <w:t xml:space="preserve">in agency </w:t>
      </w:r>
      <w:r w:rsidR="00F27D92">
        <w:t xml:space="preserve">to </w:t>
      </w:r>
      <w:r w:rsidR="00DE6478">
        <w:t xml:space="preserve">the </w:t>
      </w:r>
      <w:r w:rsidR="00F27D92">
        <w:t xml:space="preserve">Medea </w:t>
      </w:r>
      <w:r w:rsidR="00DE6478">
        <w:t>of Euripides</w:t>
      </w:r>
      <w:r w:rsidR="00F27D92">
        <w:t xml:space="preserve">, </w:t>
      </w:r>
      <w:r w:rsidR="00DE6478">
        <w:t xml:space="preserve">and to the Dido in the </w:t>
      </w:r>
      <w:r w:rsidR="00DE6478" w:rsidRPr="00DE6478">
        <w:rPr>
          <w:i/>
          <w:iCs/>
        </w:rPr>
        <w:t>Heroides</w:t>
      </w:r>
      <w:r w:rsidR="00DE6478">
        <w:t>, all</w:t>
      </w:r>
      <w:r w:rsidR="00F27D92">
        <w:t xml:space="preserve"> acting in such a way as to cause the abandoning hero-lover</w:t>
      </w:r>
      <w:r w:rsidR="00F27D92" w:rsidRPr="00966550">
        <w:t>/</w:t>
      </w:r>
      <w:r w:rsidR="00F27D92" w:rsidRPr="00F27D92">
        <w:rPr>
          <w:i/>
          <w:iCs/>
        </w:rPr>
        <w:t>coniunx</w:t>
      </w:r>
      <w:r w:rsidR="00F27D92">
        <w:t xml:space="preserve"> to suffer bereavement, the Ariadne of </w:t>
      </w:r>
      <w:r w:rsidR="00F27D92" w:rsidRPr="00AF64FA">
        <w:rPr>
          <w:i/>
          <w:iCs/>
        </w:rPr>
        <w:t>Her</w:t>
      </w:r>
      <w:r w:rsidR="00F27D92">
        <w:t xml:space="preserve">.10 conforms to the </w:t>
      </w:r>
      <w:r w:rsidR="00DE6478">
        <w:t xml:space="preserve">more normal </w:t>
      </w:r>
      <w:r w:rsidR="00DE6478" w:rsidRPr="00DE6478">
        <w:rPr>
          <w:i/>
          <w:iCs/>
        </w:rPr>
        <w:t>Heroides</w:t>
      </w:r>
      <w:r w:rsidR="00F27D92">
        <w:t xml:space="preserve"> model.</w:t>
      </w:r>
      <w:r w:rsidR="007E5C2D">
        <w:t xml:space="preserve"> This model is variously interpreted. Whereas </w:t>
      </w:r>
      <w:r w:rsidR="00F27D92">
        <w:t>Muraok</w:t>
      </w:r>
      <w:r w:rsidR="00B558D8">
        <w:t>a (2013</w:t>
      </w:r>
      <w:r w:rsidR="007E5C2D">
        <w:t>, p</w:t>
      </w:r>
      <w:r w:rsidR="00A003FC">
        <w:t>p</w:t>
      </w:r>
      <w:r w:rsidR="007E5C2D">
        <w:t>. 1</w:t>
      </w:r>
      <w:r w:rsidR="00A003FC">
        <w:t>, 3</w:t>
      </w:r>
      <w:r w:rsidR="00B558D8">
        <w:t>) sees</w:t>
      </w:r>
      <w:r w:rsidR="006A5697">
        <w:t>,</w:t>
      </w:r>
      <w:r w:rsidR="00B558D8">
        <w:t xml:space="preserve"> </w:t>
      </w:r>
      <w:r w:rsidR="007E5C2D">
        <w:t xml:space="preserve">in the Ovidian heroines </w:t>
      </w:r>
      <w:r w:rsidR="00DE6478">
        <w:t>generally</w:t>
      </w:r>
      <w:r w:rsidR="006A5697">
        <w:t>,</w:t>
      </w:r>
      <w:r w:rsidR="00DE6478">
        <w:t xml:space="preserve"> </w:t>
      </w:r>
      <w:r w:rsidR="00B558D8">
        <w:t>agency</w:t>
      </w:r>
      <w:r w:rsidR="007E5C2D">
        <w:t xml:space="preserve"> and power</w:t>
      </w:r>
      <w:r w:rsidR="00B558D8">
        <w:t xml:space="preserve">, </w:t>
      </w:r>
      <w:r w:rsidR="007E5C2D">
        <w:t xml:space="preserve">and Armstrong (2006, pp. 240-241) sees in Ariadne ‘an exaggeratedly feminine figure, ... [who nonetheless] also exhibits sparks of spirit and even practicality which give the lie to her self-presentation as a passive victim’, </w:t>
      </w:r>
      <w:r w:rsidR="00B558D8">
        <w:t xml:space="preserve">Lindheim sees </w:t>
      </w:r>
      <w:r w:rsidR="007E5C2D">
        <w:t>an</w:t>
      </w:r>
      <w:r w:rsidR="00B558D8">
        <w:t xml:space="preserve"> absence</w:t>
      </w:r>
      <w:r w:rsidR="007E5C2D">
        <w:t xml:space="preserve"> of substantive agency</w:t>
      </w:r>
      <w:r w:rsidR="00B558D8">
        <w:t>.</w:t>
      </w:r>
      <w:r w:rsidR="003B02D4">
        <w:t xml:space="preserve"> </w:t>
      </w:r>
      <w:r w:rsidR="008C49E8">
        <w:t xml:space="preserve">While Ovid seems to empower his heroines, </w:t>
      </w:r>
      <w:r w:rsidR="00A5045B">
        <w:t xml:space="preserve">he </w:t>
      </w:r>
      <w:r w:rsidR="008C49E8">
        <w:t>in fact</w:t>
      </w:r>
      <w:r w:rsidR="0024791F">
        <w:t xml:space="preserve">, </w:t>
      </w:r>
      <w:r w:rsidR="0024791F">
        <w:lastRenderedPageBreak/>
        <w:t>by means of ‘transvestite ventriloquism or cross-gendered narration’, creates a fantasy Woman, whose limited repertoire of behaviours produces ‘performances’</w:t>
      </w:r>
      <w:r w:rsidR="00462504">
        <w:t xml:space="preserve"> </w:t>
      </w:r>
      <w:r w:rsidR="0024791F">
        <w:t xml:space="preserve">which have led to the criticism of the </w:t>
      </w:r>
      <w:r w:rsidR="0024791F" w:rsidRPr="0024058F">
        <w:rPr>
          <w:i/>
          <w:iCs/>
        </w:rPr>
        <w:t>Heroides</w:t>
      </w:r>
      <w:r w:rsidR="0024791F">
        <w:t xml:space="preserve"> for being repetitive. Using the Lacan model of psycho-analysis, which has identified ‘the desire to be desired’ as the key motivation for the letter-writing heroines, Lindheim shows the limited options available to the woman who makes the abandoning male the central protagonist in </w:t>
      </w:r>
      <w:r w:rsidR="003B5F76">
        <w:t>her</w:t>
      </w:r>
      <w:r w:rsidR="0024791F">
        <w:t xml:space="preserve"> letter. Ovid’s Ariadne is a perfect example of this attitude, </w:t>
      </w:r>
      <w:r w:rsidR="00D00DD9">
        <w:t xml:space="preserve">an attitude </w:t>
      </w:r>
      <w:r w:rsidR="0024791F">
        <w:t xml:space="preserve">which produces a </w:t>
      </w:r>
      <w:r w:rsidR="0024058F">
        <w:t xml:space="preserve">letter the tenor of which is </w:t>
      </w:r>
      <w:r w:rsidR="00851D70">
        <w:t xml:space="preserve">one of </w:t>
      </w:r>
      <w:r w:rsidR="0024791F">
        <w:t>pitiful entreat</w:t>
      </w:r>
      <w:r w:rsidR="0024058F">
        <w:t xml:space="preserve">y. </w:t>
      </w:r>
      <w:r w:rsidR="00C92480">
        <w:t>This model of Woman is a safe one for men in a patriarchal society, as it is essentially disempowering</w:t>
      </w:r>
      <w:r w:rsidR="00510B8B">
        <w:t xml:space="preserve"> of women</w:t>
      </w:r>
      <w:r w:rsidR="00BA2253">
        <w:t xml:space="preserve"> </w:t>
      </w:r>
      <w:r w:rsidR="00BA2253">
        <w:t>(2003, pp. 6-10, 177-8)</w:t>
      </w:r>
      <w:r w:rsidR="00C92480">
        <w:t xml:space="preserve">. </w:t>
      </w:r>
    </w:p>
    <w:p w14:paraId="5295F494" w14:textId="77777777" w:rsidR="00442191" w:rsidRDefault="00442191" w:rsidP="005961F9">
      <w:pPr>
        <w:spacing w:line="480" w:lineRule="auto"/>
      </w:pPr>
    </w:p>
    <w:p w14:paraId="35F88311" w14:textId="41EF1BE0" w:rsidR="000D1A2D" w:rsidRDefault="00462504" w:rsidP="005961F9">
      <w:pPr>
        <w:spacing w:line="480" w:lineRule="auto"/>
      </w:pPr>
      <w:r>
        <w:t>Where e</w:t>
      </w:r>
      <w:r w:rsidR="00C92480">
        <w:t xml:space="preserve">ffective agency </w:t>
      </w:r>
      <w:r w:rsidR="00510B8B">
        <w:t xml:space="preserve">in the </w:t>
      </w:r>
      <w:r w:rsidR="00EE3B76">
        <w:t xml:space="preserve">single </w:t>
      </w:r>
      <w:r w:rsidR="00EE3B76" w:rsidRPr="00EE3B76">
        <w:rPr>
          <w:i/>
          <w:iCs/>
        </w:rPr>
        <w:t>Heroides</w:t>
      </w:r>
      <w:r w:rsidR="00510B8B">
        <w:t xml:space="preserve"> </w:t>
      </w:r>
      <w:r>
        <w:t xml:space="preserve">does appear, it </w:t>
      </w:r>
      <w:r w:rsidR="00C92480">
        <w:t xml:space="preserve">is </w:t>
      </w:r>
      <w:r w:rsidR="00EE3B76">
        <w:t>predominantly</w:t>
      </w:r>
      <w:r w:rsidR="00C92480">
        <w:t xml:space="preserve"> self-destructive</w:t>
      </w:r>
      <w:r w:rsidR="00EE3B76">
        <w:t xml:space="preserve"> or destructive. </w:t>
      </w:r>
      <w:r>
        <w:t xml:space="preserve">Eight suicides are implied, and two acts of harming through a curse (Hypsipyle) and an unspecified threat (Medea). </w:t>
      </w:r>
      <w:r w:rsidR="00981C7B">
        <w:t>In the other cases t</w:t>
      </w:r>
      <w:r w:rsidR="00EE3B76">
        <w:t xml:space="preserve">here are two returns of the missing hero, for Penelope and Hypermestra, </w:t>
      </w:r>
      <w:r w:rsidR="00981C7B">
        <w:t xml:space="preserve">both of whom displayed agency principally in exercising huge self-restraint, refusing to act when there was massive pressure to do </w:t>
      </w:r>
      <w:r w:rsidR="008C49E8">
        <w:t>the opposite</w:t>
      </w:r>
      <w:r w:rsidR="00BF045C">
        <w:t>;</w:t>
      </w:r>
      <w:r w:rsidR="00981C7B">
        <w:t xml:space="preserve"> </w:t>
      </w:r>
      <w:r w:rsidR="00EE3B76">
        <w:t xml:space="preserve">two successful appeals for rescue, </w:t>
      </w:r>
      <w:r>
        <w:t xml:space="preserve">for </w:t>
      </w:r>
      <w:r w:rsidR="00EE3B76">
        <w:t>Hermione and Ariadne</w:t>
      </w:r>
      <w:r w:rsidR="00C92480">
        <w:t xml:space="preserve">, </w:t>
      </w:r>
      <w:r>
        <w:t>albeit the latter</w:t>
      </w:r>
      <w:r w:rsidR="00BD76EA">
        <w:t>’s</w:t>
      </w:r>
      <w:r>
        <w:t xml:space="preserve"> rescue </w:t>
      </w:r>
      <w:r w:rsidR="00981C7B">
        <w:t>wa</w:t>
      </w:r>
      <w:r>
        <w:t>s unexpected in nature</w:t>
      </w:r>
      <w:r w:rsidR="00BF045C">
        <w:t xml:space="preserve"> and there can have been no expectation at all of being able to send or deliver the letter containing the appeal;</w:t>
      </w:r>
      <w:r>
        <w:t xml:space="preserve"> and one appeal for companionship, by Briseis, which </w:t>
      </w:r>
      <w:r w:rsidR="00981C7B">
        <w:t>wa</w:t>
      </w:r>
      <w:r>
        <w:t xml:space="preserve">s thwarted by the death of the hero. </w:t>
      </w:r>
      <w:r w:rsidR="00981C7B">
        <w:t>In support of Lindheim it is thus clear that the range of options open to the Ovidian heroines was very limited. It is only necessary to consider the way Dido organised her departure from Tyre and the building of Carthage to realise how limited</w:t>
      </w:r>
      <w:r w:rsidR="000D3211">
        <w:t xml:space="preserve"> they really were</w:t>
      </w:r>
      <w:r w:rsidR="00981C7B">
        <w:t>.</w:t>
      </w:r>
    </w:p>
    <w:p w14:paraId="191D75B2" w14:textId="1A38FAC5" w:rsidR="004C4E49" w:rsidRDefault="004C4E49" w:rsidP="005961F9">
      <w:pPr>
        <w:spacing w:line="480" w:lineRule="auto"/>
      </w:pPr>
    </w:p>
    <w:p w14:paraId="1241991B" w14:textId="763B13B0" w:rsidR="002B2AD8" w:rsidRDefault="004C4E49" w:rsidP="005961F9">
      <w:pPr>
        <w:spacing w:line="480" w:lineRule="auto"/>
      </w:pPr>
      <w:r>
        <w:lastRenderedPageBreak/>
        <w:t xml:space="preserve">What does this mean for the external reader of the letters? Ovid assumes knowledge of the source texts and </w:t>
      </w:r>
      <w:r w:rsidR="007249EA">
        <w:t>inserts</w:t>
      </w:r>
      <w:r>
        <w:t xml:space="preserve"> references to</w:t>
      </w:r>
      <w:r w:rsidR="00DE65F2">
        <w:t xml:space="preserve"> them and to other, contemporary treatments, as mentioned above in the case of </w:t>
      </w:r>
      <w:r w:rsidR="00DE65F2" w:rsidRPr="00DE65F2">
        <w:rPr>
          <w:i/>
          <w:iCs/>
        </w:rPr>
        <w:t>Her</w:t>
      </w:r>
      <w:r w:rsidR="00DE65F2">
        <w:t xml:space="preserve">.10. How is it possible to read and experience the poems for their own sake while already knowing the outcome? </w:t>
      </w:r>
      <w:r w:rsidR="00A5045B">
        <w:t>Nonetheless, a</w:t>
      </w:r>
      <w:r w:rsidR="00DE65F2">
        <w:t xml:space="preserve">s Liveley says, we may wonder  ‘what if?’ </w:t>
      </w:r>
      <w:r w:rsidR="00651DF4">
        <w:t>in the ways that</w:t>
      </w:r>
      <w:r w:rsidR="009607E4">
        <w:t xml:space="preserve"> are </w:t>
      </w:r>
      <w:r w:rsidR="00DE65F2">
        <w:t xml:space="preserve">prompted by the heroines’ analeptic projections and counterfactual alternatives with regard to the past, and </w:t>
      </w:r>
      <w:r w:rsidR="00DB655D">
        <w:t xml:space="preserve">entertain their proleptic projections of the future while knowing </w:t>
      </w:r>
      <w:r w:rsidR="0079026A">
        <w:t xml:space="preserve">that </w:t>
      </w:r>
      <w:r w:rsidR="00DB655D">
        <w:t xml:space="preserve">the end is </w:t>
      </w:r>
      <w:r w:rsidR="0079026A">
        <w:t xml:space="preserve">really </w:t>
      </w:r>
      <w:r w:rsidR="00DB655D">
        <w:t>other</w:t>
      </w:r>
      <w:r w:rsidR="00C4408A">
        <w:t xml:space="preserve"> (2008, pp 99-102)</w:t>
      </w:r>
      <w:r w:rsidR="00DB655D">
        <w:t xml:space="preserve">. Thus in the section of </w:t>
      </w:r>
      <w:r w:rsidR="00DB655D" w:rsidRPr="00C4408A">
        <w:rPr>
          <w:i/>
          <w:iCs/>
        </w:rPr>
        <w:t>Her</w:t>
      </w:r>
      <w:r w:rsidR="00DB655D">
        <w:t>.10 under review, Ariadne imagines a kind of death for herself and a kind of triumphant return for Theseus to Athens, neither of which will occur. These alternative ‘presents’ are called ‘sideshadowing’ by Morson. It is a process which reminds the external reader that for the heroine there were at that time other possibilities. Th</w:t>
      </w:r>
      <w:r w:rsidR="009607E4">
        <w:t>e</w:t>
      </w:r>
      <w:r w:rsidR="00DB655D">
        <w:t xml:space="preserve"> knowledge </w:t>
      </w:r>
      <w:r w:rsidR="009607E4">
        <w:t xml:space="preserve">of these ‘paraquels’ has the perhaps somewhat paradoxical result of </w:t>
      </w:r>
      <w:r w:rsidR="00DB655D">
        <w:t>reduc</w:t>
      </w:r>
      <w:r w:rsidR="009607E4">
        <w:t>ing</w:t>
      </w:r>
      <w:r w:rsidR="00DB655D">
        <w:t xml:space="preserve"> the anachronistic effect of knowing </w:t>
      </w:r>
      <w:r w:rsidR="009607E4">
        <w:t>what</w:t>
      </w:r>
      <w:r w:rsidR="00DB655D">
        <w:t xml:space="preserve"> did transpire</w:t>
      </w:r>
      <w:r w:rsidR="00B31C26">
        <w:t>,</w:t>
      </w:r>
      <w:r w:rsidR="00DB655D">
        <w:t xml:space="preserve"> and </w:t>
      </w:r>
      <w:r w:rsidR="00B31C26">
        <w:t xml:space="preserve">so </w:t>
      </w:r>
      <w:r w:rsidR="009607E4">
        <w:t xml:space="preserve">of </w:t>
      </w:r>
      <w:r w:rsidR="00DB655D">
        <w:t>enabl</w:t>
      </w:r>
      <w:r w:rsidR="009607E4">
        <w:t>ing</w:t>
      </w:r>
      <w:r w:rsidR="00DB655D">
        <w:t xml:space="preserve"> the reader to experience in a fuller way the uncertainties of the heroine’s situation</w:t>
      </w:r>
      <w:r w:rsidR="00D61065">
        <w:t xml:space="preserve"> (Liveley, 2008, p. 101-2)</w:t>
      </w:r>
      <w:r w:rsidR="00DB655D">
        <w:t xml:space="preserve">. It is, of course, a skill of the poet to enable this process to take place without the artifice behind it being noticed. It may be said that both Catullus in 64 and Ovid in </w:t>
      </w:r>
      <w:r w:rsidR="00DB655D" w:rsidRPr="00C4408A">
        <w:rPr>
          <w:i/>
          <w:iCs/>
        </w:rPr>
        <w:t>Her</w:t>
      </w:r>
      <w:r w:rsidR="00DB655D">
        <w:t xml:space="preserve">.10 </w:t>
      </w:r>
      <w:r w:rsidR="00C4408A">
        <w:t xml:space="preserve">are not wholly successful in this regard. The unity of </w:t>
      </w:r>
      <w:r w:rsidR="00C4408A" w:rsidRPr="00C4408A">
        <w:rPr>
          <w:i/>
          <w:iCs/>
        </w:rPr>
        <w:t>Cat</w:t>
      </w:r>
      <w:r w:rsidR="00C4408A">
        <w:t xml:space="preserve">.64 has been subject to critical comment, especially with regard to the extensive post ecphrasis section from 265 to 408, and Ovid’s delight in making witty references to other texts can </w:t>
      </w:r>
      <w:r w:rsidR="009607E4">
        <w:t xml:space="preserve">wake the reader from an immersive state of identification with the heroine, </w:t>
      </w:r>
      <w:r w:rsidR="00966550">
        <w:t xml:space="preserve">thus, somewhat to the disadvantage of both reader and poet it may be thought, </w:t>
      </w:r>
      <w:r w:rsidR="00637433">
        <w:t>undoing the reader’s willing suspension of disbelief</w:t>
      </w:r>
      <w:r w:rsidR="009607E4">
        <w:t>.</w:t>
      </w:r>
      <w:r w:rsidR="009F7B7C">
        <w:t xml:space="preserve"> </w:t>
      </w:r>
    </w:p>
    <w:p w14:paraId="5A86BD74" w14:textId="77777777" w:rsidR="002B2AD8" w:rsidRDefault="002B2AD8" w:rsidP="005961F9">
      <w:pPr>
        <w:spacing w:line="480" w:lineRule="auto"/>
      </w:pPr>
    </w:p>
    <w:p w14:paraId="16F90786" w14:textId="57C9AD11" w:rsidR="004C4E49" w:rsidRDefault="00896865" w:rsidP="005961F9">
      <w:pPr>
        <w:spacing w:line="480" w:lineRule="auto"/>
      </w:pPr>
      <w:r>
        <w:t>As far as psychological realism is concerned, t</w:t>
      </w:r>
      <w:r w:rsidR="009F7B7C">
        <w:t xml:space="preserve">his writer would not support Knox’s criticism of Catullus’ Ariadne as ‘hysterical’ (1995, p. 234), nor Armstrong’s criticism of Ovid’s </w:t>
      </w:r>
      <w:r w:rsidR="009F7B7C">
        <w:lastRenderedPageBreak/>
        <w:t>Ariadne as ‘exaggeratedly feminine’ (2006, p. 240).</w:t>
      </w:r>
      <w:r w:rsidR="00297A7B">
        <w:t xml:space="preserve"> </w:t>
      </w:r>
      <w:r w:rsidR="002B2AD8">
        <w:t xml:space="preserve">Bearing in mind the extreme shock for a young woman of discovering herself abandoned on a deserted island in the night, both </w:t>
      </w:r>
      <w:r w:rsidR="002A4AF3">
        <w:t xml:space="preserve">sets of </w:t>
      </w:r>
      <w:r w:rsidR="002B2AD8">
        <w:t xml:space="preserve">responses can be considered to fall within the bounds of </w:t>
      </w:r>
      <w:r w:rsidR="00FC656E">
        <w:t xml:space="preserve">poetic </w:t>
      </w:r>
      <w:r w:rsidR="002B2AD8">
        <w:t xml:space="preserve">normality. Although </w:t>
      </w:r>
      <w:r w:rsidR="00FC656E">
        <w:t xml:space="preserve">they </w:t>
      </w:r>
      <w:r w:rsidR="002B2AD8">
        <w:t>present different reactions on the part of the heroine, as discussed above, b</w:t>
      </w:r>
      <w:r>
        <w:t xml:space="preserve">oth the </w:t>
      </w:r>
      <w:r w:rsidRPr="00297A7B">
        <w:rPr>
          <w:i/>
          <w:iCs/>
        </w:rPr>
        <w:t>Cat</w:t>
      </w:r>
      <w:r>
        <w:t>.64 source text</w:t>
      </w:r>
      <w:r w:rsidR="009C1195">
        <w:t>’</w:t>
      </w:r>
      <w:r>
        <w:t xml:space="preserve"> and the </w:t>
      </w:r>
      <w:r w:rsidRPr="00297A7B">
        <w:rPr>
          <w:i/>
          <w:iCs/>
        </w:rPr>
        <w:t>Her</w:t>
      </w:r>
      <w:r>
        <w:t>.10</w:t>
      </w:r>
      <w:r w:rsidR="009C1195">
        <w:t>’</w:t>
      </w:r>
      <w:r>
        <w:t xml:space="preserve"> treatments of the Ariadne myth are affecting</w:t>
      </w:r>
      <w:r w:rsidR="002B2AD8">
        <w:t xml:space="preserve">. </w:t>
      </w:r>
      <w:r w:rsidR="004C7EA5">
        <w:t xml:space="preserve">Where there is a major difference is in the dissipation of the affect evoked </w:t>
      </w:r>
      <w:r w:rsidR="006B0B87">
        <w:t xml:space="preserve">in the reader </w:t>
      </w:r>
      <w:r w:rsidR="004C7EA5">
        <w:t xml:space="preserve">by Ariadne in the </w:t>
      </w:r>
      <w:r w:rsidR="006B0B87">
        <w:t xml:space="preserve">middle of </w:t>
      </w:r>
      <w:r w:rsidR="006B0B87" w:rsidRPr="006B0B87">
        <w:rPr>
          <w:i/>
          <w:iCs/>
        </w:rPr>
        <w:t>Cat</w:t>
      </w:r>
      <w:r w:rsidR="006B0B87">
        <w:t>.64</w:t>
      </w:r>
      <w:r w:rsidR="004C7EA5">
        <w:t xml:space="preserve">. </w:t>
      </w:r>
      <w:r w:rsidR="002B2AD8">
        <w:t>When considering th</w:t>
      </w:r>
      <w:r w:rsidR="006B0B87">
        <w:t>is particular</w:t>
      </w:r>
      <w:r w:rsidR="002B2AD8">
        <w:t xml:space="preserve"> poetic effect, Ovid was far wiser in stopping </w:t>
      </w:r>
      <w:r w:rsidR="006B0B87">
        <w:t xml:space="preserve">his version of the story </w:t>
      </w:r>
      <w:r w:rsidR="002B2AD8">
        <w:t>at the end of Ariadne’s lament.</w:t>
      </w:r>
      <w:r w:rsidR="004C7EA5">
        <w:t xml:space="preserve"> </w:t>
      </w:r>
      <w:r w:rsidR="00FC656E">
        <w:t xml:space="preserve">However, as Armstrong points out, to the moral questions there are </w:t>
      </w:r>
      <w:r w:rsidR="00311EA9">
        <w:t xml:space="preserve">here </w:t>
      </w:r>
      <w:r w:rsidR="00FC656E">
        <w:t>no final answers</w:t>
      </w:r>
      <w:r w:rsidR="00311EA9">
        <w:t xml:space="preserve"> to be found </w:t>
      </w:r>
      <w:r w:rsidR="002A4AF3">
        <w:t>(2006, p.</w:t>
      </w:r>
      <w:r w:rsidR="006A0204">
        <w:t xml:space="preserve"> </w:t>
      </w:r>
      <w:r w:rsidR="002A4AF3">
        <w:t>216)</w:t>
      </w:r>
      <w:r w:rsidR="00FC656E">
        <w:t xml:space="preserve">. Those who have abandoned </w:t>
      </w:r>
      <w:r w:rsidR="00B230B2">
        <w:t>find</w:t>
      </w:r>
      <w:r w:rsidR="00FC656E">
        <w:t xml:space="preserve"> themselves abandoned or suffer the abandonment of bereavement. </w:t>
      </w:r>
      <w:r w:rsidR="002A4AF3">
        <w:t xml:space="preserve">This matter of morality lies unresolved, below the surface of the emotions, in </w:t>
      </w:r>
      <w:r w:rsidR="002A4AF3" w:rsidRPr="002A4AF3">
        <w:rPr>
          <w:i/>
          <w:iCs/>
        </w:rPr>
        <w:t>Her</w:t>
      </w:r>
      <w:r w:rsidR="002A4AF3">
        <w:t xml:space="preserve">.10 as in it source text, </w:t>
      </w:r>
      <w:r w:rsidR="002A4AF3" w:rsidRPr="002A4AF3">
        <w:rPr>
          <w:i/>
          <w:iCs/>
        </w:rPr>
        <w:t>Cat</w:t>
      </w:r>
      <w:r w:rsidR="002A4AF3">
        <w:t>.64.</w:t>
      </w:r>
    </w:p>
    <w:p w14:paraId="5C273D0A" w14:textId="685D943A" w:rsidR="009473B2" w:rsidRDefault="009473B2" w:rsidP="005961F9">
      <w:pPr>
        <w:spacing w:line="480" w:lineRule="auto"/>
      </w:pPr>
    </w:p>
    <w:p w14:paraId="78856D46" w14:textId="1EB936A7" w:rsidR="00336CC7" w:rsidRDefault="00A87653" w:rsidP="008025E7">
      <w:pPr>
        <w:spacing w:line="480" w:lineRule="auto"/>
      </w:pPr>
      <w:r>
        <w:t>(</w:t>
      </w:r>
      <w:r w:rsidR="00553428">
        <w:t>1</w:t>
      </w:r>
      <w:r w:rsidR="00264446">
        <w:t>7</w:t>
      </w:r>
      <w:r w:rsidR="00DD5648">
        <w:t>42</w:t>
      </w:r>
      <w:bookmarkStart w:id="0" w:name="_GoBack"/>
      <w:bookmarkEnd w:id="0"/>
      <w:r w:rsidR="00553428">
        <w:t xml:space="preserve"> </w:t>
      </w:r>
      <w:r w:rsidR="00336CC7">
        <w:t>words</w:t>
      </w:r>
      <w:r>
        <w:t>)</w:t>
      </w:r>
    </w:p>
    <w:p w14:paraId="349956B7" w14:textId="77777777" w:rsidR="00D4565B" w:rsidRDefault="00D4565B" w:rsidP="003368FE"/>
    <w:p w14:paraId="411653F1" w14:textId="77777777" w:rsidR="00553428" w:rsidRDefault="00553428" w:rsidP="003368FE"/>
    <w:p w14:paraId="6FB1CAEF" w14:textId="0E17C612" w:rsidR="00336CC7" w:rsidRDefault="00336CC7" w:rsidP="003368FE">
      <w:r>
        <w:t>Bibliography</w:t>
      </w:r>
    </w:p>
    <w:p w14:paraId="1338F584" w14:textId="77777777" w:rsidR="0061512E" w:rsidRDefault="0061512E" w:rsidP="002717A1">
      <w:pPr>
        <w:spacing w:line="480" w:lineRule="auto"/>
      </w:pPr>
    </w:p>
    <w:p w14:paraId="4883222A" w14:textId="413E6F19" w:rsidR="00F96399" w:rsidRDefault="00F96399" w:rsidP="002717A1">
      <w:pPr>
        <w:spacing w:line="480" w:lineRule="auto"/>
      </w:pPr>
      <w:r>
        <w:t>Primary Sources</w:t>
      </w:r>
    </w:p>
    <w:p w14:paraId="5614E572" w14:textId="052BB359" w:rsidR="00204938" w:rsidRDefault="00204938" w:rsidP="009742B3">
      <w:pPr>
        <w:spacing w:line="480" w:lineRule="auto"/>
      </w:pPr>
      <w:r>
        <w:t xml:space="preserve">Catullus </w:t>
      </w:r>
      <w:r w:rsidRPr="00204938">
        <w:rPr>
          <w:i/>
          <w:iCs/>
        </w:rPr>
        <w:t>The Complete Poems</w:t>
      </w:r>
      <w:r>
        <w:t xml:space="preserve"> (trans. and intro.) G. Lee, (1990), Oxford, Oxford University Press.</w:t>
      </w:r>
    </w:p>
    <w:p w14:paraId="59A28A80" w14:textId="7AB31D2E" w:rsidR="009742B3" w:rsidRDefault="009742B3" w:rsidP="009742B3">
      <w:pPr>
        <w:spacing w:line="480" w:lineRule="auto"/>
      </w:pPr>
      <w:r>
        <w:t xml:space="preserve">Homer </w:t>
      </w:r>
      <w:r w:rsidRPr="002D1825">
        <w:rPr>
          <w:i/>
          <w:iCs/>
        </w:rPr>
        <w:t>The Odyssey</w:t>
      </w:r>
      <w:r>
        <w:t xml:space="preserve"> (trans.) </w:t>
      </w:r>
      <w:r w:rsidR="00C40F65" w:rsidRPr="005961F9">
        <w:rPr>
          <w:lang w:val="de-DE"/>
        </w:rPr>
        <w:t xml:space="preserve">E. </w:t>
      </w:r>
      <w:r w:rsidRPr="005961F9">
        <w:rPr>
          <w:lang w:val="de-DE"/>
        </w:rPr>
        <w:t xml:space="preserve">Rieu and </w:t>
      </w:r>
      <w:r w:rsidR="00C40F65" w:rsidRPr="005961F9">
        <w:rPr>
          <w:lang w:val="de-DE"/>
        </w:rPr>
        <w:t>D. R</w:t>
      </w:r>
      <w:r w:rsidRPr="005961F9">
        <w:rPr>
          <w:lang w:val="de-DE"/>
        </w:rPr>
        <w:t xml:space="preserve">ieu, (intro.) </w:t>
      </w:r>
      <w:r w:rsidR="00C40F65">
        <w:t xml:space="preserve">P. </w:t>
      </w:r>
      <w:r>
        <w:t>Jones, (2003)</w:t>
      </w:r>
      <w:r w:rsidR="0008061B">
        <w:t>, London,</w:t>
      </w:r>
      <w:r>
        <w:t xml:space="preserve"> Penguin.</w:t>
      </w:r>
    </w:p>
    <w:p w14:paraId="1AF48D0D" w14:textId="27DDE111" w:rsidR="009742B3" w:rsidRDefault="009742B3" w:rsidP="009742B3">
      <w:pPr>
        <w:spacing w:line="480" w:lineRule="auto"/>
      </w:pPr>
      <w:r>
        <w:t xml:space="preserve">Ovid </w:t>
      </w:r>
      <w:r w:rsidRPr="002D1825">
        <w:rPr>
          <w:i/>
          <w:iCs/>
        </w:rPr>
        <w:t>Heroides</w:t>
      </w:r>
      <w:r>
        <w:t xml:space="preserve"> (trans. and intro.) </w:t>
      </w:r>
      <w:r w:rsidR="00C40F65">
        <w:t xml:space="preserve">H. </w:t>
      </w:r>
      <w:r>
        <w:t>Isbell, (1990)</w:t>
      </w:r>
      <w:r w:rsidR="0008061B">
        <w:t>, London,</w:t>
      </w:r>
      <w:r>
        <w:t xml:space="preserve"> Penguin.</w:t>
      </w:r>
    </w:p>
    <w:p w14:paraId="32D3E7D1" w14:textId="48266BD2" w:rsidR="009742B3" w:rsidRDefault="009742B3" w:rsidP="009742B3">
      <w:pPr>
        <w:spacing w:line="480" w:lineRule="auto"/>
      </w:pPr>
      <w:r>
        <w:lastRenderedPageBreak/>
        <w:t xml:space="preserve">Ovid </w:t>
      </w:r>
      <w:r w:rsidRPr="002D1825">
        <w:rPr>
          <w:i/>
          <w:iCs/>
        </w:rPr>
        <w:t>Heroides</w:t>
      </w:r>
      <w:r>
        <w:t xml:space="preserve"> (ed.) </w:t>
      </w:r>
      <w:r w:rsidR="00C40F65">
        <w:t xml:space="preserve">P. </w:t>
      </w:r>
      <w:r>
        <w:t>Knox, (1995)</w:t>
      </w:r>
      <w:r w:rsidR="0008061B">
        <w:t>, Cambridge,</w:t>
      </w:r>
      <w:r>
        <w:t xml:space="preserve"> Cambridge University Press.</w:t>
      </w:r>
    </w:p>
    <w:p w14:paraId="06710A55" w14:textId="7C9079D4" w:rsidR="009742B3" w:rsidRDefault="009742B3" w:rsidP="009742B3">
      <w:pPr>
        <w:spacing w:line="480" w:lineRule="auto"/>
      </w:pPr>
      <w:r>
        <w:t xml:space="preserve">Ovid </w:t>
      </w:r>
      <w:r w:rsidRPr="002D1825">
        <w:rPr>
          <w:i/>
          <w:iCs/>
        </w:rPr>
        <w:t>Heroides</w:t>
      </w:r>
      <w:r>
        <w:t xml:space="preserve"> and </w:t>
      </w:r>
      <w:r w:rsidRPr="002D1825">
        <w:rPr>
          <w:i/>
          <w:iCs/>
        </w:rPr>
        <w:t>Amores</w:t>
      </w:r>
      <w:r>
        <w:t xml:space="preserve"> (trans.) </w:t>
      </w:r>
      <w:r w:rsidR="00C40F65">
        <w:t xml:space="preserve">G. </w:t>
      </w:r>
      <w:r>
        <w:t xml:space="preserve">Showerman and </w:t>
      </w:r>
      <w:r w:rsidR="00C40F65">
        <w:t xml:space="preserve">G. </w:t>
      </w:r>
      <w:r>
        <w:t>Goold (1977)</w:t>
      </w:r>
      <w:r w:rsidR="0008061B">
        <w:t>,</w:t>
      </w:r>
      <w:r>
        <w:t xml:space="preserve"> Loeb Classical Library, </w:t>
      </w:r>
      <w:r w:rsidR="0008061B">
        <w:t xml:space="preserve">Cambridge MA, </w:t>
      </w:r>
      <w:r>
        <w:t>Harvard University Press.</w:t>
      </w:r>
    </w:p>
    <w:p w14:paraId="766857F4" w14:textId="0072236B" w:rsidR="004A1126" w:rsidRDefault="004A1126" w:rsidP="009742B3">
      <w:pPr>
        <w:spacing w:line="480" w:lineRule="auto"/>
      </w:pPr>
      <w:r w:rsidRPr="0083263E">
        <w:rPr>
          <w:i/>
          <w:iCs/>
        </w:rPr>
        <w:t>Ovid’s Heroides</w:t>
      </w:r>
      <w:r>
        <w:t xml:space="preserve"> (trans. and intro.) P. Murgatroyd, </w:t>
      </w:r>
      <w:r w:rsidR="0083263E">
        <w:t xml:space="preserve">B. </w:t>
      </w:r>
      <w:r>
        <w:t>Reeves</w:t>
      </w:r>
      <w:r w:rsidR="0083263E">
        <w:t xml:space="preserve"> and S. Parker (2017), London and New York, Routledge.</w:t>
      </w:r>
    </w:p>
    <w:p w14:paraId="39A60458" w14:textId="1C03172A" w:rsidR="009742B3" w:rsidRDefault="009742B3" w:rsidP="009742B3">
      <w:pPr>
        <w:spacing w:line="480" w:lineRule="auto"/>
      </w:pPr>
      <w:r>
        <w:t xml:space="preserve">Ovid </w:t>
      </w:r>
      <w:r w:rsidRPr="00E57B61">
        <w:rPr>
          <w:i/>
          <w:iCs/>
        </w:rPr>
        <w:t>The Love  Poems</w:t>
      </w:r>
      <w:r>
        <w:t xml:space="preserve"> (trans.) </w:t>
      </w:r>
      <w:r w:rsidR="00C40F65">
        <w:t xml:space="preserve">A. </w:t>
      </w:r>
      <w:r>
        <w:t xml:space="preserve">Melville, (intro.) </w:t>
      </w:r>
      <w:r w:rsidR="00C40F65">
        <w:t xml:space="preserve">E. </w:t>
      </w:r>
      <w:r>
        <w:t>Kenney, (2008)</w:t>
      </w:r>
      <w:r w:rsidR="0008061B">
        <w:t>,</w:t>
      </w:r>
      <w:r>
        <w:t xml:space="preserve"> Oxford World’s Classics, </w:t>
      </w:r>
      <w:r w:rsidR="0008061B">
        <w:t xml:space="preserve">Oxford, </w:t>
      </w:r>
      <w:r>
        <w:t>Oxford University Press.</w:t>
      </w:r>
    </w:p>
    <w:p w14:paraId="310176EA" w14:textId="57E33931" w:rsidR="009742B3" w:rsidRDefault="009742B3" w:rsidP="009742B3">
      <w:pPr>
        <w:spacing w:line="480" w:lineRule="auto"/>
      </w:pPr>
      <w:r>
        <w:t xml:space="preserve">Ovid </w:t>
      </w:r>
      <w:r w:rsidRPr="005D027B">
        <w:rPr>
          <w:i/>
          <w:iCs/>
        </w:rPr>
        <w:t>Metamorphoses</w:t>
      </w:r>
      <w:r>
        <w:t xml:space="preserve"> (trans.) </w:t>
      </w:r>
      <w:r w:rsidR="00C40F65">
        <w:t xml:space="preserve">D. </w:t>
      </w:r>
      <w:r>
        <w:t xml:space="preserve">Raeburn, (intro.) </w:t>
      </w:r>
      <w:r w:rsidR="00C40F65">
        <w:t xml:space="preserve">D. </w:t>
      </w:r>
      <w:r>
        <w:t>Feeney, (2004)</w:t>
      </w:r>
      <w:r w:rsidR="0008061B">
        <w:t>, London,</w:t>
      </w:r>
      <w:r>
        <w:t xml:space="preserve"> Penguin.</w:t>
      </w:r>
    </w:p>
    <w:p w14:paraId="203BCBC5" w14:textId="37B14C3F" w:rsidR="009742B3" w:rsidRDefault="009742B3" w:rsidP="009742B3">
      <w:pPr>
        <w:spacing w:line="480" w:lineRule="auto"/>
      </w:pPr>
      <w:r>
        <w:t xml:space="preserve">Propertius </w:t>
      </w:r>
      <w:r w:rsidRPr="00E57B61">
        <w:rPr>
          <w:i/>
          <w:iCs/>
        </w:rPr>
        <w:t>The Poems</w:t>
      </w:r>
      <w:r>
        <w:t xml:space="preserve"> (trans.) </w:t>
      </w:r>
      <w:r w:rsidR="00C40F65">
        <w:t xml:space="preserve">W. </w:t>
      </w:r>
      <w:r>
        <w:t xml:space="preserve">Shepherd, (intro.) </w:t>
      </w:r>
      <w:r w:rsidR="00C40F65">
        <w:t xml:space="preserve">B. </w:t>
      </w:r>
      <w:r>
        <w:t>Radice, (1985)</w:t>
      </w:r>
      <w:r w:rsidR="0008061B">
        <w:t>, London,</w:t>
      </w:r>
      <w:r>
        <w:t xml:space="preserve"> Penguin. </w:t>
      </w:r>
    </w:p>
    <w:p w14:paraId="3BD29BE0" w14:textId="206C6F48" w:rsidR="009742B3" w:rsidRDefault="00C62670" w:rsidP="002717A1">
      <w:pPr>
        <w:spacing w:line="480" w:lineRule="auto"/>
      </w:pPr>
      <w:r>
        <w:t xml:space="preserve">Virgil </w:t>
      </w:r>
      <w:r w:rsidRPr="00C62670">
        <w:rPr>
          <w:i/>
          <w:iCs/>
        </w:rPr>
        <w:t>The Aeneid</w:t>
      </w:r>
      <w:r>
        <w:t xml:space="preserve"> (trans. and intro.) D. West (2003), London, Penguin.</w:t>
      </w:r>
    </w:p>
    <w:p w14:paraId="7A4EB4FF" w14:textId="77777777" w:rsidR="00FC7550" w:rsidRDefault="00FC7550" w:rsidP="002717A1">
      <w:pPr>
        <w:spacing w:line="480" w:lineRule="auto"/>
      </w:pPr>
    </w:p>
    <w:p w14:paraId="49BF2A3E" w14:textId="49BD32B2" w:rsidR="009742B3" w:rsidRDefault="009742B3" w:rsidP="002717A1">
      <w:pPr>
        <w:spacing w:line="480" w:lineRule="auto"/>
      </w:pPr>
      <w:r>
        <w:t>Secondary Sources</w:t>
      </w:r>
    </w:p>
    <w:p w14:paraId="7DEA112D" w14:textId="79F2A1BB" w:rsidR="00BE5B38" w:rsidRDefault="00BE5B38" w:rsidP="002717A1">
      <w:pPr>
        <w:spacing w:line="480" w:lineRule="auto"/>
      </w:pPr>
      <w:r>
        <w:t xml:space="preserve">Armstrong, R. (2006) </w:t>
      </w:r>
      <w:r w:rsidRPr="00BE5B38">
        <w:rPr>
          <w:i/>
          <w:iCs/>
        </w:rPr>
        <w:t>Cretan Women: Pasiphae, Ariadne, and Phaedra in Latin Poetry</w:t>
      </w:r>
      <w:r>
        <w:t>, Oxford, Oxford University Press.</w:t>
      </w:r>
    </w:p>
    <w:p w14:paraId="763E55A6" w14:textId="17A1EAF4" w:rsidR="00AE478D" w:rsidRDefault="00AE478D" w:rsidP="002717A1">
      <w:pPr>
        <w:spacing w:line="480" w:lineRule="auto"/>
      </w:pPr>
      <w:r>
        <w:t>Barchiesi, A.</w:t>
      </w:r>
      <w:r w:rsidR="008147F3">
        <w:t xml:space="preserve"> (2001) </w:t>
      </w:r>
      <w:r>
        <w:t xml:space="preserve">‘Narrativity and Convention in the </w:t>
      </w:r>
      <w:r w:rsidRPr="00AE478D">
        <w:rPr>
          <w:i/>
          <w:iCs/>
        </w:rPr>
        <w:t>Heroides</w:t>
      </w:r>
      <w:r>
        <w:t xml:space="preserve"> 1’ in </w:t>
      </w:r>
      <w:r w:rsidRPr="008147F3">
        <w:rPr>
          <w:i/>
          <w:iCs/>
        </w:rPr>
        <w:t xml:space="preserve">Speaking Volumes: Narrative and Intertext in Ovid and </w:t>
      </w:r>
      <w:r w:rsidR="008147F3" w:rsidRPr="008147F3">
        <w:rPr>
          <w:i/>
          <w:iCs/>
        </w:rPr>
        <w:t>O</w:t>
      </w:r>
      <w:r w:rsidRPr="008147F3">
        <w:rPr>
          <w:i/>
          <w:iCs/>
        </w:rPr>
        <w:t>ther Latin Poets</w:t>
      </w:r>
      <w:r w:rsidR="0008061B">
        <w:t>, London,</w:t>
      </w:r>
      <w:r w:rsidR="008147F3">
        <w:t xml:space="preserve"> </w:t>
      </w:r>
      <w:r w:rsidR="00E160E2">
        <w:t>Duckworth</w:t>
      </w:r>
      <w:r w:rsidR="008147F3">
        <w:t>.</w:t>
      </w:r>
      <w:r>
        <w:t xml:space="preserve"> </w:t>
      </w:r>
    </w:p>
    <w:p w14:paraId="5C40E1F4" w14:textId="2DE16454" w:rsidR="00BE5B38" w:rsidRPr="00073FB5" w:rsidRDefault="00BE5B38" w:rsidP="00BE5B38">
      <w:pPr>
        <w:spacing w:line="480" w:lineRule="auto"/>
      </w:pPr>
      <w:r>
        <w:t xml:space="preserve">Barchiesi, A. (2003) </w:t>
      </w:r>
      <w:r w:rsidR="00B54C6E">
        <w:t xml:space="preserve">‘Future reflexive: Two Modes of Allusion and the Heroides’, </w:t>
      </w:r>
      <w:r w:rsidR="00B54C6E" w:rsidRPr="00B54C6E">
        <w:rPr>
          <w:i/>
          <w:iCs/>
        </w:rPr>
        <w:t>Harvard Studies in Classical Philology</w:t>
      </w:r>
      <w:r w:rsidR="00B54C6E">
        <w:t xml:space="preserve">, Vol. 95, pp. 333-365. Available at </w:t>
      </w:r>
      <w:hyperlink r:id="rId7" w:history="1">
        <w:r w:rsidR="00B54C6E" w:rsidRPr="00073FB5">
          <w:rPr>
            <w:rStyle w:val="Hyperlink"/>
            <w:color w:val="auto"/>
          </w:rPr>
          <w:t>https://moodle.uwtsd.ac.uk/mod/url/view.php?id=223352</w:t>
        </w:r>
      </w:hyperlink>
      <w:r w:rsidR="00B54C6E" w:rsidRPr="00073FB5">
        <w:t>. (Accessed 27 November 2019)</w:t>
      </w:r>
    </w:p>
    <w:p w14:paraId="3C59FA34" w14:textId="0D03D352" w:rsidR="006437B7" w:rsidRDefault="006437B7" w:rsidP="002717A1">
      <w:pPr>
        <w:spacing w:line="480" w:lineRule="auto"/>
      </w:pPr>
      <w:r w:rsidRPr="00073FB5">
        <w:lastRenderedPageBreak/>
        <w:t>Bj</w:t>
      </w:r>
      <w:r w:rsidR="00DF15E5" w:rsidRPr="00073FB5">
        <w:rPr>
          <w:rFonts w:cs="Times New Roman"/>
        </w:rPr>
        <w:t>ö</w:t>
      </w:r>
      <w:r w:rsidRPr="00073FB5">
        <w:t xml:space="preserve">rk, M. (2016) </w:t>
      </w:r>
      <w:r w:rsidRPr="00073FB5">
        <w:rPr>
          <w:i/>
          <w:iCs/>
        </w:rPr>
        <w:t>Ovid's Heroides and the Ethopoeia</w:t>
      </w:r>
      <w:r w:rsidRPr="00073FB5">
        <w:t xml:space="preserve">, Lund, Lund University (Media-Tryck) Available at </w:t>
      </w:r>
      <w:hyperlink r:id="rId8" w:history="1">
        <w:r w:rsidR="00BD6C27" w:rsidRPr="00073FB5">
          <w:rPr>
            <w:rStyle w:val="Hyperlink"/>
            <w:color w:val="auto"/>
          </w:rPr>
          <w:t>https://moodle.uwtsd.ac.uk/mod/url/view.php?id=196720</w:t>
        </w:r>
      </w:hyperlink>
      <w:r w:rsidR="00BD6C27" w:rsidRPr="00073FB5">
        <w:t>.</w:t>
      </w:r>
      <w:r w:rsidR="00BD6C27">
        <w:t xml:space="preserve"> (Accessed 16 November 2019)</w:t>
      </w:r>
    </w:p>
    <w:p w14:paraId="311E4B3E" w14:textId="3F2161C6" w:rsidR="003F44F4" w:rsidRDefault="003F44F4" w:rsidP="002717A1">
      <w:pPr>
        <w:spacing w:line="480" w:lineRule="auto"/>
      </w:pPr>
      <w:r>
        <w:t xml:space="preserve">Drinkwater, M. (2007) ‘Which Letter? Text and Subtext in Ovid’s “Heroides”’, </w:t>
      </w:r>
      <w:r w:rsidRPr="00847814">
        <w:rPr>
          <w:i/>
          <w:iCs/>
        </w:rPr>
        <w:t>The American Journal of Philology</w:t>
      </w:r>
      <w:r>
        <w:t>, Vol. 128, No. 3, pp. 367-387</w:t>
      </w:r>
      <w:r w:rsidR="00B07FB0">
        <w:t>. A</w:t>
      </w:r>
      <w:r>
        <w:t xml:space="preserve">vailable at </w:t>
      </w:r>
      <w:r w:rsidR="00847814" w:rsidRPr="00073FB5">
        <w:rPr>
          <w:u w:val="single"/>
        </w:rPr>
        <w:t>https://www-jstor-org.ezproxy.uwtsd.ac.uk/journal/amerjphil</w:t>
      </w:r>
      <w:r>
        <w:t>. (Accessed 2</w:t>
      </w:r>
      <w:r w:rsidR="00182F80">
        <w:t>7</w:t>
      </w:r>
      <w:r>
        <w:t xml:space="preserve"> November 2019)</w:t>
      </w:r>
    </w:p>
    <w:p w14:paraId="5BE0407A" w14:textId="72394743" w:rsidR="00AE478D" w:rsidRDefault="008147F3" w:rsidP="002717A1">
      <w:pPr>
        <w:spacing w:line="480" w:lineRule="auto"/>
      </w:pPr>
      <w:r>
        <w:t xml:space="preserve">Fear, T. (1993) </w:t>
      </w:r>
      <w:r w:rsidRPr="008147F3">
        <w:rPr>
          <w:i/>
          <w:iCs/>
        </w:rPr>
        <w:t>Critical Studies in Ovid’s Heroides 1, 2, 7</w:t>
      </w:r>
      <w:r w:rsidR="0008061B">
        <w:t xml:space="preserve">, </w:t>
      </w:r>
      <w:r>
        <w:t>Master’s Degree Thesis</w:t>
      </w:r>
      <w:r w:rsidR="0008061B">
        <w:t>, Durham University</w:t>
      </w:r>
      <w:r w:rsidR="00A43919">
        <w:t>, pp. 156-238</w:t>
      </w:r>
      <w:r>
        <w:t>.</w:t>
      </w:r>
    </w:p>
    <w:p w14:paraId="44F8FD5B" w14:textId="30D24C64" w:rsidR="00096531" w:rsidRDefault="00096531" w:rsidP="00C40F65">
      <w:pPr>
        <w:spacing w:line="480" w:lineRule="auto"/>
      </w:pPr>
      <w:r>
        <w:t xml:space="preserve">Gross, </w:t>
      </w:r>
      <w:r w:rsidR="00A43919">
        <w:t xml:space="preserve">N. (1979) ‘Rhetorical Wit and Amatory Persuasion in Ovid’, </w:t>
      </w:r>
      <w:r w:rsidR="00A43919" w:rsidRPr="00A43919">
        <w:rPr>
          <w:i/>
          <w:iCs/>
        </w:rPr>
        <w:t>The Classical Journal</w:t>
      </w:r>
      <w:r w:rsidR="00A43919">
        <w:t>, Vol. 74, No. 4, pp. 305-18.</w:t>
      </w:r>
    </w:p>
    <w:p w14:paraId="30722A34" w14:textId="0DA9C50B" w:rsidR="00C40F65" w:rsidRDefault="00AD190C" w:rsidP="00C40F65">
      <w:pPr>
        <w:spacing w:line="480" w:lineRule="auto"/>
      </w:pPr>
      <w:r>
        <w:t xml:space="preserve">Jacobsen, H. (1974) </w:t>
      </w:r>
      <w:r w:rsidRPr="0023066A">
        <w:rPr>
          <w:i/>
          <w:iCs/>
        </w:rPr>
        <w:t>Ovid’s Heroides</w:t>
      </w:r>
      <w:r>
        <w:t xml:space="preserve">, </w:t>
      </w:r>
      <w:r w:rsidR="006D775F">
        <w:t xml:space="preserve">Princeton, MA, </w:t>
      </w:r>
      <w:r>
        <w:t>Princeton University Press</w:t>
      </w:r>
      <w:r w:rsidR="0023066A">
        <w:t>.</w:t>
      </w:r>
    </w:p>
    <w:p w14:paraId="4260AF46" w14:textId="661F787F" w:rsidR="00987024" w:rsidRDefault="00E91669" w:rsidP="002717A1">
      <w:pPr>
        <w:spacing w:line="480" w:lineRule="auto"/>
      </w:pPr>
      <w:r>
        <w:t xml:space="preserve">Kinsey, T. (1965) ‘Irony and Structure in Catullus 64’, </w:t>
      </w:r>
      <w:r>
        <w:rPr>
          <w:i/>
          <w:iCs/>
        </w:rPr>
        <w:t>Latomus</w:t>
      </w:r>
      <w:r>
        <w:t>, 24: 911–31.</w:t>
      </w:r>
    </w:p>
    <w:p w14:paraId="62595C86" w14:textId="4892CA1E" w:rsidR="000B3499" w:rsidRDefault="00A008B0" w:rsidP="002717A1">
      <w:pPr>
        <w:spacing w:line="480" w:lineRule="auto"/>
      </w:pPr>
      <w:hyperlink r:id="rId9" w:history="1">
        <w:r w:rsidR="000B3499">
          <w:rPr>
            <w:rStyle w:val="instancename"/>
          </w:rPr>
          <w:t xml:space="preserve">Lindheim, S. (2003) </w:t>
        </w:r>
        <w:r w:rsidR="000B3499" w:rsidRPr="004F3945">
          <w:rPr>
            <w:rStyle w:val="instancename"/>
            <w:i/>
            <w:iCs/>
          </w:rPr>
          <w:t xml:space="preserve">Mail and Female: Epistolary </w:t>
        </w:r>
        <w:r w:rsidR="00073FB5">
          <w:rPr>
            <w:rStyle w:val="instancename"/>
            <w:i/>
            <w:iCs/>
          </w:rPr>
          <w:t>N</w:t>
        </w:r>
        <w:r w:rsidR="000B3499" w:rsidRPr="004F3945">
          <w:rPr>
            <w:rStyle w:val="instancename"/>
            <w:i/>
            <w:iCs/>
          </w:rPr>
          <w:t xml:space="preserve">arrative and </w:t>
        </w:r>
        <w:r w:rsidR="00073FB5">
          <w:rPr>
            <w:rStyle w:val="instancename"/>
            <w:i/>
            <w:iCs/>
          </w:rPr>
          <w:t>D</w:t>
        </w:r>
        <w:r w:rsidR="000B3499" w:rsidRPr="004F3945">
          <w:rPr>
            <w:rStyle w:val="instancename"/>
            <w:i/>
            <w:iCs/>
          </w:rPr>
          <w:t>esire in Ovid’s Heroides</w:t>
        </w:r>
        <w:r w:rsidR="004F3945">
          <w:rPr>
            <w:rStyle w:val="instancename"/>
          </w:rPr>
          <w:t>,</w:t>
        </w:r>
        <w:r w:rsidR="000B3499">
          <w:rPr>
            <w:rStyle w:val="instancename"/>
          </w:rPr>
          <w:t xml:space="preserve"> </w:t>
        </w:r>
      </w:hyperlink>
      <w:r w:rsidR="00283DE2">
        <w:t>Madison, University of Wisconsin</w:t>
      </w:r>
      <w:r w:rsidR="00B07FB0">
        <w:t>. A</w:t>
      </w:r>
      <w:r w:rsidR="00283DE2">
        <w:t xml:space="preserve">vailable at </w:t>
      </w:r>
      <w:r w:rsidR="00073FB5" w:rsidRPr="00073FB5">
        <w:rPr>
          <w:u w:val="single"/>
        </w:rPr>
        <w:t>https://web-b-ebscohost-com.ezproxy.uwtsd.ac.uk/ehost/detail/detail?vid=0&amp;sid=84486d7c-5f2e-45f1-bb9e-6e8e6f837c6a%40sessionmgr101&amp;bdata=JnNpdGU9ZWhvc3QtbGl2ZQ%3d%3d#AN=222430&amp;db=nlebk</w:t>
      </w:r>
      <w:r w:rsidR="00182F80">
        <w:t>. (Accessed 27 November 2019)</w:t>
      </w:r>
    </w:p>
    <w:p w14:paraId="53A49866" w14:textId="49B040FB" w:rsidR="00E77D14" w:rsidRDefault="006E205E" w:rsidP="002717A1">
      <w:pPr>
        <w:spacing w:line="480" w:lineRule="auto"/>
      </w:pPr>
      <w:r>
        <w:t xml:space="preserve">Liveley, G. (2008) ‘Paraquel Lines: Time and Narrative in Ovid’s Heroides’ in Liveley, G. and Salzman-Mitchell, P. (eds.) </w:t>
      </w:r>
      <w:r>
        <w:rPr>
          <w:i/>
          <w:iCs/>
        </w:rPr>
        <w:t>Latin Elegy and Narratology: Fragments of a Story</w:t>
      </w:r>
      <w:r>
        <w:t>, Columbus, Ohio, State University, pp. 86-102</w:t>
      </w:r>
      <w:r w:rsidR="00B07FB0">
        <w:t>. A</w:t>
      </w:r>
      <w:r w:rsidR="00E77D14">
        <w:t xml:space="preserve">vailable at </w:t>
      </w:r>
      <w:hyperlink r:id="rId10" w:history="1">
        <w:r w:rsidR="00E77D14" w:rsidRPr="00073FB5">
          <w:rPr>
            <w:rStyle w:val="Hyperlink"/>
            <w:color w:val="auto"/>
          </w:rPr>
          <w:t>https://kb.osu.edu/dspace/bitstream/handle/1811/34379/Liveley_Book4CD.pdf</w:t>
        </w:r>
      </w:hyperlink>
      <w:r w:rsidR="00E77D14" w:rsidRPr="00073FB5">
        <w:t>. (Ac</w:t>
      </w:r>
      <w:r w:rsidR="00E77D14">
        <w:t>cessed 2</w:t>
      </w:r>
      <w:r w:rsidR="00182F80">
        <w:t>7</w:t>
      </w:r>
      <w:r w:rsidR="00E77D14">
        <w:t xml:space="preserve"> November 2019)</w:t>
      </w:r>
    </w:p>
    <w:p w14:paraId="3B680389" w14:textId="7B1D1EB4" w:rsidR="00E77D14" w:rsidRDefault="000C6491" w:rsidP="002717A1">
      <w:pPr>
        <w:spacing w:line="480" w:lineRule="auto"/>
      </w:pPr>
      <w:r>
        <w:lastRenderedPageBreak/>
        <w:t xml:space="preserve">Muraoka, T. (2013) ‘From the Heroides: Re-Centering Myth through  Epistolary Form’, </w:t>
      </w:r>
      <w:r w:rsidRPr="000C6491">
        <w:rPr>
          <w:i/>
          <w:iCs/>
        </w:rPr>
        <w:t>Studies in Mediterranean Antiquity and Classics</w:t>
      </w:r>
      <w:r>
        <w:t>, Vol. 4, Issue 1, Article 4</w:t>
      </w:r>
      <w:r w:rsidR="00B07FB0">
        <w:t>. A</w:t>
      </w:r>
      <w:r>
        <w:t xml:space="preserve">vailable at </w:t>
      </w:r>
      <w:hyperlink r:id="rId11" w:history="1">
        <w:r w:rsidR="00BC26E5" w:rsidRPr="00073FB5">
          <w:rPr>
            <w:u w:val="single"/>
          </w:rPr>
          <w:t>https://digitalcommons.macalester.edu/classicsjournal/</w:t>
        </w:r>
      </w:hyperlink>
      <w:r w:rsidR="00BC26E5" w:rsidRPr="00073FB5">
        <w:t xml:space="preserve">. </w:t>
      </w:r>
      <w:r w:rsidR="00BC26E5">
        <w:t>(Accessed 2</w:t>
      </w:r>
      <w:r w:rsidR="00182F80">
        <w:t>7</w:t>
      </w:r>
      <w:r w:rsidR="00BC26E5">
        <w:t xml:space="preserve"> November 2019)</w:t>
      </w:r>
    </w:p>
    <w:p w14:paraId="1CF73754" w14:textId="6C7764EF" w:rsidR="00096531" w:rsidRDefault="00A201E3" w:rsidP="002717A1">
      <w:pPr>
        <w:spacing w:line="480" w:lineRule="auto"/>
      </w:pPr>
      <w:r>
        <w:t>Parkes, R. (2019</w:t>
      </w:r>
      <w:r w:rsidR="00FA2E1E">
        <w:t>a</w:t>
      </w:r>
      <w:r>
        <w:t>)</w:t>
      </w:r>
      <w:r w:rsidR="00A43919">
        <w:t xml:space="preserve"> ‘Ovid’s </w:t>
      </w:r>
      <w:r w:rsidR="00A43919" w:rsidRPr="00A43919">
        <w:rPr>
          <w:i/>
          <w:iCs/>
        </w:rPr>
        <w:t>Heroides</w:t>
      </w:r>
      <w:r w:rsidR="00A43919">
        <w:t xml:space="preserve"> and Rhetoric’, on-line lecture in </w:t>
      </w:r>
      <w:r w:rsidR="00A43919" w:rsidRPr="00A43919">
        <w:rPr>
          <w:i/>
          <w:iCs/>
        </w:rPr>
        <w:t>Course HPLA 7004</w:t>
      </w:r>
      <w:r w:rsidR="00A43919">
        <w:t>, University of Wales</w:t>
      </w:r>
      <w:r w:rsidR="007A5FF8">
        <w:t xml:space="preserve"> Trinity St. David</w:t>
      </w:r>
      <w:r w:rsidR="00A43919">
        <w:t>, Lampeter. (Accessed 15 November 2019)</w:t>
      </w:r>
    </w:p>
    <w:p w14:paraId="6134D10C" w14:textId="7D364860" w:rsidR="007A5FF8" w:rsidRDefault="007A5FF8" w:rsidP="007A5FF8">
      <w:pPr>
        <w:spacing w:line="480" w:lineRule="auto"/>
      </w:pPr>
      <w:r>
        <w:t>Parkes, R. (2019</w:t>
      </w:r>
      <w:r w:rsidR="00FA2E1E">
        <w:t>b</w:t>
      </w:r>
      <w:r>
        <w:t xml:space="preserve">) ‘The </w:t>
      </w:r>
      <w:r w:rsidRPr="00A43919">
        <w:rPr>
          <w:i/>
          <w:iCs/>
        </w:rPr>
        <w:t>Heroides</w:t>
      </w:r>
      <w:r>
        <w:t xml:space="preserve"> and Criticism’, on-line lecture in </w:t>
      </w:r>
      <w:r w:rsidRPr="00A43919">
        <w:rPr>
          <w:i/>
          <w:iCs/>
        </w:rPr>
        <w:t>Course HPLA 7004</w:t>
      </w:r>
      <w:r>
        <w:t>, University of Wales Trinity St. David, Lampeter. (Accessed 10 November 2019)</w:t>
      </w:r>
    </w:p>
    <w:p w14:paraId="1B172310" w14:textId="5E317BBA" w:rsidR="009C29DC" w:rsidRDefault="009C29DC" w:rsidP="009C29DC">
      <w:pPr>
        <w:spacing w:line="480" w:lineRule="auto"/>
      </w:pPr>
      <w:r>
        <w:t>Parkes, R. (2019</w:t>
      </w:r>
      <w:r>
        <w:t>c</w:t>
      </w:r>
      <w:r>
        <w:t xml:space="preserve">) ‘The </w:t>
      </w:r>
      <w:r w:rsidRPr="00A43919">
        <w:rPr>
          <w:i/>
          <w:iCs/>
        </w:rPr>
        <w:t>Heroides</w:t>
      </w:r>
      <w:r>
        <w:t xml:space="preserve"> and </w:t>
      </w:r>
      <w:r>
        <w:t>Location</w:t>
      </w:r>
      <w:r>
        <w:t xml:space="preserve">’, on-line lecture in </w:t>
      </w:r>
      <w:r w:rsidRPr="00A43919">
        <w:rPr>
          <w:i/>
          <w:iCs/>
        </w:rPr>
        <w:t>Course HPLA 7004</w:t>
      </w:r>
      <w:r>
        <w:t xml:space="preserve">, University of Wales Trinity St. David, Lampeter. (Accessed </w:t>
      </w:r>
      <w:r>
        <w:t>23</w:t>
      </w:r>
      <w:r>
        <w:t xml:space="preserve"> November 2019)</w:t>
      </w:r>
    </w:p>
    <w:p w14:paraId="33A89869" w14:textId="198BFF58" w:rsidR="009C29DC" w:rsidRDefault="009C29DC" w:rsidP="009C29DC">
      <w:pPr>
        <w:spacing w:line="480" w:lineRule="auto"/>
      </w:pPr>
      <w:r>
        <w:t>Parkes, R. (2019</w:t>
      </w:r>
      <w:r>
        <w:t>d</w:t>
      </w:r>
      <w:r>
        <w:t>) ‘</w:t>
      </w:r>
      <w:r w:rsidRPr="00A43919">
        <w:rPr>
          <w:i/>
          <w:iCs/>
        </w:rPr>
        <w:t>Heroides</w:t>
      </w:r>
      <w:r>
        <w:rPr>
          <w:i/>
          <w:iCs/>
        </w:rPr>
        <w:t xml:space="preserve"> </w:t>
      </w:r>
      <w:r>
        <w:t>10</w:t>
      </w:r>
      <w:r>
        <w:t xml:space="preserve">’, on-line lecture in </w:t>
      </w:r>
      <w:r w:rsidRPr="00A43919">
        <w:rPr>
          <w:i/>
          <w:iCs/>
        </w:rPr>
        <w:t>Course HPLA 7004</w:t>
      </w:r>
      <w:r>
        <w:t xml:space="preserve">, University of Wales Trinity St. David, Lampeter. (Accessed </w:t>
      </w:r>
      <w:r>
        <w:t>27</w:t>
      </w:r>
      <w:r>
        <w:t xml:space="preserve"> November 2019)</w:t>
      </w:r>
    </w:p>
    <w:p w14:paraId="300DCA8A" w14:textId="69B81564" w:rsidR="00337341" w:rsidRDefault="00096531" w:rsidP="002717A1">
      <w:pPr>
        <w:spacing w:line="480" w:lineRule="auto"/>
      </w:pPr>
      <w:r>
        <w:t xml:space="preserve">Ramsby, </w:t>
      </w:r>
      <w:r w:rsidR="00A201E3">
        <w:t xml:space="preserve"> </w:t>
      </w:r>
      <w:r>
        <w:t xml:space="preserve">T. (2005) ‘Striving for Permanence: Ovid’s Funerary Inscriptions’, </w:t>
      </w:r>
      <w:r w:rsidRPr="00A43919">
        <w:rPr>
          <w:i/>
          <w:iCs/>
        </w:rPr>
        <w:t>The Classical Journal</w:t>
      </w:r>
      <w:r>
        <w:t>, Vol. 100, No. 4</w:t>
      </w:r>
      <w:r w:rsidR="00A43919">
        <w:t>, pp. 365-91.</w:t>
      </w:r>
    </w:p>
    <w:sectPr w:rsidR="0033734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B8B723" w14:textId="77777777" w:rsidR="00A008B0" w:rsidRDefault="00A008B0" w:rsidP="007438B1">
      <w:pPr>
        <w:spacing w:after="0" w:line="240" w:lineRule="auto"/>
      </w:pPr>
      <w:r>
        <w:separator/>
      </w:r>
    </w:p>
  </w:endnote>
  <w:endnote w:type="continuationSeparator" w:id="0">
    <w:p w14:paraId="4391C4D8" w14:textId="77777777" w:rsidR="00A008B0" w:rsidRDefault="00A008B0" w:rsidP="00743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E94D2" w14:textId="77777777" w:rsidR="00394647" w:rsidRDefault="003946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F2D80" w14:textId="77777777" w:rsidR="00394647" w:rsidRDefault="00394647">
    <w:pPr>
      <w:pStyle w:val="Footer"/>
    </w:pPr>
  </w:p>
  <w:p w14:paraId="558B6A50" w14:textId="77777777" w:rsidR="00394647" w:rsidRDefault="00394647"/>
  <w:p w14:paraId="74236027" w14:textId="77777777" w:rsidR="00394647" w:rsidRDefault="0039464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FB165" w14:textId="77777777" w:rsidR="00394647" w:rsidRDefault="00394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6F4C6" w14:textId="77777777" w:rsidR="00A008B0" w:rsidRDefault="00A008B0" w:rsidP="007438B1">
      <w:pPr>
        <w:spacing w:after="0" w:line="240" w:lineRule="auto"/>
      </w:pPr>
      <w:r>
        <w:separator/>
      </w:r>
    </w:p>
  </w:footnote>
  <w:footnote w:type="continuationSeparator" w:id="0">
    <w:p w14:paraId="10610741" w14:textId="77777777" w:rsidR="00A008B0" w:rsidRDefault="00A008B0" w:rsidP="007438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262AE" w14:textId="77777777" w:rsidR="00394647" w:rsidRDefault="003946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BFB27" w14:textId="77777777" w:rsidR="00394647" w:rsidRDefault="003946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C169D" w14:textId="77777777" w:rsidR="00394647" w:rsidRDefault="003946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B59"/>
    <w:rsid w:val="000005AD"/>
    <w:rsid w:val="00002540"/>
    <w:rsid w:val="00002D55"/>
    <w:rsid w:val="00010ED7"/>
    <w:rsid w:val="000115C2"/>
    <w:rsid w:val="00012300"/>
    <w:rsid w:val="000125DF"/>
    <w:rsid w:val="0001550E"/>
    <w:rsid w:val="00016B6A"/>
    <w:rsid w:val="0002232D"/>
    <w:rsid w:val="00023CEE"/>
    <w:rsid w:val="00025E53"/>
    <w:rsid w:val="00033264"/>
    <w:rsid w:val="00036433"/>
    <w:rsid w:val="000372CB"/>
    <w:rsid w:val="000443DB"/>
    <w:rsid w:val="00046FDE"/>
    <w:rsid w:val="000477EE"/>
    <w:rsid w:val="00060727"/>
    <w:rsid w:val="000705BE"/>
    <w:rsid w:val="00071B45"/>
    <w:rsid w:val="00072B38"/>
    <w:rsid w:val="00073B74"/>
    <w:rsid w:val="00073FB5"/>
    <w:rsid w:val="000749ED"/>
    <w:rsid w:val="0008061B"/>
    <w:rsid w:val="00086671"/>
    <w:rsid w:val="000912FD"/>
    <w:rsid w:val="00093090"/>
    <w:rsid w:val="00096531"/>
    <w:rsid w:val="00097E00"/>
    <w:rsid w:val="000A22F1"/>
    <w:rsid w:val="000A5325"/>
    <w:rsid w:val="000B3499"/>
    <w:rsid w:val="000B4AB9"/>
    <w:rsid w:val="000B7C8B"/>
    <w:rsid w:val="000C6491"/>
    <w:rsid w:val="000D1A2D"/>
    <w:rsid w:val="000D3211"/>
    <w:rsid w:val="000E061D"/>
    <w:rsid w:val="000E25C8"/>
    <w:rsid w:val="000E6668"/>
    <w:rsid w:val="000E72F0"/>
    <w:rsid w:val="000F0EDA"/>
    <w:rsid w:val="000F593A"/>
    <w:rsid w:val="000F67EB"/>
    <w:rsid w:val="00101041"/>
    <w:rsid w:val="00102948"/>
    <w:rsid w:val="00103654"/>
    <w:rsid w:val="001048F9"/>
    <w:rsid w:val="001165E6"/>
    <w:rsid w:val="00116FBA"/>
    <w:rsid w:val="001177AC"/>
    <w:rsid w:val="00121A67"/>
    <w:rsid w:val="00125F9B"/>
    <w:rsid w:val="00126184"/>
    <w:rsid w:val="00127CEC"/>
    <w:rsid w:val="00160426"/>
    <w:rsid w:val="00160DF7"/>
    <w:rsid w:val="0016372A"/>
    <w:rsid w:val="00163DA2"/>
    <w:rsid w:val="00165961"/>
    <w:rsid w:val="001702E3"/>
    <w:rsid w:val="0017148E"/>
    <w:rsid w:val="00175F4D"/>
    <w:rsid w:val="00182838"/>
    <w:rsid w:val="00182F80"/>
    <w:rsid w:val="001966FE"/>
    <w:rsid w:val="001A3612"/>
    <w:rsid w:val="001B4173"/>
    <w:rsid w:val="001B5125"/>
    <w:rsid w:val="001C0A5F"/>
    <w:rsid w:val="001C4F09"/>
    <w:rsid w:val="001D05DA"/>
    <w:rsid w:val="001D7C05"/>
    <w:rsid w:val="001E5946"/>
    <w:rsid w:val="001E5B59"/>
    <w:rsid w:val="001E6F9A"/>
    <w:rsid w:val="001E7303"/>
    <w:rsid w:val="001F0723"/>
    <w:rsid w:val="001F1E19"/>
    <w:rsid w:val="00202EA5"/>
    <w:rsid w:val="0020407D"/>
    <w:rsid w:val="00204938"/>
    <w:rsid w:val="00210BEB"/>
    <w:rsid w:val="00216D32"/>
    <w:rsid w:val="00222CAE"/>
    <w:rsid w:val="0023066A"/>
    <w:rsid w:val="002310E9"/>
    <w:rsid w:val="00231F26"/>
    <w:rsid w:val="0024058F"/>
    <w:rsid w:val="0024791F"/>
    <w:rsid w:val="00252AF8"/>
    <w:rsid w:val="002632AB"/>
    <w:rsid w:val="00264446"/>
    <w:rsid w:val="00267A4A"/>
    <w:rsid w:val="00270A4F"/>
    <w:rsid w:val="002717A1"/>
    <w:rsid w:val="00273AAB"/>
    <w:rsid w:val="00276390"/>
    <w:rsid w:val="00280142"/>
    <w:rsid w:val="00283DE2"/>
    <w:rsid w:val="00286278"/>
    <w:rsid w:val="00291A6F"/>
    <w:rsid w:val="00293EE4"/>
    <w:rsid w:val="00294F1B"/>
    <w:rsid w:val="00296B71"/>
    <w:rsid w:val="00297A7B"/>
    <w:rsid w:val="002A4AF3"/>
    <w:rsid w:val="002B0579"/>
    <w:rsid w:val="002B1B07"/>
    <w:rsid w:val="002B2AD8"/>
    <w:rsid w:val="002B4D48"/>
    <w:rsid w:val="002C1FB0"/>
    <w:rsid w:val="002C3A53"/>
    <w:rsid w:val="002D1825"/>
    <w:rsid w:val="002D447F"/>
    <w:rsid w:val="002D539B"/>
    <w:rsid w:val="002D7A07"/>
    <w:rsid w:val="002E5352"/>
    <w:rsid w:val="002F5B2A"/>
    <w:rsid w:val="002F7804"/>
    <w:rsid w:val="00304EC6"/>
    <w:rsid w:val="00306D4B"/>
    <w:rsid w:val="00311EA9"/>
    <w:rsid w:val="003139CD"/>
    <w:rsid w:val="003144DE"/>
    <w:rsid w:val="0031740A"/>
    <w:rsid w:val="003263F1"/>
    <w:rsid w:val="00331A69"/>
    <w:rsid w:val="00332059"/>
    <w:rsid w:val="003368FE"/>
    <w:rsid w:val="00336CC7"/>
    <w:rsid w:val="00337341"/>
    <w:rsid w:val="00337489"/>
    <w:rsid w:val="00341F25"/>
    <w:rsid w:val="00344D05"/>
    <w:rsid w:val="003451D4"/>
    <w:rsid w:val="003518A8"/>
    <w:rsid w:val="00356295"/>
    <w:rsid w:val="003615A0"/>
    <w:rsid w:val="00370F2E"/>
    <w:rsid w:val="00370F70"/>
    <w:rsid w:val="003760A8"/>
    <w:rsid w:val="0037697D"/>
    <w:rsid w:val="00384804"/>
    <w:rsid w:val="00394647"/>
    <w:rsid w:val="00394870"/>
    <w:rsid w:val="0039633E"/>
    <w:rsid w:val="003963D3"/>
    <w:rsid w:val="0039767D"/>
    <w:rsid w:val="00397ACD"/>
    <w:rsid w:val="00397B6B"/>
    <w:rsid w:val="003A4A5E"/>
    <w:rsid w:val="003A5E5F"/>
    <w:rsid w:val="003A7BDD"/>
    <w:rsid w:val="003B0014"/>
    <w:rsid w:val="003B02D4"/>
    <w:rsid w:val="003B28FF"/>
    <w:rsid w:val="003B5F76"/>
    <w:rsid w:val="003B6AAA"/>
    <w:rsid w:val="003C2C62"/>
    <w:rsid w:val="003C45A0"/>
    <w:rsid w:val="003C6B4D"/>
    <w:rsid w:val="003D1102"/>
    <w:rsid w:val="003D1187"/>
    <w:rsid w:val="003D4B24"/>
    <w:rsid w:val="003D574D"/>
    <w:rsid w:val="003E1DC3"/>
    <w:rsid w:val="003E6C65"/>
    <w:rsid w:val="003F11D9"/>
    <w:rsid w:val="003F3D2C"/>
    <w:rsid w:val="003F44F4"/>
    <w:rsid w:val="003F58D0"/>
    <w:rsid w:val="003F6FD7"/>
    <w:rsid w:val="00401A17"/>
    <w:rsid w:val="00406A6C"/>
    <w:rsid w:val="00410C3D"/>
    <w:rsid w:val="00426E14"/>
    <w:rsid w:val="00430FEA"/>
    <w:rsid w:val="004326F2"/>
    <w:rsid w:val="00435D66"/>
    <w:rsid w:val="00442191"/>
    <w:rsid w:val="0044602E"/>
    <w:rsid w:val="00447366"/>
    <w:rsid w:val="004565B8"/>
    <w:rsid w:val="00462504"/>
    <w:rsid w:val="00466535"/>
    <w:rsid w:val="00467344"/>
    <w:rsid w:val="0047023E"/>
    <w:rsid w:val="00470ABF"/>
    <w:rsid w:val="0047235C"/>
    <w:rsid w:val="0047262E"/>
    <w:rsid w:val="00493336"/>
    <w:rsid w:val="004A0E3E"/>
    <w:rsid w:val="004A0F32"/>
    <w:rsid w:val="004A0F3C"/>
    <w:rsid w:val="004A1126"/>
    <w:rsid w:val="004A23EA"/>
    <w:rsid w:val="004A2AAB"/>
    <w:rsid w:val="004A540A"/>
    <w:rsid w:val="004A6323"/>
    <w:rsid w:val="004A7D65"/>
    <w:rsid w:val="004B1741"/>
    <w:rsid w:val="004B6A28"/>
    <w:rsid w:val="004C469E"/>
    <w:rsid w:val="004C4E49"/>
    <w:rsid w:val="004C61FE"/>
    <w:rsid w:val="004C7EA5"/>
    <w:rsid w:val="004D0A16"/>
    <w:rsid w:val="004D0BAC"/>
    <w:rsid w:val="004D1751"/>
    <w:rsid w:val="004D2DF2"/>
    <w:rsid w:val="004D51A4"/>
    <w:rsid w:val="004D546A"/>
    <w:rsid w:val="004D5FB5"/>
    <w:rsid w:val="004E1A5E"/>
    <w:rsid w:val="004E34E6"/>
    <w:rsid w:val="004F0AE7"/>
    <w:rsid w:val="004F3945"/>
    <w:rsid w:val="005035CA"/>
    <w:rsid w:val="00504096"/>
    <w:rsid w:val="0050706C"/>
    <w:rsid w:val="00510B8B"/>
    <w:rsid w:val="00512175"/>
    <w:rsid w:val="00515961"/>
    <w:rsid w:val="005226A4"/>
    <w:rsid w:val="00531E03"/>
    <w:rsid w:val="005375AB"/>
    <w:rsid w:val="00537D5C"/>
    <w:rsid w:val="0054369F"/>
    <w:rsid w:val="00553428"/>
    <w:rsid w:val="00555542"/>
    <w:rsid w:val="00563400"/>
    <w:rsid w:val="00563D4A"/>
    <w:rsid w:val="0058227D"/>
    <w:rsid w:val="00585960"/>
    <w:rsid w:val="0059197D"/>
    <w:rsid w:val="005961F9"/>
    <w:rsid w:val="00596606"/>
    <w:rsid w:val="00597D51"/>
    <w:rsid w:val="005A5927"/>
    <w:rsid w:val="005C3F9B"/>
    <w:rsid w:val="005C521F"/>
    <w:rsid w:val="005C61FB"/>
    <w:rsid w:val="005D027B"/>
    <w:rsid w:val="005D2076"/>
    <w:rsid w:val="005D48EF"/>
    <w:rsid w:val="005D5DFA"/>
    <w:rsid w:val="005E651A"/>
    <w:rsid w:val="005F5026"/>
    <w:rsid w:val="00600A92"/>
    <w:rsid w:val="00601E8E"/>
    <w:rsid w:val="00602BE0"/>
    <w:rsid w:val="00605FBA"/>
    <w:rsid w:val="0061343D"/>
    <w:rsid w:val="006136EA"/>
    <w:rsid w:val="00614AFF"/>
    <w:rsid w:val="0061512E"/>
    <w:rsid w:val="00622A84"/>
    <w:rsid w:val="00623B4C"/>
    <w:rsid w:val="0063375E"/>
    <w:rsid w:val="00637433"/>
    <w:rsid w:val="006415BC"/>
    <w:rsid w:val="0064170F"/>
    <w:rsid w:val="006437B7"/>
    <w:rsid w:val="00644EF0"/>
    <w:rsid w:val="00651DF4"/>
    <w:rsid w:val="00654916"/>
    <w:rsid w:val="00661140"/>
    <w:rsid w:val="006626F6"/>
    <w:rsid w:val="0066467D"/>
    <w:rsid w:val="00676D43"/>
    <w:rsid w:val="00676FE6"/>
    <w:rsid w:val="00680223"/>
    <w:rsid w:val="00682FC5"/>
    <w:rsid w:val="0068333D"/>
    <w:rsid w:val="006838A6"/>
    <w:rsid w:val="00686841"/>
    <w:rsid w:val="00686C2D"/>
    <w:rsid w:val="0069171B"/>
    <w:rsid w:val="00694556"/>
    <w:rsid w:val="006A0204"/>
    <w:rsid w:val="006A09D5"/>
    <w:rsid w:val="006A1333"/>
    <w:rsid w:val="006A1F20"/>
    <w:rsid w:val="006A37B2"/>
    <w:rsid w:val="006A5697"/>
    <w:rsid w:val="006A7BBD"/>
    <w:rsid w:val="006A7FE3"/>
    <w:rsid w:val="006B0B87"/>
    <w:rsid w:val="006B10F0"/>
    <w:rsid w:val="006B15B2"/>
    <w:rsid w:val="006B259A"/>
    <w:rsid w:val="006B4D25"/>
    <w:rsid w:val="006B5671"/>
    <w:rsid w:val="006B58E3"/>
    <w:rsid w:val="006B788E"/>
    <w:rsid w:val="006C1441"/>
    <w:rsid w:val="006C2CC1"/>
    <w:rsid w:val="006C7386"/>
    <w:rsid w:val="006D0B4D"/>
    <w:rsid w:val="006D0F55"/>
    <w:rsid w:val="006D2A66"/>
    <w:rsid w:val="006D3A79"/>
    <w:rsid w:val="006D4CE7"/>
    <w:rsid w:val="006D775F"/>
    <w:rsid w:val="006E205E"/>
    <w:rsid w:val="006E368E"/>
    <w:rsid w:val="006F0C19"/>
    <w:rsid w:val="006F301D"/>
    <w:rsid w:val="006F3F6B"/>
    <w:rsid w:val="006F450C"/>
    <w:rsid w:val="006F613D"/>
    <w:rsid w:val="006F7C27"/>
    <w:rsid w:val="00707029"/>
    <w:rsid w:val="00711B6C"/>
    <w:rsid w:val="00716184"/>
    <w:rsid w:val="00722575"/>
    <w:rsid w:val="00722839"/>
    <w:rsid w:val="007249EA"/>
    <w:rsid w:val="00726D5D"/>
    <w:rsid w:val="00736ED9"/>
    <w:rsid w:val="00736F53"/>
    <w:rsid w:val="00737D8E"/>
    <w:rsid w:val="007438B1"/>
    <w:rsid w:val="007532E1"/>
    <w:rsid w:val="007614EA"/>
    <w:rsid w:val="00764283"/>
    <w:rsid w:val="00764B5D"/>
    <w:rsid w:val="00770561"/>
    <w:rsid w:val="007709BA"/>
    <w:rsid w:val="0077369A"/>
    <w:rsid w:val="00775335"/>
    <w:rsid w:val="00775372"/>
    <w:rsid w:val="0077549B"/>
    <w:rsid w:val="00775D33"/>
    <w:rsid w:val="00782488"/>
    <w:rsid w:val="0078450F"/>
    <w:rsid w:val="007877FD"/>
    <w:rsid w:val="0079026A"/>
    <w:rsid w:val="007944B1"/>
    <w:rsid w:val="007A454E"/>
    <w:rsid w:val="007A5FF8"/>
    <w:rsid w:val="007A7CAB"/>
    <w:rsid w:val="007A7FCF"/>
    <w:rsid w:val="007B14C7"/>
    <w:rsid w:val="007B1819"/>
    <w:rsid w:val="007B618D"/>
    <w:rsid w:val="007B74FE"/>
    <w:rsid w:val="007C455C"/>
    <w:rsid w:val="007C4FE1"/>
    <w:rsid w:val="007C6DAE"/>
    <w:rsid w:val="007D2D90"/>
    <w:rsid w:val="007D4665"/>
    <w:rsid w:val="007D5997"/>
    <w:rsid w:val="007D6597"/>
    <w:rsid w:val="007D6782"/>
    <w:rsid w:val="007E02CA"/>
    <w:rsid w:val="007E2135"/>
    <w:rsid w:val="007E56C6"/>
    <w:rsid w:val="007E5C2D"/>
    <w:rsid w:val="007E767B"/>
    <w:rsid w:val="007F1660"/>
    <w:rsid w:val="0080100D"/>
    <w:rsid w:val="008025E7"/>
    <w:rsid w:val="0080490F"/>
    <w:rsid w:val="008051C8"/>
    <w:rsid w:val="00810F7A"/>
    <w:rsid w:val="008142B3"/>
    <w:rsid w:val="008147F3"/>
    <w:rsid w:val="0081645E"/>
    <w:rsid w:val="00816AA3"/>
    <w:rsid w:val="00820DEA"/>
    <w:rsid w:val="008236E5"/>
    <w:rsid w:val="00824654"/>
    <w:rsid w:val="00825B2B"/>
    <w:rsid w:val="00830240"/>
    <w:rsid w:val="00831A53"/>
    <w:rsid w:val="0083263E"/>
    <w:rsid w:val="00833695"/>
    <w:rsid w:val="0083474E"/>
    <w:rsid w:val="00836A3C"/>
    <w:rsid w:val="008412A8"/>
    <w:rsid w:val="00847814"/>
    <w:rsid w:val="00851D70"/>
    <w:rsid w:val="008526DB"/>
    <w:rsid w:val="0085773D"/>
    <w:rsid w:val="008632FF"/>
    <w:rsid w:val="0086587F"/>
    <w:rsid w:val="0086619D"/>
    <w:rsid w:val="00871AFA"/>
    <w:rsid w:val="008728E9"/>
    <w:rsid w:val="0088247F"/>
    <w:rsid w:val="00884D96"/>
    <w:rsid w:val="00896707"/>
    <w:rsid w:val="00896865"/>
    <w:rsid w:val="00897C21"/>
    <w:rsid w:val="00897CF1"/>
    <w:rsid w:val="008A23FF"/>
    <w:rsid w:val="008A39ED"/>
    <w:rsid w:val="008A5A8D"/>
    <w:rsid w:val="008B295F"/>
    <w:rsid w:val="008B5EB7"/>
    <w:rsid w:val="008C0353"/>
    <w:rsid w:val="008C1DDC"/>
    <w:rsid w:val="008C49E8"/>
    <w:rsid w:val="008C508C"/>
    <w:rsid w:val="008D3B7D"/>
    <w:rsid w:val="008D3D11"/>
    <w:rsid w:val="008D407C"/>
    <w:rsid w:val="008E0AA3"/>
    <w:rsid w:val="008E6887"/>
    <w:rsid w:val="008F0407"/>
    <w:rsid w:val="008F3843"/>
    <w:rsid w:val="008F3C8B"/>
    <w:rsid w:val="008F47A7"/>
    <w:rsid w:val="008F5F42"/>
    <w:rsid w:val="008F7137"/>
    <w:rsid w:val="008F7A79"/>
    <w:rsid w:val="009040AA"/>
    <w:rsid w:val="00910336"/>
    <w:rsid w:val="00911569"/>
    <w:rsid w:val="00915098"/>
    <w:rsid w:val="009154EB"/>
    <w:rsid w:val="00924461"/>
    <w:rsid w:val="009301DC"/>
    <w:rsid w:val="00933373"/>
    <w:rsid w:val="009345C7"/>
    <w:rsid w:val="00937154"/>
    <w:rsid w:val="00937A97"/>
    <w:rsid w:val="00937DDD"/>
    <w:rsid w:val="00941411"/>
    <w:rsid w:val="009473B2"/>
    <w:rsid w:val="00951AC5"/>
    <w:rsid w:val="00960664"/>
    <w:rsid w:val="009607E4"/>
    <w:rsid w:val="00964565"/>
    <w:rsid w:val="00966550"/>
    <w:rsid w:val="009742B3"/>
    <w:rsid w:val="00974422"/>
    <w:rsid w:val="009807C9"/>
    <w:rsid w:val="00981C7B"/>
    <w:rsid w:val="00982B5C"/>
    <w:rsid w:val="00987024"/>
    <w:rsid w:val="00993C71"/>
    <w:rsid w:val="009A07F9"/>
    <w:rsid w:val="009A158B"/>
    <w:rsid w:val="009B24ED"/>
    <w:rsid w:val="009C1195"/>
    <w:rsid w:val="009C29DC"/>
    <w:rsid w:val="009C2EC4"/>
    <w:rsid w:val="009C60A3"/>
    <w:rsid w:val="009C7A4A"/>
    <w:rsid w:val="009D028A"/>
    <w:rsid w:val="009E5BA7"/>
    <w:rsid w:val="009F0E99"/>
    <w:rsid w:val="009F7B7C"/>
    <w:rsid w:val="00A003FC"/>
    <w:rsid w:val="00A008B0"/>
    <w:rsid w:val="00A10618"/>
    <w:rsid w:val="00A11653"/>
    <w:rsid w:val="00A16FE6"/>
    <w:rsid w:val="00A201E3"/>
    <w:rsid w:val="00A325E4"/>
    <w:rsid w:val="00A349B5"/>
    <w:rsid w:val="00A3522B"/>
    <w:rsid w:val="00A402BB"/>
    <w:rsid w:val="00A4070C"/>
    <w:rsid w:val="00A4141E"/>
    <w:rsid w:val="00A43919"/>
    <w:rsid w:val="00A5045B"/>
    <w:rsid w:val="00A52A96"/>
    <w:rsid w:val="00A77A1E"/>
    <w:rsid w:val="00A8168A"/>
    <w:rsid w:val="00A8173F"/>
    <w:rsid w:val="00A85D18"/>
    <w:rsid w:val="00A87653"/>
    <w:rsid w:val="00A91417"/>
    <w:rsid w:val="00A93EE5"/>
    <w:rsid w:val="00A94540"/>
    <w:rsid w:val="00A95063"/>
    <w:rsid w:val="00A955A9"/>
    <w:rsid w:val="00AA180F"/>
    <w:rsid w:val="00AA280E"/>
    <w:rsid w:val="00AA428C"/>
    <w:rsid w:val="00AC0452"/>
    <w:rsid w:val="00AC194B"/>
    <w:rsid w:val="00AD0215"/>
    <w:rsid w:val="00AD190C"/>
    <w:rsid w:val="00AD5F06"/>
    <w:rsid w:val="00AE16A0"/>
    <w:rsid w:val="00AE1739"/>
    <w:rsid w:val="00AE478D"/>
    <w:rsid w:val="00AF64FA"/>
    <w:rsid w:val="00AF7C9C"/>
    <w:rsid w:val="00B01955"/>
    <w:rsid w:val="00B02A24"/>
    <w:rsid w:val="00B03B46"/>
    <w:rsid w:val="00B04729"/>
    <w:rsid w:val="00B07FB0"/>
    <w:rsid w:val="00B10CC1"/>
    <w:rsid w:val="00B10FA5"/>
    <w:rsid w:val="00B2137A"/>
    <w:rsid w:val="00B22484"/>
    <w:rsid w:val="00B230B2"/>
    <w:rsid w:val="00B30669"/>
    <w:rsid w:val="00B31444"/>
    <w:rsid w:val="00B31C26"/>
    <w:rsid w:val="00B343E4"/>
    <w:rsid w:val="00B36985"/>
    <w:rsid w:val="00B404A7"/>
    <w:rsid w:val="00B44CFE"/>
    <w:rsid w:val="00B4623A"/>
    <w:rsid w:val="00B51B9E"/>
    <w:rsid w:val="00B54C6E"/>
    <w:rsid w:val="00B558D8"/>
    <w:rsid w:val="00B571A4"/>
    <w:rsid w:val="00B611E5"/>
    <w:rsid w:val="00B66E82"/>
    <w:rsid w:val="00B66FEF"/>
    <w:rsid w:val="00B73842"/>
    <w:rsid w:val="00B75492"/>
    <w:rsid w:val="00B760D6"/>
    <w:rsid w:val="00B76736"/>
    <w:rsid w:val="00B805E4"/>
    <w:rsid w:val="00B80CB0"/>
    <w:rsid w:val="00B8442E"/>
    <w:rsid w:val="00B85595"/>
    <w:rsid w:val="00B86C38"/>
    <w:rsid w:val="00B90B97"/>
    <w:rsid w:val="00B91A6A"/>
    <w:rsid w:val="00B936B2"/>
    <w:rsid w:val="00B9459C"/>
    <w:rsid w:val="00B972E4"/>
    <w:rsid w:val="00BA15C1"/>
    <w:rsid w:val="00BA2253"/>
    <w:rsid w:val="00BA6EF7"/>
    <w:rsid w:val="00BB1618"/>
    <w:rsid w:val="00BB1B27"/>
    <w:rsid w:val="00BB3057"/>
    <w:rsid w:val="00BB7C3B"/>
    <w:rsid w:val="00BC26E5"/>
    <w:rsid w:val="00BC2F73"/>
    <w:rsid w:val="00BD0C39"/>
    <w:rsid w:val="00BD0D7C"/>
    <w:rsid w:val="00BD6C27"/>
    <w:rsid w:val="00BD700D"/>
    <w:rsid w:val="00BD76EA"/>
    <w:rsid w:val="00BE5842"/>
    <w:rsid w:val="00BE5B38"/>
    <w:rsid w:val="00BE6F33"/>
    <w:rsid w:val="00BF045C"/>
    <w:rsid w:val="00BF3189"/>
    <w:rsid w:val="00C006FF"/>
    <w:rsid w:val="00C02283"/>
    <w:rsid w:val="00C03221"/>
    <w:rsid w:val="00C04A53"/>
    <w:rsid w:val="00C148B2"/>
    <w:rsid w:val="00C200F3"/>
    <w:rsid w:val="00C26CD8"/>
    <w:rsid w:val="00C26D0E"/>
    <w:rsid w:val="00C30EDD"/>
    <w:rsid w:val="00C345C0"/>
    <w:rsid w:val="00C34FE9"/>
    <w:rsid w:val="00C35F58"/>
    <w:rsid w:val="00C3781B"/>
    <w:rsid w:val="00C408A6"/>
    <w:rsid w:val="00C40F65"/>
    <w:rsid w:val="00C41500"/>
    <w:rsid w:val="00C4408A"/>
    <w:rsid w:val="00C45B40"/>
    <w:rsid w:val="00C474B8"/>
    <w:rsid w:val="00C52AAA"/>
    <w:rsid w:val="00C55BA7"/>
    <w:rsid w:val="00C60356"/>
    <w:rsid w:val="00C62670"/>
    <w:rsid w:val="00C62841"/>
    <w:rsid w:val="00C70FC6"/>
    <w:rsid w:val="00C72A20"/>
    <w:rsid w:val="00C742C7"/>
    <w:rsid w:val="00C80A35"/>
    <w:rsid w:val="00C86E5A"/>
    <w:rsid w:val="00C90D76"/>
    <w:rsid w:val="00C92480"/>
    <w:rsid w:val="00C94170"/>
    <w:rsid w:val="00C949D7"/>
    <w:rsid w:val="00CA119F"/>
    <w:rsid w:val="00CA3D4D"/>
    <w:rsid w:val="00CA6E27"/>
    <w:rsid w:val="00CC66A9"/>
    <w:rsid w:val="00CD1E8D"/>
    <w:rsid w:val="00CD64A2"/>
    <w:rsid w:val="00CE4C1A"/>
    <w:rsid w:val="00CE5B7D"/>
    <w:rsid w:val="00CF5875"/>
    <w:rsid w:val="00D00DD9"/>
    <w:rsid w:val="00D0303A"/>
    <w:rsid w:val="00D048ED"/>
    <w:rsid w:val="00D0535C"/>
    <w:rsid w:val="00D1047F"/>
    <w:rsid w:val="00D118B5"/>
    <w:rsid w:val="00D158B1"/>
    <w:rsid w:val="00D21767"/>
    <w:rsid w:val="00D3200A"/>
    <w:rsid w:val="00D3605F"/>
    <w:rsid w:val="00D36C4A"/>
    <w:rsid w:val="00D421F1"/>
    <w:rsid w:val="00D4565B"/>
    <w:rsid w:val="00D45A50"/>
    <w:rsid w:val="00D51493"/>
    <w:rsid w:val="00D5208F"/>
    <w:rsid w:val="00D5296E"/>
    <w:rsid w:val="00D5637F"/>
    <w:rsid w:val="00D56877"/>
    <w:rsid w:val="00D57A76"/>
    <w:rsid w:val="00D61065"/>
    <w:rsid w:val="00D64429"/>
    <w:rsid w:val="00D72F8B"/>
    <w:rsid w:val="00D80CB6"/>
    <w:rsid w:val="00D82ABC"/>
    <w:rsid w:val="00D85387"/>
    <w:rsid w:val="00D875DD"/>
    <w:rsid w:val="00DA051C"/>
    <w:rsid w:val="00DB233C"/>
    <w:rsid w:val="00DB3771"/>
    <w:rsid w:val="00DB4062"/>
    <w:rsid w:val="00DB445B"/>
    <w:rsid w:val="00DB655D"/>
    <w:rsid w:val="00DC2151"/>
    <w:rsid w:val="00DD5648"/>
    <w:rsid w:val="00DD6E29"/>
    <w:rsid w:val="00DE1A0D"/>
    <w:rsid w:val="00DE47FD"/>
    <w:rsid w:val="00DE6478"/>
    <w:rsid w:val="00DE65F2"/>
    <w:rsid w:val="00DF15E5"/>
    <w:rsid w:val="00DF3233"/>
    <w:rsid w:val="00DF77F7"/>
    <w:rsid w:val="00DF7B96"/>
    <w:rsid w:val="00E01BE1"/>
    <w:rsid w:val="00E07248"/>
    <w:rsid w:val="00E073CA"/>
    <w:rsid w:val="00E1122D"/>
    <w:rsid w:val="00E11C84"/>
    <w:rsid w:val="00E130F0"/>
    <w:rsid w:val="00E1491A"/>
    <w:rsid w:val="00E160E2"/>
    <w:rsid w:val="00E21B82"/>
    <w:rsid w:val="00E229EF"/>
    <w:rsid w:val="00E270CB"/>
    <w:rsid w:val="00E27A01"/>
    <w:rsid w:val="00E34099"/>
    <w:rsid w:val="00E36CD6"/>
    <w:rsid w:val="00E43260"/>
    <w:rsid w:val="00E45D2B"/>
    <w:rsid w:val="00E57B61"/>
    <w:rsid w:val="00E61E1E"/>
    <w:rsid w:val="00E75B1A"/>
    <w:rsid w:val="00E7631E"/>
    <w:rsid w:val="00E77D14"/>
    <w:rsid w:val="00E81669"/>
    <w:rsid w:val="00E87DD9"/>
    <w:rsid w:val="00E91669"/>
    <w:rsid w:val="00E9769D"/>
    <w:rsid w:val="00EA277A"/>
    <w:rsid w:val="00EB0452"/>
    <w:rsid w:val="00EB2760"/>
    <w:rsid w:val="00EB3EB7"/>
    <w:rsid w:val="00EB67B6"/>
    <w:rsid w:val="00ED2BBA"/>
    <w:rsid w:val="00ED6357"/>
    <w:rsid w:val="00ED6DFA"/>
    <w:rsid w:val="00EE29E0"/>
    <w:rsid w:val="00EE38E2"/>
    <w:rsid w:val="00EE3B76"/>
    <w:rsid w:val="00EF1AFB"/>
    <w:rsid w:val="00EF63B0"/>
    <w:rsid w:val="00EF7517"/>
    <w:rsid w:val="00F0295B"/>
    <w:rsid w:val="00F029FE"/>
    <w:rsid w:val="00F03B19"/>
    <w:rsid w:val="00F0447B"/>
    <w:rsid w:val="00F207AC"/>
    <w:rsid w:val="00F21DB3"/>
    <w:rsid w:val="00F24C8C"/>
    <w:rsid w:val="00F27912"/>
    <w:rsid w:val="00F27AB5"/>
    <w:rsid w:val="00F27D92"/>
    <w:rsid w:val="00F300ED"/>
    <w:rsid w:val="00F353AB"/>
    <w:rsid w:val="00F3543A"/>
    <w:rsid w:val="00F3545A"/>
    <w:rsid w:val="00F41FEA"/>
    <w:rsid w:val="00F425A6"/>
    <w:rsid w:val="00F51579"/>
    <w:rsid w:val="00F538D9"/>
    <w:rsid w:val="00F53A69"/>
    <w:rsid w:val="00F56D7D"/>
    <w:rsid w:val="00F60155"/>
    <w:rsid w:val="00F6352A"/>
    <w:rsid w:val="00F6453D"/>
    <w:rsid w:val="00F72E73"/>
    <w:rsid w:val="00F80D48"/>
    <w:rsid w:val="00F80EEA"/>
    <w:rsid w:val="00F81C2C"/>
    <w:rsid w:val="00F83909"/>
    <w:rsid w:val="00F866E8"/>
    <w:rsid w:val="00F918D0"/>
    <w:rsid w:val="00F9195B"/>
    <w:rsid w:val="00F922CF"/>
    <w:rsid w:val="00F922F2"/>
    <w:rsid w:val="00F9538B"/>
    <w:rsid w:val="00F96399"/>
    <w:rsid w:val="00F97A58"/>
    <w:rsid w:val="00FA074C"/>
    <w:rsid w:val="00FA2E1E"/>
    <w:rsid w:val="00FB381C"/>
    <w:rsid w:val="00FB56B4"/>
    <w:rsid w:val="00FC1CCE"/>
    <w:rsid w:val="00FC1E39"/>
    <w:rsid w:val="00FC656E"/>
    <w:rsid w:val="00FC7550"/>
    <w:rsid w:val="00FD4E49"/>
    <w:rsid w:val="00FD63DE"/>
    <w:rsid w:val="00FE2A5D"/>
    <w:rsid w:val="00FE3DFF"/>
    <w:rsid w:val="00FE5BED"/>
    <w:rsid w:val="00FF6971"/>
    <w:rsid w:val="00FF7612"/>
    <w:rsid w:val="00FF7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A8FE6"/>
  <w15:chartTrackingRefBased/>
  <w15:docId w15:val="{67D46737-DCA9-4896-9710-791525645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B96"/>
  </w:style>
  <w:style w:type="paragraph" w:styleId="Heading1">
    <w:name w:val="heading 1"/>
    <w:basedOn w:val="Normal"/>
    <w:next w:val="Normal"/>
    <w:link w:val="Heading1Char"/>
    <w:uiPriority w:val="9"/>
    <w:qFormat/>
    <w:rsid w:val="009C7A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7B96"/>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ncientname">
    <w:name w:val="ancient_name"/>
    <w:basedOn w:val="DefaultParagraphFont"/>
    <w:rsid w:val="00DF7B96"/>
  </w:style>
  <w:style w:type="character" w:customStyle="1" w:styleId="markertype">
    <w:name w:val="marker_type"/>
    <w:basedOn w:val="DefaultParagraphFont"/>
    <w:rsid w:val="00DF7B96"/>
  </w:style>
  <w:style w:type="character" w:customStyle="1" w:styleId="Heading3Char">
    <w:name w:val="Heading 3 Char"/>
    <w:basedOn w:val="DefaultParagraphFont"/>
    <w:link w:val="Heading3"/>
    <w:uiPriority w:val="9"/>
    <w:semiHidden/>
    <w:rsid w:val="00DF7B9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DF7B96"/>
    <w:rPr>
      <w:color w:val="0000FF"/>
      <w:u w:val="single"/>
    </w:rPr>
  </w:style>
  <w:style w:type="paragraph" w:styleId="NormalWeb">
    <w:name w:val="Normal (Web)"/>
    <w:basedOn w:val="Normal"/>
    <w:uiPriority w:val="99"/>
    <w:semiHidden/>
    <w:unhideWhenUsed/>
    <w:rsid w:val="00DF7B96"/>
    <w:pPr>
      <w:spacing w:before="100" w:beforeAutospacing="1" w:after="100" w:afterAutospacing="1" w:line="240" w:lineRule="auto"/>
    </w:pPr>
    <w:rPr>
      <w:rFonts w:eastAsia="Times New Roman" w:cs="Times New Roman"/>
      <w:lang w:eastAsia="en-GB"/>
    </w:rPr>
  </w:style>
  <w:style w:type="paragraph" w:styleId="BalloonText">
    <w:name w:val="Balloon Text"/>
    <w:basedOn w:val="Normal"/>
    <w:link w:val="BalloonTextChar"/>
    <w:uiPriority w:val="99"/>
    <w:semiHidden/>
    <w:unhideWhenUsed/>
    <w:rsid w:val="00DF7B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7B96"/>
    <w:rPr>
      <w:rFonts w:ascii="Segoe UI" w:hAnsi="Segoe UI" w:cs="Segoe UI"/>
      <w:sz w:val="18"/>
      <w:szCs w:val="18"/>
    </w:rPr>
  </w:style>
  <w:style w:type="paragraph" w:styleId="ListParagraph">
    <w:name w:val="List Paragraph"/>
    <w:basedOn w:val="Normal"/>
    <w:uiPriority w:val="34"/>
    <w:qFormat/>
    <w:rsid w:val="00DF7B96"/>
    <w:pPr>
      <w:ind w:left="720"/>
      <w:contextualSpacing/>
    </w:pPr>
  </w:style>
  <w:style w:type="paragraph" w:styleId="Header">
    <w:name w:val="header"/>
    <w:basedOn w:val="Normal"/>
    <w:link w:val="HeaderChar"/>
    <w:uiPriority w:val="99"/>
    <w:unhideWhenUsed/>
    <w:rsid w:val="00743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8B1"/>
  </w:style>
  <w:style w:type="paragraph" w:styleId="Footer">
    <w:name w:val="footer"/>
    <w:basedOn w:val="Normal"/>
    <w:link w:val="FooterChar"/>
    <w:uiPriority w:val="99"/>
    <w:unhideWhenUsed/>
    <w:rsid w:val="00743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8B1"/>
  </w:style>
  <w:style w:type="character" w:customStyle="1" w:styleId="Heading1Char">
    <w:name w:val="Heading 1 Char"/>
    <w:basedOn w:val="DefaultParagraphFont"/>
    <w:link w:val="Heading1"/>
    <w:uiPriority w:val="9"/>
    <w:rsid w:val="009C7A4A"/>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C3781B"/>
    <w:rPr>
      <w:color w:val="605E5C"/>
      <w:shd w:val="clear" w:color="auto" w:fill="E1DFDD"/>
    </w:rPr>
  </w:style>
  <w:style w:type="character" w:customStyle="1" w:styleId="instancename">
    <w:name w:val="instancename"/>
    <w:basedOn w:val="DefaultParagraphFont"/>
    <w:rsid w:val="00B54C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859766">
      <w:bodyDiv w:val="1"/>
      <w:marLeft w:val="0"/>
      <w:marRight w:val="0"/>
      <w:marTop w:val="0"/>
      <w:marBottom w:val="0"/>
      <w:divBdr>
        <w:top w:val="none" w:sz="0" w:space="0" w:color="auto"/>
        <w:left w:val="none" w:sz="0" w:space="0" w:color="auto"/>
        <w:bottom w:val="none" w:sz="0" w:space="0" w:color="auto"/>
        <w:right w:val="none" w:sz="0" w:space="0" w:color="auto"/>
      </w:divBdr>
      <w:divsChild>
        <w:div w:id="17171155">
          <w:marLeft w:val="0"/>
          <w:marRight w:val="0"/>
          <w:marTop w:val="0"/>
          <w:marBottom w:val="0"/>
          <w:divBdr>
            <w:top w:val="none" w:sz="0" w:space="0" w:color="auto"/>
            <w:left w:val="none" w:sz="0" w:space="0" w:color="auto"/>
            <w:bottom w:val="none" w:sz="0" w:space="0" w:color="auto"/>
            <w:right w:val="none" w:sz="0" w:space="0" w:color="auto"/>
          </w:divBdr>
        </w:div>
        <w:div w:id="20474682">
          <w:marLeft w:val="0"/>
          <w:marRight w:val="0"/>
          <w:marTop w:val="0"/>
          <w:marBottom w:val="0"/>
          <w:divBdr>
            <w:top w:val="none" w:sz="0" w:space="0" w:color="auto"/>
            <w:left w:val="none" w:sz="0" w:space="0" w:color="auto"/>
            <w:bottom w:val="none" w:sz="0" w:space="0" w:color="auto"/>
            <w:right w:val="none" w:sz="0" w:space="0" w:color="auto"/>
          </w:divBdr>
        </w:div>
        <w:div w:id="69085766">
          <w:marLeft w:val="0"/>
          <w:marRight w:val="0"/>
          <w:marTop w:val="0"/>
          <w:marBottom w:val="0"/>
          <w:divBdr>
            <w:top w:val="none" w:sz="0" w:space="0" w:color="auto"/>
            <w:left w:val="none" w:sz="0" w:space="0" w:color="auto"/>
            <w:bottom w:val="none" w:sz="0" w:space="0" w:color="auto"/>
            <w:right w:val="none" w:sz="0" w:space="0" w:color="auto"/>
          </w:divBdr>
        </w:div>
        <w:div w:id="93786019">
          <w:marLeft w:val="0"/>
          <w:marRight w:val="0"/>
          <w:marTop w:val="0"/>
          <w:marBottom w:val="0"/>
          <w:divBdr>
            <w:top w:val="none" w:sz="0" w:space="0" w:color="auto"/>
            <w:left w:val="none" w:sz="0" w:space="0" w:color="auto"/>
            <w:bottom w:val="none" w:sz="0" w:space="0" w:color="auto"/>
            <w:right w:val="none" w:sz="0" w:space="0" w:color="auto"/>
          </w:divBdr>
        </w:div>
        <w:div w:id="96217228">
          <w:marLeft w:val="0"/>
          <w:marRight w:val="0"/>
          <w:marTop w:val="0"/>
          <w:marBottom w:val="0"/>
          <w:divBdr>
            <w:top w:val="none" w:sz="0" w:space="0" w:color="auto"/>
            <w:left w:val="none" w:sz="0" w:space="0" w:color="auto"/>
            <w:bottom w:val="none" w:sz="0" w:space="0" w:color="auto"/>
            <w:right w:val="none" w:sz="0" w:space="0" w:color="auto"/>
          </w:divBdr>
        </w:div>
        <w:div w:id="112986326">
          <w:marLeft w:val="0"/>
          <w:marRight w:val="0"/>
          <w:marTop w:val="0"/>
          <w:marBottom w:val="0"/>
          <w:divBdr>
            <w:top w:val="none" w:sz="0" w:space="0" w:color="auto"/>
            <w:left w:val="none" w:sz="0" w:space="0" w:color="auto"/>
            <w:bottom w:val="none" w:sz="0" w:space="0" w:color="auto"/>
            <w:right w:val="none" w:sz="0" w:space="0" w:color="auto"/>
          </w:divBdr>
        </w:div>
        <w:div w:id="132067385">
          <w:marLeft w:val="0"/>
          <w:marRight w:val="0"/>
          <w:marTop w:val="0"/>
          <w:marBottom w:val="0"/>
          <w:divBdr>
            <w:top w:val="none" w:sz="0" w:space="0" w:color="auto"/>
            <w:left w:val="none" w:sz="0" w:space="0" w:color="auto"/>
            <w:bottom w:val="none" w:sz="0" w:space="0" w:color="auto"/>
            <w:right w:val="none" w:sz="0" w:space="0" w:color="auto"/>
          </w:divBdr>
        </w:div>
        <w:div w:id="138038327">
          <w:marLeft w:val="0"/>
          <w:marRight w:val="0"/>
          <w:marTop w:val="0"/>
          <w:marBottom w:val="0"/>
          <w:divBdr>
            <w:top w:val="none" w:sz="0" w:space="0" w:color="auto"/>
            <w:left w:val="none" w:sz="0" w:space="0" w:color="auto"/>
            <w:bottom w:val="none" w:sz="0" w:space="0" w:color="auto"/>
            <w:right w:val="none" w:sz="0" w:space="0" w:color="auto"/>
          </w:divBdr>
        </w:div>
        <w:div w:id="158078351">
          <w:marLeft w:val="0"/>
          <w:marRight w:val="0"/>
          <w:marTop w:val="0"/>
          <w:marBottom w:val="0"/>
          <w:divBdr>
            <w:top w:val="none" w:sz="0" w:space="0" w:color="auto"/>
            <w:left w:val="none" w:sz="0" w:space="0" w:color="auto"/>
            <w:bottom w:val="none" w:sz="0" w:space="0" w:color="auto"/>
            <w:right w:val="none" w:sz="0" w:space="0" w:color="auto"/>
          </w:divBdr>
        </w:div>
        <w:div w:id="189758428">
          <w:marLeft w:val="0"/>
          <w:marRight w:val="0"/>
          <w:marTop w:val="0"/>
          <w:marBottom w:val="0"/>
          <w:divBdr>
            <w:top w:val="none" w:sz="0" w:space="0" w:color="auto"/>
            <w:left w:val="none" w:sz="0" w:space="0" w:color="auto"/>
            <w:bottom w:val="none" w:sz="0" w:space="0" w:color="auto"/>
            <w:right w:val="none" w:sz="0" w:space="0" w:color="auto"/>
          </w:divBdr>
        </w:div>
        <w:div w:id="223109385">
          <w:marLeft w:val="0"/>
          <w:marRight w:val="0"/>
          <w:marTop w:val="0"/>
          <w:marBottom w:val="0"/>
          <w:divBdr>
            <w:top w:val="none" w:sz="0" w:space="0" w:color="auto"/>
            <w:left w:val="none" w:sz="0" w:space="0" w:color="auto"/>
            <w:bottom w:val="none" w:sz="0" w:space="0" w:color="auto"/>
            <w:right w:val="none" w:sz="0" w:space="0" w:color="auto"/>
          </w:divBdr>
        </w:div>
        <w:div w:id="223758475">
          <w:marLeft w:val="0"/>
          <w:marRight w:val="0"/>
          <w:marTop w:val="0"/>
          <w:marBottom w:val="0"/>
          <w:divBdr>
            <w:top w:val="none" w:sz="0" w:space="0" w:color="auto"/>
            <w:left w:val="none" w:sz="0" w:space="0" w:color="auto"/>
            <w:bottom w:val="none" w:sz="0" w:space="0" w:color="auto"/>
            <w:right w:val="none" w:sz="0" w:space="0" w:color="auto"/>
          </w:divBdr>
        </w:div>
        <w:div w:id="224922411">
          <w:marLeft w:val="0"/>
          <w:marRight w:val="0"/>
          <w:marTop w:val="0"/>
          <w:marBottom w:val="0"/>
          <w:divBdr>
            <w:top w:val="none" w:sz="0" w:space="0" w:color="auto"/>
            <w:left w:val="none" w:sz="0" w:space="0" w:color="auto"/>
            <w:bottom w:val="none" w:sz="0" w:space="0" w:color="auto"/>
            <w:right w:val="none" w:sz="0" w:space="0" w:color="auto"/>
          </w:divBdr>
        </w:div>
        <w:div w:id="229579811">
          <w:marLeft w:val="0"/>
          <w:marRight w:val="0"/>
          <w:marTop w:val="0"/>
          <w:marBottom w:val="0"/>
          <w:divBdr>
            <w:top w:val="none" w:sz="0" w:space="0" w:color="auto"/>
            <w:left w:val="none" w:sz="0" w:space="0" w:color="auto"/>
            <w:bottom w:val="none" w:sz="0" w:space="0" w:color="auto"/>
            <w:right w:val="none" w:sz="0" w:space="0" w:color="auto"/>
          </w:divBdr>
        </w:div>
        <w:div w:id="246505261">
          <w:marLeft w:val="0"/>
          <w:marRight w:val="0"/>
          <w:marTop w:val="0"/>
          <w:marBottom w:val="0"/>
          <w:divBdr>
            <w:top w:val="none" w:sz="0" w:space="0" w:color="auto"/>
            <w:left w:val="none" w:sz="0" w:space="0" w:color="auto"/>
            <w:bottom w:val="none" w:sz="0" w:space="0" w:color="auto"/>
            <w:right w:val="none" w:sz="0" w:space="0" w:color="auto"/>
          </w:divBdr>
        </w:div>
        <w:div w:id="278535197">
          <w:marLeft w:val="0"/>
          <w:marRight w:val="0"/>
          <w:marTop w:val="0"/>
          <w:marBottom w:val="0"/>
          <w:divBdr>
            <w:top w:val="none" w:sz="0" w:space="0" w:color="auto"/>
            <w:left w:val="none" w:sz="0" w:space="0" w:color="auto"/>
            <w:bottom w:val="none" w:sz="0" w:space="0" w:color="auto"/>
            <w:right w:val="none" w:sz="0" w:space="0" w:color="auto"/>
          </w:divBdr>
        </w:div>
        <w:div w:id="290333164">
          <w:marLeft w:val="0"/>
          <w:marRight w:val="0"/>
          <w:marTop w:val="0"/>
          <w:marBottom w:val="0"/>
          <w:divBdr>
            <w:top w:val="none" w:sz="0" w:space="0" w:color="auto"/>
            <w:left w:val="none" w:sz="0" w:space="0" w:color="auto"/>
            <w:bottom w:val="none" w:sz="0" w:space="0" w:color="auto"/>
            <w:right w:val="none" w:sz="0" w:space="0" w:color="auto"/>
          </w:divBdr>
        </w:div>
        <w:div w:id="300035018">
          <w:marLeft w:val="0"/>
          <w:marRight w:val="0"/>
          <w:marTop w:val="0"/>
          <w:marBottom w:val="0"/>
          <w:divBdr>
            <w:top w:val="none" w:sz="0" w:space="0" w:color="auto"/>
            <w:left w:val="none" w:sz="0" w:space="0" w:color="auto"/>
            <w:bottom w:val="none" w:sz="0" w:space="0" w:color="auto"/>
            <w:right w:val="none" w:sz="0" w:space="0" w:color="auto"/>
          </w:divBdr>
        </w:div>
        <w:div w:id="300770663">
          <w:marLeft w:val="0"/>
          <w:marRight w:val="0"/>
          <w:marTop w:val="0"/>
          <w:marBottom w:val="0"/>
          <w:divBdr>
            <w:top w:val="none" w:sz="0" w:space="0" w:color="auto"/>
            <w:left w:val="none" w:sz="0" w:space="0" w:color="auto"/>
            <w:bottom w:val="none" w:sz="0" w:space="0" w:color="auto"/>
            <w:right w:val="none" w:sz="0" w:space="0" w:color="auto"/>
          </w:divBdr>
        </w:div>
        <w:div w:id="312492123">
          <w:marLeft w:val="0"/>
          <w:marRight w:val="0"/>
          <w:marTop w:val="0"/>
          <w:marBottom w:val="0"/>
          <w:divBdr>
            <w:top w:val="none" w:sz="0" w:space="0" w:color="auto"/>
            <w:left w:val="none" w:sz="0" w:space="0" w:color="auto"/>
            <w:bottom w:val="none" w:sz="0" w:space="0" w:color="auto"/>
            <w:right w:val="none" w:sz="0" w:space="0" w:color="auto"/>
          </w:divBdr>
        </w:div>
        <w:div w:id="330180633">
          <w:marLeft w:val="0"/>
          <w:marRight w:val="0"/>
          <w:marTop w:val="0"/>
          <w:marBottom w:val="0"/>
          <w:divBdr>
            <w:top w:val="none" w:sz="0" w:space="0" w:color="auto"/>
            <w:left w:val="none" w:sz="0" w:space="0" w:color="auto"/>
            <w:bottom w:val="none" w:sz="0" w:space="0" w:color="auto"/>
            <w:right w:val="none" w:sz="0" w:space="0" w:color="auto"/>
          </w:divBdr>
        </w:div>
        <w:div w:id="339165200">
          <w:marLeft w:val="0"/>
          <w:marRight w:val="0"/>
          <w:marTop w:val="0"/>
          <w:marBottom w:val="0"/>
          <w:divBdr>
            <w:top w:val="none" w:sz="0" w:space="0" w:color="auto"/>
            <w:left w:val="none" w:sz="0" w:space="0" w:color="auto"/>
            <w:bottom w:val="none" w:sz="0" w:space="0" w:color="auto"/>
            <w:right w:val="none" w:sz="0" w:space="0" w:color="auto"/>
          </w:divBdr>
        </w:div>
        <w:div w:id="356466491">
          <w:marLeft w:val="0"/>
          <w:marRight w:val="0"/>
          <w:marTop w:val="0"/>
          <w:marBottom w:val="0"/>
          <w:divBdr>
            <w:top w:val="none" w:sz="0" w:space="0" w:color="auto"/>
            <w:left w:val="none" w:sz="0" w:space="0" w:color="auto"/>
            <w:bottom w:val="none" w:sz="0" w:space="0" w:color="auto"/>
            <w:right w:val="none" w:sz="0" w:space="0" w:color="auto"/>
          </w:divBdr>
        </w:div>
        <w:div w:id="397480061">
          <w:marLeft w:val="0"/>
          <w:marRight w:val="0"/>
          <w:marTop w:val="0"/>
          <w:marBottom w:val="0"/>
          <w:divBdr>
            <w:top w:val="none" w:sz="0" w:space="0" w:color="auto"/>
            <w:left w:val="none" w:sz="0" w:space="0" w:color="auto"/>
            <w:bottom w:val="none" w:sz="0" w:space="0" w:color="auto"/>
            <w:right w:val="none" w:sz="0" w:space="0" w:color="auto"/>
          </w:divBdr>
        </w:div>
        <w:div w:id="419764898">
          <w:marLeft w:val="0"/>
          <w:marRight w:val="0"/>
          <w:marTop w:val="0"/>
          <w:marBottom w:val="0"/>
          <w:divBdr>
            <w:top w:val="none" w:sz="0" w:space="0" w:color="auto"/>
            <w:left w:val="none" w:sz="0" w:space="0" w:color="auto"/>
            <w:bottom w:val="none" w:sz="0" w:space="0" w:color="auto"/>
            <w:right w:val="none" w:sz="0" w:space="0" w:color="auto"/>
          </w:divBdr>
        </w:div>
        <w:div w:id="426003486">
          <w:marLeft w:val="0"/>
          <w:marRight w:val="0"/>
          <w:marTop w:val="0"/>
          <w:marBottom w:val="0"/>
          <w:divBdr>
            <w:top w:val="none" w:sz="0" w:space="0" w:color="auto"/>
            <w:left w:val="none" w:sz="0" w:space="0" w:color="auto"/>
            <w:bottom w:val="none" w:sz="0" w:space="0" w:color="auto"/>
            <w:right w:val="none" w:sz="0" w:space="0" w:color="auto"/>
          </w:divBdr>
        </w:div>
        <w:div w:id="451629687">
          <w:marLeft w:val="0"/>
          <w:marRight w:val="0"/>
          <w:marTop w:val="0"/>
          <w:marBottom w:val="0"/>
          <w:divBdr>
            <w:top w:val="none" w:sz="0" w:space="0" w:color="auto"/>
            <w:left w:val="none" w:sz="0" w:space="0" w:color="auto"/>
            <w:bottom w:val="none" w:sz="0" w:space="0" w:color="auto"/>
            <w:right w:val="none" w:sz="0" w:space="0" w:color="auto"/>
          </w:divBdr>
        </w:div>
        <w:div w:id="499196802">
          <w:marLeft w:val="0"/>
          <w:marRight w:val="0"/>
          <w:marTop w:val="0"/>
          <w:marBottom w:val="0"/>
          <w:divBdr>
            <w:top w:val="none" w:sz="0" w:space="0" w:color="auto"/>
            <w:left w:val="none" w:sz="0" w:space="0" w:color="auto"/>
            <w:bottom w:val="none" w:sz="0" w:space="0" w:color="auto"/>
            <w:right w:val="none" w:sz="0" w:space="0" w:color="auto"/>
          </w:divBdr>
        </w:div>
        <w:div w:id="501824664">
          <w:marLeft w:val="0"/>
          <w:marRight w:val="0"/>
          <w:marTop w:val="0"/>
          <w:marBottom w:val="0"/>
          <w:divBdr>
            <w:top w:val="none" w:sz="0" w:space="0" w:color="auto"/>
            <w:left w:val="none" w:sz="0" w:space="0" w:color="auto"/>
            <w:bottom w:val="none" w:sz="0" w:space="0" w:color="auto"/>
            <w:right w:val="none" w:sz="0" w:space="0" w:color="auto"/>
          </w:divBdr>
        </w:div>
        <w:div w:id="546838735">
          <w:marLeft w:val="0"/>
          <w:marRight w:val="0"/>
          <w:marTop w:val="0"/>
          <w:marBottom w:val="0"/>
          <w:divBdr>
            <w:top w:val="none" w:sz="0" w:space="0" w:color="auto"/>
            <w:left w:val="none" w:sz="0" w:space="0" w:color="auto"/>
            <w:bottom w:val="none" w:sz="0" w:space="0" w:color="auto"/>
            <w:right w:val="none" w:sz="0" w:space="0" w:color="auto"/>
          </w:divBdr>
        </w:div>
        <w:div w:id="558713170">
          <w:marLeft w:val="0"/>
          <w:marRight w:val="0"/>
          <w:marTop w:val="0"/>
          <w:marBottom w:val="0"/>
          <w:divBdr>
            <w:top w:val="none" w:sz="0" w:space="0" w:color="auto"/>
            <w:left w:val="none" w:sz="0" w:space="0" w:color="auto"/>
            <w:bottom w:val="none" w:sz="0" w:space="0" w:color="auto"/>
            <w:right w:val="none" w:sz="0" w:space="0" w:color="auto"/>
          </w:divBdr>
        </w:div>
        <w:div w:id="596133803">
          <w:marLeft w:val="0"/>
          <w:marRight w:val="0"/>
          <w:marTop w:val="0"/>
          <w:marBottom w:val="0"/>
          <w:divBdr>
            <w:top w:val="none" w:sz="0" w:space="0" w:color="auto"/>
            <w:left w:val="none" w:sz="0" w:space="0" w:color="auto"/>
            <w:bottom w:val="none" w:sz="0" w:space="0" w:color="auto"/>
            <w:right w:val="none" w:sz="0" w:space="0" w:color="auto"/>
          </w:divBdr>
        </w:div>
        <w:div w:id="634795834">
          <w:marLeft w:val="0"/>
          <w:marRight w:val="0"/>
          <w:marTop w:val="0"/>
          <w:marBottom w:val="0"/>
          <w:divBdr>
            <w:top w:val="none" w:sz="0" w:space="0" w:color="auto"/>
            <w:left w:val="none" w:sz="0" w:space="0" w:color="auto"/>
            <w:bottom w:val="none" w:sz="0" w:space="0" w:color="auto"/>
            <w:right w:val="none" w:sz="0" w:space="0" w:color="auto"/>
          </w:divBdr>
        </w:div>
        <w:div w:id="664089072">
          <w:marLeft w:val="0"/>
          <w:marRight w:val="0"/>
          <w:marTop w:val="0"/>
          <w:marBottom w:val="0"/>
          <w:divBdr>
            <w:top w:val="none" w:sz="0" w:space="0" w:color="auto"/>
            <w:left w:val="none" w:sz="0" w:space="0" w:color="auto"/>
            <w:bottom w:val="none" w:sz="0" w:space="0" w:color="auto"/>
            <w:right w:val="none" w:sz="0" w:space="0" w:color="auto"/>
          </w:divBdr>
        </w:div>
        <w:div w:id="669259156">
          <w:marLeft w:val="0"/>
          <w:marRight w:val="0"/>
          <w:marTop w:val="0"/>
          <w:marBottom w:val="0"/>
          <w:divBdr>
            <w:top w:val="none" w:sz="0" w:space="0" w:color="auto"/>
            <w:left w:val="none" w:sz="0" w:space="0" w:color="auto"/>
            <w:bottom w:val="none" w:sz="0" w:space="0" w:color="auto"/>
            <w:right w:val="none" w:sz="0" w:space="0" w:color="auto"/>
          </w:divBdr>
        </w:div>
        <w:div w:id="671907396">
          <w:marLeft w:val="0"/>
          <w:marRight w:val="0"/>
          <w:marTop w:val="0"/>
          <w:marBottom w:val="0"/>
          <w:divBdr>
            <w:top w:val="none" w:sz="0" w:space="0" w:color="auto"/>
            <w:left w:val="none" w:sz="0" w:space="0" w:color="auto"/>
            <w:bottom w:val="none" w:sz="0" w:space="0" w:color="auto"/>
            <w:right w:val="none" w:sz="0" w:space="0" w:color="auto"/>
          </w:divBdr>
        </w:div>
        <w:div w:id="739330813">
          <w:marLeft w:val="0"/>
          <w:marRight w:val="0"/>
          <w:marTop w:val="0"/>
          <w:marBottom w:val="0"/>
          <w:divBdr>
            <w:top w:val="none" w:sz="0" w:space="0" w:color="auto"/>
            <w:left w:val="none" w:sz="0" w:space="0" w:color="auto"/>
            <w:bottom w:val="none" w:sz="0" w:space="0" w:color="auto"/>
            <w:right w:val="none" w:sz="0" w:space="0" w:color="auto"/>
          </w:divBdr>
        </w:div>
        <w:div w:id="758601856">
          <w:marLeft w:val="0"/>
          <w:marRight w:val="0"/>
          <w:marTop w:val="0"/>
          <w:marBottom w:val="0"/>
          <w:divBdr>
            <w:top w:val="none" w:sz="0" w:space="0" w:color="auto"/>
            <w:left w:val="none" w:sz="0" w:space="0" w:color="auto"/>
            <w:bottom w:val="none" w:sz="0" w:space="0" w:color="auto"/>
            <w:right w:val="none" w:sz="0" w:space="0" w:color="auto"/>
          </w:divBdr>
        </w:div>
        <w:div w:id="758719540">
          <w:marLeft w:val="0"/>
          <w:marRight w:val="0"/>
          <w:marTop w:val="0"/>
          <w:marBottom w:val="0"/>
          <w:divBdr>
            <w:top w:val="none" w:sz="0" w:space="0" w:color="auto"/>
            <w:left w:val="none" w:sz="0" w:space="0" w:color="auto"/>
            <w:bottom w:val="none" w:sz="0" w:space="0" w:color="auto"/>
            <w:right w:val="none" w:sz="0" w:space="0" w:color="auto"/>
          </w:divBdr>
        </w:div>
        <w:div w:id="799297846">
          <w:marLeft w:val="0"/>
          <w:marRight w:val="0"/>
          <w:marTop w:val="0"/>
          <w:marBottom w:val="0"/>
          <w:divBdr>
            <w:top w:val="none" w:sz="0" w:space="0" w:color="auto"/>
            <w:left w:val="none" w:sz="0" w:space="0" w:color="auto"/>
            <w:bottom w:val="none" w:sz="0" w:space="0" w:color="auto"/>
            <w:right w:val="none" w:sz="0" w:space="0" w:color="auto"/>
          </w:divBdr>
        </w:div>
        <w:div w:id="838622122">
          <w:marLeft w:val="0"/>
          <w:marRight w:val="0"/>
          <w:marTop w:val="0"/>
          <w:marBottom w:val="0"/>
          <w:divBdr>
            <w:top w:val="none" w:sz="0" w:space="0" w:color="auto"/>
            <w:left w:val="none" w:sz="0" w:space="0" w:color="auto"/>
            <w:bottom w:val="none" w:sz="0" w:space="0" w:color="auto"/>
            <w:right w:val="none" w:sz="0" w:space="0" w:color="auto"/>
          </w:divBdr>
        </w:div>
        <w:div w:id="855198193">
          <w:marLeft w:val="0"/>
          <w:marRight w:val="0"/>
          <w:marTop w:val="0"/>
          <w:marBottom w:val="0"/>
          <w:divBdr>
            <w:top w:val="none" w:sz="0" w:space="0" w:color="auto"/>
            <w:left w:val="none" w:sz="0" w:space="0" w:color="auto"/>
            <w:bottom w:val="none" w:sz="0" w:space="0" w:color="auto"/>
            <w:right w:val="none" w:sz="0" w:space="0" w:color="auto"/>
          </w:divBdr>
        </w:div>
        <w:div w:id="859512565">
          <w:marLeft w:val="0"/>
          <w:marRight w:val="0"/>
          <w:marTop w:val="0"/>
          <w:marBottom w:val="0"/>
          <w:divBdr>
            <w:top w:val="none" w:sz="0" w:space="0" w:color="auto"/>
            <w:left w:val="none" w:sz="0" w:space="0" w:color="auto"/>
            <w:bottom w:val="none" w:sz="0" w:space="0" w:color="auto"/>
            <w:right w:val="none" w:sz="0" w:space="0" w:color="auto"/>
          </w:divBdr>
        </w:div>
        <w:div w:id="863785840">
          <w:marLeft w:val="0"/>
          <w:marRight w:val="0"/>
          <w:marTop w:val="0"/>
          <w:marBottom w:val="0"/>
          <w:divBdr>
            <w:top w:val="none" w:sz="0" w:space="0" w:color="auto"/>
            <w:left w:val="none" w:sz="0" w:space="0" w:color="auto"/>
            <w:bottom w:val="none" w:sz="0" w:space="0" w:color="auto"/>
            <w:right w:val="none" w:sz="0" w:space="0" w:color="auto"/>
          </w:divBdr>
        </w:div>
        <w:div w:id="878275102">
          <w:marLeft w:val="0"/>
          <w:marRight w:val="0"/>
          <w:marTop w:val="0"/>
          <w:marBottom w:val="0"/>
          <w:divBdr>
            <w:top w:val="none" w:sz="0" w:space="0" w:color="auto"/>
            <w:left w:val="none" w:sz="0" w:space="0" w:color="auto"/>
            <w:bottom w:val="none" w:sz="0" w:space="0" w:color="auto"/>
            <w:right w:val="none" w:sz="0" w:space="0" w:color="auto"/>
          </w:divBdr>
        </w:div>
        <w:div w:id="901448940">
          <w:marLeft w:val="0"/>
          <w:marRight w:val="0"/>
          <w:marTop w:val="0"/>
          <w:marBottom w:val="0"/>
          <w:divBdr>
            <w:top w:val="none" w:sz="0" w:space="0" w:color="auto"/>
            <w:left w:val="none" w:sz="0" w:space="0" w:color="auto"/>
            <w:bottom w:val="none" w:sz="0" w:space="0" w:color="auto"/>
            <w:right w:val="none" w:sz="0" w:space="0" w:color="auto"/>
          </w:divBdr>
        </w:div>
        <w:div w:id="906887860">
          <w:marLeft w:val="0"/>
          <w:marRight w:val="0"/>
          <w:marTop w:val="0"/>
          <w:marBottom w:val="0"/>
          <w:divBdr>
            <w:top w:val="none" w:sz="0" w:space="0" w:color="auto"/>
            <w:left w:val="none" w:sz="0" w:space="0" w:color="auto"/>
            <w:bottom w:val="none" w:sz="0" w:space="0" w:color="auto"/>
            <w:right w:val="none" w:sz="0" w:space="0" w:color="auto"/>
          </w:divBdr>
        </w:div>
        <w:div w:id="915045244">
          <w:marLeft w:val="0"/>
          <w:marRight w:val="0"/>
          <w:marTop w:val="0"/>
          <w:marBottom w:val="0"/>
          <w:divBdr>
            <w:top w:val="none" w:sz="0" w:space="0" w:color="auto"/>
            <w:left w:val="none" w:sz="0" w:space="0" w:color="auto"/>
            <w:bottom w:val="none" w:sz="0" w:space="0" w:color="auto"/>
            <w:right w:val="none" w:sz="0" w:space="0" w:color="auto"/>
          </w:divBdr>
        </w:div>
        <w:div w:id="916326501">
          <w:marLeft w:val="0"/>
          <w:marRight w:val="0"/>
          <w:marTop w:val="0"/>
          <w:marBottom w:val="0"/>
          <w:divBdr>
            <w:top w:val="none" w:sz="0" w:space="0" w:color="auto"/>
            <w:left w:val="none" w:sz="0" w:space="0" w:color="auto"/>
            <w:bottom w:val="none" w:sz="0" w:space="0" w:color="auto"/>
            <w:right w:val="none" w:sz="0" w:space="0" w:color="auto"/>
          </w:divBdr>
        </w:div>
        <w:div w:id="923341622">
          <w:marLeft w:val="0"/>
          <w:marRight w:val="0"/>
          <w:marTop w:val="0"/>
          <w:marBottom w:val="0"/>
          <w:divBdr>
            <w:top w:val="none" w:sz="0" w:space="0" w:color="auto"/>
            <w:left w:val="none" w:sz="0" w:space="0" w:color="auto"/>
            <w:bottom w:val="none" w:sz="0" w:space="0" w:color="auto"/>
            <w:right w:val="none" w:sz="0" w:space="0" w:color="auto"/>
          </w:divBdr>
        </w:div>
        <w:div w:id="938026405">
          <w:marLeft w:val="0"/>
          <w:marRight w:val="0"/>
          <w:marTop w:val="0"/>
          <w:marBottom w:val="0"/>
          <w:divBdr>
            <w:top w:val="none" w:sz="0" w:space="0" w:color="auto"/>
            <w:left w:val="none" w:sz="0" w:space="0" w:color="auto"/>
            <w:bottom w:val="none" w:sz="0" w:space="0" w:color="auto"/>
            <w:right w:val="none" w:sz="0" w:space="0" w:color="auto"/>
          </w:divBdr>
        </w:div>
        <w:div w:id="951283078">
          <w:marLeft w:val="0"/>
          <w:marRight w:val="0"/>
          <w:marTop w:val="0"/>
          <w:marBottom w:val="0"/>
          <w:divBdr>
            <w:top w:val="none" w:sz="0" w:space="0" w:color="auto"/>
            <w:left w:val="none" w:sz="0" w:space="0" w:color="auto"/>
            <w:bottom w:val="none" w:sz="0" w:space="0" w:color="auto"/>
            <w:right w:val="none" w:sz="0" w:space="0" w:color="auto"/>
          </w:divBdr>
        </w:div>
        <w:div w:id="961154615">
          <w:marLeft w:val="0"/>
          <w:marRight w:val="0"/>
          <w:marTop w:val="0"/>
          <w:marBottom w:val="0"/>
          <w:divBdr>
            <w:top w:val="none" w:sz="0" w:space="0" w:color="auto"/>
            <w:left w:val="none" w:sz="0" w:space="0" w:color="auto"/>
            <w:bottom w:val="none" w:sz="0" w:space="0" w:color="auto"/>
            <w:right w:val="none" w:sz="0" w:space="0" w:color="auto"/>
          </w:divBdr>
        </w:div>
        <w:div w:id="963460499">
          <w:marLeft w:val="0"/>
          <w:marRight w:val="0"/>
          <w:marTop w:val="0"/>
          <w:marBottom w:val="0"/>
          <w:divBdr>
            <w:top w:val="none" w:sz="0" w:space="0" w:color="auto"/>
            <w:left w:val="none" w:sz="0" w:space="0" w:color="auto"/>
            <w:bottom w:val="none" w:sz="0" w:space="0" w:color="auto"/>
            <w:right w:val="none" w:sz="0" w:space="0" w:color="auto"/>
          </w:divBdr>
        </w:div>
        <w:div w:id="985475838">
          <w:marLeft w:val="0"/>
          <w:marRight w:val="0"/>
          <w:marTop w:val="0"/>
          <w:marBottom w:val="0"/>
          <w:divBdr>
            <w:top w:val="none" w:sz="0" w:space="0" w:color="auto"/>
            <w:left w:val="none" w:sz="0" w:space="0" w:color="auto"/>
            <w:bottom w:val="none" w:sz="0" w:space="0" w:color="auto"/>
            <w:right w:val="none" w:sz="0" w:space="0" w:color="auto"/>
          </w:divBdr>
        </w:div>
        <w:div w:id="985822803">
          <w:marLeft w:val="0"/>
          <w:marRight w:val="0"/>
          <w:marTop w:val="0"/>
          <w:marBottom w:val="0"/>
          <w:divBdr>
            <w:top w:val="none" w:sz="0" w:space="0" w:color="auto"/>
            <w:left w:val="none" w:sz="0" w:space="0" w:color="auto"/>
            <w:bottom w:val="none" w:sz="0" w:space="0" w:color="auto"/>
            <w:right w:val="none" w:sz="0" w:space="0" w:color="auto"/>
          </w:divBdr>
        </w:div>
        <w:div w:id="988637361">
          <w:marLeft w:val="0"/>
          <w:marRight w:val="0"/>
          <w:marTop w:val="0"/>
          <w:marBottom w:val="0"/>
          <w:divBdr>
            <w:top w:val="none" w:sz="0" w:space="0" w:color="auto"/>
            <w:left w:val="none" w:sz="0" w:space="0" w:color="auto"/>
            <w:bottom w:val="none" w:sz="0" w:space="0" w:color="auto"/>
            <w:right w:val="none" w:sz="0" w:space="0" w:color="auto"/>
          </w:divBdr>
        </w:div>
        <w:div w:id="1014841424">
          <w:marLeft w:val="0"/>
          <w:marRight w:val="0"/>
          <w:marTop w:val="0"/>
          <w:marBottom w:val="0"/>
          <w:divBdr>
            <w:top w:val="none" w:sz="0" w:space="0" w:color="auto"/>
            <w:left w:val="none" w:sz="0" w:space="0" w:color="auto"/>
            <w:bottom w:val="none" w:sz="0" w:space="0" w:color="auto"/>
            <w:right w:val="none" w:sz="0" w:space="0" w:color="auto"/>
          </w:divBdr>
        </w:div>
        <w:div w:id="1029798733">
          <w:marLeft w:val="0"/>
          <w:marRight w:val="0"/>
          <w:marTop w:val="0"/>
          <w:marBottom w:val="0"/>
          <w:divBdr>
            <w:top w:val="none" w:sz="0" w:space="0" w:color="auto"/>
            <w:left w:val="none" w:sz="0" w:space="0" w:color="auto"/>
            <w:bottom w:val="none" w:sz="0" w:space="0" w:color="auto"/>
            <w:right w:val="none" w:sz="0" w:space="0" w:color="auto"/>
          </w:divBdr>
        </w:div>
        <w:div w:id="1037925127">
          <w:marLeft w:val="0"/>
          <w:marRight w:val="0"/>
          <w:marTop w:val="0"/>
          <w:marBottom w:val="0"/>
          <w:divBdr>
            <w:top w:val="none" w:sz="0" w:space="0" w:color="auto"/>
            <w:left w:val="none" w:sz="0" w:space="0" w:color="auto"/>
            <w:bottom w:val="none" w:sz="0" w:space="0" w:color="auto"/>
            <w:right w:val="none" w:sz="0" w:space="0" w:color="auto"/>
          </w:divBdr>
        </w:div>
        <w:div w:id="1046753768">
          <w:marLeft w:val="0"/>
          <w:marRight w:val="0"/>
          <w:marTop w:val="0"/>
          <w:marBottom w:val="0"/>
          <w:divBdr>
            <w:top w:val="none" w:sz="0" w:space="0" w:color="auto"/>
            <w:left w:val="none" w:sz="0" w:space="0" w:color="auto"/>
            <w:bottom w:val="none" w:sz="0" w:space="0" w:color="auto"/>
            <w:right w:val="none" w:sz="0" w:space="0" w:color="auto"/>
          </w:divBdr>
        </w:div>
        <w:div w:id="1068842548">
          <w:marLeft w:val="0"/>
          <w:marRight w:val="0"/>
          <w:marTop w:val="0"/>
          <w:marBottom w:val="0"/>
          <w:divBdr>
            <w:top w:val="none" w:sz="0" w:space="0" w:color="auto"/>
            <w:left w:val="none" w:sz="0" w:space="0" w:color="auto"/>
            <w:bottom w:val="none" w:sz="0" w:space="0" w:color="auto"/>
            <w:right w:val="none" w:sz="0" w:space="0" w:color="auto"/>
          </w:divBdr>
        </w:div>
        <w:div w:id="1073090400">
          <w:marLeft w:val="0"/>
          <w:marRight w:val="0"/>
          <w:marTop w:val="0"/>
          <w:marBottom w:val="0"/>
          <w:divBdr>
            <w:top w:val="none" w:sz="0" w:space="0" w:color="auto"/>
            <w:left w:val="none" w:sz="0" w:space="0" w:color="auto"/>
            <w:bottom w:val="none" w:sz="0" w:space="0" w:color="auto"/>
            <w:right w:val="none" w:sz="0" w:space="0" w:color="auto"/>
          </w:divBdr>
        </w:div>
        <w:div w:id="1073968668">
          <w:marLeft w:val="0"/>
          <w:marRight w:val="0"/>
          <w:marTop w:val="0"/>
          <w:marBottom w:val="0"/>
          <w:divBdr>
            <w:top w:val="none" w:sz="0" w:space="0" w:color="auto"/>
            <w:left w:val="none" w:sz="0" w:space="0" w:color="auto"/>
            <w:bottom w:val="none" w:sz="0" w:space="0" w:color="auto"/>
            <w:right w:val="none" w:sz="0" w:space="0" w:color="auto"/>
          </w:divBdr>
        </w:div>
        <w:div w:id="1077168746">
          <w:marLeft w:val="0"/>
          <w:marRight w:val="0"/>
          <w:marTop w:val="0"/>
          <w:marBottom w:val="0"/>
          <w:divBdr>
            <w:top w:val="none" w:sz="0" w:space="0" w:color="auto"/>
            <w:left w:val="none" w:sz="0" w:space="0" w:color="auto"/>
            <w:bottom w:val="none" w:sz="0" w:space="0" w:color="auto"/>
            <w:right w:val="none" w:sz="0" w:space="0" w:color="auto"/>
          </w:divBdr>
        </w:div>
        <w:div w:id="1101334166">
          <w:marLeft w:val="0"/>
          <w:marRight w:val="0"/>
          <w:marTop w:val="0"/>
          <w:marBottom w:val="0"/>
          <w:divBdr>
            <w:top w:val="none" w:sz="0" w:space="0" w:color="auto"/>
            <w:left w:val="none" w:sz="0" w:space="0" w:color="auto"/>
            <w:bottom w:val="none" w:sz="0" w:space="0" w:color="auto"/>
            <w:right w:val="none" w:sz="0" w:space="0" w:color="auto"/>
          </w:divBdr>
        </w:div>
        <w:div w:id="1113862316">
          <w:marLeft w:val="0"/>
          <w:marRight w:val="0"/>
          <w:marTop w:val="0"/>
          <w:marBottom w:val="0"/>
          <w:divBdr>
            <w:top w:val="none" w:sz="0" w:space="0" w:color="auto"/>
            <w:left w:val="none" w:sz="0" w:space="0" w:color="auto"/>
            <w:bottom w:val="none" w:sz="0" w:space="0" w:color="auto"/>
            <w:right w:val="none" w:sz="0" w:space="0" w:color="auto"/>
          </w:divBdr>
        </w:div>
        <w:div w:id="1116870189">
          <w:marLeft w:val="0"/>
          <w:marRight w:val="0"/>
          <w:marTop w:val="0"/>
          <w:marBottom w:val="0"/>
          <w:divBdr>
            <w:top w:val="none" w:sz="0" w:space="0" w:color="auto"/>
            <w:left w:val="none" w:sz="0" w:space="0" w:color="auto"/>
            <w:bottom w:val="none" w:sz="0" w:space="0" w:color="auto"/>
            <w:right w:val="none" w:sz="0" w:space="0" w:color="auto"/>
          </w:divBdr>
        </w:div>
        <w:div w:id="1117064884">
          <w:marLeft w:val="0"/>
          <w:marRight w:val="0"/>
          <w:marTop w:val="0"/>
          <w:marBottom w:val="0"/>
          <w:divBdr>
            <w:top w:val="none" w:sz="0" w:space="0" w:color="auto"/>
            <w:left w:val="none" w:sz="0" w:space="0" w:color="auto"/>
            <w:bottom w:val="none" w:sz="0" w:space="0" w:color="auto"/>
            <w:right w:val="none" w:sz="0" w:space="0" w:color="auto"/>
          </w:divBdr>
        </w:div>
        <w:div w:id="1120763120">
          <w:marLeft w:val="0"/>
          <w:marRight w:val="0"/>
          <w:marTop w:val="0"/>
          <w:marBottom w:val="0"/>
          <w:divBdr>
            <w:top w:val="none" w:sz="0" w:space="0" w:color="auto"/>
            <w:left w:val="none" w:sz="0" w:space="0" w:color="auto"/>
            <w:bottom w:val="none" w:sz="0" w:space="0" w:color="auto"/>
            <w:right w:val="none" w:sz="0" w:space="0" w:color="auto"/>
          </w:divBdr>
        </w:div>
        <w:div w:id="1128468837">
          <w:marLeft w:val="0"/>
          <w:marRight w:val="0"/>
          <w:marTop w:val="0"/>
          <w:marBottom w:val="0"/>
          <w:divBdr>
            <w:top w:val="none" w:sz="0" w:space="0" w:color="auto"/>
            <w:left w:val="none" w:sz="0" w:space="0" w:color="auto"/>
            <w:bottom w:val="none" w:sz="0" w:space="0" w:color="auto"/>
            <w:right w:val="none" w:sz="0" w:space="0" w:color="auto"/>
          </w:divBdr>
        </w:div>
        <w:div w:id="1160271404">
          <w:marLeft w:val="0"/>
          <w:marRight w:val="0"/>
          <w:marTop w:val="0"/>
          <w:marBottom w:val="0"/>
          <w:divBdr>
            <w:top w:val="none" w:sz="0" w:space="0" w:color="auto"/>
            <w:left w:val="none" w:sz="0" w:space="0" w:color="auto"/>
            <w:bottom w:val="none" w:sz="0" w:space="0" w:color="auto"/>
            <w:right w:val="none" w:sz="0" w:space="0" w:color="auto"/>
          </w:divBdr>
        </w:div>
        <w:div w:id="1170564768">
          <w:marLeft w:val="0"/>
          <w:marRight w:val="0"/>
          <w:marTop w:val="0"/>
          <w:marBottom w:val="0"/>
          <w:divBdr>
            <w:top w:val="none" w:sz="0" w:space="0" w:color="auto"/>
            <w:left w:val="none" w:sz="0" w:space="0" w:color="auto"/>
            <w:bottom w:val="none" w:sz="0" w:space="0" w:color="auto"/>
            <w:right w:val="none" w:sz="0" w:space="0" w:color="auto"/>
          </w:divBdr>
        </w:div>
        <w:div w:id="1196968285">
          <w:marLeft w:val="0"/>
          <w:marRight w:val="0"/>
          <w:marTop w:val="0"/>
          <w:marBottom w:val="0"/>
          <w:divBdr>
            <w:top w:val="none" w:sz="0" w:space="0" w:color="auto"/>
            <w:left w:val="none" w:sz="0" w:space="0" w:color="auto"/>
            <w:bottom w:val="none" w:sz="0" w:space="0" w:color="auto"/>
            <w:right w:val="none" w:sz="0" w:space="0" w:color="auto"/>
          </w:divBdr>
        </w:div>
        <w:div w:id="1263685145">
          <w:marLeft w:val="0"/>
          <w:marRight w:val="0"/>
          <w:marTop w:val="0"/>
          <w:marBottom w:val="0"/>
          <w:divBdr>
            <w:top w:val="none" w:sz="0" w:space="0" w:color="auto"/>
            <w:left w:val="none" w:sz="0" w:space="0" w:color="auto"/>
            <w:bottom w:val="none" w:sz="0" w:space="0" w:color="auto"/>
            <w:right w:val="none" w:sz="0" w:space="0" w:color="auto"/>
          </w:divBdr>
        </w:div>
        <w:div w:id="1306355916">
          <w:marLeft w:val="0"/>
          <w:marRight w:val="0"/>
          <w:marTop w:val="0"/>
          <w:marBottom w:val="0"/>
          <w:divBdr>
            <w:top w:val="none" w:sz="0" w:space="0" w:color="auto"/>
            <w:left w:val="none" w:sz="0" w:space="0" w:color="auto"/>
            <w:bottom w:val="none" w:sz="0" w:space="0" w:color="auto"/>
            <w:right w:val="none" w:sz="0" w:space="0" w:color="auto"/>
          </w:divBdr>
        </w:div>
        <w:div w:id="1330015681">
          <w:marLeft w:val="0"/>
          <w:marRight w:val="0"/>
          <w:marTop w:val="0"/>
          <w:marBottom w:val="0"/>
          <w:divBdr>
            <w:top w:val="none" w:sz="0" w:space="0" w:color="auto"/>
            <w:left w:val="none" w:sz="0" w:space="0" w:color="auto"/>
            <w:bottom w:val="none" w:sz="0" w:space="0" w:color="auto"/>
            <w:right w:val="none" w:sz="0" w:space="0" w:color="auto"/>
          </w:divBdr>
        </w:div>
        <w:div w:id="1346324091">
          <w:marLeft w:val="0"/>
          <w:marRight w:val="0"/>
          <w:marTop w:val="0"/>
          <w:marBottom w:val="0"/>
          <w:divBdr>
            <w:top w:val="none" w:sz="0" w:space="0" w:color="auto"/>
            <w:left w:val="none" w:sz="0" w:space="0" w:color="auto"/>
            <w:bottom w:val="none" w:sz="0" w:space="0" w:color="auto"/>
            <w:right w:val="none" w:sz="0" w:space="0" w:color="auto"/>
          </w:divBdr>
        </w:div>
        <w:div w:id="1377656988">
          <w:marLeft w:val="0"/>
          <w:marRight w:val="0"/>
          <w:marTop w:val="0"/>
          <w:marBottom w:val="0"/>
          <w:divBdr>
            <w:top w:val="none" w:sz="0" w:space="0" w:color="auto"/>
            <w:left w:val="none" w:sz="0" w:space="0" w:color="auto"/>
            <w:bottom w:val="none" w:sz="0" w:space="0" w:color="auto"/>
            <w:right w:val="none" w:sz="0" w:space="0" w:color="auto"/>
          </w:divBdr>
        </w:div>
        <w:div w:id="1388606332">
          <w:marLeft w:val="0"/>
          <w:marRight w:val="0"/>
          <w:marTop w:val="0"/>
          <w:marBottom w:val="0"/>
          <w:divBdr>
            <w:top w:val="none" w:sz="0" w:space="0" w:color="auto"/>
            <w:left w:val="none" w:sz="0" w:space="0" w:color="auto"/>
            <w:bottom w:val="none" w:sz="0" w:space="0" w:color="auto"/>
            <w:right w:val="none" w:sz="0" w:space="0" w:color="auto"/>
          </w:divBdr>
        </w:div>
        <w:div w:id="1388912558">
          <w:marLeft w:val="0"/>
          <w:marRight w:val="0"/>
          <w:marTop w:val="0"/>
          <w:marBottom w:val="0"/>
          <w:divBdr>
            <w:top w:val="none" w:sz="0" w:space="0" w:color="auto"/>
            <w:left w:val="none" w:sz="0" w:space="0" w:color="auto"/>
            <w:bottom w:val="none" w:sz="0" w:space="0" w:color="auto"/>
            <w:right w:val="none" w:sz="0" w:space="0" w:color="auto"/>
          </w:divBdr>
        </w:div>
        <w:div w:id="1399523281">
          <w:marLeft w:val="0"/>
          <w:marRight w:val="0"/>
          <w:marTop w:val="0"/>
          <w:marBottom w:val="0"/>
          <w:divBdr>
            <w:top w:val="none" w:sz="0" w:space="0" w:color="auto"/>
            <w:left w:val="none" w:sz="0" w:space="0" w:color="auto"/>
            <w:bottom w:val="none" w:sz="0" w:space="0" w:color="auto"/>
            <w:right w:val="none" w:sz="0" w:space="0" w:color="auto"/>
          </w:divBdr>
        </w:div>
        <w:div w:id="1429423926">
          <w:marLeft w:val="0"/>
          <w:marRight w:val="0"/>
          <w:marTop w:val="0"/>
          <w:marBottom w:val="0"/>
          <w:divBdr>
            <w:top w:val="none" w:sz="0" w:space="0" w:color="auto"/>
            <w:left w:val="none" w:sz="0" w:space="0" w:color="auto"/>
            <w:bottom w:val="none" w:sz="0" w:space="0" w:color="auto"/>
            <w:right w:val="none" w:sz="0" w:space="0" w:color="auto"/>
          </w:divBdr>
        </w:div>
        <w:div w:id="1440179104">
          <w:marLeft w:val="0"/>
          <w:marRight w:val="0"/>
          <w:marTop w:val="0"/>
          <w:marBottom w:val="0"/>
          <w:divBdr>
            <w:top w:val="none" w:sz="0" w:space="0" w:color="auto"/>
            <w:left w:val="none" w:sz="0" w:space="0" w:color="auto"/>
            <w:bottom w:val="none" w:sz="0" w:space="0" w:color="auto"/>
            <w:right w:val="none" w:sz="0" w:space="0" w:color="auto"/>
          </w:divBdr>
        </w:div>
        <w:div w:id="1440949219">
          <w:marLeft w:val="0"/>
          <w:marRight w:val="0"/>
          <w:marTop w:val="0"/>
          <w:marBottom w:val="0"/>
          <w:divBdr>
            <w:top w:val="none" w:sz="0" w:space="0" w:color="auto"/>
            <w:left w:val="none" w:sz="0" w:space="0" w:color="auto"/>
            <w:bottom w:val="none" w:sz="0" w:space="0" w:color="auto"/>
            <w:right w:val="none" w:sz="0" w:space="0" w:color="auto"/>
          </w:divBdr>
        </w:div>
        <w:div w:id="1457023868">
          <w:marLeft w:val="0"/>
          <w:marRight w:val="0"/>
          <w:marTop w:val="0"/>
          <w:marBottom w:val="0"/>
          <w:divBdr>
            <w:top w:val="none" w:sz="0" w:space="0" w:color="auto"/>
            <w:left w:val="none" w:sz="0" w:space="0" w:color="auto"/>
            <w:bottom w:val="none" w:sz="0" w:space="0" w:color="auto"/>
            <w:right w:val="none" w:sz="0" w:space="0" w:color="auto"/>
          </w:divBdr>
        </w:div>
        <w:div w:id="1459834290">
          <w:marLeft w:val="0"/>
          <w:marRight w:val="0"/>
          <w:marTop w:val="0"/>
          <w:marBottom w:val="0"/>
          <w:divBdr>
            <w:top w:val="none" w:sz="0" w:space="0" w:color="auto"/>
            <w:left w:val="none" w:sz="0" w:space="0" w:color="auto"/>
            <w:bottom w:val="none" w:sz="0" w:space="0" w:color="auto"/>
            <w:right w:val="none" w:sz="0" w:space="0" w:color="auto"/>
          </w:divBdr>
        </w:div>
        <w:div w:id="1482385802">
          <w:marLeft w:val="0"/>
          <w:marRight w:val="0"/>
          <w:marTop w:val="0"/>
          <w:marBottom w:val="0"/>
          <w:divBdr>
            <w:top w:val="none" w:sz="0" w:space="0" w:color="auto"/>
            <w:left w:val="none" w:sz="0" w:space="0" w:color="auto"/>
            <w:bottom w:val="none" w:sz="0" w:space="0" w:color="auto"/>
            <w:right w:val="none" w:sz="0" w:space="0" w:color="auto"/>
          </w:divBdr>
        </w:div>
        <w:div w:id="1516722112">
          <w:marLeft w:val="0"/>
          <w:marRight w:val="0"/>
          <w:marTop w:val="0"/>
          <w:marBottom w:val="0"/>
          <w:divBdr>
            <w:top w:val="none" w:sz="0" w:space="0" w:color="auto"/>
            <w:left w:val="none" w:sz="0" w:space="0" w:color="auto"/>
            <w:bottom w:val="none" w:sz="0" w:space="0" w:color="auto"/>
            <w:right w:val="none" w:sz="0" w:space="0" w:color="auto"/>
          </w:divBdr>
        </w:div>
        <w:div w:id="1520924017">
          <w:marLeft w:val="0"/>
          <w:marRight w:val="0"/>
          <w:marTop w:val="0"/>
          <w:marBottom w:val="0"/>
          <w:divBdr>
            <w:top w:val="none" w:sz="0" w:space="0" w:color="auto"/>
            <w:left w:val="none" w:sz="0" w:space="0" w:color="auto"/>
            <w:bottom w:val="none" w:sz="0" w:space="0" w:color="auto"/>
            <w:right w:val="none" w:sz="0" w:space="0" w:color="auto"/>
          </w:divBdr>
        </w:div>
        <w:div w:id="1529445098">
          <w:marLeft w:val="0"/>
          <w:marRight w:val="0"/>
          <w:marTop w:val="0"/>
          <w:marBottom w:val="0"/>
          <w:divBdr>
            <w:top w:val="none" w:sz="0" w:space="0" w:color="auto"/>
            <w:left w:val="none" w:sz="0" w:space="0" w:color="auto"/>
            <w:bottom w:val="none" w:sz="0" w:space="0" w:color="auto"/>
            <w:right w:val="none" w:sz="0" w:space="0" w:color="auto"/>
          </w:divBdr>
        </w:div>
        <w:div w:id="1577936612">
          <w:marLeft w:val="0"/>
          <w:marRight w:val="0"/>
          <w:marTop w:val="0"/>
          <w:marBottom w:val="0"/>
          <w:divBdr>
            <w:top w:val="none" w:sz="0" w:space="0" w:color="auto"/>
            <w:left w:val="none" w:sz="0" w:space="0" w:color="auto"/>
            <w:bottom w:val="none" w:sz="0" w:space="0" w:color="auto"/>
            <w:right w:val="none" w:sz="0" w:space="0" w:color="auto"/>
          </w:divBdr>
        </w:div>
        <w:div w:id="1587610024">
          <w:marLeft w:val="0"/>
          <w:marRight w:val="0"/>
          <w:marTop w:val="0"/>
          <w:marBottom w:val="0"/>
          <w:divBdr>
            <w:top w:val="none" w:sz="0" w:space="0" w:color="auto"/>
            <w:left w:val="none" w:sz="0" w:space="0" w:color="auto"/>
            <w:bottom w:val="none" w:sz="0" w:space="0" w:color="auto"/>
            <w:right w:val="none" w:sz="0" w:space="0" w:color="auto"/>
          </w:divBdr>
        </w:div>
        <w:div w:id="1588687190">
          <w:marLeft w:val="0"/>
          <w:marRight w:val="0"/>
          <w:marTop w:val="0"/>
          <w:marBottom w:val="0"/>
          <w:divBdr>
            <w:top w:val="none" w:sz="0" w:space="0" w:color="auto"/>
            <w:left w:val="none" w:sz="0" w:space="0" w:color="auto"/>
            <w:bottom w:val="none" w:sz="0" w:space="0" w:color="auto"/>
            <w:right w:val="none" w:sz="0" w:space="0" w:color="auto"/>
          </w:divBdr>
        </w:div>
        <w:div w:id="1589342921">
          <w:marLeft w:val="0"/>
          <w:marRight w:val="0"/>
          <w:marTop w:val="0"/>
          <w:marBottom w:val="0"/>
          <w:divBdr>
            <w:top w:val="none" w:sz="0" w:space="0" w:color="auto"/>
            <w:left w:val="none" w:sz="0" w:space="0" w:color="auto"/>
            <w:bottom w:val="none" w:sz="0" w:space="0" w:color="auto"/>
            <w:right w:val="none" w:sz="0" w:space="0" w:color="auto"/>
          </w:divBdr>
        </w:div>
        <w:div w:id="1612974760">
          <w:marLeft w:val="0"/>
          <w:marRight w:val="0"/>
          <w:marTop w:val="0"/>
          <w:marBottom w:val="0"/>
          <w:divBdr>
            <w:top w:val="none" w:sz="0" w:space="0" w:color="auto"/>
            <w:left w:val="none" w:sz="0" w:space="0" w:color="auto"/>
            <w:bottom w:val="none" w:sz="0" w:space="0" w:color="auto"/>
            <w:right w:val="none" w:sz="0" w:space="0" w:color="auto"/>
          </w:divBdr>
        </w:div>
        <w:div w:id="1614051436">
          <w:marLeft w:val="0"/>
          <w:marRight w:val="0"/>
          <w:marTop w:val="0"/>
          <w:marBottom w:val="0"/>
          <w:divBdr>
            <w:top w:val="none" w:sz="0" w:space="0" w:color="auto"/>
            <w:left w:val="none" w:sz="0" w:space="0" w:color="auto"/>
            <w:bottom w:val="none" w:sz="0" w:space="0" w:color="auto"/>
            <w:right w:val="none" w:sz="0" w:space="0" w:color="auto"/>
          </w:divBdr>
        </w:div>
        <w:div w:id="1624262536">
          <w:marLeft w:val="0"/>
          <w:marRight w:val="0"/>
          <w:marTop w:val="0"/>
          <w:marBottom w:val="0"/>
          <w:divBdr>
            <w:top w:val="none" w:sz="0" w:space="0" w:color="auto"/>
            <w:left w:val="none" w:sz="0" w:space="0" w:color="auto"/>
            <w:bottom w:val="none" w:sz="0" w:space="0" w:color="auto"/>
            <w:right w:val="none" w:sz="0" w:space="0" w:color="auto"/>
          </w:divBdr>
        </w:div>
        <w:div w:id="1650287892">
          <w:marLeft w:val="0"/>
          <w:marRight w:val="0"/>
          <w:marTop w:val="0"/>
          <w:marBottom w:val="0"/>
          <w:divBdr>
            <w:top w:val="none" w:sz="0" w:space="0" w:color="auto"/>
            <w:left w:val="none" w:sz="0" w:space="0" w:color="auto"/>
            <w:bottom w:val="none" w:sz="0" w:space="0" w:color="auto"/>
            <w:right w:val="none" w:sz="0" w:space="0" w:color="auto"/>
          </w:divBdr>
        </w:div>
        <w:div w:id="1669941801">
          <w:marLeft w:val="0"/>
          <w:marRight w:val="0"/>
          <w:marTop w:val="0"/>
          <w:marBottom w:val="0"/>
          <w:divBdr>
            <w:top w:val="none" w:sz="0" w:space="0" w:color="auto"/>
            <w:left w:val="none" w:sz="0" w:space="0" w:color="auto"/>
            <w:bottom w:val="none" w:sz="0" w:space="0" w:color="auto"/>
            <w:right w:val="none" w:sz="0" w:space="0" w:color="auto"/>
          </w:divBdr>
        </w:div>
        <w:div w:id="1671371920">
          <w:marLeft w:val="0"/>
          <w:marRight w:val="0"/>
          <w:marTop w:val="0"/>
          <w:marBottom w:val="0"/>
          <w:divBdr>
            <w:top w:val="none" w:sz="0" w:space="0" w:color="auto"/>
            <w:left w:val="none" w:sz="0" w:space="0" w:color="auto"/>
            <w:bottom w:val="none" w:sz="0" w:space="0" w:color="auto"/>
            <w:right w:val="none" w:sz="0" w:space="0" w:color="auto"/>
          </w:divBdr>
        </w:div>
        <w:div w:id="1678262260">
          <w:marLeft w:val="0"/>
          <w:marRight w:val="0"/>
          <w:marTop w:val="0"/>
          <w:marBottom w:val="0"/>
          <w:divBdr>
            <w:top w:val="none" w:sz="0" w:space="0" w:color="auto"/>
            <w:left w:val="none" w:sz="0" w:space="0" w:color="auto"/>
            <w:bottom w:val="none" w:sz="0" w:space="0" w:color="auto"/>
            <w:right w:val="none" w:sz="0" w:space="0" w:color="auto"/>
          </w:divBdr>
        </w:div>
        <w:div w:id="1684085236">
          <w:marLeft w:val="0"/>
          <w:marRight w:val="0"/>
          <w:marTop w:val="0"/>
          <w:marBottom w:val="0"/>
          <w:divBdr>
            <w:top w:val="none" w:sz="0" w:space="0" w:color="auto"/>
            <w:left w:val="none" w:sz="0" w:space="0" w:color="auto"/>
            <w:bottom w:val="none" w:sz="0" w:space="0" w:color="auto"/>
            <w:right w:val="none" w:sz="0" w:space="0" w:color="auto"/>
          </w:divBdr>
        </w:div>
        <w:div w:id="1689672251">
          <w:marLeft w:val="0"/>
          <w:marRight w:val="0"/>
          <w:marTop w:val="0"/>
          <w:marBottom w:val="0"/>
          <w:divBdr>
            <w:top w:val="none" w:sz="0" w:space="0" w:color="auto"/>
            <w:left w:val="none" w:sz="0" w:space="0" w:color="auto"/>
            <w:bottom w:val="none" w:sz="0" w:space="0" w:color="auto"/>
            <w:right w:val="none" w:sz="0" w:space="0" w:color="auto"/>
          </w:divBdr>
        </w:div>
        <w:div w:id="1703436461">
          <w:marLeft w:val="0"/>
          <w:marRight w:val="0"/>
          <w:marTop w:val="0"/>
          <w:marBottom w:val="0"/>
          <w:divBdr>
            <w:top w:val="none" w:sz="0" w:space="0" w:color="auto"/>
            <w:left w:val="none" w:sz="0" w:space="0" w:color="auto"/>
            <w:bottom w:val="none" w:sz="0" w:space="0" w:color="auto"/>
            <w:right w:val="none" w:sz="0" w:space="0" w:color="auto"/>
          </w:divBdr>
        </w:div>
        <w:div w:id="1721127083">
          <w:marLeft w:val="0"/>
          <w:marRight w:val="0"/>
          <w:marTop w:val="0"/>
          <w:marBottom w:val="0"/>
          <w:divBdr>
            <w:top w:val="none" w:sz="0" w:space="0" w:color="auto"/>
            <w:left w:val="none" w:sz="0" w:space="0" w:color="auto"/>
            <w:bottom w:val="none" w:sz="0" w:space="0" w:color="auto"/>
            <w:right w:val="none" w:sz="0" w:space="0" w:color="auto"/>
          </w:divBdr>
        </w:div>
        <w:div w:id="1725130652">
          <w:marLeft w:val="0"/>
          <w:marRight w:val="0"/>
          <w:marTop w:val="0"/>
          <w:marBottom w:val="0"/>
          <w:divBdr>
            <w:top w:val="none" w:sz="0" w:space="0" w:color="auto"/>
            <w:left w:val="none" w:sz="0" w:space="0" w:color="auto"/>
            <w:bottom w:val="none" w:sz="0" w:space="0" w:color="auto"/>
            <w:right w:val="none" w:sz="0" w:space="0" w:color="auto"/>
          </w:divBdr>
        </w:div>
        <w:div w:id="1741292075">
          <w:marLeft w:val="0"/>
          <w:marRight w:val="0"/>
          <w:marTop w:val="0"/>
          <w:marBottom w:val="0"/>
          <w:divBdr>
            <w:top w:val="none" w:sz="0" w:space="0" w:color="auto"/>
            <w:left w:val="none" w:sz="0" w:space="0" w:color="auto"/>
            <w:bottom w:val="none" w:sz="0" w:space="0" w:color="auto"/>
            <w:right w:val="none" w:sz="0" w:space="0" w:color="auto"/>
          </w:divBdr>
        </w:div>
        <w:div w:id="1743403535">
          <w:marLeft w:val="0"/>
          <w:marRight w:val="0"/>
          <w:marTop w:val="0"/>
          <w:marBottom w:val="0"/>
          <w:divBdr>
            <w:top w:val="none" w:sz="0" w:space="0" w:color="auto"/>
            <w:left w:val="none" w:sz="0" w:space="0" w:color="auto"/>
            <w:bottom w:val="none" w:sz="0" w:space="0" w:color="auto"/>
            <w:right w:val="none" w:sz="0" w:space="0" w:color="auto"/>
          </w:divBdr>
        </w:div>
        <w:div w:id="1758166025">
          <w:marLeft w:val="0"/>
          <w:marRight w:val="0"/>
          <w:marTop w:val="0"/>
          <w:marBottom w:val="0"/>
          <w:divBdr>
            <w:top w:val="none" w:sz="0" w:space="0" w:color="auto"/>
            <w:left w:val="none" w:sz="0" w:space="0" w:color="auto"/>
            <w:bottom w:val="none" w:sz="0" w:space="0" w:color="auto"/>
            <w:right w:val="none" w:sz="0" w:space="0" w:color="auto"/>
          </w:divBdr>
        </w:div>
        <w:div w:id="1793399696">
          <w:marLeft w:val="0"/>
          <w:marRight w:val="0"/>
          <w:marTop w:val="0"/>
          <w:marBottom w:val="0"/>
          <w:divBdr>
            <w:top w:val="none" w:sz="0" w:space="0" w:color="auto"/>
            <w:left w:val="none" w:sz="0" w:space="0" w:color="auto"/>
            <w:bottom w:val="none" w:sz="0" w:space="0" w:color="auto"/>
            <w:right w:val="none" w:sz="0" w:space="0" w:color="auto"/>
          </w:divBdr>
        </w:div>
        <w:div w:id="1799295001">
          <w:marLeft w:val="0"/>
          <w:marRight w:val="0"/>
          <w:marTop w:val="0"/>
          <w:marBottom w:val="0"/>
          <w:divBdr>
            <w:top w:val="none" w:sz="0" w:space="0" w:color="auto"/>
            <w:left w:val="none" w:sz="0" w:space="0" w:color="auto"/>
            <w:bottom w:val="none" w:sz="0" w:space="0" w:color="auto"/>
            <w:right w:val="none" w:sz="0" w:space="0" w:color="auto"/>
          </w:divBdr>
        </w:div>
        <w:div w:id="1833527887">
          <w:marLeft w:val="0"/>
          <w:marRight w:val="0"/>
          <w:marTop w:val="0"/>
          <w:marBottom w:val="0"/>
          <w:divBdr>
            <w:top w:val="none" w:sz="0" w:space="0" w:color="auto"/>
            <w:left w:val="none" w:sz="0" w:space="0" w:color="auto"/>
            <w:bottom w:val="none" w:sz="0" w:space="0" w:color="auto"/>
            <w:right w:val="none" w:sz="0" w:space="0" w:color="auto"/>
          </w:divBdr>
        </w:div>
        <w:div w:id="1844933455">
          <w:marLeft w:val="0"/>
          <w:marRight w:val="0"/>
          <w:marTop w:val="0"/>
          <w:marBottom w:val="0"/>
          <w:divBdr>
            <w:top w:val="none" w:sz="0" w:space="0" w:color="auto"/>
            <w:left w:val="none" w:sz="0" w:space="0" w:color="auto"/>
            <w:bottom w:val="none" w:sz="0" w:space="0" w:color="auto"/>
            <w:right w:val="none" w:sz="0" w:space="0" w:color="auto"/>
          </w:divBdr>
        </w:div>
        <w:div w:id="1845390814">
          <w:marLeft w:val="0"/>
          <w:marRight w:val="0"/>
          <w:marTop w:val="0"/>
          <w:marBottom w:val="0"/>
          <w:divBdr>
            <w:top w:val="none" w:sz="0" w:space="0" w:color="auto"/>
            <w:left w:val="none" w:sz="0" w:space="0" w:color="auto"/>
            <w:bottom w:val="none" w:sz="0" w:space="0" w:color="auto"/>
            <w:right w:val="none" w:sz="0" w:space="0" w:color="auto"/>
          </w:divBdr>
        </w:div>
        <w:div w:id="1861121307">
          <w:marLeft w:val="0"/>
          <w:marRight w:val="0"/>
          <w:marTop w:val="0"/>
          <w:marBottom w:val="0"/>
          <w:divBdr>
            <w:top w:val="none" w:sz="0" w:space="0" w:color="auto"/>
            <w:left w:val="none" w:sz="0" w:space="0" w:color="auto"/>
            <w:bottom w:val="none" w:sz="0" w:space="0" w:color="auto"/>
            <w:right w:val="none" w:sz="0" w:space="0" w:color="auto"/>
          </w:divBdr>
        </w:div>
        <w:div w:id="1880974819">
          <w:marLeft w:val="0"/>
          <w:marRight w:val="0"/>
          <w:marTop w:val="0"/>
          <w:marBottom w:val="0"/>
          <w:divBdr>
            <w:top w:val="none" w:sz="0" w:space="0" w:color="auto"/>
            <w:left w:val="none" w:sz="0" w:space="0" w:color="auto"/>
            <w:bottom w:val="none" w:sz="0" w:space="0" w:color="auto"/>
            <w:right w:val="none" w:sz="0" w:space="0" w:color="auto"/>
          </w:divBdr>
        </w:div>
        <w:div w:id="1916235999">
          <w:marLeft w:val="0"/>
          <w:marRight w:val="0"/>
          <w:marTop w:val="0"/>
          <w:marBottom w:val="0"/>
          <w:divBdr>
            <w:top w:val="none" w:sz="0" w:space="0" w:color="auto"/>
            <w:left w:val="none" w:sz="0" w:space="0" w:color="auto"/>
            <w:bottom w:val="none" w:sz="0" w:space="0" w:color="auto"/>
            <w:right w:val="none" w:sz="0" w:space="0" w:color="auto"/>
          </w:divBdr>
        </w:div>
        <w:div w:id="1928417838">
          <w:marLeft w:val="0"/>
          <w:marRight w:val="0"/>
          <w:marTop w:val="0"/>
          <w:marBottom w:val="0"/>
          <w:divBdr>
            <w:top w:val="none" w:sz="0" w:space="0" w:color="auto"/>
            <w:left w:val="none" w:sz="0" w:space="0" w:color="auto"/>
            <w:bottom w:val="none" w:sz="0" w:space="0" w:color="auto"/>
            <w:right w:val="none" w:sz="0" w:space="0" w:color="auto"/>
          </w:divBdr>
        </w:div>
        <w:div w:id="1936358927">
          <w:marLeft w:val="0"/>
          <w:marRight w:val="0"/>
          <w:marTop w:val="0"/>
          <w:marBottom w:val="0"/>
          <w:divBdr>
            <w:top w:val="none" w:sz="0" w:space="0" w:color="auto"/>
            <w:left w:val="none" w:sz="0" w:space="0" w:color="auto"/>
            <w:bottom w:val="none" w:sz="0" w:space="0" w:color="auto"/>
            <w:right w:val="none" w:sz="0" w:space="0" w:color="auto"/>
          </w:divBdr>
        </w:div>
        <w:div w:id="1948803561">
          <w:marLeft w:val="0"/>
          <w:marRight w:val="0"/>
          <w:marTop w:val="0"/>
          <w:marBottom w:val="0"/>
          <w:divBdr>
            <w:top w:val="none" w:sz="0" w:space="0" w:color="auto"/>
            <w:left w:val="none" w:sz="0" w:space="0" w:color="auto"/>
            <w:bottom w:val="none" w:sz="0" w:space="0" w:color="auto"/>
            <w:right w:val="none" w:sz="0" w:space="0" w:color="auto"/>
          </w:divBdr>
        </w:div>
        <w:div w:id="1961260929">
          <w:marLeft w:val="0"/>
          <w:marRight w:val="0"/>
          <w:marTop w:val="0"/>
          <w:marBottom w:val="0"/>
          <w:divBdr>
            <w:top w:val="none" w:sz="0" w:space="0" w:color="auto"/>
            <w:left w:val="none" w:sz="0" w:space="0" w:color="auto"/>
            <w:bottom w:val="none" w:sz="0" w:space="0" w:color="auto"/>
            <w:right w:val="none" w:sz="0" w:space="0" w:color="auto"/>
          </w:divBdr>
        </w:div>
        <w:div w:id="1989892931">
          <w:marLeft w:val="0"/>
          <w:marRight w:val="0"/>
          <w:marTop w:val="0"/>
          <w:marBottom w:val="0"/>
          <w:divBdr>
            <w:top w:val="none" w:sz="0" w:space="0" w:color="auto"/>
            <w:left w:val="none" w:sz="0" w:space="0" w:color="auto"/>
            <w:bottom w:val="none" w:sz="0" w:space="0" w:color="auto"/>
            <w:right w:val="none" w:sz="0" w:space="0" w:color="auto"/>
          </w:divBdr>
        </w:div>
        <w:div w:id="2031103643">
          <w:marLeft w:val="0"/>
          <w:marRight w:val="0"/>
          <w:marTop w:val="0"/>
          <w:marBottom w:val="0"/>
          <w:divBdr>
            <w:top w:val="none" w:sz="0" w:space="0" w:color="auto"/>
            <w:left w:val="none" w:sz="0" w:space="0" w:color="auto"/>
            <w:bottom w:val="none" w:sz="0" w:space="0" w:color="auto"/>
            <w:right w:val="none" w:sz="0" w:space="0" w:color="auto"/>
          </w:divBdr>
        </w:div>
        <w:div w:id="2047291978">
          <w:marLeft w:val="0"/>
          <w:marRight w:val="0"/>
          <w:marTop w:val="0"/>
          <w:marBottom w:val="0"/>
          <w:divBdr>
            <w:top w:val="none" w:sz="0" w:space="0" w:color="auto"/>
            <w:left w:val="none" w:sz="0" w:space="0" w:color="auto"/>
            <w:bottom w:val="none" w:sz="0" w:space="0" w:color="auto"/>
            <w:right w:val="none" w:sz="0" w:space="0" w:color="auto"/>
          </w:divBdr>
        </w:div>
        <w:div w:id="2081362161">
          <w:marLeft w:val="0"/>
          <w:marRight w:val="0"/>
          <w:marTop w:val="0"/>
          <w:marBottom w:val="0"/>
          <w:divBdr>
            <w:top w:val="none" w:sz="0" w:space="0" w:color="auto"/>
            <w:left w:val="none" w:sz="0" w:space="0" w:color="auto"/>
            <w:bottom w:val="none" w:sz="0" w:space="0" w:color="auto"/>
            <w:right w:val="none" w:sz="0" w:space="0" w:color="auto"/>
          </w:divBdr>
        </w:div>
        <w:div w:id="2082438508">
          <w:marLeft w:val="0"/>
          <w:marRight w:val="0"/>
          <w:marTop w:val="0"/>
          <w:marBottom w:val="0"/>
          <w:divBdr>
            <w:top w:val="none" w:sz="0" w:space="0" w:color="auto"/>
            <w:left w:val="none" w:sz="0" w:space="0" w:color="auto"/>
            <w:bottom w:val="none" w:sz="0" w:space="0" w:color="auto"/>
            <w:right w:val="none" w:sz="0" w:space="0" w:color="auto"/>
          </w:divBdr>
        </w:div>
        <w:div w:id="2086762195">
          <w:marLeft w:val="0"/>
          <w:marRight w:val="0"/>
          <w:marTop w:val="0"/>
          <w:marBottom w:val="0"/>
          <w:divBdr>
            <w:top w:val="none" w:sz="0" w:space="0" w:color="auto"/>
            <w:left w:val="none" w:sz="0" w:space="0" w:color="auto"/>
            <w:bottom w:val="none" w:sz="0" w:space="0" w:color="auto"/>
            <w:right w:val="none" w:sz="0" w:space="0" w:color="auto"/>
          </w:divBdr>
        </w:div>
        <w:div w:id="2092384593">
          <w:marLeft w:val="0"/>
          <w:marRight w:val="0"/>
          <w:marTop w:val="0"/>
          <w:marBottom w:val="0"/>
          <w:divBdr>
            <w:top w:val="none" w:sz="0" w:space="0" w:color="auto"/>
            <w:left w:val="none" w:sz="0" w:space="0" w:color="auto"/>
            <w:bottom w:val="none" w:sz="0" w:space="0" w:color="auto"/>
            <w:right w:val="none" w:sz="0" w:space="0" w:color="auto"/>
          </w:divBdr>
        </w:div>
      </w:divsChild>
    </w:div>
    <w:div w:id="773286199">
      <w:bodyDiv w:val="1"/>
      <w:marLeft w:val="0"/>
      <w:marRight w:val="0"/>
      <w:marTop w:val="0"/>
      <w:marBottom w:val="0"/>
      <w:divBdr>
        <w:top w:val="none" w:sz="0" w:space="0" w:color="auto"/>
        <w:left w:val="none" w:sz="0" w:space="0" w:color="auto"/>
        <w:bottom w:val="none" w:sz="0" w:space="0" w:color="auto"/>
        <w:right w:val="none" w:sz="0" w:space="0" w:color="auto"/>
      </w:divBdr>
    </w:div>
    <w:div w:id="126484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url/view.php?id=19672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odle.uwtsd.ac.uk/mod/url/view.php?id=223352"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gitalcommons.macalester.edu/classicsjourna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kb.osu.edu/dspace/bitstream/handle/1811/34379/Liveley_Book4CD.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oodle.uwtsd.ac.uk/mod/url/view.php?id=19736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E423B-8B6A-4D8E-B46E-60EAC3CFC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2475</Words>
  <Characters>14111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Greene</dc:creator>
  <cp:keywords/>
  <dc:description/>
  <cp:lastModifiedBy>Kevin Greene</cp:lastModifiedBy>
  <cp:revision>2</cp:revision>
  <dcterms:created xsi:type="dcterms:W3CDTF">2019-12-01T23:22:00Z</dcterms:created>
  <dcterms:modified xsi:type="dcterms:W3CDTF">2019-12-01T23:22:00Z</dcterms:modified>
</cp:coreProperties>
</file>