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hAnsiTheme="majorBidi" w:cstheme="majorBidi"/>
          <w:color w:val="000000" w:themeColor="text1"/>
          <w:sz w:val="24"/>
          <w:szCs w:val="24"/>
        </w:rPr>
        <w:id w:val="-1382542774"/>
        <w:docPartObj>
          <w:docPartGallery w:val="Cover Pages"/>
          <w:docPartUnique/>
        </w:docPartObj>
      </w:sdtPr>
      <w:sdtContent>
        <w:p w14:paraId="2E817064" w14:textId="50D3CE39" w:rsidR="00654523" w:rsidRPr="00566F3E" w:rsidRDefault="00654523" w:rsidP="00566F3E">
          <w:pPr>
            <w:pStyle w:val="NoSpacing"/>
            <w:spacing w:before="1540" w:after="240" w:line="360" w:lineRule="auto"/>
            <w:jc w:val="center"/>
            <w:rPr>
              <w:rFonts w:asciiTheme="majorBidi" w:hAnsiTheme="majorBidi" w:cstheme="majorBidi"/>
              <w:b/>
              <w:bCs/>
              <w:color w:val="000000" w:themeColor="text1"/>
              <w:sz w:val="32"/>
              <w:szCs w:val="32"/>
            </w:rPr>
          </w:pPr>
          <w:r w:rsidRPr="00566F3E">
            <w:rPr>
              <w:rFonts w:asciiTheme="majorBidi" w:hAnsiTheme="majorBidi" w:cstheme="majorBidi"/>
              <w:b/>
              <w:bCs/>
              <w:noProof/>
              <w:color w:val="000000" w:themeColor="text1"/>
              <w:sz w:val="32"/>
              <w:szCs w:val="32"/>
            </w:rPr>
            <w:drawing>
              <wp:inline distT="0" distB="0" distL="0" distR="0" wp14:anchorId="689B3A2B" wp14:editId="7041B786">
                <wp:extent cx="1981200" cy="798491"/>
                <wp:effectExtent l="0" t="0" r="0" b="1905"/>
                <wp:docPr id="1233659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59677" name=""/>
                        <pic:cNvPicPr/>
                      </pic:nvPicPr>
                      <pic:blipFill>
                        <a:blip r:embed="rId6"/>
                        <a:stretch>
                          <a:fillRect/>
                        </a:stretch>
                      </pic:blipFill>
                      <pic:spPr>
                        <a:xfrm>
                          <a:off x="0" y="0"/>
                          <a:ext cx="1992156" cy="802907"/>
                        </a:xfrm>
                        <a:prstGeom prst="rect">
                          <a:avLst/>
                        </a:prstGeom>
                      </pic:spPr>
                    </pic:pic>
                  </a:graphicData>
                </a:graphic>
              </wp:inline>
            </w:drawing>
          </w:r>
        </w:p>
        <w:p w14:paraId="77FD8D3A" w14:textId="77777777" w:rsidR="00566F3E" w:rsidRP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Assessment Component 1: Individual Report</w:t>
          </w:r>
          <w:r w:rsidRPr="00566F3E">
            <w:rPr>
              <w:rFonts w:asciiTheme="majorBidi" w:eastAsia="Times New Roman" w:hAnsiTheme="majorBidi"/>
              <w:b/>
              <w:bCs/>
              <w:color w:val="000000" w:themeColor="text1"/>
              <w:sz w:val="32"/>
              <w:szCs w:val="32"/>
              <w:lang w:eastAsia="en-GB"/>
            </w:rPr>
            <w:br/>
            <w:t>Designing a Human Capital Architecture for Strategic Renewal</w:t>
          </w:r>
        </w:p>
        <w:p w14:paraId="551FF117" w14:textId="77777777" w:rsidR="00566F3E" w:rsidRP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Scenario Organisation: Helios Urban Mobility</w:t>
          </w:r>
        </w:p>
        <w:p w14:paraId="6115520A" w14:textId="77777777" w:rsidR="00AD6E46"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Student Name: Rahul Jaymalbhai Modhwadiya</w:t>
          </w:r>
        </w:p>
        <w:p w14:paraId="171ACFE3" w14:textId="3E05BC68" w:rsidR="00566F3E" w:rsidRPr="00566F3E" w:rsidRDefault="00AD6E46" w:rsidP="00566F3E">
          <w:pPr>
            <w:pStyle w:val="Title"/>
            <w:spacing w:line="360" w:lineRule="auto"/>
            <w:rPr>
              <w:rFonts w:asciiTheme="majorBidi" w:eastAsia="Times New Roman" w:hAnsiTheme="majorBidi"/>
              <w:b/>
              <w:bCs/>
              <w:color w:val="000000" w:themeColor="text1"/>
              <w:sz w:val="32"/>
              <w:szCs w:val="32"/>
              <w:lang w:eastAsia="en-GB"/>
            </w:rPr>
          </w:pPr>
          <w:r>
            <w:rPr>
              <w:rFonts w:asciiTheme="majorBidi" w:eastAsia="Times New Roman" w:hAnsiTheme="majorBidi"/>
              <w:b/>
              <w:bCs/>
              <w:color w:val="000000" w:themeColor="text1"/>
              <w:sz w:val="32"/>
              <w:szCs w:val="32"/>
              <w:lang w:eastAsia="en-GB"/>
            </w:rPr>
            <w:t xml:space="preserve">Professor: </w:t>
          </w:r>
          <w:r w:rsidRPr="00AD6E46">
            <w:rPr>
              <w:rFonts w:asciiTheme="majorBidi" w:eastAsia="Times New Roman" w:hAnsiTheme="majorBidi"/>
              <w:b/>
              <w:bCs/>
              <w:color w:val="000000" w:themeColor="text1"/>
              <w:sz w:val="32"/>
              <w:szCs w:val="32"/>
              <w:lang w:eastAsia="en-GB"/>
            </w:rPr>
            <w:t>Eno Maycock</w:t>
          </w:r>
          <w:r w:rsidR="00566F3E" w:rsidRPr="00566F3E">
            <w:rPr>
              <w:rFonts w:asciiTheme="majorBidi" w:eastAsia="Times New Roman" w:hAnsiTheme="majorBidi"/>
              <w:b/>
              <w:bCs/>
              <w:color w:val="000000" w:themeColor="text1"/>
              <w:sz w:val="32"/>
              <w:szCs w:val="32"/>
              <w:lang w:eastAsia="en-GB"/>
            </w:rPr>
            <w:br/>
            <w:t>Student ID Number: 2539629</w:t>
          </w:r>
        </w:p>
        <w:p w14:paraId="7AA6016A" w14:textId="19FC5EB2" w:rsidR="00566F3E" w:rsidRDefault="00566F3E" w:rsidP="00566F3E">
          <w:pPr>
            <w:pStyle w:val="Title"/>
            <w:spacing w:line="360" w:lineRule="auto"/>
            <w:rPr>
              <w:rFonts w:asciiTheme="majorBidi" w:eastAsia="Times New Roman" w:hAnsiTheme="majorBidi"/>
              <w:b/>
              <w:bCs/>
              <w:color w:val="000000" w:themeColor="text1"/>
              <w:sz w:val="32"/>
              <w:szCs w:val="32"/>
              <w:lang w:eastAsia="en-GB"/>
            </w:rPr>
          </w:pPr>
          <w:r w:rsidRPr="00566F3E">
            <w:rPr>
              <w:rFonts w:asciiTheme="majorBidi" w:eastAsia="Times New Roman" w:hAnsiTheme="majorBidi"/>
              <w:b/>
              <w:bCs/>
              <w:color w:val="000000" w:themeColor="text1"/>
              <w:sz w:val="32"/>
              <w:szCs w:val="32"/>
              <w:lang w:eastAsia="en-GB"/>
            </w:rPr>
            <w:t>Word Count: 2640 words</w:t>
          </w:r>
          <w:r w:rsidRPr="00566F3E">
            <w:rPr>
              <w:rFonts w:asciiTheme="majorBidi" w:eastAsia="Times New Roman" w:hAnsiTheme="majorBidi"/>
              <w:b/>
              <w:bCs/>
              <w:color w:val="000000" w:themeColor="text1"/>
              <w:sz w:val="32"/>
              <w:szCs w:val="32"/>
              <w:lang w:eastAsia="en-GB"/>
            </w:rPr>
            <w:br/>
            <w:t>Submission Deadline: Friday 19th June 2026, 2:00 pm</w:t>
          </w:r>
        </w:p>
        <w:p w14:paraId="7106B466" w14:textId="753068BA" w:rsidR="009B2457" w:rsidRPr="009B2457" w:rsidRDefault="009B2457" w:rsidP="009B2457">
          <w:pPr>
            <w:jc w:val="center"/>
            <w:rPr>
              <w:lang w:eastAsia="en-GB"/>
            </w:rPr>
          </w:pPr>
        </w:p>
        <w:p w14:paraId="100F8094" w14:textId="77777777" w:rsidR="00654523" w:rsidRPr="00566F3E" w:rsidRDefault="00654523" w:rsidP="00566F3E">
          <w:pPr>
            <w:pStyle w:val="NoSpacing"/>
            <w:spacing w:before="1540" w:after="240" w:line="360" w:lineRule="auto"/>
            <w:jc w:val="both"/>
            <w:rPr>
              <w:rFonts w:asciiTheme="majorBidi" w:hAnsiTheme="majorBidi" w:cstheme="majorBidi"/>
              <w:color w:val="000000" w:themeColor="text1"/>
              <w:sz w:val="24"/>
              <w:szCs w:val="24"/>
            </w:rPr>
          </w:pPr>
        </w:p>
        <w:p w14:paraId="67D92F52" w14:textId="77777777" w:rsidR="00654523" w:rsidRPr="00566F3E" w:rsidRDefault="00654523" w:rsidP="00566F3E">
          <w:pPr>
            <w:pStyle w:val="NoSpacing"/>
            <w:spacing w:before="1540" w:after="240" w:line="360" w:lineRule="auto"/>
            <w:jc w:val="both"/>
            <w:rPr>
              <w:rFonts w:asciiTheme="majorBidi" w:hAnsiTheme="majorBidi" w:cstheme="majorBidi"/>
              <w:color w:val="000000" w:themeColor="text1"/>
              <w:sz w:val="24"/>
              <w:szCs w:val="24"/>
            </w:rPr>
          </w:pPr>
        </w:p>
        <w:p w14:paraId="2A62ADCE" w14:textId="77777777" w:rsidR="00566F3E" w:rsidRPr="00566F3E" w:rsidRDefault="00566F3E" w:rsidP="00566F3E">
          <w:pPr>
            <w:spacing w:line="360" w:lineRule="auto"/>
            <w:jc w:val="both"/>
            <w:rPr>
              <w:rFonts w:asciiTheme="majorBidi" w:hAnsiTheme="majorBidi" w:cstheme="majorBidi"/>
              <w:color w:val="000000" w:themeColor="text1"/>
              <w:sz w:val="24"/>
              <w:szCs w:val="24"/>
            </w:rPr>
          </w:pPr>
        </w:p>
        <w:p w14:paraId="0E077A48" w14:textId="77777777" w:rsidR="00566F3E" w:rsidRPr="00566F3E" w:rsidRDefault="00566F3E" w:rsidP="009B2457">
          <w:pPr>
            <w:spacing w:line="360" w:lineRule="auto"/>
            <w:ind w:firstLine="0"/>
            <w:jc w:val="both"/>
            <w:rPr>
              <w:rFonts w:asciiTheme="majorBidi" w:hAnsiTheme="majorBidi" w:cstheme="majorBidi"/>
              <w:color w:val="000000" w:themeColor="text1"/>
              <w:sz w:val="24"/>
              <w:szCs w:val="24"/>
            </w:rPr>
          </w:pPr>
        </w:p>
        <w:sdt>
          <w:sdtPr>
            <w:rPr>
              <w:rFonts w:asciiTheme="minorHAnsi" w:eastAsiaTheme="minorEastAsia" w:hAnsiTheme="minorHAnsi" w:cstheme="minorBidi"/>
              <w:b w:val="0"/>
              <w:bCs w:val="0"/>
              <w:color w:val="auto"/>
              <w:sz w:val="24"/>
              <w:szCs w:val="24"/>
            </w:rPr>
            <w:id w:val="1848672598"/>
            <w:docPartObj>
              <w:docPartGallery w:val="Table of Contents"/>
              <w:docPartUnique/>
            </w:docPartObj>
          </w:sdtPr>
          <w:sdtEndPr>
            <w:rPr>
              <w:noProof/>
            </w:rPr>
          </w:sdtEndPr>
          <w:sdtContent>
            <w:p w14:paraId="684AF849" w14:textId="5C11EF5C" w:rsidR="00566F3E" w:rsidRPr="00566F3E" w:rsidRDefault="00566F3E" w:rsidP="00566F3E">
              <w:pPr>
                <w:pStyle w:val="TOCHeading"/>
                <w:numPr>
                  <w:ilvl w:val="0"/>
                  <w:numId w:val="0"/>
                </w:numPr>
                <w:ind w:left="432" w:hanging="432"/>
                <w:rPr>
                  <w:sz w:val="24"/>
                  <w:szCs w:val="24"/>
                </w:rPr>
              </w:pPr>
              <w:r w:rsidRPr="00566F3E">
                <w:rPr>
                  <w:sz w:val="24"/>
                  <w:szCs w:val="24"/>
                </w:rPr>
                <w:t>Table of Contents</w:t>
              </w:r>
            </w:p>
            <w:p w14:paraId="4B54B7CE" w14:textId="5FED920E"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r w:rsidRPr="00566F3E">
                <w:rPr>
                  <w:rFonts w:asciiTheme="majorBidi" w:hAnsiTheme="majorBidi" w:cstheme="majorBidi"/>
                  <w:b w:val="0"/>
                  <w:bCs w:val="0"/>
                  <w:color w:val="000000" w:themeColor="text1"/>
                  <w:szCs w:val="24"/>
                </w:rPr>
                <w:fldChar w:fldCharType="begin"/>
              </w:r>
              <w:r w:rsidRPr="00566F3E">
                <w:rPr>
                  <w:rFonts w:asciiTheme="majorBidi" w:hAnsiTheme="majorBidi" w:cstheme="majorBidi"/>
                  <w:color w:val="000000" w:themeColor="text1"/>
                  <w:szCs w:val="24"/>
                </w:rPr>
                <w:instrText xml:space="preserve"> TOC \o "1-3" \h \z \u </w:instrText>
              </w:r>
              <w:r w:rsidRPr="00566F3E">
                <w:rPr>
                  <w:rFonts w:asciiTheme="majorBidi" w:hAnsiTheme="majorBidi" w:cstheme="majorBidi"/>
                  <w:b w:val="0"/>
                  <w:bCs w:val="0"/>
                  <w:color w:val="000000" w:themeColor="text1"/>
                  <w:szCs w:val="24"/>
                </w:rPr>
                <w:fldChar w:fldCharType="separate"/>
              </w:r>
              <w:hyperlink w:anchor="_Toc232449753" w:history="1">
                <w:r w:rsidRPr="00566F3E">
                  <w:rPr>
                    <w:rStyle w:val="Hyperlink"/>
                    <w:rFonts w:asciiTheme="majorBidi" w:hAnsiTheme="majorBidi" w:cstheme="majorBidi"/>
                    <w:noProof/>
                    <w:color w:val="000000" w:themeColor="text1"/>
                    <w:szCs w:val="24"/>
                  </w:rPr>
                  <w:t>1</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Introduction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_Toc232449753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2</w:t>
                </w:r>
                <w:r w:rsidRPr="00566F3E">
                  <w:rPr>
                    <w:rFonts w:asciiTheme="majorBidi" w:hAnsiTheme="majorBidi" w:cstheme="majorBidi"/>
                    <w:noProof/>
                    <w:webHidden/>
                    <w:color w:val="000000" w:themeColor="text1"/>
                    <w:szCs w:val="24"/>
                  </w:rPr>
                  <w:fldChar w:fldCharType="end"/>
                </w:r>
              </w:hyperlink>
            </w:p>
            <w:p w14:paraId="0C1C339B" w14:textId="4F347B3B"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54" w:history="1">
                <w:r w:rsidRPr="00566F3E">
                  <w:rPr>
                    <w:rStyle w:val="Hyperlink"/>
                    <w:rFonts w:asciiTheme="majorBidi" w:hAnsiTheme="majorBidi" w:cstheme="majorBidi"/>
                    <w:noProof/>
                    <w:color w:val="000000" w:themeColor="text1"/>
                    <w:szCs w:val="24"/>
                  </w:rPr>
                  <w:t>2</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A: Socialisation, Identity and Business Activism</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_Toc232449754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2</w:t>
                </w:r>
                <w:r w:rsidRPr="00566F3E">
                  <w:rPr>
                    <w:rFonts w:asciiTheme="majorBidi" w:hAnsiTheme="majorBidi" w:cstheme="majorBidi"/>
                    <w:noProof/>
                    <w:webHidden/>
                    <w:color w:val="000000" w:themeColor="text1"/>
                    <w:szCs w:val="24"/>
                  </w:rPr>
                  <w:fldChar w:fldCharType="end"/>
                </w:r>
              </w:hyperlink>
            </w:p>
            <w:p w14:paraId="30F465A6" w14:textId="5E1FB0A7"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5" w:history="1">
                <w:r w:rsidRPr="00566F3E">
                  <w:rPr>
                    <w:rStyle w:val="Hyperlink"/>
                    <w:rFonts w:asciiTheme="majorBidi" w:hAnsiTheme="majorBidi" w:cstheme="majorBidi"/>
                    <w:noProof/>
                    <w:color w:val="000000" w:themeColor="text1"/>
                    <w:sz w:val="24"/>
                    <w:szCs w:val="24"/>
                  </w:rPr>
                  <w:t>2.1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Traditional Onboarding Versus Strategic Organisational Socialisation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_Toc232449755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2</w:t>
                </w:r>
                <w:r w:rsidRPr="00566F3E">
                  <w:rPr>
                    <w:rFonts w:asciiTheme="majorBidi" w:hAnsiTheme="majorBidi" w:cstheme="majorBidi"/>
                    <w:noProof/>
                    <w:webHidden/>
                    <w:color w:val="000000" w:themeColor="text1"/>
                    <w:sz w:val="24"/>
                    <w:szCs w:val="24"/>
                  </w:rPr>
                  <w:fldChar w:fldCharType="end"/>
                </w:r>
              </w:hyperlink>
            </w:p>
            <w:p w14:paraId="2AEC6ED1" w14:textId="348C0A89"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6" w:history="1">
                <w:r w:rsidRPr="00566F3E">
                  <w:rPr>
                    <w:rStyle w:val="Hyperlink"/>
                    <w:rFonts w:asciiTheme="majorBidi" w:hAnsiTheme="majorBidi" w:cstheme="majorBidi"/>
                    <w:noProof/>
                    <w:color w:val="000000" w:themeColor="text1"/>
                    <w:sz w:val="24"/>
                    <w:szCs w:val="24"/>
                  </w:rPr>
                  <w:t>2.2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Structured Socialisation Framework for HUM</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_Toc232449756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3</w:t>
                </w:r>
                <w:r w:rsidRPr="00566F3E">
                  <w:rPr>
                    <w:rFonts w:asciiTheme="majorBidi" w:hAnsiTheme="majorBidi" w:cstheme="majorBidi"/>
                    <w:noProof/>
                    <w:webHidden/>
                    <w:color w:val="000000" w:themeColor="text1"/>
                    <w:sz w:val="24"/>
                    <w:szCs w:val="24"/>
                  </w:rPr>
                  <w:fldChar w:fldCharType="end"/>
                </w:r>
              </w:hyperlink>
            </w:p>
            <w:p w14:paraId="4B6415C7" w14:textId="04796670"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7" w:history="1">
                <w:r w:rsidRPr="00566F3E">
                  <w:rPr>
                    <w:rStyle w:val="Hyperlink"/>
                    <w:rFonts w:asciiTheme="majorBidi" w:hAnsiTheme="majorBidi" w:cstheme="majorBidi"/>
                    <w:noProof/>
                    <w:color w:val="000000" w:themeColor="text1"/>
                    <w:sz w:val="24"/>
                    <w:szCs w:val="24"/>
                  </w:rPr>
                  <w:t>2.3</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Organisational Identification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_Toc232449757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4</w:t>
                </w:r>
                <w:r w:rsidRPr="00566F3E">
                  <w:rPr>
                    <w:rFonts w:asciiTheme="majorBidi" w:hAnsiTheme="majorBidi" w:cstheme="majorBidi"/>
                    <w:noProof/>
                    <w:webHidden/>
                    <w:color w:val="000000" w:themeColor="text1"/>
                    <w:sz w:val="24"/>
                    <w:szCs w:val="24"/>
                  </w:rPr>
                  <w:fldChar w:fldCharType="end"/>
                </w:r>
              </w:hyperlink>
            </w:p>
            <w:p w14:paraId="59A44291" w14:textId="12B3803A"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8" w:history="1">
                <w:r w:rsidRPr="00566F3E">
                  <w:rPr>
                    <w:rStyle w:val="Hyperlink"/>
                    <w:rFonts w:asciiTheme="majorBidi" w:hAnsiTheme="majorBidi" w:cstheme="majorBidi"/>
                    <w:noProof/>
                    <w:color w:val="000000" w:themeColor="text1"/>
                    <w:sz w:val="24"/>
                    <w:szCs w:val="24"/>
                  </w:rPr>
                  <w:t>2.4</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Ethical Professionalism</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_Toc232449758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5</w:t>
                </w:r>
                <w:r w:rsidRPr="00566F3E">
                  <w:rPr>
                    <w:rFonts w:asciiTheme="majorBidi" w:hAnsiTheme="majorBidi" w:cstheme="majorBidi"/>
                    <w:noProof/>
                    <w:webHidden/>
                    <w:color w:val="000000" w:themeColor="text1"/>
                    <w:sz w:val="24"/>
                    <w:szCs w:val="24"/>
                  </w:rPr>
                  <w:fldChar w:fldCharType="end"/>
                </w:r>
              </w:hyperlink>
            </w:p>
            <w:p w14:paraId="0D9A9543" w14:textId="538A9C64"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59" w:history="1">
                <w:r w:rsidRPr="00566F3E">
                  <w:rPr>
                    <w:rStyle w:val="Hyperlink"/>
                    <w:rFonts w:asciiTheme="majorBidi" w:hAnsiTheme="majorBidi" w:cstheme="majorBidi"/>
                    <w:noProof/>
                    <w:color w:val="000000" w:themeColor="text1"/>
                    <w:sz w:val="24"/>
                    <w:szCs w:val="24"/>
                  </w:rPr>
                  <w:t>2.5</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Cultivating the Business Activist Mindset</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_Toc232449759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5</w:t>
                </w:r>
                <w:r w:rsidRPr="00566F3E">
                  <w:rPr>
                    <w:rFonts w:asciiTheme="majorBidi" w:hAnsiTheme="majorBidi" w:cstheme="majorBidi"/>
                    <w:noProof/>
                    <w:webHidden/>
                    <w:color w:val="000000" w:themeColor="text1"/>
                    <w:sz w:val="24"/>
                    <w:szCs w:val="24"/>
                  </w:rPr>
                  <w:fldChar w:fldCharType="end"/>
                </w:r>
              </w:hyperlink>
            </w:p>
            <w:p w14:paraId="7E5CE3FB" w14:textId="6A1F18D2"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60" w:history="1">
                <w:r w:rsidRPr="00566F3E">
                  <w:rPr>
                    <w:rStyle w:val="Hyperlink"/>
                    <w:rFonts w:asciiTheme="majorBidi" w:hAnsiTheme="majorBidi" w:cstheme="majorBidi"/>
                    <w:noProof/>
                    <w:color w:val="000000" w:themeColor="text1"/>
                    <w:szCs w:val="24"/>
                  </w:rPr>
                  <w:t>3</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B: Job Design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_Toc232449760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5</w:t>
                </w:r>
                <w:r w:rsidRPr="00566F3E">
                  <w:rPr>
                    <w:rFonts w:asciiTheme="majorBidi" w:hAnsiTheme="majorBidi" w:cstheme="majorBidi"/>
                    <w:noProof/>
                    <w:webHidden/>
                    <w:color w:val="000000" w:themeColor="text1"/>
                    <w:szCs w:val="24"/>
                  </w:rPr>
                  <w:fldChar w:fldCharType="end"/>
                </w:r>
              </w:hyperlink>
            </w:p>
            <w:p w14:paraId="4CA320AC" w14:textId="4178B79F"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1" w:history="1">
                <w:r w:rsidRPr="00566F3E">
                  <w:rPr>
                    <w:rStyle w:val="Hyperlink"/>
                    <w:rFonts w:asciiTheme="majorBidi" w:hAnsiTheme="majorBidi" w:cstheme="majorBidi"/>
                    <w:noProof/>
                    <w:color w:val="000000" w:themeColor="text1"/>
                    <w:sz w:val="24"/>
                    <w:szCs w:val="24"/>
                  </w:rPr>
                  <w:t>3.1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Innovative Job Design Strategy</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_Toc232449761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6</w:t>
                </w:r>
                <w:r w:rsidRPr="00566F3E">
                  <w:rPr>
                    <w:rFonts w:asciiTheme="majorBidi" w:hAnsiTheme="majorBidi" w:cstheme="majorBidi"/>
                    <w:noProof/>
                    <w:webHidden/>
                    <w:color w:val="000000" w:themeColor="text1"/>
                    <w:sz w:val="24"/>
                    <w:szCs w:val="24"/>
                  </w:rPr>
                  <w:fldChar w:fldCharType="end"/>
                </w:r>
              </w:hyperlink>
            </w:p>
            <w:p w14:paraId="29295681" w14:textId="7791BE6D"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2" w:history="1">
                <w:r w:rsidRPr="00566F3E">
                  <w:rPr>
                    <w:rStyle w:val="Hyperlink"/>
                    <w:rFonts w:asciiTheme="majorBidi" w:hAnsiTheme="majorBidi" w:cstheme="majorBidi"/>
                    <w:noProof/>
                    <w:color w:val="000000" w:themeColor="text1"/>
                    <w:sz w:val="24"/>
                    <w:szCs w:val="24"/>
                  </w:rPr>
                  <w:t>3.2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Mission-Based Squads</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_Toc232449762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6</w:t>
                </w:r>
                <w:r w:rsidRPr="00566F3E">
                  <w:rPr>
                    <w:rFonts w:asciiTheme="majorBidi" w:hAnsiTheme="majorBidi" w:cstheme="majorBidi"/>
                    <w:noProof/>
                    <w:webHidden/>
                    <w:color w:val="000000" w:themeColor="text1"/>
                    <w:sz w:val="24"/>
                    <w:szCs w:val="24"/>
                  </w:rPr>
                  <w:fldChar w:fldCharType="end"/>
                </w:r>
              </w:hyperlink>
            </w:p>
            <w:p w14:paraId="31E85B8B" w14:textId="0BE09C54"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3" w:history="1">
                <w:r w:rsidRPr="00566F3E">
                  <w:rPr>
                    <w:rStyle w:val="Hyperlink"/>
                    <w:rFonts w:asciiTheme="majorBidi" w:hAnsiTheme="majorBidi" w:cstheme="majorBidi"/>
                    <w:noProof/>
                    <w:color w:val="000000" w:themeColor="text1"/>
                    <w:sz w:val="24"/>
                    <w:szCs w:val="24"/>
                  </w:rPr>
                  <w:t>3.3</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Guided Job Crafting</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_Toc232449763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7</w:t>
                </w:r>
                <w:r w:rsidRPr="00566F3E">
                  <w:rPr>
                    <w:rFonts w:asciiTheme="majorBidi" w:hAnsiTheme="majorBidi" w:cstheme="majorBidi"/>
                    <w:noProof/>
                    <w:webHidden/>
                    <w:color w:val="000000" w:themeColor="text1"/>
                    <w:sz w:val="24"/>
                    <w:szCs w:val="24"/>
                  </w:rPr>
                  <w:fldChar w:fldCharType="end"/>
                </w:r>
              </w:hyperlink>
            </w:p>
            <w:p w14:paraId="3A0CC4AE" w14:textId="3D4C13A1"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4" w:history="1">
                <w:r w:rsidRPr="00566F3E">
                  <w:rPr>
                    <w:rStyle w:val="Hyperlink"/>
                    <w:rFonts w:asciiTheme="majorBidi" w:hAnsiTheme="majorBidi" w:cstheme="majorBidi"/>
                    <w:noProof/>
                    <w:color w:val="000000" w:themeColor="text1"/>
                    <w:sz w:val="24"/>
                    <w:szCs w:val="24"/>
                  </w:rPr>
                  <w:t>3.4</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Internal Talent Marketplace and Skills-Based Architecture</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_Toc232449764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7</w:t>
                </w:r>
                <w:r w:rsidRPr="00566F3E">
                  <w:rPr>
                    <w:rFonts w:asciiTheme="majorBidi" w:hAnsiTheme="majorBidi" w:cstheme="majorBidi"/>
                    <w:noProof/>
                    <w:webHidden/>
                    <w:color w:val="000000" w:themeColor="text1"/>
                    <w:sz w:val="24"/>
                    <w:szCs w:val="24"/>
                  </w:rPr>
                  <w:fldChar w:fldCharType="end"/>
                </w:r>
              </w:hyperlink>
            </w:p>
            <w:p w14:paraId="16E2113E" w14:textId="6B830F67"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5" w:history="1">
                <w:r w:rsidRPr="00566F3E">
                  <w:rPr>
                    <w:rStyle w:val="Hyperlink"/>
                    <w:rFonts w:asciiTheme="majorBidi" w:hAnsiTheme="majorBidi" w:cstheme="majorBidi"/>
                    <w:noProof/>
                    <w:color w:val="000000" w:themeColor="text1"/>
                    <w:sz w:val="24"/>
                    <w:szCs w:val="24"/>
                  </w:rPr>
                  <w:t>3.5</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Stimulating Intrinsic Motivation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_Toc232449765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8</w:t>
                </w:r>
                <w:r w:rsidRPr="00566F3E">
                  <w:rPr>
                    <w:rFonts w:asciiTheme="majorBidi" w:hAnsiTheme="majorBidi" w:cstheme="majorBidi"/>
                    <w:noProof/>
                    <w:webHidden/>
                    <w:color w:val="000000" w:themeColor="text1"/>
                    <w:sz w:val="24"/>
                    <w:szCs w:val="24"/>
                  </w:rPr>
                  <w:fldChar w:fldCharType="end"/>
                </w:r>
              </w:hyperlink>
            </w:p>
            <w:p w14:paraId="79BC3CAE" w14:textId="06E7823A"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6" w:history="1">
                <w:r w:rsidRPr="00566F3E">
                  <w:rPr>
                    <w:rStyle w:val="Hyperlink"/>
                    <w:rFonts w:asciiTheme="majorBidi" w:hAnsiTheme="majorBidi" w:cstheme="majorBidi"/>
                    <w:noProof/>
                    <w:color w:val="000000" w:themeColor="text1"/>
                    <w:sz w:val="24"/>
                    <w:szCs w:val="24"/>
                  </w:rPr>
                  <w:t>3.6</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Supporting Innovation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_Toc232449766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8</w:t>
                </w:r>
                <w:r w:rsidRPr="00566F3E">
                  <w:rPr>
                    <w:rFonts w:asciiTheme="majorBidi" w:hAnsiTheme="majorBidi" w:cstheme="majorBidi"/>
                    <w:noProof/>
                    <w:webHidden/>
                    <w:color w:val="000000" w:themeColor="text1"/>
                    <w:sz w:val="24"/>
                    <w:szCs w:val="24"/>
                  </w:rPr>
                  <w:fldChar w:fldCharType="end"/>
                </w:r>
              </w:hyperlink>
            </w:p>
            <w:p w14:paraId="4570D227" w14:textId="72D49A29"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67" w:history="1">
                <w:r w:rsidRPr="00566F3E">
                  <w:rPr>
                    <w:rStyle w:val="Hyperlink"/>
                    <w:rFonts w:asciiTheme="majorBidi" w:hAnsiTheme="majorBidi" w:cstheme="majorBidi"/>
                    <w:noProof/>
                    <w:color w:val="000000" w:themeColor="text1"/>
                    <w:szCs w:val="24"/>
                  </w:rPr>
                  <w:t>4</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Task C: Reflective Report</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_Toc232449767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9</w:t>
                </w:r>
                <w:r w:rsidRPr="00566F3E">
                  <w:rPr>
                    <w:rFonts w:asciiTheme="majorBidi" w:hAnsiTheme="majorBidi" w:cstheme="majorBidi"/>
                    <w:noProof/>
                    <w:webHidden/>
                    <w:color w:val="000000" w:themeColor="text1"/>
                    <w:szCs w:val="24"/>
                  </w:rPr>
                  <w:fldChar w:fldCharType="end"/>
                </w:r>
              </w:hyperlink>
            </w:p>
            <w:p w14:paraId="143AEE13" w14:textId="49451851"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8" w:history="1">
                <w:r w:rsidRPr="00566F3E">
                  <w:rPr>
                    <w:rStyle w:val="Hyperlink"/>
                    <w:rFonts w:asciiTheme="majorBidi" w:hAnsiTheme="majorBidi" w:cstheme="majorBidi"/>
                    <w:noProof/>
                    <w:color w:val="000000" w:themeColor="text1"/>
                    <w:sz w:val="24"/>
                    <w:szCs w:val="24"/>
                  </w:rPr>
                  <w:t>4.1</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Using AI as a Decision-Support Tool Without Eroding Human Judgement</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_Toc232449768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9</w:t>
                </w:r>
                <w:r w:rsidRPr="00566F3E">
                  <w:rPr>
                    <w:rFonts w:asciiTheme="majorBidi" w:hAnsiTheme="majorBidi" w:cstheme="majorBidi"/>
                    <w:noProof/>
                    <w:webHidden/>
                    <w:color w:val="000000" w:themeColor="text1"/>
                    <w:sz w:val="24"/>
                    <w:szCs w:val="24"/>
                  </w:rPr>
                  <w:fldChar w:fldCharType="end"/>
                </w:r>
              </w:hyperlink>
            </w:p>
            <w:p w14:paraId="33CC0274" w14:textId="1B65DB3B" w:rsidR="00566F3E" w:rsidRPr="00566F3E" w:rsidRDefault="00566F3E" w:rsidP="00566F3E">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2449769" w:history="1">
                <w:r w:rsidRPr="00566F3E">
                  <w:rPr>
                    <w:rStyle w:val="Hyperlink"/>
                    <w:rFonts w:asciiTheme="majorBidi" w:hAnsiTheme="majorBidi" w:cstheme="majorBidi"/>
                    <w:noProof/>
                    <w:color w:val="000000" w:themeColor="text1"/>
                    <w:sz w:val="24"/>
                    <w:szCs w:val="24"/>
                  </w:rPr>
                  <w:t>4.2</w:t>
                </w:r>
                <w:r w:rsidRPr="00566F3E">
                  <w:rPr>
                    <w:rFonts w:asciiTheme="majorBidi" w:hAnsiTheme="majorBidi" w:cstheme="majorBidi"/>
                    <w:b w:val="0"/>
                    <w:bCs w:val="0"/>
                    <w:noProof/>
                    <w:color w:val="000000" w:themeColor="text1"/>
                    <w:kern w:val="2"/>
                    <w:sz w:val="24"/>
                    <w:szCs w:val="24"/>
                    <w:lang w:eastAsia="en-GB"/>
                    <w14:ligatures w14:val="standardContextual"/>
                  </w:rPr>
                  <w:tab/>
                </w:r>
                <w:r w:rsidRPr="00566F3E">
                  <w:rPr>
                    <w:rStyle w:val="Hyperlink"/>
                    <w:rFonts w:asciiTheme="majorBidi" w:hAnsiTheme="majorBidi" w:cstheme="majorBidi"/>
                    <w:noProof/>
                    <w:color w:val="000000" w:themeColor="text1"/>
                    <w:sz w:val="24"/>
                    <w:szCs w:val="24"/>
                  </w:rPr>
                  <w:t>Personal Capability Development Plan</w:t>
                </w:r>
                <w:r w:rsidRPr="00566F3E">
                  <w:rPr>
                    <w:rFonts w:asciiTheme="majorBidi" w:hAnsiTheme="majorBidi" w:cstheme="majorBidi"/>
                    <w:noProof/>
                    <w:webHidden/>
                    <w:color w:val="000000" w:themeColor="text1"/>
                    <w:sz w:val="24"/>
                    <w:szCs w:val="24"/>
                  </w:rPr>
                  <w:tab/>
                </w:r>
                <w:r w:rsidRPr="00566F3E">
                  <w:rPr>
                    <w:rFonts w:asciiTheme="majorBidi" w:hAnsiTheme="majorBidi" w:cstheme="majorBidi"/>
                    <w:noProof/>
                    <w:webHidden/>
                    <w:color w:val="000000" w:themeColor="text1"/>
                    <w:sz w:val="24"/>
                    <w:szCs w:val="24"/>
                  </w:rPr>
                  <w:fldChar w:fldCharType="begin"/>
                </w:r>
                <w:r w:rsidRPr="00566F3E">
                  <w:rPr>
                    <w:rFonts w:asciiTheme="majorBidi" w:hAnsiTheme="majorBidi" w:cstheme="majorBidi"/>
                    <w:noProof/>
                    <w:webHidden/>
                    <w:color w:val="000000" w:themeColor="text1"/>
                    <w:sz w:val="24"/>
                    <w:szCs w:val="24"/>
                  </w:rPr>
                  <w:instrText xml:space="preserve"> PAGEREF _Toc232449769 \h </w:instrText>
                </w:r>
                <w:r w:rsidRPr="00566F3E">
                  <w:rPr>
                    <w:rFonts w:asciiTheme="majorBidi" w:hAnsiTheme="majorBidi" w:cstheme="majorBidi"/>
                    <w:noProof/>
                    <w:webHidden/>
                    <w:color w:val="000000" w:themeColor="text1"/>
                    <w:sz w:val="24"/>
                    <w:szCs w:val="24"/>
                  </w:rPr>
                </w:r>
                <w:r w:rsidRPr="00566F3E">
                  <w:rPr>
                    <w:rFonts w:asciiTheme="majorBidi" w:hAnsiTheme="majorBidi" w:cstheme="majorBidi"/>
                    <w:noProof/>
                    <w:webHidden/>
                    <w:color w:val="000000" w:themeColor="text1"/>
                    <w:sz w:val="24"/>
                    <w:szCs w:val="24"/>
                  </w:rPr>
                  <w:fldChar w:fldCharType="separate"/>
                </w:r>
                <w:r w:rsidRPr="00566F3E">
                  <w:rPr>
                    <w:rFonts w:asciiTheme="majorBidi" w:hAnsiTheme="majorBidi" w:cstheme="majorBidi"/>
                    <w:noProof/>
                    <w:webHidden/>
                    <w:color w:val="000000" w:themeColor="text1"/>
                    <w:sz w:val="24"/>
                    <w:szCs w:val="24"/>
                  </w:rPr>
                  <w:t>10</w:t>
                </w:r>
                <w:r w:rsidRPr="00566F3E">
                  <w:rPr>
                    <w:rFonts w:asciiTheme="majorBidi" w:hAnsiTheme="majorBidi" w:cstheme="majorBidi"/>
                    <w:noProof/>
                    <w:webHidden/>
                    <w:color w:val="000000" w:themeColor="text1"/>
                    <w:sz w:val="24"/>
                    <w:szCs w:val="24"/>
                  </w:rPr>
                  <w:fldChar w:fldCharType="end"/>
                </w:r>
              </w:hyperlink>
            </w:p>
            <w:p w14:paraId="3486F4C8" w14:textId="406E8293"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70" w:history="1">
                <w:r w:rsidRPr="00566F3E">
                  <w:rPr>
                    <w:rStyle w:val="Hyperlink"/>
                    <w:rFonts w:asciiTheme="majorBidi" w:hAnsiTheme="majorBidi" w:cstheme="majorBidi"/>
                    <w:noProof/>
                    <w:color w:val="000000" w:themeColor="text1"/>
                    <w:szCs w:val="24"/>
                  </w:rPr>
                  <w:t>5</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Conclusion</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_Toc232449770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10</w:t>
                </w:r>
                <w:r w:rsidRPr="00566F3E">
                  <w:rPr>
                    <w:rFonts w:asciiTheme="majorBidi" w:hAnsiTheme="majorBidi" w:cstheme="majorBidi"/>
                    <w:noProof/>
                    <w:webHidden/>
                    <w:color w:val="000000" w:themeColor="text1"/>
                    <w:szCs w:val="24"/>
                  </w:rPr>
                  <w:fldChar w:fldCharType="end"/>
                </w:r>
              </w:hyperlink>
            </w:p>
            <w:p w14:paraId="386971ED" w14:textId="4D6A7C44" w:rsidR="00566F3E" w:rsidRPr="00566F3E" w:rsidRDefault="00566F3E" w:rsidP="00566F3E">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2449771" w:history="1">
                <w:r w:rsidRPr="00566F3E">
                  <w:rPr>
                    <w:rStyle w:val="Hyperlink"/>
                    <w:rFonts w:asciiTheme="majorBidi" w:hAnsiTheme="majorBidi" w:cstheme="majorBidi"/>
                    <w:noProof/>
                    <w:color w:val="000000" w:themeColor="text1"/>
                    <w:szCs w:val="24"/>
                  </w:rPr>
                  <w:t>6</w:t>
                </w:r>
                <w:r w:rsidRPr="00566F3E">
                  <w:rPr>
                    <w:rFonts w:asciiTheme="majorBidi" w:hAnsiTheme="majorBidi" w:cstheme="majorBidi"/>
                    <w:b w:val="0"/>
                    <w:bCs w:val="0"/>
                    <w:i w:val="0"/>
                    <w:iCs w:val="0"/>
                    <w:noProof/>
                    <w:color w:val="000000" w:themeColor="text1"/>
                    <w:kern w:val="2"/>
                    <w:szCs w:val="24"/>
                    <w:lang w:eastAsia="en-GB"/>
                    <w14:ligatures w14:val="standardContextual"/>
                  </w:rPr>
                  <w:tab/>
                </w:r>
                <w:r w:rsidRPr="00566F3E">
                  <w:rPr>
                    <w:rStyle w:val="Hyperlink"/>
                    <w:rFonts w:asciiTheme="majorBidi" w:hAnsiTheme="majorBidi" w:cstheme="majorBidi"/>
                    <w:noProof/>
                    <w:color w:val="000000" w:themeColor="text1"/>
                    <w:szCs w:val="24"/>
                  </w:rPr>
                  <w:t>References</w:t>
                </w:r>
                <w:r w:rsidRPr="00566F3E">
                  <w:rPr>
                    <w:rFonts w:asciiTheme="majorBidi" w:hAnsiTheme="majorBidi" w:cstheme="majorBidi"/>
                    <w:noProof/>
                    <w:webHidden/>
                    <w:color w:val="000000" w:themeColor="text1"/>
                    <w:szCs w:val="24"/>
                  </w:rPr>
                  <w:tab/>
                </w:r>
                <w:r w:rsidRPr="00566F3E">
                  <w:rPr>
                    <w:rFonts w:asciiTheme="majorBidi" w:hAnsiTheme="majorBidi" w:cstheme="majorBidi"/>
                    <w:noProof/>
                    <w:webHidden/>
                    <w:color w:val="000000" w:themeColor="text1"/>
                    <w:szCs w:val="24"/>
                  </w:rPr>
                  <w:fldChar w:fldCharType="begin"/>
                </w:r>
                <w:r w:rsidRPr="00566F3E">
                  <w:rPr>
                    <w:rFonts w:asciiTheme="majorBidi" w:hAnsiTheme="majorBidi" w:cstheme="majorBidi"/>
                    <w:noProof/>
                    <w:webHidden/>
                    <w:color w:val="000000" w:themeColor="text1"/>
                    <w:szCs w:val="24"/>
                  </w:rPr>
                  <w:instrText xml:space="preserve"> PAGEREF _Toc232449771 \h </w:instrText>
                </w:r>
                <w:r w:rsidRPr="00566F3E">
                  <w:rPr>
                    <w:rFonts w:asciiTheme="majorBidi" w:hAnsiTheme="majorBidi" w:cstheme="majorBidi"/>
                    <w:noProof/>
                    <w:webHidden/>
                    <w:color w:val="000000" w:themeColor="text1"/>
                    <w:szCs w:val="24"/>
                  </w:rPr>
                </w:r>
                <w:r w:rsidRPr="00566F3E">
                  <w:rPr>
                    <w:rFonts w:asciiTheme="majorBidi" w:hAnsiTheme="majorBidi" w:cstheme="majorBidi"/>
                    <w:noProof/>
                    <w:webHidden/>
                    <w:color w:val="000000" w:themeColor="text1"/>
                    <w:szCs w:val="24"/>
                  </w:rPr>
                  <w:fldChar w:fldCharType="separate"/>
                </w:r>
                <w:r w:rsidRPr="00566F3E">
                  <w:rPr>
                    <w:rFonts w:asciiTheme="majorBidi" w:hAnsiTheme="majorBidi" w:cstheme="majorBidi"/>
                    <w:noProof/>
                    <w:webHidden/>
                    <w:color w:val="000000" w:themeColor="text1"/>
                    <w:szCs w:val="24"/>
                  </w:rPr>
                  <w:t>11</w:t>
                </w:r>
                <w:r w:rsidRPr="00566F3E">
                  <w:rPr>
                    <w:rFonts w:asciiTheme="majorBidi" w:hAnsiTheme="majorBidi" w:cstheme="majorBidi"/>
                    <w:noProof/>
                    <w:webHidden/>
                    <w:color w:val="000000" w:themeColor="text1"/>
                    <w:szCs w:val="24"/>
                  </w:rPr>
                  <w:fldChar w:fldCharType="end"/>
                </w:r>
              </w:hyperlink>
            </w:p>
            <w:p w14:paraId="1F2404D4" w14:textId="40445FB3" w:rsidR="00566F3E" w:rsidRPr="00566F3E" w:rsidRDefault="00566F3E"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bCs/>
                  <w:noProof/>
                  <w:color w:val="000000" w:themeColor="text1"/>
                  <w:sz w:val="24"/>
                  <w:szCs w:val="24"/>
                </w:rPr>
                <w:fldChar w:fldCharType="end"/>
              </w:r>
            </w:p>
          </w:sdtContent>
        </w:sdt>
        <w:p w14:paraId="4EE11901" w14:textId="0FC18491" w:rsidR="00654523" w:rsidRPr="00566F3E" w:rsidRDefault="00654523"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br w:type="page"/>
          </w:r>
        </w:p>
      </w:sdtContent>
    </w:sdt>
    <w:p w14:paraId="5CD22B46" w14:textId="77777777" w:rsidR="00EB6F16" w:rsidRPr="00566F3E" w:rsidRDefault="00EB6F16" w:rsidP="00566F3E">
      <w:pPr>
        <w:pStyle w:val="Heading1"/>
        <w:rPr>
          <w:sz w:val="24"/>
          <w:szCs w:val="24"/>
        </w:rPr>
      </w:pPr>
      <w:bookmarkStart w:id="0" w:name="_Toc232449753"/>
      <w:r w:rsidRPr="00566F3E">
        <w:rPr>
          <w:sz w:val="24"/>
          <w:szCs w:val="24"/>
        </w:rPr>
        <w:lastRenderedPageBreak/>
        <w:t>Introduction</w:t>
      </w:r>
      <w:bookmarkEnd w:id="0"/>
    </w:p>
    <w:p w14:paraId="090F4B5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Helios Urban Mobility (HUM) is an urban mobility start-up based in Europe and with 450 employees in London, Berlin and Singapore. It's built on an AI-powered electric mobility solutions and smart infrastructure analytics for cities business model. The eight month ramp up time, the low engagement of 54% and high attrition of high potential graduates, however, are three interconnected people issues that have arisen as HUM has grown quickly. They are not just HR problems, they are strategic human capital problems because it's essential for HUM's competitiveness to have knowledge integration, innovation, and ethical use of AI, along with employee commitment.</w:t>
      </w:r>
    </w:p>
    <w:p w14:paraId="2ACAE6D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broader employment picture increases the need for action and intervention. According to Gallup's 2026 global workplace report, only 20% of employees around the world are engaged and Gallup estimates that low engagement costs the global economy $10 trillion in lost productivity. Analytical thinking, AI and BIG data, Leadership and Talent Management are also workforce skills listed as priorities for 2025-2030 by the World Economic Forum (2025). The trends show that HUM needs to rethink its human architecture based on engagement, skills, identity and responsible innovation, instead of the traditional HR administration.</w:t>
      </w:r>
    </w:p>
    <w:p w14:paraId="73CD19E0" w14:textId="38781C1C"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This report offers a strategic human capital design of HUM. Task A develops a system for socialisation to become “ organisational citizens”. Task B suggests an approach for designing the job with the aim of motivating and innovating. Task C is an aftertasting of responsible use of Artificial Intelligence and development of personal capabilities. The report will focus on the learning outcomes as it critically reviews existing HRM scholarship and uses it to design fair, effective and strategically fit HR policies.</w:t>
      </w:r>
    </w:p>
    <w:p w14:paraId="1E66A6E1" w14:textId="77777777" w:rsidR="00EB6F16" w:rsidRPr="00566F3E" w:rsidRDefault="00EB6F16" w:rsidP="00566F3E">
      <w:pPr>
        <w:pStyle w:val="Heading1"/>
        <w:rPr>
          <w:sz w:val="24"/>
          <w:szCs w:val="24"/>
        </w:rPr>
      </w:pPr>
      <w:bookmarkStart w:id="1" w:name="_Toc232449754"/>
      <w:r w:rsidRPr="00566F3E">
        <w:rPr>
          <w:sz w:val="24"/>
          <w:szCs w:val="24"/>
        </w:rPr>
        <w:t>Task A: Socialisation, Identity and Business Activism</w:t>
      </w:r>
      <w:bookmarkEnd w:id="1"/>
    </w:p>
    <w:p w14:paraId="631CCCFE" w14:textId="77777777" w:rsidR="00EB6F16" w:rsidRPr="00566F3E" w:rsidRDefault="00EB6F16" w:rsidP="00566F3E">
      <w:pPr>
        <w:pStyle w:val="Heading2"/>
        <w:spacing w:line="360" w:lineRule="auto"/>
        <w:jc w:val="both"/>
      </w:pPr>
      <w:bookmarkStart w:id="2" w:name="_Toc232449755"/>
      <w:r w:rsidRPr="00566F3E">
        <w:t>Traditional Onboarding Versus Strategic Organisational Socialisation</w:t>
      </w:r>
      <w:bookmarkEnd w:id="2"/>
    </w:p>
    <w:p w14:paraId="15F6EB8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Usually, the traditional onboarding process is brief and is geared more towards tasks like processing payroll, signing documents, compliance training, signing on to IT systems and introductory meetings. The necessary activities are necessary, but not enough for a more complex start-up like HUM where the employees need to acquire technical systems, cross-border cooperation, expectations, ethical duties and more. But research on newcomer adjustment has found that besides information transfer, role clarity, self-efficacy, social acceptance, and cultural learning are important for newcomer adjustment (Bauer et al., 2007; </w:t>
      </w:r>
      <w:r w:rsidRPr="00566F3E">
        <w:rPr>
          <w:rFonts w:asciiTheme="majorBidi" w:hAnsiTheme="majorBidi" w:cstheme="majorBidi"/>
          <w:color w:val="000000" w:themeColor="text1"/>
          <w:sz w:val="24"/>
          <w:szCs w:val="24"/>
        </w:rPr>
        <w:lastRenderedPageBreak/>
        <w:t xml:space="preserve">Saks, 2018; Didion et al., 2024). In the study of onboarding, as in organisational socialisation, there has been a growing interdisciplinary interest with new areas of inquiry emerging. According to Didion et al. (2024), there is growing recognition that onboarding and organisational socialisation is not a single event but rather a prolonged process. </w:t>
      </w:r>
    </w:p>
    <w:p w14:paraId="3CB5803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Strategic organisational socialisation is thus more suitable to HUM since it is a process that actively constructs identity, belonging, performance and ethics. The socialisation tactics of Van Maanen and Schein (1979) continue to be useful as they demonstrate the influence of organisations on newcomers through collective tactics, individual tactics, formal tactics, informal tactics, sequential tactics, random tactics, fixed tactics, variable tactics, serial tactics and disjunctive tactics, investiture tactics, and divestiture tactics. But all these strategies need to be used in a critical way. Tactics may be highly institutionalised and thus lower uncertainty and induce consistency, while extreme conformity may diminish innovation. Purified individualised socialisation, on the other hand, may foster creativity, while leaving different socialisations experiences, weak identification and fragmenting the psychological contract (Van Maanen &amp; Schein, 1979; Bauer et al., 2025; Saks, 2018).</w:t>
      </w:r>
    </w:p>
    <w:p w14:paraId="1A049B58"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explanation of HUM's graduate attrition is also in accordance with the psychological contract theory. New employees develop beliefs regarding their reciprocity with the organisation (reciprocity beliefs) such as their ability to develop careers within the organisation, be treated fairly, engage in meaningful work, and have opportunities for learning (Rousseau, 1989; Coyle-Shapiro et al., 2019). However, if the internal mobility and mentoring are weak, and roles are not clearly defined, employees could find themselves in a situation of psychological contract breach if they were recruited with promises of innovation, growth and international exposure. This violation can lead to decreased commitment, engagement and intention to leave (Coyle-Shapiro et al., 2019; Griep &amp; Vantilborgh, 2018; Rousseau, 1989).</w:t>
      </w:r>
    </w:p>
    <w:p w14:paraId="6E23B1EB" w14:textId="6100307A"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Construction of identity is also key. Organisational identification is when employees identify with a part of themselves because of organisational membership (Ashforth &amp; Mael, 1989). This does not mean that for HUM, it should be a 'passive loyalty'. It should imply that the employees grasp how their job is part of a more sustainable urban mobility: cleaner, safer, smarter and more inclusive. Organisational identity studies in recent years have revealed that the strength of identification influences employees' commitment to their organisations if they believe that the values shared by the organisation are genuine and relevant to them (Weisman et al., 2023; Miscenko &amp; Day, 2016). Thus, socialisation in HUM needs to create the characteristics of role clarity, role identity, ethics in the profession and awareness of responsibility as a stakeholder.</w:t>
      </w:r>
    </w:p>
    <w:p w14:paraId="2B16F765" w14:textId="77777777" w:rsidR="00EB6F16" w:rsidRPr="00566F3E" w:rsidRDefault="00EB6F16" w:rsidP="00566F3E">
      <w:pPr>
        <w:pStyle w:val="Heading2"/>
        <w:spacing w:line="360" w:lineRule="auto"/>
        <w:jc w:val="both"/>
      </w:pPr>
      <w:bookmarkStart w:id="3" w:name="_Toc232449756"/>
      <w:r w:rsidRPr="00566F3E">
        <w:lastRenderedPageBreak/>
        <w:t>Structured Socialisation Framework for HUM</w:t>
      </w:r>
      <w:bookmarkEnd w:id="3"/>
    </w:p>
    <w:p w14:paraId="764D077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 framework for socialisation from pre-boarding to Year 1 should be put in place at HUM. The framework combines a structured approach to adhere to standards with a personalized approach for innovation.</w:t>
      </w:r>
    </w:p>
    <w:p w14:paraId="39654A0A" w14:textId="2049DE5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Table 1: Structured Socialisation Framework for Helios Urban Mobility</w:t>
      </w:r>
    </w:p>
    <w:tbl>
      <w:tblPr>
        <w:tblStyle w:val="GridTable5Dark-Accent5"/>
        <w:tblW w:w="0" w:type="auto"/>
        <w:tblLook w:val="04A0" w:firstRow="1" w:lastRow="0" w:firstColumn="1" w:lastColumn="0" w:noHBand="0" w:noVBand="1"/>
      </w:tblPr>
      <w:tblGrid>
        <w:gridCol w:w="1377"/>
        <w:gridCol w:w="1960"/>
        <w:gridCol w:w="1814"/>
        <w:gridCol w:w="1986"/>
        <w:gridCol w:w="1879"/>
      </w:tblGrid>
      <w:tr w:rsidR="00EB6F16" w:rsidRPr="00566F3E" w14:paraId="432B371A" w14:textId="77777777" w:rsidTr="00566F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6410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Stage</w:t>
            </w:r>
          </w:p>
        </w:tc>
        <w:tc>
          <w:tcPr>
            <w:tcW w:w="0" w:type="auto"/>
            <w:hideMark/>
          </w:tcPr>
          <w:p w14:paraId="1F891910"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Main purpose</w:t>
            </w:r>
          </w:p>
        </w:tc>
        <w:tc>
          <w:tcPr>
            <w:tcW w:w="0" w:type="auto"/>
            <w:hideMark/>
          </w:tcPr>
          <w:p w14:paraId="69932FC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Key practices</w:t>
            </w:r>
          </w:p>
        </w:tc>
        <w:tc>
          <w:tcPr>
            <w:tcW w:w="0" w:type="auto"/>
            <w:hideMark/>
          </w:tcPr>
          <w:p w14:paraId="4E9D1BF8"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Expected outcome</w:t>
            </w:r>
          </w:p>
        </w:tc>
        <w:tc>
          <w:tcPr>
            <w:tcW w:w="0" w:type="auto"/>
            <w:hideMark/>
          </w:tcPr>
          <w:p w14:paraId="7C46CCC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Evaluation measures</w:t>
            </w:r>
          </w:p>
        </w:tc>
      </w:tr>
      <w:tr w:rsidR="00EB6F16" w:rsidRPr="00566F3E" w14:paraId="1A51D852"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EDB27D"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Pre-boarding</w:t>
            </w:r>
          </w:p>
        </w:tc>
        <w:tc>
          <w:tcPr>
            <w:tcW w:w="0" w:type="auto"/>
            <w:hideMark/>
          </w:tcPr>
          <w:p w14:paraId="18E561A5"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Psychological contract clarity</w:t>
            </w:r>
          </w:p>
        </w:tc>
        <w:tc>
          <w:tcPr>
            <w:tcW w:w="0" w:type="auto"/>
            <w:hideMark/>
          </w:tcPr>
          <w:p w14:paraId="32DFB090"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Realistic job preview, digital welcome hub, AI ethics statement, project map, buddy allocation</w:t>
            </w:r>
          </w:p>
        </w:tc>
        <w:tc>
          <w:tcPr>
            <w:tcW w:w="0" w:type="auto"/>
            <w:hideMark/>
          </w:tcPr>
          <w:p w14:paraId="4A8551F0"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Reduced uncertainty and realistic expectations</w:t>
            </w:r>
          </w:p>
        </w:tc>
        <w:tc>
          <w:tcPr>
            <w:tcW w:w="0" w:type="auto"/>
            <w:hideMark/>
          </w:tcPr>
          <w:p w14:paraId="77A544EB"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Pre-start survey; offer-to-start retention</w:t>
            </w:r>
          </w:p>
        </w:tc>
      </w:tr>
      <w:tr w:rsidR="00EB6F16" w:rsidRPr="00566F3E" w14:paraId="44C491FB"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50E4794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First 30 days</w:t>
            </w:r>
          </w:p>
        </w:tc>
        <w:tc>
          <w:tcPr>
            <w:tcW w:w="0" w:type="auto"/>
            <w:hideMark/>
          </w:tcPr>
          <w:p w14:paraId="680EBC6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Belonging and role clarity</w:t>
            </w:r>
          </w:p>
        </w:tc>
        <w:tc>
          <w:tcPr>
            <w:tcW w:w="0" w:type="auto"/>
            <w:hideMark/>
          </w:tcPr>
          <w:p w14:paraId="185E295D"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Collective induction, manager check-ins, team charter, graduate peer cohort</w:t>
            </w:r>
          </w:p>
        </w:tc>
        <w:tc>
          <w:tcPr>
            <w:tcW w:w="0" w:type="auto"/>
            <w:hideMark/>
          </w:tcPr>
          <w:p w14:paraId="6F6590E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Social acceptance and early confidence</w:t>
            </w:r>
          </w:p>
        </w:tc>
        <w:tc>
          <w:tcPr>
            <w:tcW w:w="0" w:type="auto"/>
            <w:hideMark/>
          </w:tcPr>
          <w:p w14:paraId="2673D52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Role clarity score; check-in completion</w:t>
            </w:r>
          </w:p>
        </w:tc>
      </w:tr>
      <w:tr w:rsidR="00EB6F16" w:rsidRPr="00566F3E" w14:paraId="10F8F978"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1241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Days 31–90</w:t>
            </w:r>
          </w:p>
        </w:tc>
        <w:tc>
          <w:tcPr>
            <w:tcW w:w="0" w:type="auto"/>
            <w:hideMark/>
          </w:tcPr>
          <w:p w14:paraId="4672ABB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Capability and contribution</w:t>
            </w:r>
          </w:p>
        </w:tc>
        <w:tc>
          <w:tcPr>
            <w:tcW w:w="0" w:type="auto"/>
            <w:hideMark/>
          </w:tcPr>
          <w:p w14:paraId="3832AD7A"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Project sprint, mentor support, stakeholder shadowing, skills diagnosis</w:t>
            </w:r>
          </w:p>
        </w:tc>
        <w:tc>
          <w:tcPr>
            <w:tcW w:w="0" w:type="auto"/>
            <w:hideMark/>
          </w:tcPr>
          <w:p w14:paraId="0B35EFE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Faster productivity and cross-functional learning</w:t>
            </w:r>
          </w:p>
        </w:tc>
        <w:tc>
          <w:tcPr>
            <w:tcW w:w="0" w:type="auto"/>
            <w:hideMark/>
          </w:tcPr>
          <w:p w14:paraId="2F41F8F7"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Time-to-first-deliverable; manager feedback</w:t>
            </w:r>
          </w:p>
        </w:tc>
      </w:tr>
      <w:tr w:rsidR="00EB6F16" w:rsidRPr="00566F3E" w14:paraId="08BAAB8A"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3A872CF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Months 4–12</w:t>
            </w:r>
          </w:p>
        </w:tc>
        <w:tc>
          <w:tcPr>
            <w:tcW w:w="0" w:type="auto"/>
            <w:hideMark/>
          </w:tcPr>
          <w:p w14:paraId="6ED5A8D2"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Identity and citizenship</w:t>
            </w:r>
          </w:p>
        </w:tc>
        <w:tc>
          <w:tcPr>
            <w:tcW w:w="0" w:type="auto"/>
            <w:hideMark/>
          </w:tcPr>
          <w:p w14:paraId="15BA620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Innovation challenge, ethics clinic, talent marketplace access, career review</w:t>
            </w:r>
          </w:p>
        </w:tc>
        <w:tc>
          <w:tcPr>
            <w:tcW w:w="0" w:type="auto"/>
            <w:hideMark/>
          </w:tcPr>
          <w:p w14:paraId="2A4E4815"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Commitment, retention and innovation</w:t>
            </w:r>
          </w:p>
        </w:tc>
        <w:tc>
          <w:tcPr>
            <w:tcW w:w="0" w:type="auto"/>
            <w:hideMark/>
          </w:tcPr>
          <w:p w14:paraId="18301C4E"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Engagement score; graduate retention; internal mobility</w:t>
            </w:r>
          </w:p>
        </w:tc>
      </w:tr>
    </w:tbl>
    <w:p w14:paraId="6EE2FCED"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The pre-boarding phase should start after the students have accepted their offers. HUM needs to give the interviewees a realistic job preview of the advantages and challenges of being employed at a dynamic AI mobility startup. This will decrease misaligned expectations and contribute to the psychological contract's accuracy (Rousseau, 1989; Coyle-Shapiro et al., 2019). A “mission-to-role” map needs to illustrate the role of each role within the urban mobility mission and the impact each role has on the targets of the mission, including carbon reduction, safer mobility, access to mobility, and the ethical use of AI in mobility. This is significant as when employees can relate everyday work to a meaningful organisation purpose, they are more likely to be connected to the organisation (Ashforth &amp; Mael, 1989; Weisman et al., 2023).</w:t>
      </w:r>
    </w:p>
    <w:p w14:paraId="150E13E6"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first 30 days should focus on belonging, role clarity and psychological safety for HUM. New staff should be inducted into a group of new staff to create a sense of "we are new" but each employee should be given role objectives. Structured check-ins should be done in weeks 1, 2 and 4 by the manager. Expectations, obstacles, relationships, wellbeing and learning needs are areas to focus on for these check-ins. This strategy is supported by the finding that role clarity, social acceptance and manager support are key factors impacting the newcomer adjustment (Bauer et al., 2007; Saks, 2018; Bauer et al., 2025).</w:t>
      </w:r>
    </w:p>
    <w:p w14:paraId="581E258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HUM should take new members from observation to contribution from day 31 to day 90. A cross functional project sprint should be done by each new employee with a mentor and peer buddy. For instance, a graduate data analyst might be collaborating with AI engineers, policy experts and client managers regarding a city transport analytics issue. This would provide more functional isolation and employee access to the larger HUM stakeholders' universe. Bauer et al. (2025) highlight the importance of socialisation as a process of active learning and not passive adjustment, emphasizing the importance of socialisation outcomes that include newcomer's proactivity, social acceptance, fit perceptions and wellbeing. </w:t>
      </w:r>
    </w:p>
    <w:p w14:paraId="59F8B463" w14:textId="6B475940"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year one phase should be based on identity, ethics and citizenship. HUM should launch a “Mobility Impact Challenge” in which newcomers would be brought together in cross-border teams to solve real-life organisational challenges. It can be as simple as enhancing accessibility metrics, and creating a more equitable mobility dataset or designing client-facing sustainability dashboards, among other things. This would enhance task significance and organisational identification and innovation. All staff members should be provided with a career architecture review that matches their skills profile with future projects, learning opportunities and global opportunities at year's end.</w:t>
      </w:r>
    </w:p>
    <w:p w14:paraId="47846498" w14:textId="3EBCC5A0" w:rsidR="00566F3E" w:rsidRPr="00566F3E" w:rsidRDefault="00566F3E" w:rsidP="00566F3E">
      <w:pPr>
        <w:spacing w:line="360" w:lineRule="auto"/>
        <w:ind w:firstLine="0"/>
        <w:jc w:val="both"/>
        <w:rPr>
          <w:rFonts w:asciiTheme="majorBidi" w:hAnsiTheme="majorBidi" w:cstheme="majorBidi"/>
          <w:b/>
          <w:bCs/>
          <w:color w:val="000000" w:themeColor="text1"/>
          <w:sz w:val="24"/>
          <w:szCs w:val="24"/>
        </w:rPr>
      </w:pPr>
      <w:r w:rsidRPr="00566F3E">
        <w:rPr>
          <w:rFonts w:asciiTheme="majorBidi" w:hAnsiTheme="majorBidi" w:cstheme="majorBidi"/>
          <w:b/>
          <w:bCs/>
          <w:noProof/>
          <w:color w:val="000000" w:themeColor="text1"/>
          <w:sz w:val="24"/>
          <w:szCs w:val="24"/>
        </w:rPr>
        <w:lastRenderedPageBreak/>
        <w:drawing>
          <wp:inline distT="0" distB="0" distL="0" distR="0" wp14:anchorId="6AF666FC" wp14:editId="5294475A">
            <wp:extent cx="5731510" cy="1532255"/>
            <wp:effectExtent l="0" t="0" r="0" b="4445"/>
            <wp:docPr id="1520858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858470" name=""/>
                    <pic:cNvPicPr/>
                  </pic:nvPicPr>
                  <pic:blipFill>
                    <a:blip r:embed="rId7"/>
                    <a:stretch>
                      <a:fillRect/>
                    </a:stretch>
                  </pic:blipFill>
                  <pic:spPr>
                    <a:xfrm>
                      <a:off x="0" y="0"/>
                      <a:ext cx="5731510" cy="1532255"/>
                    </a:xfrm>
                    <a:prstGeom prst="rect">
                      <a:avLst/>
                    </a:prstGeom>
                  </pic:spPr>
                </pic:pic>
              </a:graphicData>
            </a:graphic>
          </wp:inline>
        </w:drawing>
      </w:r>
    </w:p>
    <w:p w14:paraId="7CB7723C" w14:textId="358EEF70"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1: Socialisation-to-Citizenship Pathway( Bauer et al., 2025)</w:t>
      </w:r>
    </w:p>
    <w:p w14:paraId="24A660CF" w14:textId="77777777" w:rsidR="00EB6F16" w:rsidRPr="00566F3E" w:rsidRDefault="00EB6F16" w:rsidP="00566F3E">
      <w:pPr>
        <w:pStyle w:val="Heading2"/>
        <w:spacing w:line="360" w:lineRule="auto"/>
        <w:jc w:val="both"/>
      </w:pPr>
      <w:bookmarkStart w:id="4" w:name="_Toc232449757"/>
      <w:r w:rsidRPr="00566F3E">
        <w:t>Cultivating Organisational Identification</w:t>
      </w:r>
      <w:bookmarkEnd w:id="4"/>
    </w:p>
    <w:p w14:paraId="24CE6BD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Organisational identification through purpose, participation and credible leadership is to be encouraged in HUM. Purpose is important especially within the context of HUM's work influencing the public transport network, city sustainability and citizen mobility. Leaders should thus communicate the potential role AI-powered mobility plays in creating public value, not just commercial value. Employees are more likely to feel identified with an organisation when they think that there is a unique and meaningful identity in their organisation (Ashforth &amp; Mael, 1989; Miscenko &amp; Day, 2016; Weisman et al., 2023).</w:t>
      </w:r>
    </w:p>
    <w:p w14:paraId="78559A06" w14:textId="0C0653FC"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It's also crucial that everyone is involved. HUM to encourage employees to co-create a team charter and values in action statement and project ethics norms. This would avoid that the brand of the organisation becomes a top down exercise. It also would facilitate psychological ownership and voice. Identification should be tempered with critical thinking, though. Over-identification can also result in conformity, stifling dissent and normalising excessive work demands, particularly in high growth start-up enterprises (Ashforth et al., 2008; Conroy et al., 2017). So, HUM should make sure that the employees have a mindset towards the purpose of the organisation, but they are also feeling safe to question the ineffective and unethical decisions.Thus, HUM should encourage “critical identification” in which employees are dedicated to the purpose of the organization but feel safe to question the decisions that are ineffective and unethical.</w:t>
      </w:r>
    </w:p>
    <w:p w14:paraId="0702C37B" w14:textId="77777777" w:rsidR="00EB6F16" w:rsidRPr="00566F3E" w:rsidRDefault="00EB6F16" w:rsidP="00566F3E">
      <w:pPr>
        <w:pStyle w:val="Heading2"/>
        <w:spacing w:line="360" w:lineRule="auto"/>
        <w:jc w:val="both"/>
      </w:pPr>
      <w:bookmarkStart w:id="5" w:name="_Toc232449758"/>
      <w:r w:rsidRPr="00566F3E">
        <w:t>Cultivating Ethical Professionalism</w:t>
      </w:r>
      <w:bookmarkEnd w:id="5"/>
    </w:p>
    <w:p w14:paraId="55A7409A"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An ethical professionalism is critical since HUM creates systems for public infrastructure based on AI. These may affect the modes of transportation, environmental planning, the utilization of citizen data and decisions made by public sector bodies. Reliable AI, respect for human rights, democratic values, transparency, robustness and accountability are core tenets </w:t>
      </w:r>
      <w:r w:rsidRPr="00566F3E">
        <w:rPr>
          <w:rFonts w:asciiTheme="majorBidi" w:hAnsiTheme="majorBidi" w:cstheme="majorBidi"/>
          <w:color w:val="000000" w:themeColor="text1"/>
          <w:sz w:val="24"/>
          <w:szCs w:val="24"/>
        </w:rPr>
        <w:lastRenderedPageBreak/>
        <w:t xml:space="preserve">of the OECD AI Principles. The NIST AI Risk Management Framework also calls for control, mapping, measuring and managing risks throughout the AI system lifecycle. </w:t>
      </w:r>
    </w:p>
    <w:p w14:paraId="0AE29CF2" w14:textId="63718FFA"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Therefore, it is essential that HUM develops an “AI and Mobility Ethics Passport” for the new members of the workforce. These should cover aspects of algorithmic fairness, privacy, accessibility, limitations, sustainability and impact on stakeholders. But ethics training is not a question of compliance! HUM should incorporate scenario scenarios in ethics clinics in which staffers consider ethical issues like biased traffic data, the pressure to overestimate the precision of AI, and clashes between client needs and public interest. This is one of the reasons that this approach reflects the argument that ethical HRM and responsible AI should be grounded in pragmatic principles of fairness, transparency and accountability (OECD, 2024; NIST, 2023; Capasso, 2024).</w:t>
      </w:r>
    </w:p>
    <w:p w14:paraId="32ABACC2" w14:textId="77777777" w:rsidR="00EB6F16" w:rsidRPr="00566F3E" w:rsidRDefault="00EB6F16" w:rsidP="00566F3E">
      <w:pPr>
        <w:pStyle w:val="Heading2"/>
        <w:spacing w:line="360" w:lineRule="auto"/>
        <w:jc w:val="both"/>
      </w:pPr>
      <w:bookmarkStart w:id="6" w:name="_Toc232449759"/>
      <w:r w:rsidRPr="00566F3E">
        <w:t>Cultivating the Business Activist Mindset</w:t>
      </w:r>
      <w:bookmarkEnd w:id="6"/>
    </w:p>
    <w:p w14:paraId="6622343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Based on the HR business partner model, the HR team must shift its focus from an administrative and transactional role to a strategic partnership and capability building and credible activism (Ulrich et al., 2017). This “business activist” mentality ought to not just be confined to HR at HUM. The employees need to know about business objectives, roles of stakeholders and ethics. This aligns to stakeholder capitalism, which holds that companies need to generate value for their shareholders, employees, customers, suppliers, communities and society (Freeman et al., 2020; World Economic Forum, 2019).</w:t>
      </w:r>
    </w:p>
    <w:p w14:paraId="493B14E0"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should conduct stakeholder-mapping workshops at the time of onboarding. New hires should engage in an analysis of the impact of decisions on commuters, disabled passengers, city governments, employees, suppliers, regulators and investors. This will enhance strategic thumb and avoid a narrow technical way of thinking. The intent is to develop staff that are able to link human capability to business value, but also are able to question decisions that violate public trust, inclusion or ethical AI norms (Ulrich et al., 2017; Freeman et al., 2020; OECD, 2024).</w:t>
      </w:r>
    </w:p>
    <w:p w14:paraId="62DCB5E6" w14:textId="0943C5A5"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08020E02" wp14:editId="28DB6EAE">
            <wp:extent cx="5731510" cy="1457960"/>
            <wp:effectExtent l="0" t="0" r="0" b="2540"/>
            <wp:docPr id="82476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67644" name=""/>
                    <pic:cNvPicPr/>
                  </pic:nvPicPr>
                  <pic:blipFill>
                    <a:blip r:embed="rId8"/>
                    <a:stretch>
                      <a:fillRect/>
                    </a:stretch>
                  </pic:blipFill>
                  <pic:spPr>
                    <a:xfrm>
                      <a:off x="0" y="0"/>
                      <a:ext cx="5731510" cy="1457960"/>
                    </a:xfrm>
                    <a:prstGeom prst="rect">
                      <a:avLst/>
                    </a:prstGeom>
                  </pic:spPr>
                </pic:pic>
              </a:graphicData>
            </a:graphic>
          </wp:inline>
        </w:drawing>
      </w:r>
    </w:p>
    <w:p w14:paraId="6CF91B0B" w14:textId="3A6B20F5"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lastRenderedPageBreak/>
        <w:t>Figure 2: HUM Strategic Human Capital Architecture(Deloitte (2022), and Bauer et al., 2025)</w:t>
      </w:r>
    </w:p>
    <w:p w14:paraId="2B8F53EF" w14:textId="77777777" w:rsidR="00EB6F16" w:rsidRPr="00566F3E" w:rsidRDefault="00EB6F16" w:rsidP="00566F3E">
      <w:pPr>
        <w:pStyle w:val="Heading1"/>
        <w:rPr>
          <w:sz w:val="24"/>
          <w:szCs w:val="24"/>
        </w:rPr>
      </w:pPr>
      <w:bookmarkStart w:id="7" w:name="_Toc232449760"/>
      <w:r w:rsidRPr="00566F3E">
        <w:rPr>
          <w:sz w:val="24"/>
          <w:szCs w:val="24"/>
        </w:rPr>
        <w:t>Task B: Job Design</w:t>
      </w:r>
      <w:bookmarkEnd w:id="7"/>
    </w:p>
    <w:p w14:paraId="3493B0B2" w14:textId="77777777" w:rsidR="00EB6F16" w:rsidRPr="00566F3E" w:rsidRDefault="00EB6F16" w:rsidP="00566F3E">
      <w:pPr>
        <w:pStyle w:val="Heading2"/>
        <w:spacing w:line="360" w:lineRule="auto"/>
        <w:jc w:val="both"/>
      </w:pPr>
      <w:bookmarkStart w:id="8" w:name="_Toc232449761"/>
      <w:r w:rsidRPr="00566F3E">
        <w:t>Innovative Job Design Strategy</w:t>
      </w:r>
      <w:bookmarkEnd w:id="8"/>
    </w:p>
    <w:p w14:paraId="553E6F4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Job Characteristics Model (Hackman &amp; Oldham, 1976) states that the psychological states that come from five job dimensions – skill variety, task identity, task significance, autonomy and feedback – affect motivation, satisfaction, and performance at work. The model is an old theory, but is still very much relevant as the employees of the HUM must have meaningful, autonomous and feedback-rich work. Task significance is a key component of AI mobility projects but it can be lost if the task is too narrowly defined, with no awareness of client or citizen outcome, following the work of Hackman and Oldham (1976), Parker et al. (2017) and Parker and Grote (2022).</w:t>
      </w:r>
    </w:p>
    <w:p w14:paraId="5740AAF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model has been reinforced with the inclusion of the concept of job crafting theory in which employees are seen as producers who are active in designing their own jobs. Tasks, relationships and cognitive meanings can be created by employees to enhance person-job fit (Wrzesniewski &amp; Dutton, 2001). In recent years, the positive consequences of job crafting have been found to lead to higher engagement and motivation; yet, job crafting can also be an unequal opportunity if only high-confidence, well-connected employees are the ones to be able to craft their jobs ( Zhang &amp; Parker, 2019; Tims et al., 2022). Hence, job crafting should be formalised by structured conversations for role design, not on informal initiative, and HUM should encourage these conversations.</w:t>
      </w:r>
    </w:p>
    <w:p w14:paraId="53F6E8A1" w14:textId="7277AFB0"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 skills-based architecture is also a must have. The skills-based organisations that Deloitte (2022) discusses, change the focus of work from job to skills, capabilities and work outcomes. Similarly, McKinsey &amp; Company (2022) suggest that skills-based hiring can be used in organizations to widen their talent pools and be more efficient in employee retention, focusing on skills instead of credentials. The research also by Deloitte points out that without linking skills practices to business outcomes and governance, many organizations are falling short of actually generating value from a skills-based approach, even if it is a new one. This applies to HUM given the need for AI mobility work involving the quick shifting of limited skills from country to country, project to project and problem to problem.</w:t>
      </w:r>
    </w:p>
    <w:p w14:paraId="42190A14" w14:textId="1561DF9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lastRenderedPageBreak/>
        <w:t>Table 2: HUM Job Design Architecture</w:t>
      </w:r>
      <w:r w:rsidRPr="00566F3E">
        <w:rPr>
          <w:rFonts w:asciiTheme="majorBidi" w:hAnsiTheme="majorBidi" w:cstheme="majorBidi"/>
          <w:b/>
          <w:bCs/>
          <w:color w:val="000000" w:themeColor="text1"/>
          <w:sz w:val="24"/>
          <w:szCs w:val="24"/>
        </w:rPr>
        <w:br/>
      </w:r>
    </w:p>
    <w:tbl>
      <w:tblPr>
        <w:tblStyle w:val="GridTable4-Accent5"/>
        <w:tblW w:w="0" w:type="auto"/>
        <w:tblLook w:val="04A0" w:firstRow="1" w:lastRow="0" w:firstColumn="1" w:lastColumn="0" w:noHBand="0" w:noVBand="1"/>
      </w:tblPr>
      <w:tblGrid>
        <w:gridCol w:w="1876"/>
        <w:gridCol w:w="2867"/>
        <w:gridCol w:w="2170"/>
        <w:gridCol w:w="2103"/>
      </w:tblGrid>
      <w:tr w:rsidR="00EB6F16" w:rsidRPr="00566F3E" w14:paraId="1C5EF908" w14:textId="77777777" w:rsidTr="00566F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A4697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Design element</w:t>
            </w:r>
          </w:p>
        </w:tc>
        <w:tc>
          <w:tcPr>
            <w:tcW w:w="0" w:type="auto"/>
            <w:hideMark/>
          </w:tcPr>
          <w:p w14:paraId="1F700AE0"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Practical application at HUM</w:t>
            </w:r>
          </w:p>
        </w:tc>
        <w:tc>
          <w:tcPr>
            <w:tcW w:w="0" w:type="auto"/>
            <w:hideMark/>
          </w:tcPr>
          <w:p w14:paraId="285DEFC5"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Motivation effect</w:t>
            </w:r>
          </w:p>
        </w:tc>
        <w:tc>
          <w:tcPr>
            <w:tcW w:w="0" w:type="auto"/>
            <w:hideMark/>
          </w:tcPr>
          <w:p w14:paraId="36C41B7A"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Strategic effect</w:t>
            </w:r>
          </w:p>
        </w:tc>
      </w:tr>
      <w:tr w:rsidR="00EB6F16" w:rsidRPr="00566F3E" w14:paraId="629D3D6F"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455FE"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Skill variety</w:t>
            </w:r>
          </w:p>
        </w:tc>
        <w:tc>
          <w:tcPr>
            <w:tcW w:w="0" w:type="auto"/>
            <w:hideMark/>
          </w:tcPr>
          <w:p w14:paraId="29E39996"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Cross-functional AI, transport, policy and UX squads</w:t>
            </w:r>
          </w:p>
        </w:tc>
        <w:tc>
          <w:tcPr>
            <w:tcW w:w="0" w:type="auto"/>
            <w:hideMark/>
          </w:tcPr>
          <w:p w14:paraId="1B87DEB2"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Builds competence and learning</w:t>
            </w:r>
          </w:p>
        </w:tc>
        <w:tc>
          <w:tcPr>
            <w:tcW w:w="0" w:type="auto"/>
            <w:hideMark/>
          </w:tcPr>
          <w:p w14:paraId="46771CEB"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Breaks silos</w:t>
            </w:r>
          </w:p>
        </w:tc>
      </w:tr>
      <w:tr w:rsidR="00EB6F16" w:rsidRPr="00566F3E" w14:paraId="4BC810B7"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54AB1E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Task identity</w:t>
            </w:r>
          </w:p>
        </w:tc>
        <w:tc>
          <w:tcPr>
            <w:tcW w:w="0" w:type="auto"/>
            <w:hideMark/>
          </w:tcPr>
          <w:p w14:paraId="5D97B7F1"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Employees own work packages from problem to client outcome</w:t>
            </w:r>
          </w:p>
        </w:tc>
        <w:tc>
          <w:tcPr>
            <w:tcW w:w="0" w:type="auto"/>
            <w:hideMark/>
          </w:tcPr>
          <w:p w14:paraId="20788E4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Builds accountability</w:t>
            </w:r>
          </w:p>
        </w:tc>
        <w:tc>
          <w:tcPr>
            <w:tcW w:w="0" w:type="auto"/>
            <w:hideMark/>
          </w:tcPr>
          <w:p w14:paraId="4BF687E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delivery</w:t>
            </w:r>
          </w:p>
        </w:tc>
      </w:tr>
      <w:tr w:rsidR="00EB6F16" w:rsidRPr="00566F3E" w14:paraId="77E5B300"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3622FB"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Task significance</w:t>
            </w:r>
          </w:p>
        </w:tc>
        <w:tc>
          <w:tcPr>
            <w:tcW w:w="0" w:type="auto"/>
            <w:hideMark/>
          </w:tcPr>
          <w:p w14:paraId="18E8E39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City impact dashboards show citizen and sustainability outcomes</w:t>
            </w:r>
          </w:p>
        </w:tc>
        <w:tc>
          <w:tcPr>
            <w:tcW w:w="0" w:type="auto"/>
            <w:hideMark/>
          </w:tcPr>
          <w:p w14:paraId="397084C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Strengthens meaning</w:t>
            </w:r>
          </w:p>
        </w:tc>
        <w:tc>
          <w:tcPr>
            <w:tcW w:w="0" w:type="auto"/>
            <w:hideMark/>
          </w:tcPr>
          <w:p w14:paraId="2CA2AD7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Reinforces public value</w:t>
            </w:r>
          </w:p>
        </w:tc>
      </w:tr>
      <w:tr w:rsidR="00EB6F16" w:rsidRPr="00566F3E" w14:paraId="0B343744"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211021B"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Autonomy</w:t>
            </w:r>
          </w:p>
        </w:tc>
        <w:tc>
          <w:tcPr>
            <w:tcW w:w="0" w:type="auto"/>
            <w:hideMark/>
          </w:tcPr>
          <w:p w14:paraId="218AB06F"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Squad decision rights within ethical guardrails</w:t>
            </w:r>
          </w:p>
        </w:tc>
        <w:tc>
          <w:tcPr>
            <w:tcW w:w="0" w:type="auto"/>
            <w:hideMark/>
          </w:tcPr>
          <w:p w14:paraId="609F5802"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Supports intrinsic motivation</w:t>
            </w:r>
          </w:p>
        </w:tc>
        <w:tc>
          <w:tcPr>
            <w:tcW w:w="0" w:type="auto"/>
            <w:hideMark/>
          </w:tcPr>
          <w:p w14:paraId="5C001BB8"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Increases agility</w:t>
            </w:r>
          </w:p>
        </w:tc>
      </w:tr>
      <w:tr w:rsidR="00EB6F16" w:rsidRPr="00566F3E" w14:paraId="68EC4E89"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38E1E0"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Feedback</w:t>
            </w:r>
          </w:p>
        </w:tc>
        <w:tc>
          <w:tcPr>
            <w:tcW w:w="0" w:type="auto"/>
            <w:hideMark/>
          </w:tcPr>
          <w:p w14:paraId="3A3E34BA"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Sprint reviews, client feedback, model audits and peer learning</w:t>
            </w:r>
          </w:p>
        </w:tc>
        <w:tc>
          <w:tcPr>
            <w:tcW w:w="0" w:type="auto"/>
            <w:hideMark/>
          </w:tcPr>
          <w:p w14:paraId="7F79A20D"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Supports mastery</w:t>
            </w:r>
          </w:p>
        </w:tc>
        <w:tc>
          <w:tcPr>
            <w:tcW w:w="0" w:type="auto"/>
            <w:hideMark/>
          </w:tcPr>
          <w:p w14:paraId="784ACECC"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innovation</w:t>
            </w:r>
          </w:p>
        </w:tc>
      </w:tr>
      <w:tr w:rsidR="00EB6F16" w:rsidRPr="00566F3E" w14:paraId="106D167F" w14:textId="77777777" w:rsidTr="00566F3E">
        <w:tc>
          <w:tcPr>
            <w:cnfStyle w:val="001000000000" w:firstRow="0" w:lastRow="0" w:firstColumn="1" w:lastColumn="0" w:oddVBand="0" w:evenVBand="0" w:oddHBand="0" w:evenHBand="0" w:firstRowFirstColumn="0" w:firstRowLastColumn="0" w:lastRowFirstColumn="0" w:lastRowLastColumn="0"/>
            <w:tcW w:w="0" w:type="auto"/>
            <w:hideMark/>
          </w:tcPr>
          <w:p w14:paraId="4C8DC34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Job crafting</w:t>
            </w:r>
          </w:p>
        </w:tc>
        <w:tc>
          <w:tcPr>
            <w:tcW w:w="0" w:type="auto"/>
            <w:hideMark/>
          </w:tcPr>
          <w:p w14:paraId="758A192A"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Quarterly role-crafting conversations</w:t>
            </w:r>
          </w:p>
        </w:tc>
        <w:tc>
          <w:tcPr>
            <w:tcW w:w="0" w:type="auto"/>
            <w:hideMark/>
          </w:tcPr>
          <w:p w14:paraId="4DF4694D"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Improves person-job fit</w:t>
            </w:r>
          </w:p>
        </w:tc>
        <w:tc>
          <w:tcPr>
            <w:tcW w:w="0" w:type="auto"/>
            <w:hideMark/>
          </w:tcPr>
          <w:p w14:paraId="3478915B"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Reduces attrition</w:t>
            </w:r>
          </w:p>
        </w:tc>
      </w:tr>
      <w:tr w:rsidR="00EB6F16" w:rsidRPr="00566F3E" w14:paraId="5E0F0D18" w14:textId="77777777" w:rsidTr="00566F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4AFB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Talent marketplace</w:t>
            </w:r>
          </w:p>
        </w:tc>
        <w:tc>
          <w:tcPr>
            <w:tcW w:w="0" w:type="auto"/>
            <w:hideMark/>
          </w:tcPr>
          <w:p w14:paraId="02D61EC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Platform for projects, gigs and stretch assignments</w:t>
            </w:r>
          </w:p>
        </w:tc>
        <w:tc>
          <w:tcPr>
            <w:tcW w:w="0" w:type="auto"/>
            <w:hideMark/>
          </w:tcPr>
          <w:p w14:paraId="6B679893"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Increases mobility</w:t>
            </w:r>
          </w:p>
        </w:tc>
        <w:tc>
          <w:tcPr>
            <w:tcW w:w="0" w:type="auto"/>
            <w:hideMark/>
          </w:tcPr>
          <w:p w14:paraId="005528E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Retains high-potential graduates</w:t>
            </w:r>
          </w:p>
        </w:tc>
      </w:tr>
    </w:tbl>
    <w:p w14:paraId="02763022" w14:textId="081B4319" w:rsidR="00EB6F16" w:rsidRPr="00566F3E" w:rsidRDefault="00EB6F16" w:rsidP="00566F3E">
      <w:pPr>
        <w:spacing w:line="360" w:lineRule="auto"/>
        <w:ind w:firstLine="0"/>
        <w:jc w:val="both"/>
        <w:rPr>
          <w:rFonts w:asciiTheme="majorBidi" w:hAnsiTheme="majorBidi" w:cstheme="majorBidi"/>
          <w:color w:val="000000" w:themeColor="text1"/>
          <w:sz w:val="24"/>
          <w:szCs w:val="24"/>
        </w:rPr>
      </w:pPr>
    </w:p>
    <w:p w14:paraId="0B21451F" w14:textId="77777777" w:rsidR="00EB6F16" w:rsidRPr="00566F3E" w:rsidRDefault="00EB6F16" w:rsidP="00566F3E">
      <w:pPr>
        <w:pStyle w:val="Heading2"/>
        <w:spacing w:line="360" w:lineRule="auto"/>
        <w:jc w:val="both"/>
      </w:pPr>
      <w:bookmarkStart w:id="9" w:name="_Toc232449762"/>
      <w:r w:rsidRPr="00566F3E">
        <w:t>Mission-Based Squads</w:t>
      </w:r>
      <w:bookmarkEnd w:id="9"/>
    </w:p>
    <w:p w14:paraId="3B008CBE"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should facilitate work in mission based team rather than in narrow department. AI engineers, transport planners, data analysts, public sector consultants and graduate associates are examples of members of a “Berlin Mobility Equity Squad”. The team would collaborate to achieve a particular goal, say, to enhance predictive analytics for underserved transport areas. This design contributes to greater skill variety, task identity and task significance due to employees' awareness of the entire picture of how their work connects to the outside world (Hackman &amp; Oldham, 1976; Parker et al., 2017; Parker &amp; Grote, 2022).</w:t>
      </w:r>
    </w:p>
    <w:p w14:paraId="60B5FC34" w14:textId="6A0CD4F8"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Innovation is also facilitated by mission-based squads as they need to have multi-disciplinary knowledge to solve complex urban mobility problems. While technical skills are essential for innovation, it is important that they are not stand alone, but are part of a larger ecosystem of expertise that includes data science, user experience, policy, ethics and client management (World Economic Forum, 2025; Edmondson &amp; Harvey, 2018). But HUM will have to ensure that their teams are not overloaded. To prevent an agile work design being an excuse for excessive workload, managers should monitor workload, psychological safety and learning quality.</w:t>
      </w:r>
    </w:p>
    <w:p w14:paraId="40994FC0" w14:textId="77777777" w:rsidR="00EB6F16" w:rsidRPr="00566F3E" w:rsidRDefault="00EB6F16" w:rsidP="00566F3E">
      <w:pPr>
        <w:pStyle w:val="Heading2"/>
        <w:spacing w:line="360" w:lineRule="auto"/>
        <w:jc w:val="both"/>
      </w:pPr>
      <w:bookmarkStart w:id="10" w:name="_Toc232449763"/>
      <w:r w:rsidRPr="00566F3E">
        <w:t>Guided Job Crafting</w:t>
      </w:r>
      <w:bookmarkEnd w:id="10"/>
    </w:p>
    <w:p w14:paraId="5FDDF02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to institute regular guided job crafting discussion quarterly. Three questions to be discussed with employees and managers are: What adds the most value to the work? What relationships are conducive to learning? What does the employee's work have to do with HUM's purpose? This would enable staff to adjust their working practices and keep them in line with the strategic direction. The concept of job crafting has been found to have a positive impact on engagement as it provides employees with a sense of control over the boundaries of their tasks, relationships with others, and the meaning of their work (Wrzesniewski &amp; Dutton, 2001; Zhang &amp; Parker, 2019; Tims et al., 2022).</w:t>
      </w:r>
    </w:p>
    <w:p w14:paraId="605200D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But job crafting is not to be done unfairly. Even though HUM deems informal crafting adequate, high-potential graduates may still be unable to access a good project because of their lack of networks. As a result, managers should record agreed crafting actions and consider access to/by gender, nationality, location and career stage. This would help to keep it fair and maintain autonomy and innovation. By structuring job crafting into a mechanism for inclusion, instead of a privilege for the few, it can be seen as a systematic way of integrating all employees.This way, job crafting is not a privilege for a few, but a systematic approach to integrating all employees.</w:t>
      </w:r>
    </w:p>
    <w:p w14:paraId="34FC9F22" w14:textId="77777777" w:rsidR="00EB6F16" w:rsidRPr="00566F3E" w:rsidRDefault="00EB6F16" w:rsidP="00566F3E">
      <w:pPr>
        <w:pStyle w:val="Heading2"/>
        <w:spacing w:line="360" w:lineRule="auto"/>
        <w:jc w:val="both"/>
      </w:pPr>
      <w:bookmarkStart w:id="11" w:name="_Toc232449764"/>
      <w:r w:rsidRPr="00566F3E">
        <w:t>Internal Talent Marketplace and Skills-Based Architecture</w:t>
      </w:r>
      <w:bookmarkEnd w:id="11"/>
    </w:p>
    <w:p w14:paraId="54FC4312"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HUM to develop an internal skills marketplace that employees have verified skills profiles and project leaders post short-term projects, innovation sprints and stretch opportunities. After their 90-day period, employees would be able to devote 10–15% of their time to projects in the marketplace. This would help to reduce the rate of employee turnover by allowing for an opportunity to see growth within the company, before employees look elsewhere.</w:t>
      </w:r>
    </w:p>
    <w:p w14:paraId="6CA5EE5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Technical skills, transferable skills, language proficiency, location preference, mobility interest and ethical AI training records should be included in the platform. But algorithmic matching should not be the only factor for the marketplace. While AI can suggest matches, there needs to be human oversight to maintain fairness, inclusion and development value. This is crucial since algorithmic HRM offers the possibility of efficiency gains, but can also lead to issues of opacity, bias and unequal opportunity (Capasso, 2024; Alabdali et al., 2024; NIST, 2023).</w:t>
      </w:r>
    </w:p>
    <w:p w14:paraId="206487EA" w14:textId="7A39A983"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1128ED78" wp14:editId="79EAD3ED">
            <wp:extent cx="5731510" cy="1916430"/>
            <wp:effectExtent l="0" t="0" r="0" b="1270"/>
            <wp:docPr id="172249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97649" name=""/>
                    <pic:cNvPicPr/>
                  </pic:nvPicPr>
                  <pic:blipFill>
                    <a:blip r:embed="rId9"/>
                    <a:stretch>
                      <a:fillRect/>
                    </a:stretch>
                  </pic:blipFill>
                  <pic:spPr>
                    <a:xfrm>
                      <a:off x="0" y="0"/>
                      <a:ext cx="5731510" cy="1916430"/>
                    </a:xfrm>
                    <a:prstGeom prst="rect">
                      <a:avLst/>
                    </a:prstGeom>
                  </pic:spPr>
                </pic:pic>
              </a:graphicData>
            </a:graphic>
          </wp:inline>
        </w:drawing>
      </w:r>
    </w:p>
    <w:p w14:paraId="05F96ED4" w14:textId="6A87FC1E"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3: HUM Skills-Based Job Design Model(Ryan and Deci, 2017)</w:t>
      </w:r>
    </w:p>
    <w:p w14:paraId="4D1D7323" w14:textId="77777777" w:rsidR="00EB6F16" w:rsidRPr="00566F3E" w:rsidRDefault="00EB6F16" w:rsidP="00566F3E">
      <w:pPr>
        <w:pStyle w:val="Heading2"/>
        <w:spacing w:line="360" w:lineRule="auto"/>
        <w:jc w:val="both"/>
      </w:pPr>
      <w:bookmarkStart w:id="12" w:name="_Toc232449765"/>
      <w:r w:rsidRPr="00566F3E">
        <w:t>Stimulating Intrinsic Motivation</w:t>
      </w:r>
      <w:bookmarkEnd w:id="12"/>
    </w:p>
    <w:p w14:paraId="3C03306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proposed design will include fostering intrinsic motivation through the three psychological needs of Self-Determination Theory (Ryan &amp; Deci, 2017), autonomy, competence and relatedness. Squad autonomy is facilitated with squad level decision rights and role crafting conversations. Competences are built up by skills profiles, through stretch assignments and feedback loops. The main means for strengthening relatedness are mentoring, peer cohorts and cross-functional collaboration (Ryan &amp; Deci, 2017; Deci et al., 2017; Slemp et al., 2018).</w:t>
      </w:r>
    </w:p>
    <w:p w14:paraId="1C6840B6" w14:textId="1CE6086F"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Feedback dashboards, that should include technical indicators, learning indicators and impact indicators, should also be utilized by HUM. For instance, an AI engineer must be given feedback on the accuracy of the model, how it can be useful to their client, accessibility considerations and ethical dangers. This wider feedback system will not let performance drop to speed or output volume. It also has the potential to strengthen the meaning of the task and the pride associated with it, which are vital to engagement and retention (Hackman &amp; Oldham, 1976; Parker et al., 2017; Gallup, 2026).</w:t>
      </w:r>
    </w:p>
    <w:p w14:paraId="66873E50" w14:textId="77777777" w:rsidR="00EB6F16" w:rsidRPr="00566F3E" w:rsidRDefault="00EB6F16" w:rsidP="00566F3E">
      <w:pPr>
        <w:pStyle w:val="Heading2"/>
        <w:spacing w:line="360" w:lineRule="auto"/>
        <w:jc w:val="both"/>
      </w:pPr>
      <w:bookmarkStart w:id="13" w:name="_Toc232449766"/>
      <w:r w:rsidRPr="00566F3E">
        <w:t>Supporting Innovation</w:t>
      </w:r>
      <w:bookmarkEnd w:id="13"/>
    </w:p>
    <w:p w14:paraId="5B012AA5"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The proposed architecture is conducive to innovation in four ways. First, cross-functional squads expand the range of knowledge.First, cross-functional squads improve the diversity of knowledge. Second, job crafting helps workers adjust to the technology and the changing needs of the client. Third, the talent marketplace relocates limited skills towards new opportunities. Finally, ethical professionalism guarantees that innovation is responsible and not reckless. This is especially crucial, since the development of smart city AI needs to be technically effective, socially legitimate and ethically governed (OECD, 2024; NIST, 2023; World Economic Forum, 2025).</w:t>
      </w:r>
    </w:p>
    <w:p w14:paraId="56CDE9A3"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However, a government is needed for the model. Talent marketplaces can introduce competition within well-known projects and may lead to a negative attitude against quieter employees or those not working in HQ. HUM should therefore track participation and promotion success and project allocation by demographic and location information. Managers should also make sure to not add to the unpaid work load. The last thing employees need is to feel they're being treated unfairly, stunted in their growth or development, and without a clear purpose for their work when experiencing a skills-based architecture (Deloitte, 2022; Deloitte, 2026; McKinsey &amp; Company, 2022).</w:t>
      </w:r>
    </w:p>
    <w:p w14:paraId="63DFD857" w14:textId="243182F1"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1A792268" wp14:editId="45E7D94B">
            <wp:extent cx="5731510" cy="3931920"/>
            <wp:effectExtent l="0" t="0" r="0" b="5080"/>
            <wp:docPr id="160170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09825" name=""/>
                    <pic:cNvPicPr/>
                  </pic:nvPicPr>
                  <pic:blipFill>
                    <a:blip r:embed="rId10"/>
                    <a:stretch>
                      <a:fillRect/>
                    </a:stretch>
                  </pic:blipFill>
                  <pic:spPr>
                    <a:xfrm>
                      <a:off x="0" y="0"/>
                      <a:ext cx="5731510" cy="3931920"/>
                    </a:xfrm>
                    <a:prstGeom prst="rect">
                      <a:avLst/>
                    </a:prstGeom>
                  </pic:spPr>
                </pic:pic>
              </a:graphicData>
            </a:graphic>
          </wp:inline>
        </w:drawing>
      </w:r>
    </w:p>
    <w:p w14:paraId="6E62CA47" w14:textId="7922738A"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4:  HUM Job Crafting and Talent Marketplace Cycle(McKinsey &amp; Company, 2022)</w:t>
      </w:r>
    </w:p>
    <w:p w14:paraId="5EF705D8" w14:textId="77777777" w:rsidR="00EB6F16" w:rsidRPr="00566F3E" w:rsidRDefault="00EB6F16" w:rsidP="00566F3E">
      <w:pPr>
        <w:pStyle w:val="Heading1"/>
        <w:rPr>
          <w:sz w:val="24"/>
          <w:szCs w:val="24"/>
        </w:rPr>
      </w:pPr>
      <w:bookmarkStart w:id="14" w:name="_Toc232449767"/>
      <w:r w:rsidRPr="00566F3E">
        <w:rPr>
          <w:sz w:val="24"/>
          <w:szCs w:val="24"/>
        </w:rPr>
        <w:lastRenderedPageBreak/>
        <w:t>Task C: Reflective Report</w:t>
      </w:r>
      <w:bookmarkEnd w:id="14"/>
    </w:p>
    <w:p w14:paraId="45A819A4" w14:textId="77777777" w:rsidR="00EB6F16" w:rsidRPr="00566F3E" w:rsidRDefault="00EB6F16" w:rsidP="00566F3E">
      <w:pPr>
        <w:pStyle w:val="Heading2"/>
        <w:spacing w:line="360" w:lineRule="auto"/>
        <w:jc w:val="both"/>
      </w:pPr>
      <w:bookmarkStart w:id="15" w:name="_Toc232449768"/>
      <w:r w:rsidRPr="00566F3E">
        <w:t>Using AI as a Decision-Support Tool Without Eroding Human Judgement</w:t>
      </w:r>
      <w:bookmarkEnd w:id="15"/>
    </w:p>
    <w:p w14:paraId="5315B3CA"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As HR professional of the future, AI would be a decision support rather than decision-making tool. HR can leverage AI's capabilities to summarise engagement data, uncover patterns of attrition, map skills, and aid in workforce planning. But AI can also perpetuate bias without any filter or critical thinking, and give managers false sense of security when they accept the algorithms without checking their work (Capasso, 2024; Alabdali et al., 2024; NIST, 2023).</w:t>
      </w:r>
    </w:p>
    <w:p w14:paraId="28D46E59" w14:textId="79A4FEC8"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My process would be based on an HIT (human in the loop). Humans are better suited to being able to listen to the context, challenge the assumptions and take personal responsibility for decisions while AI can identify patterns. AI might, for instance, determine what attributes are linked to dropping out of graduate school, such as not having a mentor or not having a strong connection to the manager. But the moral answer to the question is to fix the system, not identify people as “flight risks.” This aligns with the OECD's core principles of trustworthy AI and the NIST AI RMF's governance, measurement and risk management aspects (OECD, 2024; NIST, 2023).</w:t>
      </w:r>
    </w:p>
    <w:p w14:paraId="04FE2D8B" w14:textId="79A3051E" w:rsidR="00EB6F16" w:rsidRPr="00566F3E" w:rsidRDefault="00566F3E" w:rsidP="00566F3E">
      <w:pPr>
        <w:spacing w:line="360" w:lineRule="auto"/>
        <w:ind w:firstLine="0"/>
        <w:jc w:val="both"/>
        <w:rPr>
          <w:rFonts w:asciiTheme="majorBidi" w:hAnsiTheme="majorBidi" w:cstheme="majorBidi"/>
          <w:color w:val="000000" w:themeColor="text1"/>
          <w:sz w:val="24"/>
          <w:szCs w:val="24"/>
        </w:rPr>
      </w:pPr>
      <w:r w:rsidRPr="00566F3E">
        <w:rPr>
          <w:rFonts w:asciiTheme="majorBidi" w:hAnsiTheme="majorBidi" w:cstheme="majorBidi"/>
          <w:noProof/>
          <w:color w:val="000000" w:themeColor="text1"/>
          <w:sz w:val="24"/>
          <w:szCs w:val="24"/>
        </w:rPr>
        <w:drawing>
          <wp:inline distT="0" distB="0" distL="0" distR="0" wp14:anchorId="7E084682" wp14:editId="0858E8A0">
            <wp:extent cx="5731510" cy="1600200"/>
            <wp:effectExtent l="0" t="0" r="0" b="0"/>
            <wp:docPr id="122470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700904" name=""/>
                    <pic:cNvPicPr/>
                  </pic:nvPicPr>
                  <pic:blipFill>
                    <a:blip r:embed="rId11"/>
                    <a:stretch>
                      <a:fillRect/>
                    </a:stretch>
                  </pic:blipFill>
                  <pic:spPr>
                    <a:xfrm>
                      <a:off x="0" y="0"/>
                      <a:ext cx="5731510" cy="1600200"/>
                    </a:xfrm>
                    <a:prstGeom prst="rect">
                      <a:avLst/>
                    </a:prstGeom>
                  </pic:spPr>
                </pic:pic>
              </a:graphicData>
            </a:graphic>
          </wp:inline>
        </w:drawing>
      </w:r>
    </w:p>
    <w:p w14:paraId="1125F70A" w14:textId="2BD41051"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Figure 5: Human-in-the-Loop AI Decision Model for HR( Alabdali et al., 2024).</w:t>
      </w:r>
    </w:p>
    <w:p w14:paraId="7882E7E3" w14:textId="77777777" w:rsidR="00EB6F16" w:rsidRPr="00566F3E" w:rsidRDefault="00EB6F16" w:rsidP="00566F3E">
      <w:pPr>
        <w:pStyle w:val="Heading2"/>
        <w:spacing w:line="360" w:lineRule="auto"/>
        <w:jc w:val="both"/>
      </w:pPr>
      <w:bookmarkStart w:id="16" w:name="_Toc232449769"/>
      <w:r w:rsidRPr="00566F3E">
        <w:t>Personal Capability Development Plan</w:t>
      </w:r>
      <w:bookmarkEnd w:id="16"/>
    </w:p>
    <w:p w14:paraId="107BD803" w14:textId="245EA6F2" w:rsidR="00EB6F16" w:rsidRPr="00566F3E" w:rsidRDefault="00EB6F16" w:rsidP="00566F3E">
      <w:pPr>
        <w:spacing w:line="360" w:lineRule="auto"/>
        <w:jc w:val="both"/>
        <w:rPr>
          <w:rFonts w:asciiTheme="majorBidi" w:hAnsiTheme="majorBidi" w:cstheme="majorBidi"/>
          <w:b/>
          <w:bCs/>
          <w:color w:val="000000" w:themeColor="text1"/>
          <w:sz w:val="24"/>
          <w:szCs w:val="24"/>
        </w:rPr>
      </w:pPr>
      <w:r w:rsidRPr="00566F3E">
        <w:rPr>
          <w:rFonts w:asciiTheme="majorBidi" w:hAnsiTheme="majorBidi" w:cstheme="majorBidi"/>
          <w:b/>
          <w:bCs/>
          <w:color w:val="000000" w:themeColor="text1"/>
          <w:sz w:val="24"/>
          <w:szCs w:val="24"/>
        </w:rPr>
        <w:t>Table 3: Personal Capability Development Plan</w:t>
      </w:r>
      <w:r w:rsidRPr="00566F3E">
        <w:rPr>
          <w:rFonts w:asciiTheme="majorBidi" w:hAnsiTheme="majorBidi" w:cstheme="majorBidi"/>
          <w:b/>
          <w:bCs/>
          <w:color w:val="000000" w:themeColor="text1"/>
          <w:sz w:val="24"/>
          <w:szCs w:val="24"/>
        </w:rPr>
        <w:br/>
      </w:r>
    </w:p>
    <w:tbl>
      <w:tblPr>
        <w:tblStyle w:val="GridTable4-Accent5"/>
        <w:tblW w:w="0" w:type="auto"/>
        <w:tblLook w:val="04A0" w:firstRow="1" w:lastRow="0" w:firstColumn="1" w:lastColumn="0" w:noHBand="0" w:noVBand="1"/>
      </w:tblPr>
      <w:tblGrid>
        <w:gridCol w:w="1935"/>
        <w:gridCol w:w="2579"/>
        <w:gridCol w:w="2464"/>
        <w:gridCol w:w="2038"/>
      </w:tblGrid>
      <w:tr w:rsidR="00EB6F16" w:rsidRPr="00566F3E" w14:paraId="0EBFF5E3" w14:textId="77777777" w:rsidTr="00EB6F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1AA12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b w:val="0"/>
                <w:bCs w:val="0"/>
                <w:color w:val="000000" w:themeColor="text1"/>
                <w:sz w:val="24"/>
                <w:szCs w:val="24"/>
              </w:rPr>
              <w:t>Capability</w:t>
            </w:r>
          </w:p>
        </w:tc>
        <w:tc>
          <w:tcPr>
            <w:tcW w:w="0" w:type="auto"/>
            <w:hideMark/>
          </w:tcPr>
          <w:p w14:paraId="6AA68DD2"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Development need</w:t>
            </w:r>
          </w:p>
        </w:tc>
        <w:tc>
          <w:tcPr>
            <w:tcW w:w="0" w:type="auto"/>
            <w:hideMark/>
          </w:tcPr>
          <w:p w14:paraId="129B93F9"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Planned action</w:t>
            </w:r>
          </w:p>
        </w:tc>
        <w:tc>
          <w:tcPr>
            <w:tcW w:w="0" w:type="auto"/>
            <w:hideMark/>
          </w:tcPr>
          <w:p w14:paraId="75887366" w14:textId="77777777" w:rsidR="00EB6F16" w:rsidRPr="00566F3E" w:rsidRDefault="00EB6F16" w:rsidP="00566F3E">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566F3E">
              <w:rPr>
                <w:rFonts w:asciiTheme="majorBidi" w:hAnsiTheme="majorBidi" w:cstheme="majorBidi"/>
                <w:b w:val="0"/>
                <w:bCs w:val="0"/>
                <w:color w:val="000000" w:themeColor="text1"/>
                <w:sz w:val="24"/>
                <w:szCs w:val="24"/>
              </w:rPr>
              <w:t>Evidence of progress</w:t>
            </w:r>
          </w:p>
        </w:tc>
      </w:tr>
      <w:tr w:rsidR="00EB6F16" w:rsidRPr="00566F3E" w14:paraId="59FC5DE9"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48B33E" w14:textId="77777777" w:rsidR="00EB6F16" w:rsidRPr="00566F3E" w:rsidRDefault="00EB6F16" w:rsidP="00566F3E">
            <w:pPr>
              <w:spacing w:line="360" w:lineRule="auto"/>
              <w:jc w:val="both"/>
              <w:rPr>
                <w:rFonts w:asciiTheme="majorBidi" w:hAnsiTheme="majorBidi" w:cstheme="majorBidi"/>
                <w:b w:val="0"/>
                <w:bCs w:val="0"/>
                <w:color w:val="000000" w:themeColor="text1"/>
                <w:sz w:val="24"/>
                <w:szCs w:val="24"/>
              </w:rPr>
            </w:pPr>
            <w:r w:rsidRPr="00566F3E">
              <w:rPr>
                <w:rFonts w:asciiTheme="majorBidi" w:hAnsiTheme="majorBidi" w:cstheme="majorBidi"/>
                <w:color w:val="000000" w:themeColor="text1"/>
                <w:sz w:val="24"/>
                <w:szCs w:val="24"/>
              </w:rPr>
              <w:t>Data literacy</w:t>
            </w:r>
          </w:p>
        </w:tc>
        <w:tc>
          <w:tcPr>
            <w:tcW w:w="0" w:type="auto"/>
            <w:hideMark/>
          </w:tcPr>
          <w:p w14:paraId="0111510E"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 interpretation of HR metrics</w:t>
            </w:r>
          </w:p>
        </w:tc>
        <w:tc>
          <w:tcPr>
            <w:tcW w:w="0" w:type="auto"/>
            <w:hideMark/>
          </w:tcPr>
          <w:p w14:paraId="105F3F69"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 xml:space="preserve">Complete HR analytics training and </w:t>
            </w:r>
            <w:r w:rsidRPr="00566F3E">
              <w:rPr>
                <w:rFonts w:asciiTheme="majorBidi" w:hAnsiTheme="majorBidi" w:cstheme="majorBidi"/>
                <w:color w:val="000000" w:themeColor="text1"/>
                <w:sz w:val="24"/>
                <w:szCs w:val="24"/>
              </w:rPr>
              <w:lastRenderedPageBreak/>
              <w:t>practise dashboard analysis</w:t>
            </w:r>
          </w:p>
        </w:tc>
        <w:tc>
          <w:tcPr>
            <w:tcW w:w="0" w:type="auto"/>
            <w:hideMark/>
          </w:tcPr>
          <w:p w14:paraId="311050E6"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HR dashboard portfolio</w:t>
            </w:r>
          </w:p>
        </w:tc>
      </w:tr>
      <w:tr w:rsidR="00EB6F16" w:rsidRPr="00566F3E" w14:paraId="76414C88" w14:textId="77777777" w:rsidTr="00EB6F16">
        <w:tc>
          <w:tcPr>
            <w:cnfStyle w:val="001000000000" w:firstRow="0" w:lastRow="0" w:firstColumn="1" w:lastColumn="0" w:oddVBand="0" w:evenVBand="0" w:oddHBand="0" w:evenHBand="0" w:firstRowFirstColumn="0" w:firstRowLastColumn="0" w:lastRowFirstColumn="0" w:lastRowLastColumn="0"/>
            <w:tcW w:w="0" w:type="auto"/>
            <w:hideMark/>
          </w:tcPr>
          <w:p w14:paraId="41AB8761"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AI augmentation in HR</w:t>
            </w:r>
          </w:p>
        </w:tc>
        <w:tc>
          <w:tcPr>
            <w:tcW w:w="0" w:type="auto"/>
            <w:hideMark/>
          </w:tcPr>
          <w:p w14:paraId="6C755A4B"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Use AI responsibly and critically</w:t>
            </w:r>
          </w:p>
        </w:tc>
        <w:tc>
          <w:tcPr>
            <w:tcW w:w="0" w:type="auto"/>
            <w:hideMark/>
          </w:tcPr>
          <w:p w14:paraId="6D15E91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Learn prompt design, bias checking and AI governance</w:t>
            </w:r>
          </w:p>
        </w:tc>
        <w:tc>
          <w:tcPr>
            <w:tcW w:w="0" w:type="auto"/>
            <w:hideMark/>
          </w:tcPr>
          <w:p w14:paraId="7C9B8B70"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AI-use reflection log</w:t>
            </w:r>
          </w:p>
        </w:tc>
      </w:tr>
      <w:tr w:rsidR="00EB6F16" w:rsidRPr="00566F3E" w14:paraId="1C404EDB"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21FF8F"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Strategic influencing</w:t>
            </w:r>
          </w:p>
        </w:tc>
        <w:tc>
          <w:tcPr>
            <w:tcW w:w="0" w:type="auto"/>
            <w:hideMark/>
          </w:tcPr>
          <w:p w14:paraId="2D55D80F"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Improve ability to persuade senior stakeholders</w:t>
            </w:r>
          </w:p>
        </w:tc>
        <w:tc>
          <w:tcPr>
            <w:tcW w:w="0" w:type="auto"/>
            <w:hideMark/>
          </w:tcPr>
          <w:p w14:paraId="514E7963"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Practise business cases and stakeholder mapping</w:t>
            </w:r>
          </w:p>
        </w:tc>
        <w:tc>
          <w:tcPr>
            <w:tcW w:w="0" w:type="auto"/>
            <w:hideMark/>
          </w:tcPr>
          <w:p w14:paraId="4A939ECF"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Presentation feedback</w:t>
            </w:r>
          </w:p>
        </w:tc>
      </w:tr>
      <w:tr w:rsidR="00EB6F16" w:rsidRPr="00566F3E" w14:paraId="3AAF7402" w14:textId="77777777" w:rsidTr="00EB6F16">
        <w:tc>
          <w:tcPr>
            <w:cnfStyle w:val="001000000000" w:firstRow="0" w:lastRow="0" w:firstColumn="1" w:lastColumn="0" w:oddVBand="0" w:evenVBand="0" w:oddHBand="0" w:evenHBand="0" w:firstRowFirstColumn="0" w:firstRowLastColumn="0" w:lastRowFirstColumn="0" w:lastRowLastColumn="0"/>
            <w:tcW w:w="0" w:type="auto"/>
            <w:hideMark/>
          </w:tcPr>
          <w:p w14:paraId="6A1DF15C"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Global mobility awareness</w:t>
            </w:r>
          </w:p>
        </w:tc>
        <w:tc>
          <w:tcPr>
            <w:tcW w:w="0" w:type="auto"/>
            <w:hideMark/>
          </w:tcPr>
          <w:p w14:paraId="19C15368"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Understand cross-border HR issues</w:t>
            </w:r>
          </w:p>
        </w:tc>
        <w:tc>
          <w:tcPr>
            <w:tcW w:w="0" w:type="auto"/>
            <w:hideMark/>
          </w:tcPr>
          <w:p w14:paraId="28A96F5C"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Compare UK, German and Singapore HR contexts</w:t>
            </w:r>
          </w:p>
        </w:tc>
        <w:tc>
          <w:tcPr>
            <w:tcW w:w="0" w:type="auto"/>
            <w:hideMark/>
          </w:tcPr>
          <w:p w14:paraId="0721E734" w14:textId="77777777" w:rsidR="00EB6F16" w:rsidRPr="00566F3E" w:rsidRDefault="00EB6F16" w:rsidP="00566F3E">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Comparative HR briefing</w:t>
            </w:r>
          </w:p>
        </w:tc>
      </w:tr>
      <w:tr w:rsidR="00EB6F16" w:rsidRPr="00566F3E" w14:paraId="16050FA3" w14:textId="77777777" w:rsidTr="00EB6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023A74"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Ethical judgement</w:t>
            </w:r>
          </w:p>
        </w:tc>
        <w:tc>
          <w:tcPr>
            <w:tcW w:w="0" w:type="auto"/>
            <w:hideMark/>
          </w:tcPr>
          <w:p w14:paraId="08896A28"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Strengthen confidence in challenging unfair decisions</w:t>
            </w:r>
          </w:p>
        </w:tc>
        <w:tc>
          <w:tcPr>
            <w:tcW w:w="0" w:type="auto"/>
            <w:hideMark/>
          </w:tcPr>
          <w:p w14:paraId="1ABA374E"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Use ethical decision frameworks and reflective case notes</w:t>
            </w:r>
          </w:p>
        </w:tc>
        <w:tc>
          <w:tcPr>
            <w:tcW w:w="0" w:type="auto"/>
            <w:hideMark/>
          </w:tcPr>
          <w:p w14:paraId="74E87CB5" w14:textId="77777777" w:rsidR="00EB6F16" w:rsidRPr="00566F3E" w:rsidRDefault="00EB6F16" w:rsidP="00566F3E">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Reflective portfolio</w:t>
            </w:r>
          </w:p>
        </w:tc>
      </w:tr>
    </w:tbl>
    <w:p w14:paraId="215C4BF4"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The first priority for development would be to make everyone data literate. Human resource (HR) professionals have a growing need to interpret evidence from the workforce, analyse engagement data and link people data to business results. My second priority is Augmenting with AI. I will use artificial intelligence to aid in research, drafting, summarising and scenario analysis but will ensure that sources are accurate, assumptions are checked, and I will remain accountable for making final academic and professional decisions.</w:t>
      </w:r>
    </w:p>
    <w:p w14:paraId="6CDAA2D9"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t>It is also crucial to have strategic influencing skills. Human capital challenges need to be presented to senior leaders in terms that they trade in – commercial and ethical. For HUM, this translates to a discussion that outlines the connection between socialisation, job design and talent mobility with ramp-up time, engagement, retention and innovation. Last but not least, it is important to raise awareness about mobility worldwide as HUM is active in London, Berlin and Singapore. I will broaden this by learning about the comparative HRM and employment expectations and cross-cultural leadership. These skills will enhance my employability and equip me to make a positive contribution in complex, international HR contexts in an appropriate and responsible manner.</w:t>
      </w:r>
    </w:p>
    <w:p w14:paraId="5A2B1370" w14:textId="77777777" w:rsidR="00EB6F16" w:rsidRPr="00566F3E" w:rsidRDefault="00EB6F16" w:rsidP="00566F3E">
      <w:pPr>
        <w:pStyle w:val="Heading1"/>
        <w:rPr>
          <w:sz w:val="24"/>
          <w:szCs w:val="24"/>
        </w:rPr>
      </w:pPr>
      <w:bookmarkStart w:id="17" w:name="_Toc232449770"/>
      <w:r w:rsidRPr="00566F3E">
        <w:rPr>
          <w:sz w:val="24"/>
          <w:szCs w:val="24"/>
        </w:rPr>
        <w:t>Conclusion</w:t>
      </w:r>
      <w:bookmarkEnd w:id="17"/>
    </w:p>
    <w:p w14:paraId="190DED47" w14:textId="77777777" w:rsidR="00EB6F16" w:rsidRPr="00566F3E" w:rsidRDefault="00EB6F16" w:rsidP="00566F3E">
      <w:pPr>
        <w:spacing w:line="360" w:lineRule="auto"/>
        <w:jc w:val="both"/>
        <w:rPr>
          <w:rFonts w:asciiTheme="majorBidi" w:hAnsiTheme="majorBidi" w:cstheme="majorBidi"/>
          <w:color w:val="000000" w:themeColor="text1"/>
          <w:sz w:val="24"/>
          <w:szCs w:val="24"/>
        </w:rPr>
      </w:pPr>
      <w:r w:rsidRPr="00566F3E">
        <w:rPr>
          <w:rFonts w:asciiTheme="majorBidi" w:hAnsiTheme="majorBidi" w:cstheme="majorBidi"/>
          <w:color w:val="000000" w:themeColor="text1"/>
          <w:sz w:val="24"/>
          <w:szCs w:val="24"/>
        </w:rPr>
        <w:lastRenderedPageBreak/>
        <w:t>It is time to move beyond HR interventions to a strategic human capital architecture to address HUM's problems. Task A suggested a staged socialisation model, comprising of three stages (pre-boarding clarity, year one citizenship and beyond) which involve psychological contract management, organisational identification, ethical professionalism and business activism. To enhance motivation, innovation and retention, Task B recommended designing a job architecture to be implemented using the Job Characteristics Model, the concept of job crafting and an internal talent marketplace. Task C reviewed issues of responsible use of AI and pinpointed a personal capability development plan. In general, HUM should regard human capital as a strategic capability that is dynamic. In addition to joining the organisation, staff members need to be aware of the organisation's mission, acquire ethical awareness, have the capacity to influence the meaningful work and drive strategic renewal.</w:t>
      </w:r>
    </w:p>
    <w:p w14:paraId="2416EBB2" w14:textId="1F236A40" w:rsidR="00EB6F16" w:rsidRDefault="00EB6F16" w:rsidP="00566F3E">
      <w:pPr>
        <w:spacing w:line="360" w:lineRule="auto"/>
        <w:jc w:val="both"/>
        <w:rPr>
          <w:rFonts w:asciiTheme="majorBidi" w:hAnsiTheme="majorBidi" w:cstheme="majorBidi"/>
          <w:color w:val="000000" w:themeColor="text1"/>
          <w:sz w:val="24"/>
          <w:szCs w:val="24"/>
        </w:rPr>
      </w:pPr>
    </w:p>
    <w:p w14:paraId="1E5E7653" w14:textId="77777777" w:rsidR="00566F3E" w:rsidRDefault="00566F3E" w:rsidP="00566F3E">
      <w:pPr>
        <w:spacing w:line="360" w:lineRule="auto"/>
        <w:jc w:val="both"/>
        <w:rPr>
          <w:rFonts w:asciiTheme="majorBidi" w:hAnsiTheme="majorBidi" w:cstheme="majorBidi"/>
          <w:color w:val="000000" w:themeColor="text1"/>
          <w:sz w:val="24"/>
          <w:szCs w:val="24"/>
        </w:rPr>
      </w:pPr>
    </w:p>
    <w:p w14:paraId="4EF7C131" w14:textId="77777777" w:rsidR="00566F3E" w:rsidRDefault="00566F3E" w:rsidP="00566F3E">
      <w:pPr>
        <w:spacing w:line="360" w:lineRule="auto"/>
        <w:jc w:val="both"/>
        <w:rPr>
          <w:rFonts w:asciiTheme="majorBidi" w:hAnsiTheme="majorBidi" w:cstheme="majorBidi"/>
          <w:color w:val="000000" w:themeColor="text1"/>
          <w:sz w:val="24"/>
          <w:szCs w:val="24"/>
        </w:rPr>
      </w:pPr>
    </w:p>
    <w:p w14:paraId="7D72DC0F" w14:textId="77777777" w:rsidR="00566F3E" w:rsidRDefault="00566F3E" w:rsidP="00566F3E">
      <w:pPr>
        <w:spacing w:line="360" w:lineRule="auto"/>
        <w:jc w:val="both"/>
        <w:rPr>
          <w:rFonts w:asciiTheme="majorBidi" w:hAnsiTheme="majorBidi" w:cstheme="majorBidi"/>
          <w:color w:val="000000" w:themeColor="text1"/>
          <w:sz w:val="24"/>
          <w:szCs w:val="24"/>
        </w:rPr>
      </w:pPr>
    </w:p>
    <w:p w14:paraId="5EC26D47" w14:textId="77777777" w:rsidR="00566F3E" w:rsidRDefault="00566F3E" w:rsidP="00566F3E">
      <w:pPr>
        <w:spacing w:line="360" w:lineRule="auto"/>
        <w:jc w:val="both"/>
        <w:rPr>
          <w:rFonts w:asciiTheme="majorBidi" w:hAnsiTheme="majorBidi" w:cstheme="majorBidi"/>
          <w:color w:val="000000" w:themeColor="text1"/>
          <w:sz w:val="24"/>
          <w:szCs w:val="24"/>
        </w:rPr>
      </w:pPr>
    </w:p>
    <w:p w14:paraId="5A4657FD" w14:textId="77777777" w:rsidR="00566F3E" w:rsidRDefault="00566F3E" w:rsidP="00566F3E">
      <w:pPr>
        <w:spacing w:line="360" w:lineRule="auto"/>
        <w:jc w:val="both"/>
        <w:rPr>
          <w:rFonts w:asciiTheme="majorBidi" w:hAnsiTheme="majorBidi" w:cstheme="majorBidi"/>
          <w:color w:val="000000" w:themeColor="text1"/>
          <w:sz w:val="24"/>
          <w:szCs w:val="24"/>
        </w:rPr>
      </w:pPr>
    </w:p>
    <w:p w14:paraId="48536AB4" w14:textId="77777777" w:rsidR="00566F3E" w:rsidRDefault="00566F3E" w:rsidP="00566F3E">
      <w:pPr>
        <w:spacing w:line="360" w:lineRule="auto"/>
        <w:jc w:val="both"/>
        <w:rPr>
          <w:rFonts w:asciiTheme="majorBidi" w:hAnsiTheme="majorBidi" w:cstheme="majorBidi"/>
          <w:color w:val="000000" w:themeColor="text1"/>
          <w:sz w:val="24"/>
          <w:szCs w:val="24"/>
        </w:rPr>
      </w:pPr>
    </w:p>
    <w:p w14:paraId="39A30A76" w14:textId="77777777" w:rsidR="00566F3E" w:rsidRDefault="00566F3E" w:rsidP="00566F3E">
      <w:pPr>
        <w:spacing w:line="360" w:lineRule="auto"/>
        <w:jc w:val="both"/>
        <w:rPr>
          <w:rFonts w:asciiTheme="majorBidi" w:hAnsiTheme="majorBidi" w:cstheme="majorBidi"/>
          <w:color w:val="000000" w:themeColor="text1"/>
          <w:sz w:val="24"/>
          <w:szCs w:val="24"/>
        </w:rPr>
      </w:pPr>
    </w:p>
    <w:p w14:paraId="4FF239CD" w14:textId="77777777" w:rsidR="00566F3E" w:rsidRDefault="00566F3E" w:rsidP="00566F3E">
      <w:pPr>
        <w:spacing w:line="360" w:lineRule="auto"/>
        <w:jc w:val="both"/>
        <w:rPr>
          <w:rFonts w:asciiTheme="majorBidi" w:hAnsiTheme="majorBidi" w:cstheme="majorBidi"/>
          <w:color w:val="000000" w:themeColor="text1"/>
          <w:sz w:val="24"/>
          <w:szCs w:val="24"/>
        </w:rPr>
      </w:pPr>
    </w:p>
    <w:p w14:paraId="05F468B4" w14:textId="77777777" w:rsidR="00566F3E" w:rsidRDefault="00566F3E" w:rsidP="00566F3E">
      <w:pPr>
        <w:spacing w:line="360" w:lineRule="auto"/>
        <w:jc w:val="both"/>
        <w:rPr>
          <w:rFonts w:asciiTheme="majorBidi" w:hAnsiTheme="majorBidi" w:cstheme="majorBidi"/>
          <w:color w:val="000000" w:themeColor="text1"/>
          <w:sz w:val="24"/>
          <w:szCs w:val="24"/>
        </w:rPr>
      </w:pPr>
    </w:p>
    <w:p w14:paraId="21C07B1D" w14:textId="77777777" w:rsidR="00566F3E" w:rsidRDefault="00566F3E" w:rsidP="00566F3E">
      <w:pPr>
        <w:spacing w:line="360" w:lineRule="auto"/>
        <w:jc w:val="both"/>
        <w:rPr>
          <w:rFonts w:asciiTheme="majorBidi" w:hAnsiTheme="majorBidi" w:cstheme="majorBidi"/>
          <w:color w:val="000000" w:themeColor="text1"/>
          <w:sz w:val="24"/>
          <w:szCs w:val="24"/>
        </w:rPr>
      </w:pPr>
    </w:p>
    <w:p w14:paraId="4F7B8F8E" w14:textId="77777777" w:rsidR="00566F3E" w:rsidRDefault="00566F3E" w:rsidP="00566F3E">
      <w:pPr>
        <w:spacing w:line="360" w:lineRule="auto"/>
        <w:jc w:val="both"/>
        <w:rPr>
          <w:rFonts w:asciiTheme="majorBidi" w:hAnsiTheme="majorBidi" w:cstheme="majorBidi"/>
          <w:color w:val="000000" w:themeColor="text1"/>
          <w:sz w:val="24"/>
          <w:szCs w:val="24"/>
        </w:rPr>
      </w:pPr>
    </w:p>
    <w:p w14:paraId="61BE7A65" w14:textId="77777777" w:rsidR="00566F3E" w:rsidRDefault="00566F3E" w:rsidP="00566F3E">
      <w:pPr>
        <w:spacing w:line="360" w:lineRule="auto"/>
        <w:jc w:val="both"/>
        <w:rPr>
          <w:rFonts w:asciiTheme="majorBidi" w:hAnsiTheme="majorBidi" w:cstheme="majorBidi"/>
          <w:color w:val="000000" w:themeColor="text1"/>
          <w:sz w:val="24"/>
          <w:szCs w:val="24"/>
        </w:rPr>
      </w:pPr>
    </w:p>
    <w:p w14:paraId="10368819" w14:textId="77777777" w:rsidR="00566F3E" w:rsidRDefault="00566F3E" w:rsidP="00566F3E">
      <w:pPr>
        <w:spacing w:line="360" w:lineRule="auto"/>
        <w:jc w:val="both"/>
        <w:rPr>
          <w:rFonts w:asciiTheme="majorBidi" w:hAnsiTheme="majorBidi" w:cstheme="majorBidi"/>
          <w:color w:val="000000" w:themeColor="text1"/>
          <w:sz w:val="24"/>
          <w:szCs w:val="24"/>
        </w:rPr>
      </w:pPr>
    </w:p>
    <w:p w14:paraId="29B0F8A7" w14:textId="77777777" w:rsidR="00566F3E" w:rsidRDefault="00566F3E" w:rsidP="00566F3E">
      <w:pPr>
        <w:spacing w:line="360" w:lineRule="auto"/>
        <w:jc w:val="both"/>
        <w:rPr>
          <w:rFonts w:asciiTheme="majorBidi" w:hAnsiTheme="majorBidi" w:cstheme="majorBidi"/>
          <w:color w:val="000000" w:themeColor="text1"/>
          <w:sz w:val="24"/>
          <w:szCs w:val="24"/>
        </w:rPr>
      </w:pPr>
    </w:p>
    <w:p w14:paraId="3D9437AA" w14:textId="77777777" w:rsidR="00566F3E" w:rsidRDefault="00566F3E" w:rsidP="00566F3E">
      <w:pPr>
        <w:spacing w:line="360" w:lineRule="auto"/>
        <w:jc w:val="both"/>
        <w:rPr>
          <w:rFonts w:asciiTheme="majorBidi" w:hAnsiTheme="majorBidi" w:cstheme="majorBidi"/>
          <w:color w:val="000000" w:themeColor="text1"/>
          <w:sz w:val="24"/>
          <w:szCs w:val="24"/>
        </w:rPr>
      </w:pPr>
    </w:p>
    <w:p w14:paraId="44BBE7B0" w14:textId="77777777" w:rsidR="00566F3E" w:rsidRDefault="00566F3E" w:rsidP="00566F3E">
      <w:pPr>
        <w:spacing w:line="360" w:lineRule="auto"/>
        <w:jc w:val="both"/>
        <w:rPr>
          <w:rFonts w:asciiTheme="majorBidi" w:hAnsiTheme="majorBidi" w:cstheme="majorBidi"/>
          <w:color w:val="000000" w:themeColor="text1"/>
          <w:sz w:val="24"/>
          <w:szCs w:val="24"/>
        </w:rPr>
      </w:pPr>
    </w:p>
    <w:p w14:paraId="234426EF" w14:textId="77777777" w:rsidR="00566F3E" w:rsidRDefault="00566F3E" w:rsidP="00566F3E">
      <w:pPr>
        <w:spacing w:line="360" w:lineRule="auto"/>
        <w:jc w:val="both"/>
        <w:rPr>
          <w:rFonts w:asciiTheme="majorBidi" w:hAnsiTheme="majorBidi" w:cstheme="majorBidi"/>
          <w:color w:val="000000" w:themeColor="text1"/>
          <w:sz w:val="24"/>
          <w:szCs w:val="24"/>
        </w:rPr>
      </w:pPr>
    </w:p>
    <w:p w14:paraId="478BA731" w14:textId="77777777" w:rsidR="00566F3E" w:rsidRDefault="00566F3E" w:rsidP="00566F3E">
      <w:pPr>
        <w:spacing w:line="360" w:lineRule="auto"/>
        <w:jc w:val="both"/>
        <w:rPr>
          <w:rFonts w:asciiTheme="majorBidi" w:hAnsiTheme="majorBidi" w:cstheme="majorBidi"/>
          <w:color w:val="000000" w:themeColor="text1"/>
          <w:sz w:val="24"/>
          <w:szCs w:val="24"/>
        </w:rPr>
      </w:pPr>
    </w:p>
    <w:p w14:paraId="73BF672D" w14:textId="77777777" w:rsidR="00566F3E" w:rsidRDefault="00566F3E" w:rsidP="00566F3E">
      <w:pPr>
        <w:spacing w:line="360" w:lineRule="auto"/>
        <w:jc w:val="both"/>
        <w:rPr>
          <w:rFonts w:asciiTheme="majorBidi" w:hAnsiTheme="majorBidi" w:cstheme="majorBidi"/>
          <w:color w:val="000000" w:themeColor="text1"/>
          <w:sz w:val="24"/>
          <w:szCs w:val="24"/>
        </w:rPr>
      </w:pPr>
    </w:p>
    <w:p w14:paraId="54248EE3" w14:textId="77777777" w:rsidR="00566F3E" w:rsidRPr="00566F3E" w:rsidRDefault="00566F3E" w:rsidP="00566F3E">
      <w:pPr>
        <w:spacing w:line="360" w:lineRule="auto"/>
        <w:jc w:val="both"/>
        <w:rPr>
          <w:rFonts w:asciiTheme="majorBidi" w:hAnsiTheme="majorBidi" w:cstheme="majorBidi"/>
          <w:color w:val="000000" w:themeColor="text1"/>
          <w:sz w:val="24"/>
          <w:szCs w:val="24"/>
        </w:rPr>
      </w:pPr>
    </w:p>
    <w:p w14:paraId="1E5CCEBA" w14:textId="77777777" w:rsidR="00EB6F16" w:rsidRPr="00566F3E" w:rsidRDefault="00EB6F16" w:rsidP="00566F3E">
      <w:pPr>
        <w:pStyle w:val="Heading1"/>
        <w:rPr>
          <w:sz w:val="24"/>
          <w:szCs w:val="24"/>
        </w:rPr>
      </w:pPr>
      <w:bookmarkStart w:id="18" w:name="_Toc232449771"/>
      <w:r w:rsidRPr="00566F3E">
        <w:rPr>
          <w:sz w:val="24"/>
          <w:szCs w:val="24"/>
        </w:rPr>
        <w:lastRenderedPageBreak/>
        <w:t>References</w:t>
      </w:r>
      <w:bookmarkEnd w:id="18"/>
    </w:p>
    <w:p w14:paraId="69737ED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Alabdali, M. A., et al. (2024). Harnessing the power of algorithmic human resource management: Scale development and validation. </w:t>
      </w:r>
      <w:r w:rsidRPr="00566F3E">
        <w:rPr>
          <w:rStyle w:val="Emphasis"/>
          <w:rFonts w:asciiTheme="majorBidi" w:hAnsiTheme="majorBidi" w:cstheme="majorBidi"/>
          <w:b w:val="0"/>
          <w:bCs w:val="0"/>
          <w:color w:val="000000" w:themeColor="text1"/>
        </w:rPr>
        <w:t>Sustainability, 16</w:t>
      </w:r>
      <w:r w:rsidRPr="00566F3E">
        <w:rPr>
          <w:rFonts w:asciiTheme="majorBidi" w:hAnsiTheme="majorBidi" w:cstheme="majorBidi"/>
          <w:color w:val="000000" w:themeColor="text1"/>
        </w:rPr>
        <w:t xml:space="preserve">(11), 4854. </w:t>
      </w:r>
      <w:hyperlink r:id="rId12" w:history="1">
        <w:r w:rsidRPr="00566F3E">
          <w:rPr>
            <w:rStyle w:val="Hyperlink"/>
            <w:rFonts w:asciiTheme="majorBidi" w:hAnsiTheme="majorBidi" w:cstheme="majorBidi"/>
            <w:color w:val="000000" w:themeColor="text1"/>
          </w:rPr>
          <w:t>https://www.mdpi.com/2071-1050/16/11/4854</w:t>
        </w:r>
      </w:hyperlink>
    </w:p>
    <w:p w14:paraId="0ED63D6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Ashforth, B. E., Harrison, S. H., &amp; Corley, K. G. (2008). Identification in organizations: An examination of four fundamental questions. </w:t>
      </w:r>
      <w:r w:rsidRPr="00566F3E">
        <w:rPr>
          <w:rStyle w:val="Emphasis"/>
          <w:rFonts w:asciiTheme="majorBidi" w:hAnsiTheme="majorBidi" w:cstheme="majorBidi"/>
          <w:b w:val="0"/>
          <w:bCs w:val="0"/>
          <w:color w:val="000000" w:themeColor="text1"/>
        </w:rPr>
        <w:t>Journal of Management, 34</w:t>
      </w:r>
      <w:r w:rsidRPr="00566F3E">
        <w:rPr>
          <w:rFonts w:asciiTheme="majorBidi" w:hAnsiTheme="majorBidi" w:cstheme="majorBidi"/>
          <w:color w:val="000000" w:themeColor="text1"/>
        </w:rPr>
        <w:t xml:space="preserve">(3), 325–374. </w:t>
      </w:r>
      <w:hyperlink r:id="rId13" w:history="1">
        <w:r w:rsidRPr="00566F3E">
          <w:rPr>
            <w:rStyle w:val="Hyperlink"/>
            <w:rFonts w:asciiTheme="majorBidi" w:hAnsiTheme="majorBidi" w:cstheme="majorBidi"/>
            <w:color w:val="000000" w:themeColor="text1"/>
          </w:rPr>
          <w:t>https://journals.sagepub.com/doi/10.1177/0149206308316059</w:t>
        </w:r>
      </w:hyperlink>
    </w:p>
    <w:p w14:paraId="4BFE417A"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Ashforth, B. E., &amp; Mael, F. (1989). Social identity theory and the organization. </w:t>
      </w:r>
      <w:r w:rsidRPr="00566F3E">
        <w:rPr>
          <w:rStyle w:val="Emphasis"/>
          <w:rFonts w:asciiTheme="majorBidi" w:hAnsiTheme="majorBidi" w:cstheme="majorBidi"/>
          <w:b w:val="0"/>
          <w:bCs w:val="0"/>
          <w:color w:val="000000" w:themeColor="text1"/>
        </w:rPr>
        <w:t>Academy of Management Review, 14</w:t>
      </w:r>
      <w:r w:rsidRPr="00566F3E">
        <w:rPr>
          <w:rFonts w:asciiTheme="majorBidi" w:hAnsiTheme="majorBidi" w:cstheme="majorBidi"/>
          <w:color w:val="000000" w:themeColor="text1"/>
        </w:rPr>
        <w:t xml:space="preserve">(1), 20–39. </w:t>
      </w:r>
      <w:hyperlink r:id="rId14" w:history="1">
        <w:r w:rsidRPr="00566F3E">
          <w:rPr>
            <w:rStyle w:val="Hyperlink"/>
            <w:rFonts w:asciiTheme="majorBidi" w:hAnsiTheme="majorBidi" w:cstheme="majorBidi"/>
            <w:color w:val="000000" w:themeColor="text1"/>
          </w:rPr>
          <w:t>https://journals.aom.org/doi/10.5465/amr.1989.4278999</w:t>
        </w:r>
      </w:hyperlink>
    </w:p>
    <w:p w14:paraId="7422D3D6"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Bauer, T. N., Bodner, T., Erdogan, B., Truxillo, D. M., &amp; Tucker, J. S. (2007). Newcomer adjustment during organizational socialization: A meta-analytic review. </w:t>
      </w:r>
      <w:r w:rsidRPr="00566F3E">
        <w:rPr>
          <w:rStyle w:val="Emphasis"/>
          <w:rFonts w:asciiTheme="majorBidi" w:hAnsiTheme="majorBidi" w:cstheme="majorBidi"/>
          <w:b w:val="0"/>
          <w:bCs w:val="0"/>
          <w:color w:val="000000" w:themeColor="text1"/>
        </w:rPr>
        <w:t>Journal of Applied Psychology, 92</w:t>
      </w:r>
      <w:r w:rsidRPr="00566F3E">
        <w:rPr>
          <w:rFonts w:asciiTheme="majorBidi" w:hAnsiTheme="majorBidi" w:cstheme="majorBidi"/>
          <w:color w:val="000000" w:themeColor="text1"/>
        </w:rPr>
        <w:t xml:space="preserve">(3), 707–721. </w:t>
      </w:r>
      <w:hyperlink r:id="rId15" w:history="1">
        <w:r w:rsidRPr="00566F3E">
          <w:rPr>
            <w:rStyle w:val="Hyperlink"/>
            <w:rFonts w:asciiTheme="majorBidi" w:hAnsiTheme="majorBidi" w:cstheme="majorBidi"/>
            <w:color w:val="000000" w:themeColor="text1"/>
          </w:rPr>
          <w:t>https://psycnet.apa.org/record/2007-06673-008</w:t>
        </w:r>
      </w:hyperlink>
    </w:p>
    <w:p w14:paraId="7725B5D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Bauer, T. N., Erdogan, B., Ellis, A. M., &amp; Kurkoski, J. (2025). New horizons for newcomer organizational socialization: A review, meta-analysis, and future research directions. </w:t>
      </w:r>
      <w:r w:rsidRPr="00566F3E">
        <w:rPr>
          <w:rStyle w:val="Emphasis"/>
          <w:rFonts w:asciiTheme="majorBidi" w:hAnsiTheme="majorBidi" w:cstheme="majorBidi"/>
          <w:b w:val="0"/>
          <w:bCs w:val="0"/>
          <w:color w:val="000000" w:themeColor="text1"/>
        </w:rPr>
        <w:t>Journal of Management, 51</w:t>
      </w:r>
      <w:r w:rsidRPr="00566F3E">
        <w:rPr>
          <w:rFonts w:asciiTheme="majorBidi" w:hAnsiTheme="majorBidi" w:cstheme="majorBidi"/>
          <w:color w:val="000000" w:themeColor="text1"/>
        </w:rPr>
        <w:t xml:space="preserve">(1), 344–382. </w:t>
      </w:r>
      <w:hyperlink r:id="rId16" w:history="1">
        <w:r w:rsidRPr="00566F3E">
          <w:rPr>
            <w:rStyle w:val="Hyperlink"/>
            <w:rFonts w:asciiTheme="majorBidi" w:hAnsiTheme="majorBidi" w:cstheme="majorBidi"/>
            <w:color w:val="000000" w:themeColor="text1"/>
          </w:rPr>
          <w:t>https://journals.sagepub.com/doi/10.1177/01492063241277168</w:t>
        </w:r>
      </w:hyperlink>
    </w:p>
    <w:p w14:paraId="7CBF12E3"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Capasso, M. (2024). On the right to work in the age of artificial intelligence: Ethical safeguards in algorithmic human resource management. </w:t>
      </w:r>
      <w:r w:rsidRPr="00566F3E">
        <w:rPr>
          <w:rStyle w:val="Emphasis"/>
          <w:rFonts w:asciiTheme="majorBidi" w:hAnsiTheme="majorBidi" w:cstheme="majorBidi"/>
          <w:b w:val="0"/>
          <w:bCs w:val="0"/>
          <w:color w:val="000000" w:themeColor="text1"/>
        </w:rPr>
        <w:t>Business and Human Rights Journal</w:t>
      </w:r>
      <w:r w:rsidRPr="00566F3E">
        <w:rPr>
          <w:rFonts w:asciiTheme="majorBidi" w:hAnsiTheme="majorBidi" w:cstheme="majorBidi"/>
          <w:color w:val="000000" w:themeColor="text1"/>
        </w:rPr>
        <w:t xml:space="preserve">. </w:t>
      </w:r>
      <w:hyperlink r:id="rId17" w:history="1">
        <w:r w:rsidRPr="00566F3E">
          <w:rPr>
            <w:rStyle w:val="Hyperlink"/>
            <w:rFonts w:asciiTheme="majorBidi" w:hAnsiTheme="majorBidi" w:cstheme="majorBidi"/>
            <w:color w:val="000000" w:themeColor="text1"/>
          </w:rPr>
          <w:t>https://www.cambridge.org/core/journals/business-and-human-rights-journal/article/on-the-right-to-work-in-the-age-of-artificial-intelligence-ethical-safeguards-in-algorithmic-human-resource-management/48C5CC4DBEDE34EEEFC1591E89C6B1A8</w:t>
        </w:r>
      </w:hyperlink>
    </w:p>
    <w:p w14:paraId="4944777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Conroy, S., Henle, C. A., Shore, L., &amp; Stelman, S. (2017). Where there is light, there is dark: A review of the detrimental outcomes of high organizational identification. </w:t>
      </w:r>
      <w:r w:rsidRPr="00566F3E">
        <w:rPr>
          <w:rStyle w:val="Emphasis"/>
          <w:rFonts w:asciiTheme="majorBidi" w:hAnsiTheme="majorBidi" w:cstheme="majorBidi"/>
          <w:b w:val="0"/>
          <w:bCs w:val="0"/>
          <w:color w:val="000000" w:themeColor="text1"/>
        </w:rPr>
        <w:t>Journal of Organizational Behavior, 38</w:t>
      </w:r>
      <w:r w:rsidRPr="00566F3E">
        <w:rPr>
          <w:rFonts w:asciiTheme="majorBidi" w:hAnsiTheme="majorBidi" w:cstheme="majorBidi"/>
          <w:color w:val="000000" w:themeColor="text1"/>
        </w:rPr>
        <w:t xml:space="preserve">(2), 184–203. </w:t>
      </w:r>
      <w:hyperlink r:id="rId18" w:history="1">
        <w:r w:rsidRPr="00566F3E">
          <w:rPr>
            <w:rStyle w:val="Hyperlink"/>
            <w:rFonts w:asciiTheme="majorBidi" w:hAnsiTheme="majorBidi" w:cstheme="majorBidi"/>
            <w:color w:val="000000" w:themeColor="text1"/>
          </w:rPr>
          <w:t>https://onlinelibrary.wiley.com/doi/10.1002/job.2164</w:t>
        </w:r>
      </w:hyperlink>
    </w:p>
    <w:p w14:paraId="62A6EFF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lastRenderedPageBreak/>
        <w:t xml:space="preserve">Coyle-Shapiro, J. A. M., Pereira Costa, S., Doden, W., &amp; Chang, C. (2019). Psychological contracts: Past, present, and future. </w:t>
      </w:r>
      <w:r w:rsidRPr="00566F3E">
        <w:rPr>
          <w:rStyle w:val="Emphasis"/>
          <w:rFonts w:asciiTheme="majorBidi" w:hAnsiTheme="majorBidi" w:cstheme="majorBidi"/>
          <w:b w:val="0"/>
          <w:bCs w:val="0"/>
          <w:color w:val="000000" w:themeColor="text1"/>
        </w:rPr>
        <w:t>Annual Review of Organizational Psychology and Organizational Behavior, 6</w:t>
      </w:r>
      <w:r w:rsidRPr="00566F3E">
        <w:rPr>
          <w:rFonts w:asciiTheme="majorBidi" w:hAnsiTheme="majorBidi" w:cstheme="majorBidi"/>
          <w:color w:val="000000" w:themeColor="text1"/>
        </w:rPr>
        <w:t xml:space="preserve">, 145–169. </w:t>
      </w:r>
      <w:hyperlink r:id="rId19" w:history="1">
        <w:r w:rsidRPr="00566F3E">
          <w:rPr>
            <w:rStyle w:val="Hyperlink"/>
            <w:rFonts w:asciiTheme="majorBidi" w:hAnsiTheme="majorBidi" w:cstheme="majorBidi"/>
            <w:color w:val="000000" w:themeColor="text1"/>
          </w:rPr>
          <w:t>https://www.annualreviews.org/content/journals/10.1146/annurev-orgpsych-012218-015212</w:t>
        </w:r>
      </w:hyperlink>
    </w:p>
    <w:p w14:paraId="395075E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Deci, E. L., Olafsen, A. H., &amp; Ryan, R. M. (2017). Self-determination theory in work organizations. </w:t>
      </w:r>
      <w:r w:rsidRPr="00566F3E">
        <w:rPr>
          <w:rStyle w:val="Emphasis"/>
          <w:rFonts w:asciiTheme="majorBidi" w:hAnsiTheme="majorBidi" w:cstheme="majorBidi"/>
          <w:b w:val="0"/>
          <w:bCs w:val="0"/>
          <w:color w:val="000000" w:themeColor="text1"/>
        </w:rPr>
        <w:t>Annual Review of Organizational Psychology and Organizational Behavior, 4</w:t>
      </w:r>
      <w:r w:rsidRPr="00566F3E">
        <w:rPr>
          <w:rFonts w:asciiTheme="majorBidi" w:hAnsiTheme="majorBidi" w:cstheme="majorBidi"/>
          <w:color w:val="000000" w:themeColor="text1"/>
        </w:rPr>
        <w:t xml:space="preserve">, 19–43. </w:t>
      </w:r>
      <w:hyperlink r:id="rId20" w:history="1">
        <w:r w:rsidRPr="00566F3E">
          <w:rPr>
            <w:rStyle w:val="Hyperlink"/>
            <w:rFonts w:asciiTheme="majorBidi" w:hAnsiTheme="majorBidi" w:cstheme="majorBidi"/>
            <w:color w:val="000000" w:themeColor="text1"/>
          </w:rPr>
          <w:t>https://www.annualreviews.org/content/journals/10.1146/annurev-orgpsych-032516-113108</w:t>
        </w:r>
      </w:hyperlink>
    </w:p>
    <w:p w14:paraId="5EC7E7F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Deloitte. (2022). </w:t>
      </w:r>
      <w:r w:rsidRPr="00566F3E">
        <w:rPr>
          <w:rStyle w:val="Emphasis"/>
          <w:rFonts w:asciiTheme="majorBidi" w:hAnsiTheme="majorBidi" w:cstheme="majorBidi"/>
          <w:b w:val="0"/>
          <w:bCs w:val="0"/>
          <w:color w:val="000000" w:themeColor="text1"/>
        </w:rPr>
        <w:t>The skills-based organization: A new operating model for work and the workforce</w:t>
      </w:r>
      <w:r w:rsidRPr="00566F3E">
        <w:rPr>
          <w:rFonts w:asciiTheme="majorBidi" w:hAnsiTheme="majorBidi" w:cstheme="majorBidi"/>
          <w:color w:val="000000" w:themeColor="text1"/>
        </w:rPr>
        <w:t xml:space="preserve">. </w:t>
      </w:r>
      <w:hyperlink r:id="rId21" w:history="1">
        <w:r w:rsidRPr="00566F3E">
          <w:rPr>
            <w:rStyle w:val="Hyperlink"/>
            <w:rFonts w:asciiTheme="majorBidi" w:hAnsiTheme="majorBidi" w:cstheme="majorBidi"/>
            <w:color w:val="000000" w:themeColor="text1"/>
          </w:rPr>
          <w:t>https://www.deloitte.com/us/en/insights/topics/talent/organizational-skill-based-hiring.html</w:t>
        </w:r>
      </w:hyperlink>
    </w:p>
    <w:p w14:paraId="361B191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Deloitte. (2026). </w:t>
      </w:r>
      <w:r w:rsidRPr="00566F3E">
        <w:rPr>
          <w:rStyle w:val="Emphasis"/>
          <w:rFonts w:asciiTheme="majorBidi" w:hAnsiTheme="majorBidi" w:cstheme="majorBidi"/>
          <w:b w:val="0"/>
          <w:bCs w:val="0"/>
          <w:color w:val="000000" w:themeColor="text1"/>
        </w:rPr>
        <w:t>Rethinking skills-based talent models: Four paths to business value</w:t>
      </w:r>
      <w:r w:rsidRPr="00566F3E">
        <w:rPr>
          <w:rFonts w:asciiTheme="majorBidi" w:hAnsiTheme="majorBidi" w:cstheme="majorBidi"/>
          <w:color w:val="000000" w:themeColor="text1"/>
        </w:rPr>
        <w:t xml:space="preserve">. </w:t>
      </w:r>
      <w:hyperlink r:id="rId22" w:history="1">
        <w:r w:rsidRPr="00566F3E">
          <w:rPr>
            <w:rStyle w:val="Hyperlink"/>
            <w:rFonts w:asciiTheme="majorBidi" w:hAnsiTheme="majorBidi" w:cstheme="majorBidi"/>
            <w:color w:val="000000" w:themeColor="text1"/>
          </w:rPr>
          <w:t>https://www.deloitte.com/us/en/insights/topics/talent/creating-value-with-skills.html</w:t>
        </w:r>
      </w:hyperlink>
    </w:p>
    <w:p w14:paraId="489F6FA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Didion, E., Toth, K., &amp; Albrecht, S. L. (2024). Mapping the organizational socialization and onboarding literature: A bibliometric analysis of the field. </w:t>
      </w:r>
      <w:r w:rsidRPr="00566F3E">
        <w:rPr>
          <w:rStyle w:val="Emphasis"/>
          <w:rFonts w:asciiTheme="majorBidi" w:hAnsiTheme="majorBidi" w:cstheme="majorBidi"/>
          <w:b w:val="0"/>
          <w:bCs w:val="0"/>
          <w:color w:val="000000" w:themeColor="text1"/>
        </w:rPr>
        <w:t>Cogent Business &amp; Management, 11</w:t>
      </w:r>
      <w:r w:rsidRPr="00566F3E">
        <w:rPr>
          <w:rFonts w:asciiTheme="majorBidi" w:hAnsiTheme="majorBidi" w:cstheme="majorBidi"/>
          <w:color w:val="000000" w:themeColor="text1"/>
        </w:rPr>
        <w:t xml:space="preserve">(1). </w:t>
      </w:r>
      <w:hyperlink r:id="rId23" w:history="1">
        <w:r w:rsidRPr="00566F3E">
          <w:rPr>
            <w:rStyle w:val="Hyperlink"/>
            <w:rFonts w:asciiTheme="majorBidi" w:hAnsiTheme="majorBidi" w:cstheme="majorBidi"/>
            <w:color w:val="000000" w:themeColor="text1"/>
          </w:rPr>
          <w:t>https://www.tandfonline.com/doi/full/10.1080/23311975.2024.2337957</w:t>
        </w:r>
      </w:hyperlink>
    </w:p>
    <w:p w14:paraId="278C79F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Edmondson, A. C., &amp; Harvey, J. F. (2018). Cross-boundary teaming for innovation. </w:t>
      </w:r>
      <w:r w:rsidRPr="00566F3E">
        <w:rPr>
          <w:rStyle w:val="Emphasis"/>
          <w:rFonts w:asciiTheme="majorBidi" w:hAnsiTheme="majorBidi" w:cstheme="majorBidi"/>
          <w:b w:val="0"/>
          <w:bCs w:val="0"/>
          <w:color w:val="000000" w:themeColor="text1"/>
        </w:rPr>
        <w:t>Human Resource Management Review, 28</w:t>
      </w:r>
      <w:r w:rsidRPr="00566F3E">
        <w:rPr>
          <w:rFonts w:asciiTheme="majorBidi" w:hAnsiTheme="majorBidi" w:cstheme="majorBidi"/>
          <w:color w:val="000000" w:themeColor="text1"/>
        </w:rPr>
        <w:t xml:space="preserve">(4), 347–360. </w:t>
      </w:r>
      <w:hyperlink r:id="rId24" w:history="1">
        <w:r w:rsidRPr="00566F3E">
          <w:rPr>
            <w:rStyle w:val="Hyperlink"/>
            <w:rFonts w:asciiTheme="majorBidi" w:hAnsiTheme="majorBidi" w:cstheme="majorBidi"/>
            <w:color w:val="000000" w:themeColor="text1"/>
          </w:rPr>
          <w:t>https://www.sciencedirect.com/science/article/pii/S1053482217301163</w:t>
        </w:r>
      </w:hyperlink>
    </w:p>
    <w:p w14:paraId="5330006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Freeman, R. E., Phillips, R., &amp; Sisodia, R. (2020). </w:t>
      </w:r>
      <w:r w:rsidRPr="00566F3E">
        <w:rPr>
          <w:rStyle w:val="Emphasis"/>
          <w:rFonts w:asciiTheme="majorBidi" w:hAnsiTheme="majorBidi" w:cstheme="majorBidi"/>
          <w:b w:val="0"/>
          <w:bCs w:val="0"/>
          <w:color w:val="000000" w:themeColor="text1"/>
        </w:rPr>
        <w:t>Tensions in stakeholder theory</w:t>
      </w:r>
      <w:r w:rsidRPr="00566F3E">
        <w:rPr>
          <w:rFonts w:asciiTheme="majorBidi" w:hAnsiTheme="majorBidi" w:cstheme="majorBidi"/>
          <w:color w:val="000000" w:themeColor="text1"/>
        </w:rPr>
        <w:t xml:space="preserve">. Business &amp; Society. </w:t>
      </w:r>
      <w:hyperlink r:id="rId25" w:history="1">
        <w:r w:rsidRPr="00566F3E">
          <w:rPr>
            <w:rStyle w:val="Hyperlink"/>
            <w:rFonts w:asciiTheme="majorBidi" w:hAnsiTheme="majorBidi" w:cstheme="majorBidi"/>
            <w:color w:val="000000" w:themeColor="text1"/>
          </w:rPr>
          <w:t>https://journals.sagepub.com/doi/10.1177/0007650318773750</w:t>
        </w:r>
      </w:hyperlink>
    </w:p>
    <w:p w14:paraId="738D2D9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Gallup. (2026). </w:t>
      </w:r>
      <w:r w:rsidRPr="00566F3E">
        <w:rPr>
          <w:rStyle w:val="Emphasis"/>
          <w:rFonts w:asciiTheme="majorBidi" w:hAnsiTheme="majorBidi" w:cstheme="majorBidi"/>
          <w:b w:val="0"/>
          <w:bCs w:val="0"/>
          <w:color w:val="000000" w:themeColor="text1"/>
        </w:rPr>
        <w:t>State of the global workplace 2026</w:t>
      </w:r>
      <w:r w:rsidRPr="00566F3E">
        <w:rPr>
          <w:rFonts w:asciiTheme="majorBidi" w:hAnsiTheme="majorBidi" w:cstheme="majorBidi"/>
          <w:color w:val="000000" w:themeColor="text1"/>
        </w:rPr>
        <w:t xml:space="preserve">. </w:t>
      </w:r>
      <w:hyperlink r:id="rId26" w:history="1">
        <w:r w:rsidRPr="00566F3E">
          <w:rPr>
            <w:rStyle w:val="Hyperlink"/>
            <w:rFonts w:asciiTheme="majorBidi" w:hAnsiTheme="majorBidi" w:cstheme="majorBidi"/>
            <w:color w:val="000000" w:themeColor="text1"/>
          </w:rPr>
          <w:t>https://www.gallup.com/workplace/349484/state-of-the-global-workplace.aspx</w:t>
        </w:r>
      </w:hyperlink>
    </w:p>
    <w:p w14:paraId="0A19D099"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Griep, Y., &amp; Vantilborgh, T. (2018). Let’s get cynical about this! Recursive relationships between psychological contract breach and counterproductive work behaviour. </w:t>
      </w:r>
      <w:r w:rsidRPr="00566F3E">
        <w:rPr>
          <w:rStyle w:val="Emphasis"/>
          <w:rFonts w:asciiTheme="majorBidi" w:hAnsiTheme="majorBidi" w:cstheme="majorBidi"/>
          <w:b w:val="0"/>
          <w:bCs w:val="0"/>
          <w:color w:val="000000" w:themeColor="text1"/>
        </w:rPr>
        <w:t xml:space="preserve">Journal </w:t>
      </w:r>
      <w:r w:rsidRPr="00566F3E">
        <w:rPr>
          <w:rStyle w:val="Emphasis"/>
          <w:rFonts w:asciiTheme="majorBidi" w:hAnsiTheme="majorBidi" w:cstheme="majorBidi"/>
          <w:b w:val="0"/>
          <w:bCs w:val="0"/>
          <w:color w:val="000000" w:themeColor="text1"/>
        </w:rPr>
        <w:lastRenderedPageBreak/>
        <w:t>of Occupational and Organizational Psychology, 91</w:t>
      </w:r>
      <w:r w:rsidRPr="00566F3E">
        <w:rPr>
          <w:rFonts w:asciiTheme="majorBidi" w:hAnsiTheme="majorBidi" w:cstheme="majorBidi"/>
          <w:color w:val="000000" w:themeColor="text1"/>
        </w:rPr>
        <w:t xml:space="preserve">(2), 421–429. </w:t>
      </w:r>
      <w:hyperlink r:id="rId27" w:history="1">
        <w:r w:rsidRPr="00566F3E">
          <w:rPr>
            <w:rStyle w:val="Hyperlink"/>
            <w:rFonts w:asciiTheme="majorBidi" w:hAnsiTheme="majorBidi" w:cstheme="majorBidi"/>
            <w:color w:val="000000" w:themeColor="text1"/>
          </w:rPr>
          <w:t>https://bpspsychub.onlinelibrary.wiley.com/doi/10.1111/joop.12201</w:t>
        </w:r>
      </w:hyperlink>
    </w:p>
    <w:p w14:paraId="1B64249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Hackman, J. R., &amp; Oldham, G. R. (1976). Motivation through the design of work. </w:t>
      </w:r>
      <w:r w:rsidRPr="00566F3E">
        <w:rPr>
          <w:rStyle w:val="Emphasis"/>
          <w:rFonts w:asciiTheme="majorBidi" w:hAnsiTheme="majorBidi" w:cstheme="majorBidi"/>
          <w:b w:val="0"/>
          <w:bCs w:val="0"/>
          <w:color w:val="000000" w:themeColor="text1"/>
        </w:rPr>
        <w:t>Organizational Behavior and Human Performance, 16</w:t>
      </w:r>
      <w:r w:rsidRPr="00566F3E">
        <w:rPr>
          <w:rFonts w:asciiTheme="majorBidi" w:hAnsiTheme="majorBidi" w:cstheme="majorBidi"/>
          <w:color w:val="000000" w:themeColor="text1"/>
        </w:rPr>
        <w:t xml:space="preserve">(2), 250–279. </w:t>
      </w:r>
      <w:hyperlink r:id="rId28" w:history="1">
        <w:r w:rsidRPr="00566F3E">
          <w:rPr>
            <w:rStyle w:val="Hyperlink"/>
            <w:rFonts w:asciiTheme="majorBidi" w:hAnsiTheme="majorBidi" w:cstheme="majorBidi"/>
            <w:color w:val="000000" w:themeColor="text1"/>
          </w:rPr>
          <w:t>https://www.sciencedirect.com/science/article/abs/pii/0030507376900167</w:t>
        </w:r>
      </w:hyperlink>
    </w:p>
    <w:p w14:paraId="6BDDB396"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McKinsey &amp; Company. (2022). </w:t>
      </w:r>
      <w:r w:rsidRPr="00566F3E">
        <w:rPr>
          <w:rStyle w:val="Emphasis"/>
          <w:rFonts w:asciiTheme="majorBidi" w:hAnsiTheme="majorBidi" w:cstheme="majorBidi"/>
          <w:b w:val="0"/>
          <w:bCs w:val="0"/>
          <w:color w:val="000000" w:themeColor="text1"/>
        </w:rPr>
        <w:t>Taking a skills-based approach to building the future workforce</w:t>
      </w:r>
      <w:r w:rsidRPr="00566F3E">
        <w:rPr>
          <w:rFonts w:asciiTheme="majorBidi" w:hAnsiTheme="majorBidi" w:cstheme="majorBidi"/>
          <w:color w:val="000000" w:themeColor="text1"/>
        </w:rPr>
        <w:t xml:space="preserve">. </w:t>
      </w:r>
      <w:hyperlink r:id="rId29" w:history="1">
        <w:r w:rsidRPr="00566F3E">
          <w:rPr>
            <w:rStyle w:val="Hyperlink"/>
            <w:rFonts w:asciiTheme="majorBidi" w:hAnsiTheme="majorBidi" w:cstheme="majorBidi"/>
            <w:color w:val="000000" w:themeColor="text1"/>
          </w:rPr>
          <w:t>https://www.mckinsey.com/capabilities/people-and-organizational-performance/our-insights/taking-a-skills-based-approach-to-building-the-future-workforce</w:t>
        </w:r>
      </w:hyperlink>
    </w:p>
    <w:p w14:paraId="333F7AC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Miscenko, D., &amp; Day, D. V. (2016). Identity and identification at work. </w:t>
      </w:r>
      <w:r w:rsidRPr="00566F3E">
        <w:rPr>
          <w:rStyle w:val="Emphasis"/>
          <w:rFonts w:asciiTheme="majorBidi" w:hAnsiTheme="majorBidi" w:cstheme="majorBidi"/>
          <w:b w:val="0"/>
          <w:bCs w:val="0"/>
          <w:color w:val="000000" w:themeColor="text1"/>
        </w:rPr>
        <w:t>Organizational Psychology Review, 6</w:t>
      </w:r>
      <w:r w:rsidRPr="00566F3E">
        <w:rPr>
          <w:rFonts w:asciiTheme="majorBidi" w:hAnsiTheme="majorBidi" w:cstheme="majorBidi"/>
          <w:color w:val="000000" w:themeColor="text1"/>
        </w:rPr>
        <w:t xml:space="preserve">(3), 215–247. </w:t>
      </w:r>
      <w:hyperlink r:id="rId30" w:history="1">
        <w:r w:rsidRPr="00566F3E">
          <w:rPr>
            <w:rStyle w:val="Hyperlink"/>
            <w:rFonts w:asciiTheme="majorBidi" w:hAnsiTheme="majorBidi" w:cstheme="majorBidi"/>
            <w:color w:val="000000" w:themeColor="text1"/>
          </w:rPr>
          <w:t>https://journals.sagepub.com/doi/10.1177/2041386615584009</w:t>
        </w:r>
      </w:hyperlink>
    </w:p>
    <w:p w14:paraId="2556E75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National Institute of Standards and Technology. (2023). </w:t>
      </w:r>
      <w:r w:rsidRPr="00566F3E">
        <w:rPr>
          <w:rStyle w:val="Emphasis"/>
          <w:rFonts w:asciiTheme="majorBidi" w:hAnsiTheme="majorBidi" w:cstheme="majorBidi"/>
          <w:b w:val="0"/>
          <w:bCs w:val="0"/>
          <w:color w:val="000000" w:themeColor="text1"/>
        </w:rPr>
        <w:t>Artificial intelligence risk management framework</w:t>
      </w:r>
      <w:r w:rsidRPr="00566F3E">
        <w:rPr>
          <w:rFonts w:asciiTheme="majorBidi" w:hAnsiTheme="majorBidi" w:cstheme="majorBidi"/>
          <w:color w:val="000000" w:themeColor="text1"/>
        </w:rPr>
        <w:t xml:space="preserve">. U.S. Department of Commerce. </w:t>
      </w:r>
      <w:hyperlink r:id="rId31" w:history="1">
        <w:r w:rsidRPr="00566F3E">
          <w:rPr>
            <w:rStyle w:val="Hyperlink"/>
            <w:rFonts w:asciiTheme="majorBidi" w:hAnsiTheme="majorBidi" w:cstheme="majorBidi"/>
            <w:color w:val="000000" w:themeColor="text1"/>
          </w:rPr>
          <w:t>https://www.nist.gov/itl/ai-risk-management-framework</w:t>
        </w:r>
      </w:hyperlink>
    </w:p>
    <w:p w14:paraId="11F49D9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OECD. (2024). </w:t>
      </w:r>
      <w:r w:rsidRPr="00566F3E">
        <w:rPr>
          <w:rStyle w:val="Emphasis"/>
          <w:rFonts w:asciiTheme="majorBidi" w:hAnsiTheme="majorBidi" w:cstheme="majorBidi"/>
          <w:b w:val="0"/>
          <w:bCs w:val="0"/>
          <w:color w:val="000000" w:themeColor="text1"/>
        </w:rPr>
        <w:t>OECD AI principles</w:t>
      </w:r>
      <w:r w:rsidRPr="00566F3E">
        <w:rPr>
          <w:rFonts w:asciiTheme="majorBidi" w:hAnsiTheme="majorBidi" w:cstheme="majorBidi"/>
          <w:color w:val="000000" w:themeColor="text1"/>
        </w:rPr>
        <w:t xml:space="preserve">. </w:t>
      </w:r>
      <w:hyperlink r:id="rId32" w:history="1">
        <w:r w:rsidRPr="00566F3E">
          <w:rPr>
            <w:rStyle w:val="Hyperlink"/>
            <w:rFonts w:asciiTheme="majorBidi" w:hAnsiTheme="majorBidi" w:cstheme="majorBidi"/>
            <w:color w:val="000000" w:themeColor="text1"/>
          </w:rPr>
          <w:t>https://oecd.ai/en/ai-principles</w:t>
        </w:r>
      </w:hyperlink>
    </w:p>
    <w:p w14:paraId="704D6B4F"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Parker, S. K., &amp; Grote, G. (2022). Automation, algorithms, and beyond: Why work design matters more than ever in a digital world. </w:t>
      </w:r>
      <w:r w:rsidRPr="00566F3E">
        <w:rPr>
          <w:rStyle w:val="Emphasis"/>
          <w:rFonts w:asciiTheme="majorBidi" w:hAnsiTheme="majorBidi" w:cstheme="majorBidi"/>
          <w:b w:val="0"/>
          <w:bCs w:val="0"/>
          <w:color w:val="000000" w:themeColor="text1"/>
        </w:rPr>
        <w:t>Applied Psychology, 71</w:t>
      </w:r>
      <w:r w:rsidRPr="00566F3E">
        <w:rPr>
          <w:rFonts w:asciiTheme="majorBidi" w:hAnsiTheme="majorBidi" w:cstheme="majorBidi"/>
          <w:color w:val="000000" w:themeColor="text1"/>
        </w:rPr>
        <w:t xml:space="preserve">(4), 1171–1204. </w:t>
      </w:r>
      <w:hyperlink r:id="rId33" w:history="1">
        <w:r w:rsidRPr="00566F3E">
          <w:rPr>
            <w:rStyle w:val="Hyperlink"/>
            <w:rFonts w:asciiTheme="majorBidi" w:hAnsiTheme="majorBidi" w:cstheme="majorBidi"/>
            <w:color w:val="000000" w:themeColor="text1"/>
          </w:rPr>
          <w:t>https://iaap-journals.onlinelibrary.wiley.com/doi/10.1111/apps.12241</w:t>
        </w:r>
      </w:hyperlink>
    </w:p>
    <w:p w14:paraId="651AB94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Parker, S. K., Morgeson, F. P., &amp; Johns, G. (2017). One hundred years of work design research. </w:t>
      </w:r>
      <w:r w:rsidRPr="00566F3E">
        <w:rPr>
          <w:rStyle w:val="Emphasis"/>
          <w:rFonts w:asciiTheme="majorBidi" w:hAnsiTheme="majorBidi" w:cstheme="majorBidi"/>
          <w:b w:val="0"/>
          <w:bCs w:val="0"/>
          <w:color w:val="000000" w:themeColor="text1"/>
        </w:rPr>
        <w:t>Journal of Applied Psychology, 102</w:t>
      </w:r>
      <w:r w:rsidRPr="00566F3E">
        <w:rPr>
          <w:rFonts w:asciiTheme="majorBidi" w:hAnsiTheme="majorBidi" w:cstheme="majorBidi"/>
          <w:color w:val="000000" w:themeColor="text1"/>
        </w:rPr>
        <w:t xml:space="preserve">(3), 403–420. </w:t>
      </w:r>
      <w:hyperlink r:id="rId34" w:history="1">
        <w:r w:rsidRPr="00566F3E">
          <w:rPr>
            <w:rStyle w:val="Hyperlink"/>
            <w:rFonts w:asciiTheme="majorBidi" w:hAnsiTheme="majorBidi" w:cstheme="majorBidi"/>
            <w:color w:val="000000" w:themeColor="text1"/>
          </w:rPr>
          <w:t>https://psycnet.apa.org/record/2017-05711-001</w:t>
        </w:r>
      </w:hyperlink>
    </w:p>
    <w:p w14:paraId="4D428AC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Rousseau, D. M. (1989). Psychological and implied contracts in organizations. </w:t>
      </w:r>
      <w:r w:rsidRPr="00566F3E">
        <w:rPr>
          <w:rStyle w:val="Emphasis"/>
          <w:rFonts w:asciiTheme="majorBidi" w:hAnsiTheme="majorBidi" w:cstheme="majorBidi"/>
          <w:b w:val="0"/>
          <w:bCs w:val="0"/>
          <w:color w:val="000000" w:themeColor="text1"/>
        </w:rPr>
        <w:t>Employee Responsibilities and Rights Journal, 2</w:t>
      </w:r>
      <w:r w:rsidRPr="00566F3E">
        <w:rPr>
          <w:rFonts w:asciiTheme="majorBidi" w:hAnsiTheme="majorBidi" w:cstheme="majorBidi"/>
          <w:color w:val="000000" w:themeColor="text1"/>
        </w:rPr>
        <w:t xml:space="preserve">, 121–139. </w:t>
      </w:r>
      <w:hyperlink r:id="rId35" w:history="1">
        <w:r w:rsidRPr="00566F3E">
          <w:rPr>
            <w:rStyle w:val="Hyperlink"/>
            <w:rFonts w:asciiTheme="majorBidi" w:hAnsiTheme="majorBidi" w:cstheme="majorBidi"/>
            <w:color w:val="000000" w:themeColor="text1"/>
          </w:rPr>
          <w:t>https://link.springer.com/article/10.1007/BF01384942</w:t>
        </w:r>
      </w:hyperlink>
    </w:p>
    <w:p w14:paraId="0CD2875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Ryan, R. M., &amp; Deci, E. L. (2017). </w:t>
      </w:r>
      <w:r w:rsidRPr="00566F3E">
        <w:rPr>
          <w:rStyle w:val="Emphasis"/>
          <w:rFonts w:asciiTheme="majorBidi" w:hAnsiTheme="majorBidi" w:cstheme="majorBidi"/>
          <w:b w:val="0"/>
          <w:bCs w:val="0"/>
          <w:color w:val="000000" w:themeColor="text1"/>
        </w:rPr>
        <w:t>Self-determination theory: Basic psychological needs in motivation, development, and wellness</w:t>
      </w:r>
      <w:r w:rsidRPr="00566F3E">
        <w:rPr>
          <w:rFonts w:asciiTheme="majorBidi" w:hAnsiTheme="majorBidi" w:cstheme="majorBidi"/>
          <w:color w:val="000000" w:themeColor="text1"/>
        </w:rPr>
        <w:t xml:space="preserve">. Guilford Press. </w:t>
      </w:r>
      <w:hyperlink r:id="rId36" w:history="1">
        <w:r w:rsidRPr="00566F3E">
          <w:rPr>
            <w:rStyle w:val="Hyperlink"/>
            <w:rFonts w:asciiTheme="majorBidi" w:hAnsiTheme="majorBidi" w:cstheme="majorBidi"/>
            <w:color w:val="000000" w:themeColor="text1"/>
          </w:rPr>
          <w:t>https://www.guilford.com/books/Self-Determination-Theory/Ryan-Deci/9781462538966</w:t>
        </w:r>
      </w:hyperlink>
    </w:p>
    <w:p w14:paraId="039E5A3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Saks, A. M. (2018). Socialization resources theory and newcomers’ work engagement. </w:t>
      </w:r>
      <w:r w:rsidRPr="00566F3E">
        <w:rPr>
          <w:rStyle w:val="Emphasis"/>
          <w:rFonts w:asciiTheme="majorBidi" w:hAnsiTheme="majorBidi" w:cstheme="majorBidi"/>
          <w:b w:val="0"/>
          <w:bCs w:val="0"/>
          <w:color w:val="000000" w:themeColor="text1"/>
        </w:rPr>
        <w:t>Career Development International, 23</w:t>
      </w:r>
      <w:r w:rsidRPr="00566F3E">
        <w:rPr>
          <w:rFonts w:asciiTheme="majorBidi" w:hAnsiTheme="majorBidi" w:cstheme="majorBidi"/>
          <w:color w:val="000000" w:themeColor="text1"/>
        </w:rPr>
        <w:t xml:space="preserve">(1), 12–32. </w:t>
      </w:r>
      <w:hyperlink r:id="rId37" w:history="1">
        <w:r w:rsidRPr="00566F3E">
          <w:rPr>
            <w:rStyle w:val="Hyperlink"/>
            <w:rFonts w:asciiTheme="majorBidi" w:hAnsiTheme="majorBidi" w:cstheme="majorBidi"/>
            <w:color w:val="000000" w:themeColor="text1"/>
          </w:rPr>
          <w:t>https://www.emerald.com/insight/content/doi/10.1108/CDI-12-2016-0214/full/html</w:t>
        </w:r>
      </w:hyperlink>
    </w:p>
    <w:p w14:paraId="6CF89CE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Slemp, G. R., Kern, M. L., &amp; Vella-Brodrick, D. A. (2018). Workplace well-being: The role of job crafting and autonomy support. </w:t>
      </w:r>
      <w:r w:rsidRPr="00566F3E">
        <w:rPr>
          <w:rStyle w:val="Emphasis"/>
          <w:rFonts w:asciiTheme="majorBidi" w:hAnsiTheme="majorBidi" w:cstheme="majorBidi"/>
          <w:b w:val="0"/>
          <w:bCs w:val="0"/>
          <w:color w:val="000000" w:themeColor="text1"/>
        </w:rPr>
        <w:t>Psychology of Well-Being, 8</w:t>
      </w:r>
      <w:r w:rsidRPr="00566F3E">
        <w:rPr>
          <w:rFonts w:asciiTheme="majorBidi" w:hAnsiTheme="majorBidi" w:cstheme="majorBidi"/>
          <w:color w:val="000000" w:themeColor="text1"/>
        </w:rPr>
        <w:t xml:space="preserve">, 1–17. </w:t>
      </w:r>
      <w:hyperlink r:id="rId38" w:history="1">
        <w:r w:rsidRPr="00566F3E">
          <w:rPr>
            <w:rStyle w:val="Hyperlink"/>
            <w:rFonts w:asciiTheme="majorBidi" w:hAnsiTheme="majorBidi" w:cstheme="majorBidi"/>
            <w:color w:val="000000" w:themeColor="text1"/>
          </w:rPr>
          <w:t>https://link.springer.com/article/10.1186/s13612-018-0086-y</w:t>
        </w:r>
      </w:hyperlink>
    </w:p>
    <w:p w14:paraId="18A7C2A7"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Tims, M., Bakker, A. B., &amp; Derks, D. (2022). Job crafting and job performance: A longitudinal study. </w:t>
      </w:r>
      <w:r w:rsidRPr="00566F3E">
        <w:rPr>
          <w:rStyle w:val="Emphasis"/>
          <w:rFonts w:asciiTheme="majorBidi" w:hAnsiTheme="majorBidi" w:cstheme="majorBidi"/>
          <w:b w:val="0"/>
          <w:bCs w:val="0"/>
          <w:color w:val="000000" w:themeColor="text1"/>
        </w:rPr>
        <w:t>European Journal of Work and Organizational Psychology</w:t>
      </w:r>
      <w:r w:rsidRPr="00566F3E">
        <w:rPr>
          <w:rFonts w:asciiTheme="majorBidi" w:hAnsiTheme="majorBidi" w:cstheme="majorBidi"/>
          <w:color w:val="000000" w:themeColor="text1"/>
        </w:rPr>
        <w:t xml:space="preserve">. </w:t>
      </w:r>
      <w:hyperlink r:id="rId39" w:history="1">
        <w:r w:rsidRPr="00566F3E">
          <w:rPr>
            <w:rStyle w:val="Hyperlink"/>
            <w:rFonts w:asciiTheme="majorBidi" w:hAnsiTheme="majorBidi" w:cstheme="majorBidi"/>
            <w:color w:val="000000" w:themeColor="text1"/>
          </w:rPr>
          <w:t>https://www.tandfonline.com/journals/pewo20</w:t>
        </w:r>
      </w:hyperlink>
    </w:p>
    <w:p w14:paraId="76E342D4"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Ulrich, D., Younger, J., Brockbank, W., &amp; Ulrich, M. (2017). </w:t>
      </w:r>
      <w:r w:rsidRPr="00566F3E">
        <w:rPr>
          <w:rStyle w:val="Emphasis"/>
          <w:rFonts w:asciiTheme="majorBidi" w:hAnsiTheme="majorBidi" w:cstheme="majorBidi"/>
          <w:b w:val="0"/>
          <w:bCs w:val="0"/>
          <w:color w:val="000000" w:themeColor="text1"/>
        </w:rPr>
        <w:t>Victory through organization: Why the war for talent is failing your company and what you can do about it</w:t>
      </w:r>
      <w:r w:rsidRPr="00566F3E">
        <w:rPr>
          <w:rFonts w:asciiTheme="majorBidi" w:hAnsiTheme="majorBidi" w:cstheme="majorBidi"/>
          <w:color w:val="000000" w:themeColor="text1"/>
        </w:rPr>
        <w:t xml:space="preserve">. McGraw-Hill. </w:t>
      </w:r>
      <w:hyperlink r:id="rId40" w:history="1">
        <w:r w:rsidRPr="00566F3E">
          <w:rPr>
            <w:rStyle w:val="Hyperlink"/>
            <w:rFonts w:asciiTheme="majorBidi" w:hAnsiTheme="majorBidi" w:cstheme="majorBidi"/>
            <w:color w:val="000000" w:themeColor="text1"/>
          </w:rPr>
          <w:t>https://www.mheducation.com/highered/product/victory-through-organization-ulrich-younger/M9781259837647.html</w:t>
        </w:r>
      </w:hyperlink>
    </w:p>
    <w:p w14:paraId="0787A7C5"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Van Maanen, J., &amp; Schein, E. H. (1979). Toward a theory of organizational socialization. </w:t>
      </w:r>
      <w:r w:rsidRPr="00566F3E">
        <w:rPr>
          <w:rStyle w:val="Emphasis"/>
          <w:rFonts w:asciiTheme="majorBidi" w:hAnsiTheme="majorBidi" w:cstheme="majorBidi"/>
          <w:b w:val="0"/>
          <w:bCs w:val="0"/>
          <w:color w:val="000000" w:themeColor="text1"/>
        </w:rPr>
        <w:t>Research in Organizational Behavior, 1</w:t>
      </w:r>
      <w:r w:rsidRPr="00566F3E">
        <w:rPr>
          <w:rFonts w:asciiTheme="majorBidi" w:hAnsiTheme="majorBidi" w:cstheme="majorBidi"/>
          <w:color w:val="000000" w:themeColor="text1"/>
        </w:rPr>
        <w:t xml:space="preserve">, 209–264. </w:t>
      </w:r>
      <w:hyperlink r:id="rId41" w:history="1">
        <w:r w:rsidRPr="00566F3E">
          <w:rPr>
            <w:rStyle w:val="Hyperlink"/>
            <w:rFonts w:asciiTheme="majorBidi" w:hAnsiTheme="majorBidi" w:cstheme="majorBidi"/>
            <w:color w:val="000000" w:themeColor="text1"/>
          </w:rPr>
          <w:t>https://dspace.mit.edu/handle/1721.1/1934</w:t>
        </w:r>
      </w:hyperlink>
    </w:p>
    <w:p w14:paraId="7A3BE17E"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Weisman, H., Wu, C. H., Yoshikawa, K., &amp; Lee, H. J. (2023). Antecedents of organizational identification: A review and agenda for future research. </w:t>
      </w:r>
      <w:r w:rsidRPr="00566F3E">
        <w:rPr>
          <w:rStyle w:val="Emphasis"/>
          <w:rFonts w:asciiTheme="majorBidi" w:hAnsiTheme="majorBidi" w:cstheme="majorBidi"/>
          <w:b w:val="0"/>
          <w:bCs w:val="0"/>
          <w:color w:val="000000" w:themeColor="text1"/>
        </w:rPr>
        <w:t>Journal of Management, 49</w:t>
      </w:r>
      <w:r w:rsidRPr="00566F3E">
        <w:rPr>
          <w:rFonts w:asciiTheme="majorBidi" w:hAnsiTheme="majorBidi" w:cstheme="majorBidi"/>
          <w:color w:val="000000" w:themeColor="text1"/>
        </w:rPr>
        <w:t xml:space="preserve">(6), 2030–2061. </w:t>
      </w:r>
      <w:hyperlink r:id="rId42" w:history="1">
        <w:r w:rsidRPr="00566F3E">
          <w:rPr>
            <w:rStyle w:val="Hyperlink"/>
            <w:rFonts w:asciiTheme="majorBidi" w:hAnsiTheme="majorBidi" w:cstheme="majorBidi"/>
            <w:color w:val="000000" w:themeColor="text1"/>
          </w:rPr>
          <w:t>https://journals.sagepub.com/doi/10.1177/01492063221140049</w:t>
        </w:r>
      </w:hyperlink>
    </w:p>
    <w:p w14:paraId="66469010"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World Economic Forum. (2019). </w:t>
      </w:r>
      <w:r w:rsidRPr="00566F3E">
        <w:rPr>
          <w:rStyle w:val="Emphasis"/>
          <w:rFonts w:asciiTheme="majorBidi" w:hAnsiTheme="majorBidi" w:cstheme="majorBidi"/>
          <w:b w:val="0"/>
          <w:bCs w:val="0"/>
          <w:color w:val="000000" w:themeColor="text1"/>
        </w:rPr>
        <w:t>Davos Manifesto 2020: The universal purpose of a company in the Fourth Industrial Revolution</w:t>
      </w:r>
      <w:r w:rsidRPr="00566F3E">
        <w:rPr>
          <w:rFonts w:asciiTheme="majorBidi" w:hAnsiTheme="majorBidi" w:cstheme="majorBidi"/>
          <w:color w:val="000000" w:themeColor="text1"/>
        </w:rPr>
        <w:t xml:space="preserve">. </w:t>
      </w:r>
      <w:hyperlink r:id="rId43" w:history="1">
        <w:r w:rsidRPr="00566F3E">
          <w:rPr>
            <w:rStyle w:val="Hyperlink"/>
            <w:rFonts w:asciiTheme="majorBidi" w:hAnsiTheme="majorBidi" w:cstheme="majorBidi"/>
            <w:color w:val="000000" w:themeColor="text1"/>
          </w:rPr>
          <w:t>https://www.weforum.org/stories/2019/12/davos-manifesto-2020-the-universal-purpose-of-a-company-in-the-fourth-industrial-revolution/</w:t>
        </w:r>
      </w:hyperlink>
    </w:p>
    <w:p w14:paraId="3C11A83B"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World Economic Forum. (2025). </w:t>
      </w:r>
      <w:r w:rsidRPr="00566F3E">
        <w:rPr>
          <w:rStyle w:val="Emphasis"/>
          <w:rFonts w:asciiTheme="majorBidi" w:hAnsiTheme="majorBidi" w:cstheme="majorBidi"/>
          <w:b w:val="0"/>
          <w:bCs w:val="0"/>
          <w:color w:val="000000" w:themeColor="text1"/>
        </w:rPr>
        <w:t>The future of jobs report 2025</w:t>
      </w:r>
      <w:r w:rsidRPr="00566F3E">
        <w:rPr>
          <w:rFonts w:asciiTheme="majorBidi" w:hAnsiTheme="majorBidi" w:cstheme="majorBidi"/>
          <w:color w:val="000000" w:themeColor="text1"/>
        </w:rPr>
        <w:t xml:space="preserve">. </w:t>
      </w:r>
      <w:hyperlink r:id="rId44" w:history="1">
        <w:r w:rsidRPr="00566F3E">
          <w:rPr>
            <w:rStyle w:val="Hyperlink"/>
            <w:rFonts w:asciiTheme="majorBidi" w:hAnsiTheme="majorBidi" w:cstheme="majorBidi"/>
            <w:color w:val="000000" w:themeColor="text1"/>
          </w:rPr>
          <w:t>https://www.weforum.org/publications/the-future-of-jobs-report-2025/</w:t>
        </w:r>
      </w:hyperlink>
    </w:p>
    <w:p w14:paraId="0C6FA0ED"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lastRenderedPageBreak/>
        <w:t xml:space="preserve">Wrzesniewski, A., &amp; Dutton, J. E. (2001). Crafting a job. </w:t>
      </w:r>
      <w:r w:rsidRPr="00566F3E">
        <w:rPr>
          <w:rStyle w:val="Emphasis"/>
          <w:rFonts w:asciiTheme="majorBidi" w:hAnsiTheme="majorBidi" w:cstheme="majorBidi"/>
          <w:b w:val="0"/>
          <w:bCs w:val="0"/>
          <w:color w:val="000000" w:themeColor="text1"/>
        </w:rPr>
        <w:t>Academy of Management Review, 26</w:t>
      </w:r>
      <w:r w:rsidRPr="00566F3E">
        <w:rPr>
          <w:rFonts w:asciiTheme="majorBidi" w:hAnsiTheme="majorBidi" w:cstheme="majorBidi"/>
          <w:color w:val="000000" w:themeColor="text1"/>
        </w:rPr>
        <w:t xml:space="preserve">(2), 179–201. </w:t>
      </w:r>
      <w:hyperlink r:id="rId45" w:history="1">
        <w:r w:rsidRPr="00566F3E">
          <w:rPr>
            <w:rStyle w:val="Hyperlink"/>
            <w:rFonts w:asciiTheme="majorBidi" w:hAnsiTheme="majorBidi" w:cstheme="majorBidi"/>
            <w:color w:val="000000" w:themeColor="text1"/>
          </w:rPr>
          <w:t>https://journals.aom.org/doi/10.5465/amr.2001.4378011</w:t>
        </w:r>
      </w:hyperlink>
    </w:p>
    <w:p w14:paraId="317D4E22" w14:textId="77777777" w:rsidR="00EB6F16" w:rsidRPr="00566F3E" w:rsidRDefault="00EB6F16" w:rsidP="00566F3E">
      <w:pPr>
        <w:pStyle w:val="NormalWeb"/>
        <w:spacing w:line="360" w:lineRule="auto"/>
        <w:ind w:left="720" w:hanging="720"/>
        <w:jc w:val="both"/>
        <w:rPr>
          <w:rFonts w:asciiTheme="majorBidi" w:hAnsiTheme="majorBidi" w:cstheme="majorBidi"/>
          <w:color w:val="000000" w:themeColor="text1"/>
        </w:rPr>
      </w:pPr>
      <w:r w:rsidRPr="00566F3E">
        <w:rPr>
          <w:rFonts w:asciiTheme="majorBidi" w:hAnsiTheme="majorBidi" w:cstheme="majorBidi"/>
          <w:color w:val="000000" w:themeColor="text1"/>
        </w:rPr>
        <w:t xml:space="preserve">Zhang, F., &amp; Parker, S. K. (2019). Reorienting job crafting research. </w:t>
      </w:r>
      <w:r w:rsidRPr="00566F3E">
        <w:rPr>
          <w:rStyle w:val="Emphasis"/>
          <w:rFonts w:asciiTheme="majorBidi" w:hAnsiTheme="majorBidi" w:cstheme="majorBidi"/>
          <w:b w:val="0"/>
          <w:bCs w:val="0"/>
          <w:color w:val="000000" w:themeColor="text1"/>
        </w:rPr>
        <w:t>Journal of Organizational Behavior, 40</w:t>
      </w:r>
      <w:r w:rsidRPr="00566F3E">
        <w:rPr>
          <w:rFonts w:asciiTheme="majorBidi" w:hAnsiTheme="majorBidi" w:cstheme="majorBidi"/>
          <w:color w:val="000000" w:themeColor="text1"/>
        </w:rPr>
        <w:t xml:space="preserve">(2), 126–146. </w:t>
      </w:r>
      <w:hyperlink r:id="rId46" w:history="1">
        <w:r w:rsidRPr="00566F3E">
          <w:rPr>
            <w:rStyle w:val="Hyperlink"/>
            <w:rFonts w:asciiTheme="majorBidi" w:hAnsiTheme="majorBidi" w:cstheme="majorBidi"/>
            <w:color w:val="000000" w:themeColor="text1"/>
          </w:rPr>
          <w:t>https://onlinelibrary.wiley.com/doi/10.1002/job.2332</w:t>
        </w:r>
      </w:hyperlink>
    </w:p>
    <w:p w14:paraId="6493425F" w14:textId="77777777" w:rsidR="000859CB" w:rsidRPr="00566F3E" w:rsidRDefault="000859CB" w:rsidP="00566F3E">
      <w:pPr>
        <w:spacing w:line="360" w:lineRule="auto"/>
        <w:jc w:val="both"/>
        <w:rPr>
          <w:rFonts w:asciiTheme="majorBidi" w:hAnsiTheme="majorBidi" w:cstheme="majorBidi"/>
          <w:color w:val="000000" w:themeColor="text1"/>
          <w:sz w:val="24"/>
          <w:szCs w:val="24"/>
        </w:rPr>
      </w:pPr>
    </w:p>
    <w:sectPr w:rsidR="000859CB" w:rsidRPr="00566F3E" w:rsidSect="0065452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27582423">
    <w:abstractNumId w:val="0"/>
  </w:num>
  <w:num w:numId="2" w16cid:durableId="1286229128">
    <w:abstractNumId w:val="0"/>
  </w:num>
  <w:num w:numId="3" w16cid:durableId="1477720975">
    <w:abstractNumId w:val="0"/>
  </w:num>
  <w:num w:numId="4" w16cid:durableId="369965113">
    <w:abstractNumId w:val="0"/>
  </w:num>
  <w:num w:numId="5" w16cid:durableId="1492215635">
    <w:abstractNumId w:val="0"/>
  </w:num>
  <w:num w:numId="6" w16cid:durableId="2099592076">
    <w:abstractNumId w:val="0"/>
  </w:num>
  <w:num w:numId="7" w16cid:durableId="1017655067">
    <w:abstractNumId w:val="0"/>
  </w:num>
  <w:num w:numId="8" w16cid:durableId="494759809">
    <w:abstractNumId w:val="0"/>
  </w:num>
  <w:num w:numId="9" w16cid:durableId="1910731138">
    <w:abstractNumId w:val="0"/>
  </w:num>
  <w:num w:numId="10" w16cid:durableId="1725983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523"/>
    <w:rsid w:val="000859CB"/>
    <w:rsid w:val="00324258"/>
    <w:rsid w:val="00516D13"/>
    <w:rsid w:val="00566F3E"/>
    <w:rsid w:val="005E6C83"/>
    <w:rsid w:val="00654523"/>
    <w:rsid w:val="006B3300"/>
    <w:rsid w:val="00822527"/>
    <w:rsid w:val="00830094"/>
    <w:rsid w:val="009B2457"/>
    <w:rsid w:val="00AD6E46"/>
    <w:rsid w:val="00B343D7"/>
    <w:rsid w:val="00CA2406"/>
    <w:rsid w:val="00D93ECD"/>
    <w:rsid w:val="00E16879"/>
    <w:rsid w:val="00EB6F16"/>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CC12"/>
  <w15:chartTrackingRefBased/>
  <w15:docId w15:val="{3F607FE6-8122-D84B-8AD6-598DE89A5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523"/>
  </w:style>
  <w:style w:type="paragraph" w:styleId="Heading1">
    <w:name w:val="heading 1"/>
    <w:basedOn w:val="Normal"/>
    <w:next w:val="Normal"/>
    <w:link w:val="Heading1Char"/>
    <w:uiPriority w:val="9"/>
    <w:qFormat/>
    <w:rsid w:val="00654523"/>
    <w:pPr>
      <w:numPr>
        <w:numId w:val="10"/>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654523"/>
    <w:pPr>
      <w:numPr>
        <w:ilvl w:val="1"/>
        <w:numId w:val="10"/>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sz w:val="24"/>
      <w:szCs w:val="24"/>
    </w:rPr>
  </w:style>
  <w:style w:type="paragraph" w:styleId="Heading3">
    <w:name w:val="heading 3"/>
    <w:basedOn w:val="Normal"/>
    <w:next w:val="Normal"/>
    <w:link w:val="Heading3Char"/>
    <w:uiPriority w:val="9"/>
    <w:unhideWhenUsed/>
    <w:qFormat/>
    <w:rsid w:val="00654523"/>
    <w:pPr>
      <w:numPr>
        <w:ilvl w:val="2"/>
        <w:numId w:val="10"/>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sz w:val="24"/>
      <w:szCs w:val="24"/>
    </w:rPr>
  </w:style>
  <w:style w:type="paragraph" w:styleId="Heading4">
    <w:name w:val="heading 4"/>
    <w:basedOn w:val="Normal"/>
    <w:next w:val="Normal"/>
    <w:link w:val="Heading4Char"/>
    <w:uiPriority w:val="9"/>
    <w:semiHidden/>
    <w:unhideWhenUsed/>
    <w:qFormat/>
    <w:rsid w:val="00654523"/>
    <w:pPr>
      <w:numPr>
        <w:ilvl w:val="3"/>
        <w:numId w:val="10"/>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654523"/>
    <w:pPr>
      <w:numPr>
        <w:ilvl w:val="4"/>
        <w:numId w:val="10"/>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654523"/>
    <w:pPr>
      <w:numPr>
        <w:ilvl w:val="5"/>
        <w:numId w:val="10"/>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654523"/>
    <w:pPr>
      <w:numPr>
        <w:ilvl w:val="6"/>
        <w:numId w:val="10"/>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654523"/>
    <w:pPr>
      <w:numPr>
        <w:ilvl w:val="7"/>
        <w:numId w:val="10"/>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654523"/>
    <w:pPr>
      <w:numPr>
        <w:ilvl w:val="8"/>
        <w:numId w:val="10"/>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523"/>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654523"/>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654523"/>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semiHidden/>
    <w:rsid w:val="00654523"/>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654523"/>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654523"/>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654523"/>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654523"/>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654523"/>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654523"/>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654523"/>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654523"/>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654523"/>
    <w:rPr>
      <w:i/>
      <w:iCs/>
      <w:sz w:val="24"/>
      <w:szCs w:val="24"/>
    </w:rPr>
  </w:style>
  <w:style w:type="paragraph" w:styleId="Quote">
    <w:name w:val="Quote"/>
    <w:basedOn w:val="Normal"/>
    <w:next w:val="Normal"/>
    <w:link w:val="QuoteChar"/>
    <w:uiPriority w:val="29"/>
    <w:qFormat/>
    <w:rsid w:val="00654523"/>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654523"/>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654523"/>
    <w:pPr>
      <w:ind w:left="720"/>
      <w:contextualSpacing/>
    </w:pPr>
  </w:style>
  <w:style w:type="character" w:styleId="IntenseEmphasis">
    <w:name w:val="Intense Emphasis"/>
    <w:uiPriority w:val="21"/>
    <w:qFormat/>
    <w:rsid w:val="00654523"/>
    <w:rPr>
      <w:b/>
      <w:bCs/>
      <w:i/>
      <w:iCs/>
      <w:color w:val="4472C4" w:themeColor="accent1"/>
      <w:sz w:val="22"/>
      <w:szCs w:val="22"/>
    </w:rPr>
  </w:style>
  <w:style w:type="paragraph" w:styleId="IntenseQuote">
    <w:name w:val="Intense Quote"/>
    <w:basedOn w:val="Normal"/>
    <w:next w:val="Normal"/>
    <w:link w:val="IntenseQuoteChar"/>
    <w:uiPriority w:val="30"/>
    <w:qFormat/>
    <w:rsid w:val="00654523"/>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654523"/>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654523"/>
    <w:rPr>
      <w:b/>
      <w:bCs/>
      <w:color w:val="7B7B7B" w:themeColor="accent3" w:themeShade="BF"/>
      <w:u w:val="single" w:color="A5A5A5" w:themeColor="accent3"/>
    </w:rPr>
  </w:style>
  <w:style w:type="paragraph" w:styleId="Caption">
    <w:name w:val="caption"/>
    <w:basedOn w:val="Normal"/>
    <w:next w:val="Normal"/>
    <w:uiPriority w:val="35"/>
    <w:semiHidden/>
    <w:unhideWhenUsed/>
    <w:qFormat/>
    <w:rsid w:val="00654523"/>
    <w:rPr>
      <w:b/>
      <w:bCs/>
      <w:sz w:val="18"/>
      <w:szCs w:val="18"/>
    </w:rPr>
  </w:style>
  <w:style w:type="character" w:styleId="Strong">
    <w:name w:val="Strong"/>
    <w:basedOn w:val="DefaultParagraphFont"/>
    <w:uiPriority w:val="22"/>
    <w:qFormat/>
    <w:rsid w:val="00654523"/>
    <w:rPr>
      <w:b/>
      <w:bCs/>
      <w:spacing w:val="0"/>
    </w:rPr>
  </w:style>
  <w:style w:type="character" w:styleId="Emphasis">
    <w:name w:val="Emphasis"/>
    <w:uiPriority w:val="20"/>
    <w:qFormat/>
    <w:rsid w:val="00654523"/>
    <w:rPr>
      <w:b/>
      <w:bCs/>
      <w:i/>
      <w:iCs/>
      <w:color w:val="5A5A5A" w:themeColor="text1" w:themeTint="A5"/>
    </w:rPr>
  </w:style>
  <w:style w:type="paragraph" w:styleId="NoSpacing">
    <w:name w:val="No Spacing"/>
    <w:basedOn w:val="Normal"/>
    <w:link w:val="NoSpacingChar"/>
    <w:uiPriority w:val="1"/>
    <w:qFormat/>
    <w:rsid w:val="00654523"/>
    <w:pPr>
      <w:ind w:firstLine="0"/>
    </w:pPr>
  </w:style>
  <w:style w:type="character" w:customStyle="1" w:styleId="NoSpacingChar">
    <w:name w:val="No Spacing Char"/>
    <w:basedOn w:val="DefaultParagraphFont"/>
    <w:link w:val="NoSpacing"/>
    <w:uiPriority w:val="1"/>
    <w:rsid w:val="00654523"/>
  </w:style>
  <w:style w:type="character" w:styleId="SubtleEmphasis">
    <w:name w:val="Subtle Emphasis"/>
    <w:uiPriority w:val="19"/>
    <w:qFormat/>
    <w:rsid w:val="00654523"/>
    <w:rPr>
      <w:i/>
      <w:iCs/>
      <w:color w:val="5A5A5A" w:themeColor="text1" w:themeTint="A5"/>
    </w:rPr>
  </w:style>
  <w:style w:type="character" w:styleId="SubtleReference">
    <w:name w:val="Subtle Reference"/>
    <w:uiPriority w:val="31"/>
    <w:qFormat/>
    <w:rsid w:val="00654523"/>
    <w:rPr>
      <w:color w:val="auto"/>
      <w:u w:val="single" w:color="A5A5A5" w:themeColor="accent3"/>
    </w:rPr>
  </w:style>
  <w:style w:type="character" w:styleId="BookTitle">
    <w:name w:val="Book Title"/>
    <w:basedOn w:val="DefaultParagraphFont"/>
    <w:uiPriority w:val="33"/>
    <w:qFormat/>
    <w:rsid w:val="00654523"/>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654523"/>
    <w:pPr>
      <w:outlineLvl w:val="9"/>
    </w:pPr>
  </w:style>
  <w:style w:type="paragraph" w:styleId="NormalWeb">
    <w:name w:val="Normal (Web)"/>
    <w:basedOn w:val="Normal"/>
    <w:uiPriority w:val="99"/>
    <w:unhideWhenUsed/>
    <w:rsid w:val="00EB6F16"/>
    <w:pPr>
      <w:spacing w:before="100" w:beforeAutospacing="1" w:after="100" w:afterAutospacing="1"/>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6F16"/>
    <w:rPr>
      <w:color w:val="0000FF"/>
      <w:u w:val="single"/>
    </w:rPr>
  </w:style>
  <w:style w:type="table" w:styleId="GridTable4-Accent5">
    <w:name w:val="Grid Table 4 Accent 5"/>
    <w:basedOn w:val="TableNormal"/>
    <w:uiPriority w:val="49"/>
    <w:rsid w:val="00EB6F1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566F3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1">
    <w:name w:val="toc 1"/>
    <w:basedOn w:val="Normal"/>
    <w:next w:val="Normal"/>
    <w:autoRedefine/>
    <w:uiPriority w:val="39"/>
    <w:unhideWhenUsed/>
    <w:rsid w:val="00566F3E"/>
    <w:pPr>
      <w:spacing w:before="120"/>
    </w:pPr>
    <w:rPr>
      <w:rFonts w:cstheme="minorHAnsi"/>
      <w:b/>
      <w:bCs/>
      <w:i/>
      <w:iCs/>
      <w:sz w:val="24"/>
      <w:szCs w:val="28"/>
    </w:rPr>
  </w:style>
  <w:style w:type="paragraph" w:styleId="TOC2">
    <w:name w:val="toc 2"/>
    <w:basedOn w:val="Normal"/>
    <w:next w:val="Normal"/>
    <w:autoRedefine/>
    <w:uiPriority w:val="39"/>
    <w:unhideWhenUsed/>
    <w:rsid w:val="00566F3E"/>
    <w:pPr>
      <w:spacing w:before="120"/>
      <w:ind w:left="220"/>
    </w:pPr>
    <w:rPr>
      <w:rFonts w:cstheme="minorHAnsi"/>
      <w:b/>
      <w:bCs/>
      <w:szCs w:val="26"/>
    </w:rPr>
  </w:style>
  <w:style w:type="paragraph" w:styleId="TOC3">
    <w:name w:val="toc 3"/>
    <w:basedOn w:val="Normal"/>
    <w:next w:val="Normal"/>
    <w:autoRedefine/>
    <w:uiPriority w:val="39"/>
    <w:semiHidden/>
    <w:unhideWhenUsed/>
    <w:rsid w:val="00566F3E"/>
    <w:pPr>
      <w:ind w:left="440"/>
    </w:pPr>
    <w:rPr>
      <w:rFonts w:cstheme="minorHAnsi"/>
      <w:sz w:val="20"/>
      <w:szCs w:val="24"/>
    </w:rPr>
  </w:style>
  <w:style w:type="paragraph" w:styleId="TOC4">
    <w:name w:val="toc 4"/>
    <w:basedOn w:val="Normal"/>
    <w:next w:val="Normal"/>
    <w:autoRedefine/>
    <w:uiPriority w:val="39"/>
    <w:semiHidden/>
    <w:unhideWhenUsed/>
    <w:rsid w:val="00566F3E"/>
    <w:pPr>
      <w:ind w:left="660"/>
    </w:pPr>
    <w:rPr>
      <w:rFonts w:cstheme="minorHAnsi"/>
      <w:sz w:val="20"/>
      <w:szCs w:val="24"/>
    </w:rPr>
  </w:style>
  <w:style w:type="paragraph" w:styleId="TOC5">
    <w:name w:val="toc 5"/>
    <w:basedOn w:val="Normal"/>
    <w:next w:val="Normal"/>
    <w:autoRedefine/>
    <w:uiPriority w:val="39"/>
    <w:semiHidden/>
    <w:unhideWhenUsed/>
    <w:rsid w:val="00566F3E"/>
    <w:pPr>
      <w:ind w:left="880"/>
    </w:pPr>
    <w:rPr>
      <w:rFonts w:cstheme="minorHAnsi"/>
      <w:sz w:val="20"/>
      <w:szCs w:val="24"/>
    </w:rPr>
  </w:style>
  <w:style w:type="paragraph" w:styleId="TOC6">
    <w:name w:val="toc 6"/>
    <w:basedOn w:val="Normal"/>
    <w:next w:val="Normal"/>
    <w:autoRedefine/>
    <w:uiPriority w:val="39"/>
    <w:semiHidden/>
    <w:unhideWhenUsed/>
    <w:rsid w:val="00566F3E"/>
    <w:pPr>
      <w:ind w:left="1100"/>
    </w:pPr>
    <w:rPr>
      <w:rFonts w:cstheme="minorHAnsi"/>
      <w:sz w:val="20"/>
      <w:szCs w:val="24"/>
    </w:rPr>
  </w:style>
  <w:style w:type="paragraph" w:styleId="TOC7">
    <w:name w:val="toc 7"/>
    <w:basedOn w:val="Normal"/>
    <w:next w:val="Normal"/>
    <w:autoRedefine/>
    <w:uiPriority w:val="39"/>
    <w:semiHidden/>
    <w:unhideWhenUsed/>
    <w:rsid w:val="00566F3E"/>
    <w:pPr>
      <w:ind w:left="1320"/>
    </w:pPr>
    <w:rPr>
      <w:rFonts w:cstheme="minorHAnsi"/>
      <w:sz w:val="20"/>
      <w:szCs w:val="24"/>
    </w:rPr>
  </w:style>
  <w:style w:type="paragraph" w:styleId="TOC8">
    <w:name w:val="toc 8"/>
    <w:basedOn w:val="Normal"/>
    <w:next w:val="Normal"/>
    <w:autoRedefine/>
    <w:uiPriority w:val="39"/>
    <w:semiHidden/>
    <w:unhideWhenUsed/>
    <w:rsid w:val="00566F3E"/>
    <w:pPr>
      <w:ind w:left="1540"/>
    </w:pPr>
    <w:rPr>
      <w:rFonts w:cstheme="minorHAnsi"/>
      <w:sz w:val="20"/>
      <w:szCs w:val="24"/>
    </w:rPr>
  </w:style>
  <w:style w:type="paragraph" w:styleId="TOC9">
    <w:name w:val="toc 9"/>
    <w:basedOn w:val="Normal"/>
    <w:next w:val="Normal"/>
    <w:autoRedefine/>
    <w:uiPriority w:val="39"/>
    <w:semiHidden/>
    <w:unhideWhenUsed/>
    <w:rsid w:val="00566F3E"/>
    <w:pPr>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0149206308316059" TargetMode="External"/><Relationship Id="rId18" Type="http://schemas.openxmlformats.org/officeDocument/2006/relationships/hyperlink" Target="https://onlinelibrary.wiley.com/doi/10.1002/job.2164" TargetMode="External"/><Relationship Id="rId26" Type="http://schemas.openxmlformats.org/officeDocument/2006/relationships/hyperlink" Target="https://www.gallup.com/workplace/349484/state-of-the-global-workplace.aspx" TargetMode="External"/><Relationship Id="rId39" Type="http://schemas.openxmlformats.org/officeDocument/2006/relationships/hyperlink" Target="https://www.tandfonline.com/journals/pewo20" TargetMode="External"/><Relationship Id="rId21" Type="http://schemas.openxmlformats.org/officeDocument/2006/relationships/hyperlink" Target="https://www.deloitte.com/us/en/insights/topics/talent/organizational-skill-based-hiring.html" TargetMode="External"/><Relationship Id="rId34" Type="http://schemas.openxmlformats.org/officeDocument/2006/relationships/hyperlink" Target="https://psycnet.apa.org/record/2017-05711-001" TargetMode="External"/><Relationship Id="rId42" Type="http://schemas.openxmlformats.org/officeDocument/2006/relationships/hyperlink" Target="https://journals.sagepub.com/doi/10.1177/01492063221140049"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journals.sagepub.com/doi/10.1177/01492063241277168" TargetMode="External"/><Relationship Id="rId29" Type="http://schemas.openxmlformats.org/officeDocument/2006/relationships/hyperlink" Target="https://www.mckinsey.com/capabilities/people-and-organizational-performance/our-insights/taking-a-skills-based-approach-to-building-the-future-workfor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sciencedirect.com/science/article/pii/S1053482217301163" TargetMode="External"/><Relationship Id="rId32" Type="http://schemas.openxmlformats.org/officeDocument/2006/relationships/hyperlink" Target="https://oecd.ai/en/ai-principles" TargetMode="External"/><Relationship Id="rId37" Type="http://schemas.openxmlformats.org/officeDocument/2006/relationships/hyperlink" Target="https://www.emerald.com/insight/content/doi/10.1108/CDI-12-2016-0214/full/html" TargetMode="External"/><Relationship Id="rId40" Type="http://schemas.openxmlformats.org/officeDocument/2006/relationships/hyperlink" Target="https://www.mheducation.com/highered/product/victory-through-organization-ulrich-younger/M9781259837647.html" TargetMode="External"/><Relationship Id="rId45" Type="http://schemas.openxmlformats.org/officeDocument/2006/relationships/hyperlink" Target="https://journals.aom.org/doi/10.5465/amr.2001.4378011" TargetMode="External"/><Relationship Id="rId5" Type="http://schemas.openxmlformats.org/officeDocument/2006/relationships/webSettings" Target="webSettings.xml"/><Relationship Id="rId15" Type="http://schemas.openxmlformats.org/officeDocument/2006/relationships/hyperlink" Target="https://psycnet.apa.org/record/2007-06673-008" TargetMode="External"/><Relationship Id="rId23" Type="http://schemas.openxmlformats.org/officeDocument/2006/relationships/hyperlink" Target="https://www.tandfonline.com/doi/full/10.1080/23311975.2024.2337957" TargetMode="External"/><Relationship Id="rId28" Type="http://schemas.openxmlformats.org/officeDocument/2006/relationships/hyperlink" Target="https://www.sciencedirect.com/science/article/abs/pii/0030507376900167" TargetMode="External"/><Relationship Id="rId36" Type="http://schemas.openxmlformats.org/officeDocument/2006/relationships/hyperlink" Target="https://www.guilford.com/books/Self-Determination-Theory/Ryan-Deci/9781462538966" TargetMode="External"/><Relationship Id="rId10" Type="http://schemas.openxmlformats.org/officeDocument/2006/relationships/image" Target="media/image5.png"/><Relationship Id="rId19" Type="http://schemas.openxmlformats.org/officeDocument/2006/relationships/hyperlink" Target="https://www.annualreviews.org/content/journals/10.1146/annurev-orgpsych-012218-015212" TargetMode="External"/><Relationship Id="rId31" Type="http://schemas.openxmlformats.org/officeDocument/2006/relationships/hyperlink" Target="https://www.nist.gov/itl/ai-risk-management-framework" TargetMode="External"/><Relationship Id="rId44" Type="http://schemas.openxmlformats.org/officeDocument/2006/relationships/hyperlink" Target="https://www.weforum.org/publications/the-future-of-jobs-report-202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journals.aom.org/doi/10.5465/amr.1989.4278999" TargetMode="External"/><Relationship Id="rId22" Type="http://schemas.openxmlformats.org/officeDocument/2006/relationships/hyperlink" Target="https://www.deloitte.com/us/en/insights/topics/talent/creating-value-with-skills.html" TargetMode="External"/><Relationship Id="rId27" Type="http://schemas.openxmlformats.org/officeDocument/2006/relationships/hyperlink" Target="https://bpspsychub.onlinelibrary.wiley.com/doi/10.1111/joop.12201" TargetMode="External"/><Relationship Id="rId30" Type="http://schemas.openxmlformats.org/officeDocument/2006/relationships/hyperlink" Target="https://journals.sagepub.com/doi/10.1177/2041386615584009" TargetMode="External"/><Relationship Id="rId35" Type="http://schemas.openxmlformats.org/officeDocument/2006/relationships/hyperlink" Target="https://link.springer.com/article/10.1007/BF01384942" TargetMode="External"/><Relationship Id="rId43" Type="http://schemas.openxmlformats.org/officeDocument/2006/relationships/hyperlink" Target="https://www.weforum.org/stories/2019/12/davos-manifesto-2020-the-universal-purpose-of-a-company-in-the-fourth-industrial-revolution/"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mdpi.com/2071-1050/16/11/4854" TargetMode="External"/><Relationship Id="rId17" Type="http://schemas.openxmlformats.org/officeDocument/2006/relationships/hyperlink" Target="https://www.cambridge.org/core/journals/business-and-human-rights-journal/article/on-the-right-to-work-in-the-age-of-artificial-intelligence-ethical-safeguards-in-algorithmic-human-resource-management/48C5CC4DBEDE34EEEFC1591E89C6B1A8" TargetMode="External"/><Relationship Id="rId25" Type="http://schemas.openxmlformats.org/officeDocument/2006/relationships/hyperlink" Target="https://journals.sagepub.com/doi/10.1177/0007650318773750" TargetMode="External"/><Relationship Id="rId33" Type="http://schemas.openxmlformats.org/officeDocument/2006/relationships/hyperlink" Target="https://iaap-journals.onlinelibrary.wiley.com/doi/10.1111/apps.12241" TargetMode="External"/><Relationship Id="rId38" Type="http://schemas.openxmlformats.org/officeDocument/2006/relationships/hyperlink" Target="https://link.springer.com/article/10.1186/s13612-018-0086-y" TargetMode="External"/><Relationship Id="rId46" Type="http://schemas.openxmlformats.org/officeDocument/2006/relationships/hyperlink" Target="https://onlinelibrary.wiley.com/doi/10.1002/job.2332" TargetMode="External"/><Relationship Id="rId20" Type="http://schemas.openxmlformats.org/officeDocument/2006/relationships/hyperlink" Target="https://www.annualreviews.org/content/journals/10.1146/annurev-orgpsych-032516-113108" TargetMode="External"/><Relationship Id="rId41" Type="http://schemas.openxmlformats.org/officeDocument/2006/relationships/hyperlink" Target="https://dspace.mit.edu/handle/1721.1/19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BE2C0-1F4D-574B-8828-64DB2AFD0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6136</Words>
  <Characters>34979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2026-06-23T06:51:00Z</dcterms:created>
  <dcterms:modified xsi:type="dcterms:W3CDTF">2026-06-23T06:51:00Z</dcterms:modified>
</cp:coreProperties>
</file>