
<file path=[Content_Types].xml><?xml version="1.0" encoding="utf-8"?>
<Types xmlns="http://schemas.openxmlformats.org/package/2006/content-types">
  <Default Extension="xml" ContentType="application/xml"/>
  <Override PartName="/word/fontTable.xml" ContentType="application/vnd.openxmlformats-officedocument.wordprocessingml.fontTable+xml"/>
  <Override PartName="/docProps/app.xml" ContentType="application/vnd.openxmlformats-officedocument.extended-properties+xml"/>
  <Override PartName="/word/document.xml" ContentType="application/vnd.openxmlformats-officedocument.wordprocessingml.document.main+xml"/>
  <Override PartName="/word/styles.xml" ContentType="application/vnd.openxmlformats-officedocument.wordprocessingml.styles+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Default Extension="png" ContentType="image/png"/>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C0C97" w:rsidRPr="00427D99" w:rsidRDefault="008C0C97" w:rsidP="00427D99">
      <w:pPr>
        <w:pStyle w:val="NormalWeb"/>
        <w:spacing w:before="0" w:beforeAutospacing="0" w:after="0" w:afterAutospacing="0"/>
        <w:ind w:left="-180" w:right="-334"/>
        <w:rPr>
          <w:rFonts w:ascii="Arial" w:hAnsi="Arial"/>
          <w:sz w:val="24"/>
        </w:rPr>
      </w:pPr>
      <w:r w:rsidRPr="008030B9">
        <w:rPr>
          <w:sz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9pt;height:41pt" o:bordertopcolor="this" o:borderleftcolor="this" o:borderbottomcolor="this" o:borderrightcolor="this">
            <v:imagedata r:id="rId4" o:title=""/>
          </v:shape>
        </w:pict>
      </w:r>
    </w:p>
    <w:p w:rsidR="008C0C97" w:rsidRPr="00427D99" w:rsidRDefault="008C0C97" w:rsidP="00427D99">
      <w:pPr>
        <w:pStyle w:val="NormalWeb"/>
        <w:spacing w:before="0" w:beforeAutospacing="0" w:after="0" w:afterAutospacing="0"/>
        <w:ind w:left="-180" w:right="-334"/>
        <w:rPr>
          <w:rFonts w:ascii="Arial" w:hAnsi="Arial"/>
          <w:sz w:val="24"/>
        </w:rPr>
      </w:pPr>
    </w:p>
    <w:p w:rsidR="008C0C97" w:rsidRPr="00427D99" w:rsidRDefault="008C0C97" w:rsidP="00427D99">
      <w:pPr>
        <w:pStyle w:val="NormalWeb"/>
        <w:spacing w:before="0" w:beforeAutospacing="0" w:after="0" w:afterAutospacing="0"/>
        <w:ind w:left="-180" w:right="-334"/>
        <w:rPr>
          <w:rFonts w:ascii="Arial" w:hAnsi="Arial"/>
          <w:sz w:val="24"/>
        </w:rPr>
      </w:pPr>
    </w:p>
    <w:p w:rsidR="008C0C97" w:rsidRPr="00427D99" w:rsidRDefault="008C0C97" w:rsidP="00427D99">
      <w:pPr>
        <w:pStyle w:val="NormalWeb"/>
        <w:spacing w:before="0" w:beforeAutospacing="0" w:after="0" w:afterAutospacing="0"/>
        <w:ind w:left="-180" w:right="-334"/>
        <w:jc w:val="center"/>
        <w:rPr>
          <w:rFonts w:ascii="Arial" w:hAnsi="Arial" w:cs="Arial"/>
          <w:b/>
          <w:sz w:val="24"/>
          <w:lang w:val="cy-GB"/>
        </w:rPr>
      </w:pPr>
      <w:r w:rsidRPr="00427D99">
        <w:rPr>
          <w:rFonts w:ascii="Arial" w:hAnsi="Arial" w:cs="Arial"/>
          <w:b/>
          <w:sz w:val="24"/>
          <w:lang w:val="cy-GB"/>
        </w:rPr>
        <w:t xml:space="preserve">Postgraduate/Distance Learning </w:t>
      </w:r>
    </w:p>
    <w:p w:rsidR="008C0C97" w:rsidRPr="00427D99" w:rsidRDefault="008C0C97" w:rsidP="00427D99">
      <w:pPr>
        <w:pStyle w:val="NormalWeb"/>
        <w:spacing w:before="0" w:beforeAutospacing="0" w:after="0" w:afterAutospacing="0"/>
        <w:ind w:left="-180" w:right="-334"/>
        <w:jc w:val="center"/>
        <w:rPr>
          <w:rFonts w:ascii="Arial" w:hAnsi="Arial" w:cs="Arial"/>
          <w:b/>
          <w:sz w:val="24"/>
        </w:rPr>
      </w:pPr>
      <w:r w:rsidRPr="00427D99">
        <w:rPr>
          <w:rFonts w:ascii="Arial" w:hAnsi="Arial" w:cs="Arial"/>
          <w:b/>
          <w:sz w:val="24"/>
          <w:lang w:val="cy-GB"/>
        </w:rPr>
        <w:t>Assignment coversheet &amp; feedback form</w:t>
      </w:r>
    </w:p>
    <w:p w:rsidR="008C0C97" w:rsidRPr="00427D99" w:rsidRDefault="008C0C97" w:rsidP="00427D99">
      <w:pPr>
        <w:rPr>
          <w:rFonts w:ascii="Arial" w:hAnsi="Arial" w:cs="Arial"/>
          <w:lang w:val="cy-GB"/>
        </w:rPr>
      </w:pPr>
    </w:p>
    <w:p w:rsidR="008C0C97" w:rsidRPr="00427D99" w:rsidRDefault="008C0C97" w:rsidP="00427D99">
      <w:pPr>
        <w:pStyle w:val="Heading3"/>
        <w:jc w:val="center"/>
        <w:rPr>
          <w:rFonts w:ascii="Arial" w:hAnsi="Arial"/>
          <w:sz w:val="24"/>
          <w:lang w:val="cy-GB"/>
        </w:rPr>
      </w:pPr>
      <w:r w:rsidRPr="00427D99">
        <w:rPr>
          <w:rFonts w:ascii="Arial" w:hAnsi="Arial"/>
          <w:sz w:val="24"/>
          <w:lang w:val="cy-GB"/>
        </w:rPr>
        <w:t>THIS SHEET MUST BE THE FIRST PAGE OF THE ASSIGNMENT YOU ARE SUBMITTING  (DO NOT SEND AS A SEPARATE FILE)</w:t>
      </w:r>
    </w:p>
    <w:p w:rsidR="008C0C97" w:rsidRPr="00427D99" w:rsidRDefault="008C0C97" w:rsidP="00427D99">
      <w:pPr>
        <w:pStyle w:val="Heading3"/>
        <w:jc w:val="center"/>
        <w:rPr>
          <w:rFonts w:ascii="Arial" w:hAnsi="Arial"/>
          <w:sz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4788"/>
        <w:gridCol w:w="423"/>
        <w:gridCol w:w="1557"/>
        <w:gridCol w:w="286"/>
        <w:gridCol w:w="1802"/>
      </w:tblGrid>
      <w:tr w:rsidR="008C0C97" w:rsidRPr="00427D99">
        <w:trPr>
          <w:trHeight w:val="614"/>
        </w:trPr>
        <w:tc>
          <w:tcPr>
            <w:tcW w:w="8856" w:type="dxa"/>
            <w:gridSpan w:val="5"/>
          </w:tcPr>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b/>
                <w:sz w:val="24"/>
              </w:rPr>
              <w:t>For completion by the student</w:t>
            </w:r>
            <w:r w:rsidRPr="00427D99">
              <w:rPr>
                <w:rFonts w:ascii="Arial" w:hAnsi="Arial" w:cs="Arial"/>
                <w:sz w:val="24"/>
              </w:rPr>
              <w:t>:</w:t>
            </w:r>
          </w:p>
          <w:p w:rsidR="008C0C97" w:rsidRPr="00427D99" w:rsidRDefault="008C0C97" w:rsidP="00427D99">
            <w:pPr>
              <w:pStyle w:val="NormalWeb"/>
              <w:spacing w:before="0" w:beforeAutospacing="0" w:after="0" w:afterAutospacing="0"/>
              <w:ind w:right="34"/>
              <w:rPr>
                <w:rFonts w:ascii="Arial" w:hAnsi="Arial" w:cs="Arial"/>
                <w:sz w:val="24"/>
              </w:rPr>
            </w:pPr>
          </w:p>
        </w:tc>
      </w:tr>
      <w:tr w:rsidR="008C0C97" w:rsidRPr="00427D99">
        <w:trPr>
          <w:trHeight w:val="718"/>
        </w:trPr>
        <w:tc>
          <w:tcPr>
            <w:tcW w:w="8856" w:type="dxa"/>
            <w:gridSpan w:val="5"/>
          </w:tcPr>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Student Name: LYNNE ELLER</w:t>
            </w:r>
          </w:p>
          <w:p w:rsidR="008C0C97" w:rsidRPr="00427D99" w:rsidRDefault="008C0C97" w:rsidP="00427D99">
            <w:pPr>
              <w:pStyle w:val="NormalWeb"/>
              <w:spacing w:before="0" w:beforeAutospacing="0" w:after="0" w:afterAutospacing="0"/>
              <w:ind w:right="34"/>
              <w:rPr>
                <w:rFonts w:ascii="Arial" w:hAnsi="Arial" w:cs="Arial"/>
                <w:sz w:val="24"/>
              </w:rPr>
            </w:pPr>
          </w:p>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 xml:space="preserve">Student </w:t>
            </w:r>
            <w:r w:rsidRPr="00427D99">
              <w:rPr>
                <w:rFonts w:ascii="Arial" w:hAnsi="Arial" w:cs="Arial"/>
                <w:b/>
                <w:bCs/>
                <w:sz w:val="24"/>
                <w:u w:val="single"/>
              </w:rPr>
              <w:t>University</w:t>
            </w:r>
            <w:r w:rsidRPr="00427D99">
              <w:rPr>
                <w:rFonts w:ascii="Arial" w:hAnsi="Arial" w:cs="Arial"/>
                <w:sz w:val="24"/>
                <w:u w:val="single"/>
              </w:rPr>
              <w:t xml:space="preserve"> </w:t>
            </w:r>
            <w:r w:rsidRPr="00427D99">
              <w:rPr>
                <w:rFonts w:ascii="Arial" w:hAnsi="Arial" w:cs="Arial"/>
                <w:sz w:val="24"/>
              </w:rPr>
              <w:t>Email: 1804327@student.uwtsd.ac.uk</w:t>
            </w:r>
          </w:p>
        </w:tc>
      </w:tr>
      <w:tr w:rsidR="008C0C97" w:rsidRPr="00427D99">
        <w:trPr>
          <w:trHeight w:val="849"/>
        </w:trPr>
        <w:tc>
          <w:tcPr>
            <w:tcW w:w="4788" w:type="dxa"/>
          </w:tcPr>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Module code: CLCL7003</w:t>
            </w:r>
          </w:p>
          <w:p w:rsidR="008C0C97" w:rsidRPr="00427D99" w:rsidRDefault="008C0C97" w:rsidP="00427D99">
            <w:pPr>
              <w:pStyle w:val="NormalWeb"/>
              <w:spacing w:before="0" w:beforeAutospacing="0" w:after="0" w:afterAutospacing="0"/>
              <w:ind w:right="34"/>
              <w:rPr>
                <w:rFonts w:ascii="Arial" w:hAnsi="Arial" w:cs="Arial"/>
                <w:sz w:val="24"/>
              </w:rPr>
            </w:pPr>
          </w:p>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Module title:</w:t>
            </w:r>
          </w:p>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TMAR</w:t>
            </w:r>
          </w:p>
          <w:p w:rsidR="008C0C97" w:rsidRPr="00427D99" w:rsidRDefault="008C0C97" w:rsidP="00427D99">
            <w:pPr>
              <w:pStyle w:val="NormalWeb"/>
              <w:spacing w:before="0" w:beforeAutospacing="0" w:after="0" w:afterAutospacing="0"/>
              <w:ind w:right="34"/>
              <w:rPr>
                <w:rFonts w:ascii="Arial" w:hAnsi="Arial" w:cs="Arial"/>
                <w:sz w:val="24"/>
              </w:rPr>
            </w:pPr>
          </w:p>
        </w:tc>
        <w:tc>
          <w:tcPr>
            <w:tcW w:w="2266" w:type="dxa"/>
            <w:gridSpan w:val="3"/>
          </w:tcPr>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Student ID number:</w:t>
            </w:r>
          </w:p>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1804327</w:t>
            </w:r>
          </w:p>
        </w:tc>
        <w:tc>
          <w:tcPr>
            <w:tcW w:w="1802" w:type="dxa"/>
          </w:tcPr>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Educational support needs:</w:t>
            </w:r>
          </w:p>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/No</w:t>
            </w:r>
          </w:p>
        </w:tc>
      </w:tr>
      <w:tr w:rsidR="008C0C97" w:rsidRPr="00427D99">
        <w:trPr>
          <w:trHeight w:val="1139"/>
        </w:trPr>
        <w:tc>
          <w:tcPr>
            <w:tcW w:w="8856" w:type="dxa"/>
            <w:gridSpan w:val="5"/>
          </w:tcPr>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Assignment title:  ENCYCLOPAEDIA ARTICLE</w:t>
            </w:r>
          </w:p>
          <w:p w:rsidR="008C0C97" w:rsidRPr="00427D99" w:rsidRDefault="008C0C97" w:rsidP="00427D99">
            <w:pPr>
              <w:pStyle w:val="NormalWeb"/>
              <w:spacing w:before="0" w:beforeAutospacing="0" w:after="0" w:afterAutospacing="0"/>
              <w:ind w:right="34"/>
              <w:rPr>
                <w:rFonts w:ascii="Arial" w:hAnsi="Arial" w:cs="Arial"/>
                <w:sz w:val="24"/>
              </w:rPr>
            </w:pPr>
          </w:p>
          <w:p w:rsidR="008C0C97" w:rsidRPr="00427D99" w:rsidRDefault="008C0C97" w:rsidP="00427D99">
            <w:pPr>
              <w:pStyle w:val="NormalWeb"/>
              <w:spacing w:before="0" w:beforeAutospacing="0" w:after="0" w:afterAutospacing="0"/>
              <w:ind w:right="34"/>
              <w:rPr>
                <w:rFonts w:ascii="Arial" w:hAnsi="Arial" w:cs="Arial"/>
                <w:sz w:val="24"/>
              </w:rPr>
            </w:pPr>
          </w:p>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Assignment due date:  25/1/19</w:t>
            </w:r>
          </w:p>
        </w:tc>
      </w:tr>
      <w:tr w:rsidR="008C0C97" w:rsidRPr="00427D99">
        <w:trPr>
          <w:trHeight w:val="978"/>
        </w:trPr>
        <w:tc>
          <w:tcPr>
            <w:tcW w:w="8856" w:type="dxa"/>
            <w:gridSpan w:val="5"/>
          </w:tcPr>
          <w:p w:rsidR="008C0C97" w:rsidRPr="00427D99" w:rsidRDefault="008C0C97" w:rsidP="00427D99">
            <w:pPr>
              <w:rPr>
                <w:rFonts w:ascii="Arial" w:hAnsi="Arial" w:cs="Arial"/>
              </w:rPr>
            </w:pPr>
            <w:r w:rsidRPr="00427D99">
              <w:rPr>
                <w:rFonts w:ascii="Arial" w:hAnsi="Arial" w:cs="Arial"/>
              </w:rPr>
              <w:t>This assignment is for the       1</w:t>
            </w:r>
            <w:r w:rsidRPr="00427D99">
              <w:rPr>
                <w:rFonts w:ascii="Arial" w:hAnsi="Arial" w:cs="Arial"/>
                <w:vertAlign w:val="superscript"/>
              </w:rPr>
              <w:t xml:space="preserve">st </w:t>
            </w:r>
            <w:bookmarkStart w:id="0" w:name="Check13"/>
            <w:r w:rsidRPr="00427D99">
              <w:rPr>
                <w:rFonts w:ascii="Arial" w:hAnsi="Arial" w:cs="Arial"/>
              </w:rPr>
              <w:fldChar w:fldCharType="begin">
                <w:ffData>
                  <w:name w:val="Check13"/>
                  <w:enabled/>
                  <w:calcOnExit w:val="0"/>
                  <w:checkBox>
                    <w:sizeAuto/>
                    <w:default w:val="0"/>
                  </w:checkBox>
                </w:ffData>
              </w:fldChar>
            </w:r>
            <w:r w:rsidRPr="00427D99">
              <w:rPr>
                <w:rFonts w:ascii="Arial" w:hAnsi="Arial" w:cs="Arial"/>
              </w:rPr>
              <w:instrText xml:space="preserve"> FORMCHECKBOX </w:instrText>
            </w:r>
            <w:r w:rsidRPr="008C0C97">
              <w:rPr>
                <w:rFonts w:ascii="Arial" w:hAnsi="Arial" w:cs="Arial"/>
              </w:rPr>
            </w:r>
            <w:r w:rsidRPr="00427D99">
              <w:rPr>
                <w:rFonts w:ascii="Arial" w:hAnsi="Arial" w:cs="Arial"/>
              </w:rPr>
              <w:fldChar w:fldCharType="end"/>
            </w:r>
            <w:bookmarkEnd w:id="0"/>
            <w:r w:rsidRPr="00427D99">
              <w:rPr>
                <w:rFonts w:ascii="Arial" w:hAnsi="Arial" w:cs="Arial"/>
              </w:rPr>
              <w:t xml:space="preserve">    2</w:t>
            </w:r>
            <w:r w:rsidRPr="00427D99">
              <w:rPr>
                <w:rFonts w:ascii="Arial" w:hAnsi="Arial" w:cs="Arial"/>
                <w:vertAlign w:val="superscript"/>
              </w:rPr>
              <w:t>nd</w:t>
            </w:r>
            <w:r w:rsidRPr="00427D99">
              <w:rPr>
                <w:rFonts w:ascii="Arial" w:hAnsi="Arial" w:cs="Arial"/>
              </w:rPr>
              <w:t xml:space="preserve">  </w:t>
            </w:r>
            <w:bookmarkStart w:id="1" w:name="Check14"/>
            <w:r w:rsidRPr="00427D99">
              <w:rPr>
                <w:rFonts w:ascii="Arial" w:hAnsi="Arial" w:cs="Arial"/>
              </w:rPr>
              <w:fldChar w:fldCharType="begin">
                <w:ffData>
                  <w:name w:val="Check14"/>
                  <w:enabled/>
                  <w:calcOnExit w:val="0"/>
                  <w:checkBox>
                    <w:sizeAuto/>
                    <w:default w:val="0"/>
                  </w:checkBox>
                </w:ffData>
              </w:fldChar>
            </w:r>
            <w:r w:rsidRPr="00427D99">
              <w:rPr>
                <w:rFonts w:ascii="Arial" w:hAnsi="Arial" w:cs="Arial"/>
              </w:rPr>
              <w:instrText xml:space="preserve"> FORMCHECKBOX </w:instrText>
            </w:r>
            <w:r w:rsidRPr="008C0C97">
              <w:rPr>
                <w:rFonts w:ascii="Arial" w:hAnsi="Arial" w:cs="Arial"/>
              </w:rPr>
            </w:r>
            <w:r w:rsidRPr="00427D99">
              <w:rPr>
                <w:rFonts w:ascii="Arial" w:hAnsi="Arial" w:cs="Arial"/>
              </w:rPr>
              <w:fldChar w:fldCharType="end"/>
            </w:r>
            <w:bookmarkEnd w:id="1"/>
            <w:r w:rsidRPr="00427D99">
              <w:rPr>
                <w:rFonts w:ascii="Arial" w:hAnsi="Arial" w:cs="Arial"/>
              </w:rPr>
              <w:t xml:space="preserve">     3</w:t>
            </w:r>
            <w:r w:rsidRPr="00427D99">
              <w:rPr>
                <w:rFonts w:ascii="Arial" w:hAnsi="Arial" w:cs="Arial"/>
                <w:vertAlign w:val="superscript"/>
              </w:rPr>
              <w:t>rd</w:t>
            </w:r>
            <w:r w:rsidRPr="00427D99">
              <w:rPr>
                <w:rFonts w:ascii="Arial" w:hAnsi="Arial" w:cs="Arial"/>
              </w:rPr>
              <w:t xml:space="preserve">  </w:t>
            </w:r>
            <w:bookmarkStart w:id="2" w:name="Check15"/>
            <w:r w:rsidRPr="00427D99">
              <w:rPr>
                <w:rFonts w:ascii="Arial" w:hAnsi="Arial" w:cs="Arial"/>
              </w:rPr>
              <w:fldChar w:fldCharType="begin">
                <w:ffData>
                  <w:name w:val="Check15"/>
                  <w:enabled/>
                  <w:calcOnExit w:val="0"/>
                  <w:checkBox>
                    <w:sizeAuto/>
                    <w:default w:val="0"/>
                  </w:checkBox>
                </w:ffData>
              </w:fldChar>
            </w:r>
            <w:r w:rsidRPr="00427D99">
              <w:rPr>
                <w:rFonts w:ascii="Arial" w:hAnsi="Arial" w:cs="Arial"/>
              </w:rPr>
              <w:instrText xml:space="preserve"> FORMCHECKBOX </w:instrText>
            </w:r>
            <w:r w:rsidRPr="008C0C97">
              <w:rPr>
                <w:rFonts w:ascii="Arial" w:hAnsi="Arial" w:cs="Arial"/>
              </w:rPr>
            </w:r>
            <w:r w:rsidRPr="00427D99">
              <w:rPr>
                <w:rFonts w:ascii="Arial" w:hAnsi="Arial" w:cs="Arial"/>
              </w:rPr>
              <w:fldChar w:fldCharType="end"/>
            </w:r>
            <w:bookmarkEnd w:id="2"/>
            <w:r w:rsidRPr="00427D99">
              <w:rPr>
                <w:rFonts w:ascii="Arial" w:hAnsi="Arial" w:cs="Arial"/>
              </w:rPr>
              <w:t xml:space="preserve">      4</w:t>
            </w:r>
            <w:r w:rsidRPr="00427D99">
              <w:rPr>
                <w:rFonts w:ascii="Arial" w:hAnsi="Arial" w:cs="Arial"/>
                <w:vertAlign w:val="superscript"/>
              </w:rPr>
              <w:t>th</w:t>
            </w:r>
            <w:r w:rsidRPr="00427D99">
              <w:rPr>
                <w:rFonts w:ascii="Arial" w:hAnsi="Arial" w:cs="Arial"/>
              </w:rPr>
              <w:t xml:space="preserve"> </w:t>
            </w:r>
            <w:bookmarkStart w:id="3" w:name="Check16"/>
            <w:r w:rsidRPr="00427D99">
              <w:rPr>
                <w:rFonts w:ascii="Arial" w:hAnsi="Arial" w:cs="Arial"/>
              </w:rPr>
              <w:fldChar w:fldCharType="begin">
                <w:ffData>
                  <w:name w:val="Check16"/>
                  <w:enabled/>
                  <w:calcOnExit w:val="0"/>
                  <w:checkBox>
                    <w:sizeAuto/>
                    <w:default w:val="0"/>
                  </w:checkBox>
                </w:ffData>
              </w:fldChar>
            </w:r>
            <w:r w:rsidRPr="00427D99">
              <w:rPr>
                <w:rFonts w:ascii="Arial" w:hAnsi="Arial" w:cs="Arial"/>
              </w:rPr>
              <w:instrText xml:space="preserve"> FORMCHECKBOX </w:instrText>
            </w:r>
            <w:r w:rsidRPr="008C0C97">
              <w:rPr>
                <w:rFonts w:ascii="Arial" w:hAnsi="Arial" w:cs="Arial"/>
              </w:rPr>
            </w:r>
            <w:r w:rsidRPr="00427D99">
              <w:rPr>
                <w:rFonts w:ascii="Arial" w:hAnsi="Arial" w:cs="Arial"/>
              </w:rPr>
              <w:fldChar w:fldCharType="end"/>
            </w:r>
            <w:bookmarkEnd w:id="3"/>
            <w:r w:rsidRPr="00427D99">
              <w:rPr>
                <w:rFonts w:ascii="Arial" w:hAnsi="Arial" w:cs="Arial"/>
              </w:rPr>
              <w:t xml:space="preserve">      5</w:t>
            </w:r>
            <w:r w:rsidRPr="00427D99">
              <w:rPr>
                <w:rFonts w:ascii="Arial" w:hAnsi="Arial" w:cs="Arial"/>
                <w:vertAlign w:val="superscript"/>
              </w:rPr>
              <w:t>th</w:t>
            </w:r>
            <w:r w:rsidRPr="00427D99">
              <w:rPr>
                <w:rFonts w:ascii="Arial" w:hAnsi="Arial" w:cs="Arial"/>
              </w:rPr>
              <w:t xml:space="preserve"> </w:t>
            </w:r>
            <w:bookmarkStart w:id="4" w:name="Check17"/>
            <w:r w:rsidRPr="00427D99">
              <w:rPr>
                <w:rFonts w:ascii="Arial" w:hAnsi="Arial" w:cs="Arial"/>
              </w:rPr>
              <w:fldChar w:fldCharType="begin">
                <w:ffData>
                  <w:name w:val="Check17"/>
                  <w:enabled/>
                  <w:calcOnExit w:val="0"/>
                  <w:checkBox>
                    <w:sizeAuto/>
                    <w:default w:val="0"/>
                  </w:checkBox>
                </w:ffData>
              </w:fldChar>
            </w:r>
            <w:r w:rsidRPr="00427D99">
              <w:rPr>
                <w:rFonts w:ascii="Arial" w:hAnsi="Arial" w:cs="Arial"/>
              </w:rPr>
              <w:instrText xml:space="preserve"> FORMCHECKBOX </w:instrText>
            </w:r>
            <w:r w:rsidRPr="008C0C97">
              <w:rPr>
                <w:rFonts w:ascii="Arial" w:hAnsi="Arial" w:cs="Arial"/>
              </w:rPr>
            </w:r>
            <w:r w:rsidRPr="00427D99">
              <w:rPr>
                <w:rFonts w:ascii="Arial" w:hAnsi="Arial" w:cs="Arial"/>
              </w:rPr>
              <w:fldChar w:fldCharType="end"/>
            </w:r>
            <w:bookmarkEnd w:id="4"/>
            <w:r w:rsidRPr="00427D99">
              <w:rPr>
                <w:rFonts w:ascii="Arial" w:hAnsi="Arial" w:cs="Arial"/>
              </w:rPr>
              <w:t xml:space="preserve">      6</w:t>
            </w:r>
            <w:r w:rsidRPr="00427D99">
              <w:rPr>
                <w:rFonts w:ascii="Arial" w:hAnsi="Arial" w:cs="Arial"/>
                <w:vertAlign w:val="superscript"/>
              </w:rPr>
              <w:t>th</w:t>
            </w:r>
            <w:r w:rsidRPr="00427D99">
              <w:rPr>
                <w:rFonts w:ascii="Arial" w:hAnsi="Arial" w:cs="Arial"/>
              </w:rPr>
              <w:t xml:space="preserve"> </w:t>
            </w:r>
            <w:bookmarkStart w:id="5" w:name="Check18"/>
            <w:r w:rsidRPr="00427D99">
              <w:rPr>
                <w:rFonts w:ascii="Arial" w:hAnsi="Arial" w:cs="Arial"/>
              </w:rPr>
              <w:fldChar w:fldCharType="begin">
                <w:ffData>
                  <w:name w:val="Check18"/>
                  <w:enabled/>
                  <w:calcOnExit w:val="0"/>
                  <w:checkBox>
                    <w:sizeAuto/>
                    <w:default w:val="0"/>
                  </w:checkBox>
                </w:ffData>
              </w:fldChar>
            </w:r>
            <w:r w:rsidRPr="00427D99">
              <w:rPr>
                <w:rFonts w:ascii="Arial" w:hAnsi="Arial" w:cs="Arial"/>
              </w:rPr>
              <w:instrText xml:space="preserve"> FORMCHECKBOX </w:instrText>
            </w:r>
            <w:r w:rsidRPr="008C0C97">
              <w:rPr>
                <w:rFonts w:ascii="Arial" w:hAnsi="Arial" w:cs="Arial"/>
              </w:rPr>
            </w:r>
            <w:r w:rsidRPr="00427D99">
              <w:rPr>
                <w:rFonts w:ascii="Arial" w:hAnsi="Arial" w:cs="Arial"/>
              </w:rPr>
              <w:fldChar w:fldCharType="end"/>
            </w:r>
            <w:bookmarkEnd w:id="5"/>
            <w:r w:rsidRPr="00427D99">
              <w:rPr>
                <w:rFonts w:ascii="Arial" w:hAnsi="Arial" w:cs="Arial"/>
                <w:b/>
              </w:rPr>
              <w:t xml:space="preserve">   </w:t>
            </w:r>
            <w:r w:rsidRPr="00427D99">
              <w:rPr>
                <w:rFonts w:ascii="Arial" w:hAnsi="Arial" w:cs="Arial"/>
              </w:rPr>
              <w:t>module of the degree</w:t>
            </w:r>
          </w:p>
        </w:tc>
      </w:tr>
      <w:tr w:rsidR="008C0C97" w:rsidRPr="00427D99">
        <w:trPr>
          <w:trHeight w:val="978"/>
        </w:trPr>
        <w:tc>
          <w:tcPr>
            <w:tcW w:w="8856" w:type="dxa"/>
            <w:gridSpan w:val="5"/>
            <w:shd w:val="clear" w:color="auto" w:fill="D9D9D9"/>
          </w:tcPr>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I confirm that this is my original work and that I have adhered to the University policy on plagiarism.</w:t>
            </w:r>
          </w:p>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Arial"/>
                <w:sz w:val="24"/>
              </w:rPr>
              <w:t>Signed ……………………………………………………………</w:t>
            </w:r>
          </w:p>
          <w:p w:rsidR="008C0C97" w:rsidRPr="00427D99" w:rsidRDefault="008C0C97" w:rsidP="00427D99">
            <w:pPr>
              <w:pStyle w:val="NormalWeb"/>
              <w:spacing w:before="0" w:beforeAutospacing="0" w:after="0" w:afterAutospacing="0"/>
              <w:ind w:right="34"/>
              <w:rPr>
                <w:rFonts w:ascii="Arial" w:hAnsi="Arial" w:cs="Calibri"/>
                <w:b/>
                <w:sz w:val="24"/>
              </w:rPr>
            </w:pPr>
            <w:r w:rsidRPr="00427D99">
              <w:rPr>
                <w:rFonts w:ascii="Arial" w:hAnsi="Arial" w:cs="Tahoma"/>
                <w:b/>
                <w:sz w:val="24"/>
              </w:rPr>
              <w:t xml:space="preserve">Email submission:if you are submitting this form via email, please tick this box </w:t>
            </w:r>
            <w:r w:rsidRPr="00427D99">
              <w:rPr>
                <w:rFonts w:ascii="Arial" w:hAnsi="Arial" w:cs="Calibri" w:hint="eastAsia"/>
                <w:b/>
                <w:sz w:val="24"/>
              </w:rPr>
              <w:t>□</w:t>
            </w:r>
          </w:p>
          <w:p w:rsidR="008C0C97" w:rsidRPr="00427D99" w:rsidRDefault="008C0C97" w:rsidP="00427D99">
            <w:pPr>
              <w:pStyle w:val="NormalWeb"/>
              <w:spacing w:before="0" w:beforeAutospacing="0" w:after="0" w:afterAutospacing="0"/>
              <w:ind w:right="34"/>
              <w:rPr>
                <w:rFonts w:ascii="Arial" w:hAnsi="Arial" w:cs="Arial"/>
                <w:sz w:val="24"/>
              </w:rPr>
            </w:pPr>
            <w:r w:rsidRPr="00427D99">
              <w:rPr>
                <w:rFonts w:ascii="Arial" w:hAnsi="Arial" w:cs="Tahoma"/>
                <w:b/>
                <w:sz w:val="24"/>
              </w:rPr>
              <w:t>(as a substitute for your signature) to confirm that you agree to the above declaration.</w:t>
            </w:r>
          </w:p>
        </w:tc>
      </w:tr>
      <w:tr w:rsidR="008C0C97" w:rsidRPr="00427D99">
        <w:trPr>
          <w:trHeight w:val="3972"/>
        </w:trPr>
        <w:tc>
          <w:tcPr>
            <w:tcW w:w="8856" w:type="dxa"/>
            <w:gridSpan w:val="5"/>
          </w:tcPr>
          <w:p w:rsidR="008C0C97" w:rsidRPr="00427D99" w:rsidRDefault="008C0C97" w:rsidP="00427D99">
            <w:pPr>
              <w:rPr>
                <w:rFonts w:ascii="Arial" w:hAnsi="Arial"/>
                <w:b/>
              </w:rPr>
            </w:pPr>
          </w:p>
          <w:p w:rsidR="008C0C97" w:rsidRPr="00427D99" w:rsidRDefault="008C0C97" w:rsidP="00427D99">
            <w:pPr>
              <w:rPr>
                <w:rFonts w:ascii="Arial" w:hAnsi="Arial"/>
              </w:rPr>
            </w:pPr>
            <w:r w:rsidRPr="00427D99">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8C0C97" w:rsidRPr="00427D99">
              <w:tc>
                <w:tcPr>
                  <w:tcW w:w="6970" w:type="dxa"/>
                  <w:tcBorders>
                    <w:top w:val="single" w:sz="4" w:space="0" w:color="auto"/>
                    <w:left w:val="single" w:sz="4" w:space="0" w:color="auto"/>
                    <w:bottom w:val="single" w:sz="4" w:space="0" w:color="auto"/>
                    <w:right w:val="single" w:sz="4" w:space="0" w:color="auto"/>
                  </w:tcBorders>
                </w:tcPr>
                <w:p w:rsidR="008C0C97" w:rsidRPr="00427D99" w:rsidRDefault="008C0C97" w:rsidP="00427D99">
                  <w:pPr>
                    <w:rPr>
                      <w:rFonts w:ascii="Arial" w:hAnsi="Arial"/>
                    </w:rPr>
                  </w:pPr>
                </w:p>
                <w:p w:rsidR="008C0C97" w:rsidRPr="00427D99" w:rsidRDefault="008C0C97" w:rsidP="00427D99">
                  <w:pPr>
                    <w:rPr>
                      <w:rFonts w:ascii="Arial" w:hAnsi="Arial"/>
                    </w:rPr>
                  </w:pPr>
                  <w:r w:rsidRPr="00427D99">
                    <w:rPr>
                      <w:rFonts w:ascii="Arial" w:hAnsi="Arial"/>
                    </w:rPr>
                    <w:t>1</w:t>
                  </w:r>
                  <w:r w:rsidRPr="00427D99">
                    <w:rPr>
                      <w:rFonts w:ascii="Arial" w:hAnsi="Arial"/>
                      <w:vertAlign w:val="superscript"/>
                    </w:rPr>
                    <w:t>st</w:t>
                  </w:r>
                  <w:r w:rsidRPr="00427D99">
                    <w:rPr>
                      <w:rFonts w:ascii="Arial" w:hAnsi="Arial"/>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8C0C97" w:rsidRPr="00427D99" w:rsidRDefault="008C0C97" w:rsidP="00427D99">
                  <w:pPr>
                    <w:rPr>
                      <w:rFonts w:ascii="Arial" w:hAnsi="Arial"/>
                    </w:rPr>
                  </w:pPr>
                </w:p>
              </w:tc>
            </w:tr>
            <w:tr w:rsidR="008C0C97" w:rsidRPr="00427D99">
              <w:tc>
                <w:tcPr>
                  <w:tcW w:w="6970" w:type="dxa"/>
                  <w:tcBorders>
                    <w:top w:val="single" w:sz="4" w:space="0" w:color="auto"/>
                    <w:left w:val="single" w:sz="4" w:space="0" w:color="auto"/>
                    <w:bottom w:val="single" w:sz="4" w:space="0" w:color="auto"/>
                    <w:right w:val="single" w:sz="4" w:space="0" w:color="auto"/>
                  </w:tcBorders>
                </w:tcPr>
                <w:p w:rsidR="008C0C97" w:rsidRPr="00427D99" w:rsidRDefault="008C0C97" w:rsidP="00427D99">
                  <w:pPr>
                    <w:rPr>
                      <w:rFonts w:ascii="Arial" w:hAnsi="Arial"/>
                    </w:rPr>
                  </w:pPr>
                </w:p>
                <w:p w:rsidR="008C0C97" w:rsidRPr="00427D99" w:rsidRDefault="008C0C97" w:rsidP="00427D99">
                  <w:pPr>
                    <w:rPr>
                      <w:rFonts w:ascii="Arial" w:hAnsi="Arial"/>
                    </w:rPr>
                  </w:pPr>
                  <w:r w:rsidRPr="00427D99">
                    <w:rPr>
                      <w:rFonts w:ascii="Arial" w:hAnsi="Arial"/>
                    </w:rPr>
                    <w:t>2</w:t>
                  </w:r>
                  <w:r w:rsidRPr="00427D99">
                    <w:rPr>
                      <w:rFonts w:ascii="Arial" w:hAnsi="Arial"/>
                      <w:vertAlign w:val="superscript"/>
                    </w:rPr>
                    <w:t>nd</w:t>
                  </w:r>
                  <w:r w:rsidRPr="00427D99">
                    <w:rPr>
                      <w:rFonts w:ascii="Arial" w:hAnsi="Arial"/>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8C0C97" w:rsidRPr="00427D99" w:rsidRDefault="008C0C97" w:rsidP="00427D99">
                  <w:pPr>
                    <w:rPr>
                      <w:rFonts w:ascii="Arial" w:hAnsi="Arial"/>
                    </w:rPr>
                  </w:pPr>
                </w:p>
              </w:tc>
            </w:tr>
            <w:tr w:rsidR="008C0C97" w:rsidRPr="00427D99">
              <w:tc>
                <w:tcPr>
                  <w:tcW w:w="6970" w:type="dxa"/>
                  <w:tcBorders>
                    <w:top w:val="single" w:sz="4" w:space="0" w:color="auto"/>
                    <w:left w:val="single" w:sz="4" w:space="0" w:color="auto"/>
                    <w:bottom w:val="single" w:sz="4" w:space="0" w:color="auto"/>
                    <w:right w:val="single" w:sz="4" w:space="0" w:color="auto"/>
                  </w:tcBorders>
                </w:tcPr>
                <w:p w:rsidR="008C0C97" w:rsidRPr="00427D99" w:rsidRDefault="008C0C97" w:rsidP="00427D99">
                  <w:pPr>
                    <w:rPr>
                      <w:rFonts w:ascii="Arial" w:hAnsi="Arial"/>
                    </w:rPr>
                  </w:pPr>
                </w:p>
                <w:p w:rsidR="008C0C97" w:rsidRPr="00427D99" w:rsidRDefault="008C0C97" w:rsidP="00427D99">
                  <w:pPr>
                    <w:rPr>
                      <w:rFonts w:ascii="Arial" w:hAnsi="Arial"/>
                    </w:rPr>
                  </w:pPr>
                  <w:r w:rsidRPr="00427D99">
                    <w:rPr>
                      <w:rFonts w:ascii="Arial" w:hAnsi="Arial"/>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8C0C97" w:rsidRPr="00427D99" w:rsidRDefault="008C0C97" w:rsidP="00427D99">
                  <w:pPr>
                    <w:rPr>
                      <w:rFonts w:ascii="Arial" w:hAnsi="Arial"/>
                    </w:rPr>
                  </w:pPr>
                </w:p>
              </w:tc>
            </w:tr>
            <w:tr w:rsidR="008C0C97" w:rsidRPr="00427D99">
              <w:tc>
                <w:tcPr>
                  <w:tcW w:w="6970" w:type="dxa"/>
                  <w:tcBorders>
                    <w:top w:val="single" w:sz="4" w:space="0" w:color="auto"/>
                    <w:left w:val="single" w:sz="4" w:space="0" w:color="auto"/>
                    <w:bottom w:val="single" w:sz="4" w:space="0" w:color="auto"/>
                    <w:right w:val="single" w:sz="4" w:space="0" w:color="auto"/>
                  </w:tcBorders>
                </w:tcPr>
                <w:p w:rsidR="008C0C97" w:rsidRPr="00427D99" w:rsidRDefault="008C0C97" w:rsidP="00427D99">
                  <w:pPr>
                    <w:rPr>
                      <w:rFonts w:ascii="Arial" w:hAnsi="Arial"/>
                    </w:rPr>
                  </w:pPr>
                </w:p>
                <w:p w:rsidR="008C0C97" w:rsidRPr="00427D99" w:rsidRDefault="008C0C97" w:rsidP="00427D99">
                  <w:pPr>
                    <w:rPr>
                      <w:rFonts w:ascii="Arial" w:hAnsi="Arial"/>
                      <w:b/>
                    </w:rPr>
                  </w:pPr>
                  <w:r w:rsidRPr="00427D99">
                    <w:rPr>
                      <w:rFonts w:ascii="Arial" w:hAnsi="Arial"/>
                      <w:b/>
                    </w:rPr>
                    <w:t>Final Mark</w:t>
                  </w:r>
                </w:p>
                <w:p w:rsidR="008C0C97" w:rsidRPr="00427D99" w:rsidRDefault="008C0C97" w:rsidP="00427D99">
                  <w:pPr>
                    <w:rPr>
                      <w:rFonts w:ascii="Arial" w:hAnsi="Arial"/>
                    </w:rPr>
                  </w:pPr>
                </w:p>
              </w:tc>
              <w:tc>
                <w:tcPr>
                  <w:tcW w:w="1660" w:type="dxa"/>
                  <w:tcBorders>
                    <w:top w:val="single" w:sz="4" w:space="0" w:color="auto"/>
                    <w:left w:val="single" w:sz="4" w:space="0" w:color="auto"/>
                    <w:bottom w:val="single" w:sz="4" w:space="0" w:color="auto"/>
                    <w:right w:val="single" w:sz="4" w:space="0" w:color="auto"/>
                  </w:tcBorders>
                </w:tcPr>
                <w:p w:rsidR="008C0C97" w:rsidRPr="00427D99" w:rsidRDefault="008C0C97" w:rsidP="00427D99">
                  <w:pPr>
                    <w:rPr>
                      <w:rFonts w:ascii="Arial" w:hAnsi="Arial"/>
                    </w:rPr>
                  </w:pPr>
                </w:p>
              </w:tc>
            </w:tr>
          </w:tbl>
          <w:p w:rsidR="008C0C97" w:rsidRPr="00427D99" w:rsidRDefault="008C0C97" w:rsidP="00427D99">
            <w:pPr>
              <w:pStyle w:val="NormalWeb"/>
              <w:spacing w:before="0" w:beforeAutospacing="0" w:after="0" w:afterAutospacing="0"/>
              <w:ind w:left="142" w:right="34"/>
              <w:rPr>
                <w:rFonts w:ascii="Arial" w:hAnsi="Arial" w:cs="Arial"/>
                <w:b/>
                <w:sz w:val="24"/>
              </w:rPr>
            </w:pPr>
          </w:p>
          <w:p w:rsidR="008C0C97" w:rsidRPr="00427D99" w:rsidRDefault="008C0C97" w:rsidP="00427D99">
            <w:pPr>
              <w:pStyle w:val="NormalWeb"/>
              <w:spacing w:before="0" w:beforeAutospacing="0" w:after="0" w:afterAutospacing="0"/>
              <w:ind w:left="142" w:right="34"/>
              <w:rPr>
                <w:rFonts w:ascii="Arial" w:hAnsi="Arial" w:cs="Arial"/>
                <w:sz w:val="24"/>
              </w:rPr>
            </w:pPr>
            <w:r w:rsidRPr="00427D99">
              <w:rPr>
                <w:rFonts w:ascii="Arial" w:hAnsi="Arial" w:cs="Arial"/>
                <w:b/>
                <w:sz w:val="24"/>
              </w:rPr>
              <w:t>NB.</w:t>
            </w:r>
            <w:r w:rsidRPr="00427D99">
              <w:rPr>
                <w:rFonts w:ascii="Arial" w:hAnsi="Arial" w:cs="Arial"/>
                <w:sz w:val="24"/>
              </w:rPr>
              <w:t xml:space="preserve">  All marks are provisional until confirmed by the Final Examination Board.</w:t>
            </w:r>
          </w:p>
          <w:p w:rsidR="008C0C97" w:rsidRPr="00427D99" w:rsidRDefault="008C0C97" w:rsidP="00427D99">
            <w:pPr>
              <w:pStyle w:val="NormalWeb"/>
              <w:spacing w:before="0" w:beforeAutospacing="0" w:after="0" w:afterAutospacing="0"/>
              <w:rPr>
                <w:rFonts w:ascii="Arial" w:hAnsi="Arial" w:cs="Arial"/>
                <w:b/>
                <w:sz w:val="24"/>
              </w:rPr>
            </w:pPr>
          </w:p>
          <w:p w:rsidR="008C0C97" w:rsidRPr="00427D99" w:rsidRDefault="008C0C97" w:rsidP="00427D99">
            <w:pPr>
              <w:pStyle w:val="NormalWeb"/>
              <w:spacing w:before="0" w:beforeAutospacing="0" w:after="0" w:afterAutospacing="0"/>
              <w:rPr>
                <w:rFonts w:ascii="Arial" w:hAnsi="Arial" w:cs="Arial"/>
                <w:b/>
                <w:sz w:val="24"/>
              </w:rPr>
            </w:pPr>
          </w:p>
          <w:p w:rsidR="008C0C97" w:rsidRPr="00427D99" w:rsidRDefault="008C0C97" w:rsidP="00427D99">
            <w:pPr>
              <w:pStyle w:val="NormalWeb"/>
              <w:spacing w:before="0" w:beforeAutospacing="0" w:after="0" w:afterAutospacing="0"/>
              <w:rPr>
                <w:rFonts w:ascii="Arial" w:hAnsi="Arial" w:cs="Arial"/>
                <w:b/>
                <w:sz w:val="24"/>
              </w:rPr>
            </w:pPr>
          </w:p>
          <w:p w:rsidR="008C0C97" w:rsidRPr="00427D99" w:rsidRDefault="008C0C97" w:rsidP="00427D99">
            <w:pPr>
              <w:pStyle w:val="NormalWeb"/>
              <w:spacing w:before="0" w:beforeAutospacing="0" w:after="0" w:afterAutospacing="0"/>
              <w:rPr>
                <w:rFonts w:ascii="Arial" w:hAnsi="Arial" w:cs="Arial"/>
                <w:b/>
                <w:sz w:val="24"/>
              </w:rPr>
            </w:pPr>
          </w:p>
          <w:p w:rsidR="008C0C97" w:rsidRPr="00427D99" w:rsidRDefault="008C0C97" w:rsidP="00427D99">
            <w:pPr>
              <w:pStyle w:val="NormalWeb"/>
              <w:spacing w:before="0" w:beforeAutospacing="0" w:after="0" w:afterAutospacing="0"/>
              <w:rPr>
                <w:rFonts w:ascii="Arial" w:hAnsi="Arial" w:cs="Arial"/>
                <w:b/>
                <w:sz w:val="24"/>
              </w:rPr>
            </w:pPr>
          </w:p>
          <w:p w:rsidR="008C0C97" w:rsidRPr="00427D99" w:rsidRDefault="008C0C97" w:rsidP="00427D99">
            <w:pPr>
              <w:pStyle w:val="NormalWeb"/>
              <w:spacing w:before="0" w:beforeAutospacing="0" w:after="0" w:afterAutospacing="0"/>
              <w:rPr>
                <w:rFonts w:ascii="Arial" w:hAnsi="Arial" w:cs="Arial"/>
                <w:b/>
                <w:sz w:val="24"/>
              </w:rPr>
            </w:pPr>
            <w:r w:rsidRPr="00427D99">
              <w:rPr>
                <w:rFonts w:ascii="Arial" w:hAnsi="Arial" w:cs="Arial"/>
                <w:b/>
                <w:sz w:val="24"/>
              </w:rPr>
              <w:t>For completion by Marker 1 :</w:t>
            </w:r>
          </w:p>
          <w:p w:rsidR="008C0C97" w:rsidRPr="00427D99" w:rsidRDefault="008C0C97" w:rsidP="00427D99">
            <w:pPr>
              <w:pStyle w:val="NormalWeb"/>
              <w:rPr>
                <w:rFonts w:ascii="Arial" w:hAnsi="Arial" w:cs="Arial"/>
                <w:sz w:val="24"/>
              </w:rPr>
            </w:pPr>
            <w:r w:rsidRPr="00427D99">
              <w:rPr>
                <w:rFonts w:ascii="Arial" w:hAnsi="Arial" w:cs="Arial"/>
                <w:sz w:val="24"/>
              </w:rPr>
              <w:t>Comments:</w:t>
            </w:r>
          </w:p>
          <w:p w:rsidR="008C0C97" w:rsidRPr="00427D99" w:rsidRDefault="008C0C97" w:rsidP="00427D99">
            <w:pPr>
              <w:pStyle w:val="NormalWeb"/>
              <w:rPr>
                <w:rFonts w:ascii="Arial" w:hAnsi="Arial" w:cs="Arial"/>
                <w:sz w:val="24"/>
              </w:rPr>
            </w:pPr>
          </w:p>
        </w:tc>
      </w:tr>
      <w:tr w:rsidR="008C0C97" w:rsidRPr="00427D99">
        <w:trPr>
          <w:trHeight w:val="492"/>
        </w:trPr>
        <w:tc>
          <w:tcPr>
            <w:tcW w:w="6768" w:type="dxa"/>
            <w:gridSpan w:val="3"/>
          </w:tcPr>
          <w:p w:rsidR="008C0C97" w:rsidRPr="00427D99" w:rsidRDefault="008C0C97" w:rsidP="00427D99">
            <w:pPr>
              <w:pStyle w:val="NormalWeb"/>
              <w:ind w:left="142" w:right="34"/>
              <w:rPr>
                <w:rFonts w:ascii="Arial" w:hAnsi="Arial" w:cs="Arial"/>
                <w:sz w:val="24"/>
              </w:rPr>
            </w:pPr>
            <w:r w:rsidRPr="00427D99">
              <w:rPr>
                <w:rFonts w:ascii="Arial" w:hAnsi="Arial" w:cs="Arial"/>
                <w:sz w:val="24"/>
              </w:rPr>
              <w:t>Marker’s signature:</w:t>
            </w:r>
          </w:p>
        </w:tc>
        <w:tc>
          <w:tcPr>
            <w:tcW w:w="2088" w:type="dxa"/>
            <w:gridSpan w:val="2"/>
          </w:tcPr>
          <w:p w:rsidR="008C0C97" w:rsidRPr="00427D99" w:rsidRDefault="008C0C97" w:rsidP="00427D99">
            <w:pPr>
              <w:pStyle w:val="NormalWeb"/>
              <w:spacing w:after="0"/>
              <w:ind w:left="142" w:right="34"/>
              <w:rPr>
                <w:rFonts w:ascii="Arial" w:hAnsi="Arial" w:cs="Arial"/>
                <w:sz w:val="24"/>
              </w:rPr>
            </w:pPr>
            <w:r w:rsidRPr="00427D99">
              <w:rPr>
                <w:rFonts w:ascii="Arial" w:hAnsi="Arial" w:cs="Arial"/>
                <w:sz w:val="24"/>
              </w:rPr>
              <w:t>Date:</w:t>
            </w:r>
          </w:p>
        </w:tc>
      </w:tr>
      <w:tr w:rsidR="008C0C97" w:rsidRPr="00427D99">
        <w:tc>
          <w:tcPr>
            <w:tcW w:w="8856" w:type="dxa"/>
            <w:gridSpan w:val="5"/>
          </w:tcPr>
          <w:p w:rsidR="008C0C97" w:rsidRPr="00427D99" w:rsidRDefault="008C0C97" w:rsidP="00427D99">
            <w:pPr>
              <w:pStyle w:val="NormalWeb"/>
              <w:spacing w:before="0" w:beforeAutospacing="0" w:after="0" w:afterAutospacing="0"/>
              <w:ind w:right="-334"/>
              <w:rPr>
                <w:rFonts w:ascii="Arial" w:hAnsi="Arial" w:cs="Arial"/>
                <w:bCs/>
                <w:i/>
                <w:sz w:val="24"/>
              </w:rPr>
            </w:pPr>
          </w:p>
          <w:p w:rsidR="008C0C97" w:rsidRPr="00427D99" w:rsidRDefault="008C0C97" w:rsidP="00427D99">
            <w:pPr>
              <w:pStyle w:val="NormalWeb"/>
              <w:spacing w:before="0" w:beforeAutospacing="0" w:after="0" w:afterAutospacing="0"/>
              <w:ind w:right="-334"/>
              <w:rPr>
                <w:rFonts w:ascii="Arial" w:hAnsi="Arial" w:cs="Arial"/>
                <w:b/>
                <w:bCs/>
                <w:sz w:val="24"/>
              </w:rPr>
            </w:pPr>
            <w:r w:rsidRPr="00427D99">
              <w:rPr>
                <w:rFonts w:ascii="Arial" w:hAnsi="Arial" w:cs="Arial"/>
                <w:b/>
                <w:bCs/>
                <w:sz w:val="24"/>
              </w:rPr>
              <w:t>For completion by Marker 2/Moderator:</w:t>
            </w:r>
          </w:p>
          <w:p w:rsidR="008C0C97" w:rsidRPr="00427D99" w:rsidRDefault="008C0C97" w:rsidP="00427D99">
            <w:pPr>
              <w:pStyle w:val="NormalWeb"/>
              <w:spacing w:before="0" w:beforeAutospacing="0" w:after="0" w:afterAutospacing="0"/>
              <w:ind w:right="-334"/>
              <w:rPr>
                <w:rFonts w:ascii="Arial" w:hAnsi="Arial" w:cs="Arial"/>
                <w:b/>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r w:rsidRPr="00427D99">
              <w:rPr>
                <w:rFonts w:ascii="Arial" w:hAnsi="Arial" w:cs="Arial"/>
                <w:bCs/>
                <w:sz w:val="24"/>
              </w:rPr>
              <w:t>Comments:</w:t>
            </w: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tc>
      </w:tr>
      <w:tr w:rsidR="008C0C97" w:rsidRPr="00427D99">
        <w:trPr>
          <w:trHeight w:val="720"/>
        </w:trPr>
        <w:tc>
          <w:tcPr>
            <w:tcW w:w="5211" w:type="dxa"/>
            <w:gridSpan w:val="2"/>
          </w:tcPr>
          <w:p w:rsidR="008C0C97" w:rsidRPr="00427D99" w:rsidRDefault="008C0C97" w:rsidP="00427D99">
            <w:pPr>
              <w:pStyle w:val="NormalWeb"/>
              <w:spacing w:before="0" w:beforeAutospacing="0" w:after="0" w:afterAutospacing="0"/>
              <w:ind w:right="-334"/>
              <w:rPr>
                <w:rFonts w:ascii="Arial" w:hAnsi="Arial" w:cs="Arial"/>
                <w:bCs/>
                <w:sz w:val="24"/>
              </w:rPr>
            </w:pPr>
            <w:r w:rsidRPr="00427D99">
              <w:rPr>
                <w:rFonts w:ascii="Arial" w:hAnsi="Arial" w:cs="Arial"/>
                <w:bCs/>
                <w:sz w:val="24"/>
              </w:rPr>
              <w:t>Marker’s Signature:</w:t>
            </w:r>
          </w:p>
        </w:tc>
        <w:tc>
          <w:tcPr>
            <w:tcW w:w="3645" w:type="dxa"/>
            <w:gridSpan w:val="3"/>
          </w:tcPr>
          <w:p w:rsidR="008C0C97" w:rsidRPr="00427D99" w:rsidRDefault="008C0C97" w:rsidP="00427D99">
            <w:pPr>
              <w:pStyle w:val="NormalWeb"/>
              <w:spacing w:before="0" w:beforeAutospacing="0" w:after="0" w:afterAutospacing="0"/>
              <w:ind w:right="-334"/>
              <w:rPr>
                <w:rFonts w:ascii="Arial" w:hAnsi="Arial" w:cs="Arial"/>
                <w:bCs/>
                <w:sz w:val="24"/>
              </w:rPr>
            </w:pPr>
            <w:r w:rsidRPr="00427D99">
              <w:rPr>
                <w:rFonts w:ascii="Arial" w:hAnsi="Arial" w:cs="Arial"/>
                <w:bCs/>
                <w:sz w:val="24"/>
              </w:rPr>
              <w:t>Date:</w:t>
            </w:r>
          </w:p>
        </w:tc>
      </w:tr>
      <w:tr w:rsidR="008C0C97" w:rsidRPr="00427D99">
        <w:trPr>
          <w:trHeight w:val="720"/>
        </w:trPr>
        <w:tc>
          <w:tcPr>
            <w:tcW w:w="8856" w:type="dxa"/>
            <w:gridSpan w:val="5"/>
          </w:tcPr>
          <w:p w:rsidR="008C0C97" w:rsidRPr="00427D99" w:rsidRDefault="008C0C97" w:rsidP="00427D99">
            <w:pPr>
              <w:rPr>
                <w:rFonts w:ascii="Arial" w:hAnsi="Arial" w:cs="Arial"/>
                <w:b/>
              </w:rPr>
            </w:pPr>
            <w:r w:rsidRPr="00427D99">
              <w:rPr>
                <w:rFonts w:ascii="Arial" w:hAnsi="Arial" w:cs="Arial"/>
                <w:b/>
              </w:rPr>
              <w:t>External Examiner’s comments (if relevant)</w:t>
            </w: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p w:rsidR="008C0C97" w:rsidRPr="00427D99" w:rsidRDefault="008C0C97" w:rsidP="00427D99">
            <w:pPr>
              <w:pStyle w:val="NormalWeb"/>
              <w:spacing w:before="0" w:beforeAutospacing="0" w:after="0" w:afterAutospacing="0"/>
              <w:ind w:right="-334"/>
              <w:rPr>
                <w:rFonts w:ascii="Arial" w:hAnsi="Arial" w:cs="Arial"/>
                <w:bCs/>
                <w:sz w:val="24"/>
              </w:rPr>
            </w:pPr>
          </w:p>
        </w:tc>
      </w:tr>
      <w:tr w:rsidR="008C0C97" w:rsidRPr="00427D99">
        <w:trPr>
          <w:trHeight w:val="720"/>
        </w:trPr>
        <w:tc>
          <w:tcPr>
            <w:tcW w:w="5211" w:type="dxa"/>
            <w:gridSpan w:val="2"/>
          </w:tcPr>
          <w:p w:rsidR="008C0C97" w:rsidRPr="00427D99" w:rsidRDefault="008C0C97" w:rsidP="00427D99">
            <w:pPr>
              <w:rPr>
                <w:rFonts w:ascii="Arial" w:hAnsi="Arial" w:cs="Arial"/>
              </w:rPr>
            </w:pPr>
            <w:r w:rsidRPr="00427D99">
              <w:rPr>
                <w:rFonts w:ascii="Arial" w:hAnsi="Arial" w:cs="Arial"/>
              </w:rPr>
              <w:t>External Examiner’s Signature:</w:t>
            </w:r>
          </w:p>
        </w:tc>
        <w:tc>
          <w:tcPr>
            <w:tcW w:w="3645" w:type="dxa"/>
            <w:gridSpan w:val="3"/>
          </w:tcPr>
          <w:p w:rsidR="008C0C97" w:rsidRPr="00427D99" w:rsidRDefault="008C0C97" w:rsidP="00427D99">
            <w:pPr>
              <w:rPr>
                <w:rFonts w:ascii="Arial" w:hAnsi="Arial" w:cs="Arial"/>
              </w:rPr>
            </w:pPr>
            <w:r w:rsidRPr="00427D99">
              <w:rPr>
                <w:rFonts w:ascii="Arial" w:hAnsi="Arial" w:cs="Arial"/>
              </w:rPr>
              <w:t>Date:</w:t>
            </w:r>
          </w:p>
        </w:tc>
      </w:tr>
    </w:tbl>
    <w:p w:rsidR="008C0C97" w:rsidRPr="00427D99" w:rsidRDefault="008C0C97" w:rsidP="00427D99">
      <w:pPr>
        <w:pStyle w:val="NormalWeb"/>
        <w:spacing w:before="0" w:beforeAutospacing="0" w:after="0" w:afterAutospacing="0"/>
        <w:ind w:right="-334"/>
        <w:rPr>
          <w:rFonts w:ascii="Arial" w:hAnsi="Arial" w:cs="Tahoma"/>
          <w:bCs/>
          <w:sz w:val="24"/>
        </w:rPr>
      </w:pPr>
    </w:p>
    <w:p w:rsidR="008C0C97" w:rsidRPr="00427D99" w:rsidRDefault="008C0C97" w:rsidP="008B5BF7">
      <w:pPr>
        <w:spacing w:line="360" w:lineRule="auto"/>
        <w:rPr>
          <w:rFonts w:ascii="Arial" w:hAnsi="Arial"/>
        </w:rPr>
      </w:pPr>
    </w:p>
    <w:p w:rsidR="008C0C97" w:rsidRPr="008B5BF7" w:rsidRDefault="008C0C97" w:rsidP="008B5BF7">
      <w:pPr>
        <w:spacing w:line="360" w:lineRule="auto"/>
        <w:jc w:val="both"/>
        <w:rPr>
          <w:rFonts w:ascii="Arial" w:hAnsi="Arial"/>
          <w:color w:val="000000"/>
        </w:rPr>
      </w:pPr>
      <w:r w:rsidRPr="008B5BF7">
        <w:rPr>
          <w:rFonts w:ascii="Arial" w:hAnsi="Arial" w:cs="Arial"/>
          <w:b/>
          <w:color w:val="000000"/>
        </w:rPr>
        <w:t xml:space="preserve">Van Gennep's Rites of Passage.  </w:t>
      </w:r>
    </w:p>
    <w:p w:rsidR="008C0C97" w:rsidRPr="008B5BF7" w:rsidRDefault="008C0C97" w:rsidP="008B5BF7">
      <w:pPr>
        <w:spacing w:line="360" w:lineRule="auto"/>
        <w:jc w:val="both"/>
        <w:rPr>
          <w:rFonts w:ascii="Arial" w:hAnsi="Arial"/>
          <w:color w:val="000000"/>
        </w:rPr>
      </w:pP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Arnold Van Gennep (1873 – 1957), French folklorist and ethnographer, is best known for his work 'The Rites of Passage' published in 1909. An original thinker, he used comparative methodology to investigate a wide range of social rituals to see if he could discover an underlying structure. He realised rituals had many functions for both the individual and the wider society but Van Gennep's interest lay in transition rituals for which he coined the phrase 'rites of passage'. Van Gennep perceived a person's life as a “succession of stages with similar ends and beginnings”(1960, p.3). He discovered that all societies mark transitions from one stage of life or status to another and that these rituals enabled the participants to transfer between these social roles without causing disruption to the wider community. These communal rituals also helped the participants adjust to their new status and progress through a stressful and potentially dangerous time. He identified three stages within rites of passage rituals and this threefold pattern has since been “widely taken up and elaborated within many disciplines, including anthropology and religious studies” (Bowie, 2000, p.162).</w:t>
      </w:r>
    </w:p>
    <w:p w:rsidR="008C0C97" w:rsidRPr="008B5BF7" w:rsidRDefault="008C0C97" w:rsidP="008B5BF7">
      <w:pPr>
        <w:spacing w:line="360" w:lineRule="auto"/>
        <w:jc w:val="both"/>
        <w:rPr>
          <w:rFonts w:ascii="Arial" w:hAnsi="Arial"/>
          <w:color w:val="000000"/>
        </w:rPr>
      </w:pP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Van Gennep referred to the three ritual stages as Separation, Transition and Integration (or Preliminal, Liminal and Post Liminal). The separation stage is marked by cutting or separating symbology, such as cutting hair, to reflect a breaking away from the previous role in society. The Transition stage rituals involve the removal of the participants from society and the rituals </w:t>
      </w:r>
      <w:r w:rsidRPr="008030B9">
        <w:rPr>
          <w:rFonts w:ascii="Arial" w:hAnsi="Arial" w:cs="Arial"/>
          <w:color w:val="000000"/>
          <w:lang w:val="en-GB"/>
        </w:rPr>
        <w:t>emphasise</w:t>
      </w:r>
      <w:r w:rsidRPr="008B5BF7">
        <w:rPr>
          <w:rFonts w:ascii="Arial" w:hAnsi="Arial" w:cs="Arial"/>
          <w:color w:val="000000"/>
        </w:rPr>
        <w:t xml:space="preserve"> this removal by, for example, suspending normal behaviour or creating a change in appearance. This stage can also emphasise teachings that instruct the participants in the responsibilities of their new role. The Integration stage brings the individual or group back into society in their new transformed state and is often accompanied with marks of identity to publicly announce their new status.</w:t>
      </w:r>
      <w:r w:rsidRPr="008B5BF7">
        <w:rPr>
          <w:rFonts w:ascii="Arial" w:hAnsi="Arial"/>
          <w:color w:val="000000"/>
        </w:rPr>
        <w:t xml:space="preserve"> </w:t>
      </w:r>
      <w:r w:rsidRPr="008B5BF7">
        <w:rPr>
          <w:rFonts w:ascii="Arial" w:hAnsi="Arial" w:cs="Arial"/>
          <w:color w:val="000000"/>
        </w:rPr>
        <w:t xml:space="preserve">Van Gennep also recognised that the three stage structure was often repeated within the boundary element of each stage and that the middle stage, in particular, was often longer and more drawn out. Other perceptions included discovering that the crossing of a threshold, either symbolically or in reality, was a key element in all stages and that each type of rite also emphasised its particular aspect, such as fertility in a wedding and protection at childbirth. </w:t>
      </w:r>
    </w:p>
    <w:p w:rsidR="008C0C97" w:rsidRPr="008B5BF7" w:rsidRDefault="008C0C97" w:rsidP="008B5BF7">
      <w:pPr>
        <w:spacing w:line="360" w:lineRule="auto"/>
        <w:jc w:val="both"/>
        <w:rPr>
          <w:rFonts w:ascii="Arial" w:hAnsi="Arial"/>
          <w:color w:val="000000"/>
        </w:rPr>
      </w:pP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Van Gennep realised his rites of passage model could be applied in broader terms, so explored other social applications in both religious and secular behaviour that displayed the basic three-stage pattern. He successfully applied his model to territorial passages illuminating the importance of the threshold as a boundary between one physical place and another. He also formulated the general rule that the 'first time' has extra significance, such as the birth of a first  child or the first time a stranger enters a house. He said, “life means to separate and be reunited...our interest lies not in the particular rites but in their essential significance...the underlying arrangement is always the same...a typical pattern always recurs: the pattern of the rites of passage“ (1977, pp.189-191).</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 </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He accepted Durkheim's (1912) sacred and profane dualism but was critical of Durkheim's emphasis on the social to the exclusion of the individual. Justifiably criticising Durkheim for failing to take a critical stance towards his sources, led to a breech between the two men and consequently Durkheim and the academic community largely ignored Van Gennep. </w:t>
      </w:r>
    </w:p>
    <w:p w:rsidR="008C0C97" w:rsidRPr="008B5BF7" w:rsidRDefault="008C0C97" w:rsidP="008B5BF7">
      <w:pPr>
        <w:spacing w:line="360" w:lineRule="auto"/>
        <w:jc w:val="both"/>
        <w:rPr>
          <w:rFonts w:ascii="Arial" w:hAnsi="Arial"/>
          <w:color w:val="000000"/>
        </w:rPr>
      </w:pP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Translated into English in 1960 gave Rites of Passage a wider audience and the value of Van Gennep’s work began to be recognised by anthropologists, such as Lévi-Strauss, (1963) and Edmund Leach who stated that, “Van Gennep’s schema has proved more useful than Durkheim's” (1968, p.522). Victor Turner (1969) became particularly interested in the transitional / liminal stage that became a key area of his work. Working with the Ndembu of Central Africa Turner (1957) highlighted how the aspect of social levelling and shared experience created a communal bond between male initiates during this stage which he called ‘communitas’. He also explored how the transition stage released participants from the constraints and structure of society (1967). Believing rites were more than reflections of social control, Turner suggested they could also effect social change as rites enabled participants to play with alternative social relationships in the 'anti-structure' middle stage. He extended the application of ‘liminality’ finding parallels within the pilgrimage tradition whilst his work ‘Liminal to Liminoid’ (1974) influenced the application of Van Gennep's model into wider fields such as Art, Theatre and Literature.</w:t>
      </w:r>
    </w:p>
    <w:p w:rsidR="008C0C97" w:rsidRPr="008B5BF7" w:rsidRDefault="008C0C97" w:rsidP="008B5BF7">
      <w:pPr>
        <w:spacing w:line="360" w:lineRule="auto"/>
        <w:jc w:val="both"/>
        <w:rPr>
          <w:rFonts w:ascii="Arial" w:hAnsi="Arial"/>
          <w:color w:val="000000"/>
        </w:rPr>
      </w:pP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Meanwhile, Rene Girad  (1977) highlighted and developed the aspect of ritual violence and sacrifice suggesting that this was displacement violence enacted to protect the wider community. He said, </w:t>
      </w:r>
      <w:r w:rsidRPr="008B5BF7">
        <w:rPr>
          <w:rFonts w:ascii="Arial" w:hAnsi="Arial" w:cs="Arial"/>
          <w:b/>
          <w:color w:val="000000"/>
        </w:rPr>
        <w:t>“</w:t>
      </w:r>
      <w:r w:rsidRPr="008B5BF7">
        <w:rPr>
          <w:rFonts w:ascii="Arial" w:hAnsi="Arial" w:cs="Arial"/>
          <w:color w:val="000000"/>
        </w:rPr>
        <w:t xml:space="preserve">if left unappeased, violence will accumulate until it overflows its confines and floods the surrounding area” (1977,p.10). Also interested in ritual violence, Maurice Bloch (1996) later proposed his theory of 'rebounding violence' and proposed the Post Liminal stage can be a prelude to male violence. Harvey Whitehouse (2014) studied the violent aspect of male initiation in Papua New Guinea and proposed the term 'imagistic' for the type of ritual that induced fear and pain in initiates. He suggested that these extreme experiences produced 'flashbulb' memories that vividly inscribe knowledge and tradition whilst creating an intense bond between initiates during this vulnerable time.  </w:t>
      </w:r>
    </w:p>
    <w:p w:rsidR="008C0C97" w:rsidRPr="008B5BF7" w:rsidRDefault="008C0C97" w:rsidP="008B5BF7">
      <w:pPr>
        <w:spacing w:line="360" w:lineRule="auto"/>
        <w:jc w:val="both"/>
        <w:rPr>
          <w:rFonts w:ascii="Arial" w:hAnsi="Arial"/>
          <w:color w:val="000000"/>
        </w:rPr>
      </w:pP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Religious historian Bruce Lincoln (1981) later recognised that both Van Gennep and Turner had emphasised male more than female initiation rituals. From studying women’s initiation rites he proposed renaming the three stages with the more inclusive terms, Enclosure, Metamorphosis and Emergence arguing that women's rites, usually undertaken individually, do not instruct but merely help the woman to adapt to her expected role in society.  Audrey Richards also suggested that female initiation was used by society to coerce female compliance with the, often subservient, roles allocated to them.</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Other religious theologians considered that the reduction of ritual to its functional significance ignored the religious content and symbolism within the belief systems of a culture while</w:t>
      </w:r>
      <w:r w:rsidRPr="008B5BF7">
        <w:rPr>
          <w:rFonts w:ascii="Arial" w:hAnsi="Arial"/>
          <w:color w:val="000000"/>
        </w:rPr>
        <w:t xml:space="preserve"> </w:t>
      </w:r>
      <w:r w:rsidRPr="008B5BF7">
        <w:rPr>
          <w:rFonts w:ascii="Arial" w:hAnsi="Arial" w:cs="Arial"/>
          <w:color w:val="000000"/>
        </w:rPr>
        <w:t>anthropologist Barbara Myerhoff (1977) emphasised the importance of personal experiences within ritual and religious belief.  Wanting to explore this personal experience within another culture, prompted Karen McCarthy Brown (2009) to personally undergo a Vodou ritual initiation ceremony, enabling her to gain a deeper cultural understanding of Vodou.</w:t>
      </w:r>
      <w:r w:rsidRPr="008B5BF7">
        <w:rPr>
          <w:rFonts w:ascii="Arial" w:hAnsi="Arial"/>
          <w:color w:val="000000"/>
        </w:rPr>
        <w:t xml:space="preserve"> </w:t>
      </w:r>
      <w:r w:rsidRPr="008B5BF7">
        <w:rPr>
          <w:rFonts w:ascii="Arial" w:hAnsi="Arial" w:cs="Arial"/>
          <w:color w:val="000000"/>
        </w:rPr>
        <w:t>Talal Asad, (1993) also explored the aspect of the individual response within socially constructed ritual and cautioned against attempting a single interpretation of ritual beyond the symbolic.</w:t>
      </w:r>
    </w:p>
    <w:p w:rsidR="008C0C97" w:rsidRPr="008B5BF7" w:rsidRDefault="008C0C97" w:rsidP="008B5BF7">
      <w:pPr>
        <w:spacing w:line="360" w:lineRule="auto"/>
        <w:jc w:val="both"/>
        <w:rPr>
          <w:rFonts w:ascii="Arial" w:hAnsi="Arial"/>
          <w:color w:val="000000"/>
        </w:rPr>
      </w:pP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Van Gennep's huge contribution to Anthropology was expressed by Colin Turnbull, who dedicated a book to Van Gennep which read,  “For Arnold L. van Gennep whose admirable work on rites of passage has helped so many of us” (1984).</w:t>
      </w:r>
      <w:r w:rsidRPr="008B5BF7">
        <w:rPr>
          <w:rFonts w:ascii="Arial" w:hAnsi="Arial"/>
          <w:color w:val="000000"/>
        </w:rPr>
        <w:t xml:space="preserve"> </w:t>
      </w:r>
      <w:r w:rsidRPr="008B5BF7">
        <w:rPr>
          <w:rFonts w:ascii="Arial" w:hAnsi="Arial" w:cs="Arial"/>
          <w:color w:val="000000"/>
        </w:rPr>
        <w:t xml:space="preserve">The three stage rites of passage model has since been used in many wider fields including theorist Ronald Grimes (2002) who encouraged individuals to create their own rites of passage to address issues or crisis points in their own lives, Thomas H. Eriksen who applied Van Gennep's model in his study of individuals or groups who are in-between dominant ethnic categories (1993) and Arpad Szakolczai (2009) who applied the liminal concept to whole societies going through a crisis or a collapse of order. Van Gennep’s rites of passage concept is, today, not only fully immersed in anthropology but continues to be applied to a wide range of fields in both a social and personal context. </w:t>
      </w:r>
      <w:r w:rsidRPr="008B5BF7">
        <w:rPr>
          <w:rFonts w:ascii="Arial" w:hAnsi="Arial"/>
          <w:color w:val="000000"/>
        </w:rPr>
        <w:t xml:space="preserve"> </w:t>
      </w:r>
      <w:r w:rsidRPr="008B5BF7">
        <w:rPr>
          <w:rFonts w:ascii="Arial" w:hAnsi="Arial" w:cs="Arial"/>
          <w:color w:val="000000"/>
        </w:rPr>
        <w:t>As Bjorn Thomassen said, “Van Gennep detected a pattern, a sequence, a ritual form. The ritual pattern was apparently universal: all societies use rites to demarcate transitions. Van Gennep was right” (2009, p.6).</w:t>
      </w:r>
    </w:p>
    <w:p w:rsidR="008C0C97" w:rsidRPr="008B5BF7" w:rsidRDefault="008C0C97" w:rsidP="008B5BF7">
      <w:pPr>
        <w:spacing w:line="360" w:lineRule="auto"/>
        <w:jc w:val="both"/>
        <w:rPr>
          <w:rFonts w:ascii="Arial" w:hAnsi="Arial"/>
          <w:color w:val="000000"/>
        </w:rPr>
      </w:pPr>
    </w:p>
    <w:p w:rsidR="008C0C97" w:rsidRPr="008B5BF7" w:rsidRDefault="008C0C97" w:rsidP="008B5BF7">
      <w:pPr>
        <w:spacing w:line="360" w:lineRule="auto"/>
        <w:jc w:val="both"/>
        <w:rPr>
          <w:rFonts w:ascii="Arial" w:hAnsi="Arial"/>
          <w:color w:val="000000"/>
        </w:rPr>
      </w:pPr>
    </w:p>
    <w:p w:rsidR="008C0C97" w:rsidRPr="008B5BF7" w:rsidRDefault="008C0C97" w:rsidP="008B5BF7">
      <w:pPr>
        <w:spacing w:line="360" w:lineRule="auto"/>
        <w:jc w:val="both"/>
        <w:rPr>
          <w:rFonts w:ascii="Arial" w:hAnsi="Arial"/>
          <w:color w:val="000000"/>
        </w:rPr>
      </w:pP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References</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Asad, T. </w:t>
      </w:r>
      <w:r w:rsidRPr="008B5BF7">
        <w:rPr>
          <w:rFonts w:ascii="Arial" w:hAnsi="Arial"/>
          <w:color w:val="000000"/>
        </w:rPr>
        <w:t>(1993) ‘The Construction of Religion as an Anthropological Category’. Genealogies of Religion:Discipline and Reasons of Power in Christianity and Islam.  Baltimore: Johns Hopkins University Press. pp. 27-54.</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Bloch, M. (1996) 'Rites of Terror: Emotion, Metaphor and Memory in Melanesian Initiation Cults.'  </w:t>
      </w:r>
      <w:r w:rsidRPr="008B5BF7">
        <w:rPr>
          <w:rFonts w:ascii="Arial" w:hAnsi="Arial" w:cs="Arial"/>
          <w:i/>
          <w:color w:val="000000"/>
        </w:rPr>
        <w:t xml:space="preserve"> The Journal of the Royal Anthropological Institute, 2, (4).  </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Bowie, F. (2000) </w:t>
      </w:r>
      <w:r w:rsidRPr="008B5BF7">
        <w:rPr>
          <w:rFonts w:ascii="Arial" w:hAnsi="Arial" w:cs="Arial"/>
          <w:i/>
          <w:color w:val="000000"/>
        </w:rPr>
        <w:t>The Anthropology of Religion.</w:t>
      </w:r>
      <w:r w:rsidRPr="008B5BF7">
        <w:rPr>
          <w:rFonts w:ascii="Arial" w:hAnsi="Arial" w:cs="Arial"/>
          <w:color w:val="000000"/>
        </w:rPr>
        <w:t xml:space="preserve"> Oxford: Blackwell Publishing.</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Durkheim, E.</w:t>
      </w:r>
      <w:r w:rsidRPr="008B5BF7">
        <w:rPr>
          <w:rFonts w:ascii="Arial" w:hAnsi="Arial" w:cs="Arial"/>
          <w:i/>
          <w:color w:val="000000"/>
        </w:rPr>
        <w:t xml:space="preserve"> </w:t>
      </w:r>
      <w:r w:rsidRPr="008B5BF7">
        <w:rPr>
          <w:rFonts w:ascii="Arial" w:hAnsi="Arial" w:cs="Arial"/>
          <w:color w:val="000000"/>
        </w:rPr>
        <w:t xml:space="preserve">(1912) </w:t>
      </w:r>
      <w:r w:rsidRPr="008B5BF7">
        <w:rPr>
          <w:rFonts w:ascii="Arial" w:hAnsi="Arial" w:cs="Arial"/>
          <w:i/>
          <w:color w:val="000000"/>
        </w:rPr>
        <w:t xml:space="preserve">The Elementary Forms of Religion, </w:t>
      </w:r>
      <w:r w:rsidRPr="008B5BF7">
        <w:rPr>
          <w:rFonts w:ascii="Arial" w:hAnsi="Arial" w:cs="Arial"/>
          <w:color w:val="000000"/>
        </w:rPr>
        <w:t>Oxford: Oxford World’s Classics.</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Eriksen</w:t>
      </w:r>
      <w:r w:rsidRPr="008B5BF7">
        <w:rPr>
          <w:rFonts w:ascii="Arial" w:hAnsi="Arial" w:cs="Arial"/>
          <w:i/>
          <w:color w:val="000000"/>
        </w:rPr>
        <w:t>,</w:t>
      </w:r>
      <w:r w:rsidRPr="008B5BF7">
        <w:rPr>
          <w:rFonts w:ascii="Arial" w:hAnsi="Arial" w:cs="Arial"/>
          <w:color w:val="000000"/>
        </w:rPr>
        <w:t xml:space="preserve"> T.H</w:t>
      </w:r>
      <w:r w:rsidRPr="008B5BF7">
        <w:rPr>
          <w:rFonts w:ascii="Arial" w:hAnsi="Arial" w:cs="Arial"/>
          <w:i/>
          <w:color w:val="000000"/>
        </w:rPr>
        <w:t>.</w:t>
      </w:r>
      <w:r w:rsidRPr="008B5BF7">
        <w:rPr>
          <w:rFonts w:ascii="Arial" w:hAnsi="Arial" w:cs="Arial"/>
          <w:color w:val="000000"/>
        </w:rPr>
        <w:t xml:space="preserve"> (1993) </w:t>
      </w:r>
      <w:r w:rsidRPr="008B5BF7">
        <w:rPr>
          <w:rFonts w:ascii="Arial" w:hAnsi="Arial" w:cs="Arial"/>
          <w:i/>
          <w:color w:val="000000"/>
        </w:rPr>
        <w:t xml:space="preserve">Ethnicity and Nationalism.  </w:t>
      </w:r>
      <w:r w:rsidRPr="008B5BF7">
        <w:rPr>
          <w:rFonts w:ascii="Arial" w:hAnsi="Arial" w:cs="Arial"/>
          <w:color w:val="000000"/>
        </w:rPr>
        <w:t>Anthropological Perspectives. London: Pluto Press.</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Girad, R</w:t>
      </w:r>
      <w:r w:rsidRPr="008B5BF7">
        <w:rPr>
          <w:rFonts w:ascii="Arial" w:hAnsi="Arial" w:cs="Arial"/>
          <w:i/>
          <w:color w:val="000000"/>
        </w:rPr>
        <w:t xml:space="preserve">. </w:t>
      </w:r>
      <w:r w:rsidRPr="008B5BF7">
        <w:rPr>
          <w:rFonts w:ascii="Arial" w:hAnsi="Arial" w:cs="Arial"/>
          <w:color w:val="000000"/>
        </w:rPr>
        <w:t xml:space="preserve">(1977) </w:t>
      </w:r>
      <w:r w:rsidRPr="008B5BF7">
        <w:rPr>
          <w:rFonts w:ascii="Arial" w:hAnsi="Arial" w:cs="Arial"/>
          <w:i/>
          <w:color w:val="000000"/>
        </w:rPr>
        <w:t>Violence and the Sacred</w:t>
      </w:r>
      <w:r w:rsidRPr="008B5BF7">
        <w:rPr>
          <w:rFonts w:ascii="Arial" w:hAnsi="Arial" w:cs="Arial"/>
          <w:color w:val="000000"/>
        </w:rPr>
        <w:t xml:space="preserve">. Translated by Patrick Gregory. Baltimore:Johns Hopkins University Press. </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Grimes, R.L. (2002) </w:t>
      </w:r>
      <w:r w:rsidRPr="008B5BF7">
        <w:rPr>
          <w:rFonts w:ascii="Arial" w:hAnsi="Arial" w:cs="Arial"/>
          <w:i/>
          <w:color w:val="000000"/>
        </w:rPr>
        <w:t xml:space="preserve">Deeply into the Bone: Re-Inventing Rites of Passage. </w:t>
      </w:r>
      <w:r w:rsidRPr="008B5BF7">
        <w:rPr>
          <w:rFonts w:ascii="Arial" w:hAnsi="Arial" w:cs="Arial"/>
          <w:color w:val="000000"/>
        </w:rPr>
        <w:t>London: University of California Press.</w:t>
      </w:r>
      <w:r w:rsidRPr="008B5BF7">
        <w:rPr>
          <w:rFonts w:ascii="Arial" w:hAnsi="Arial" w:cs="Arial"/>
          <w:i/>
          <w:color w:val="000000"/>
        </w:rPr>
        <w:t xml:space="preserve"> </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Leach, E. (1968)  ‘Ritual’ </w:t>
      </w:r>
      <w:r w:rsidRPr="008B5BF7">
        <w:rPr>
          <w:rFonts w:ascii="Arial" w:hAnsi="Arial" w:cs="Arial"/>
          <w:i/>
          <w:color w:val="000000"/>
        </w:rPr>
        <w:t>International Encyclopedia of the Social Sciences</w:t>
      </w:r>
      <w:r w:rsidRPr="008B5BF7">
        <w:rPr>
          <w:rFonts w:ascii="Arial" w:hAnsi="Arial" w:cs="Arial"/>
          <w:color w:val="000000"/>
        </w:rPr>
        <w:t>.13 pp. 520-526. </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Levi Strauss, C. (1963) </w:t>
      </w:r>
      <w:r w:rsidRPr="008B5BF7">
        <w:rPr>
          <w:rFonts w:ascii="Arial" w:hAnsi="Arial" w:cs="Arial"/>
          <w:i/>
          <w:color w:val="000000"/>
        </w:rPr>
        <w:t>Totemism</w:t>
      </w:r>
      <w:r w:rsidRPr="008B5BF7">
        <w:rPr>
          <w:rFonts w:ascii="Arial" w:hAnsi="Arial" w:cs="Arial"/>
          <w:color w:val="000000"/>
        </w:rPr>
        <w:t>, Boston: Beacon Press.</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Lincoln, B. (1981) </w:t>
      </w:r>
      <w:r w:rsidRPr="008B5BF7">
        <w:rPr>
          <w:rFonts w:ascii="Arial" w:hAnsi="Arial" w:cs="Arial"/>
          <w:i/>
          <w:color w:val="000000"/>
        </w:rPr>
        <w:t xml:space="preserve">Emerging From the Chrysalis: Studies in Rituals of Women’s Initiation. </w:t>
      </w:r>
      <w:r w:rsidRPr="008B5BF7">
        <w:rPr>
          <w:rFonts w:ascii="Arial" w:hAnsi="Arial" w:cs="Arial"/>
          <w:color w:val="000000"/>
        </w:rPr>
        <w:t xml:space="preserve">Cambridge: Harvard University Press. </w:t>
      </w:r>
    </w:p>
    <w:p w:rsidR="008C0C97" w:rsidRPr="008B5BF7" w:rsidRDefault="008C0C97" w:rsidP="008B5BF7">
      <w:pPr>
        <w:spacing w:line="360" w:lineRule="auto"/>
        <w:jc w:val="both"/>
        <w:rPr>
          <w:rFonts w:ascii="Arial" w:hAnsi="Arial" w:cs="Arial"/>
          <w:color w:val="000000"/>
        </w:rPr>
      </w:pPr>
      <w:r w:rsidRPr="008B5BF7">
        <w:rPr>
          <w:rFonts w:ascii="Arial" w:hAnsi="Arial" w:cs="Arial"/>
          <w:color w:val="000000"/>
        </w:rPr>
        <w:t xml:space="preserve">McCarthy Brown, K. (2009) </w:t>
      </w:r>
      <w:r w:rsidRPr="008B5BF7">
        <w:rPr>
          <w:rFonts w:ascii="Arial" w:hAnsi="Arial" w:cs="Arial"/>
          <w:i/>
          <w:color w:val="000000"/>
        </w:rPr>
        <w:t>Mama Lola: A Vodou Priestess in Brooklyn.</w:t>
      </w:r>
      <w:r w:rsidRPr="008B5BF7">
        <w:rPr>
          <w:rFonts w:ascii="Arial" w:hAnsi="Arial" w:cs="Arial"/>
          <w:color w:val="000000"/>
        </w:rPr>
        <w:t xml:space="preserve"> Oakland: University of California.</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Myerhoff, B. (1977) ‘We Don’t Wrap Herring Up in a Printed Page.’ </w:t>
      </w:r>
      <w:r w:rsidRPr="008B5BF7">
        <w:rPr>
          <w:rFonts w:ascii="Arial" w:hAnsi="Arial" w:cs="Arial"/>
          <w:i/>
          <w:color w:val="000000"/>
        </w:rPr>
        <w:t>Secular Ritual</w:t>
      </w:r>
      <w:r w:rsidRPr="008B5BF7">
        <w:rPr>
          <w:rFonts w:ascii="Arial" w:hAnsi="Arial" w:cs="Arial"/>
          <w:color w:val="000000"/>
        </w:rPr>
        <w:t xml:space="preserve"> ed. Falk Moore, S. Assen: Van Gorcum</w:t>
      </w:r>
    </w:p>
    <w:p w:rsidR="008C0C97" w:rsidRPr="008B5BF7" w:rsidRDefault="008C0C97" w:rsidP="008B5BF7">
      <w:pPr>
        <w:pStyle w:val="Heading1"/>
        <w:shd w:val="clear" w:color="auto" w:fill="FFFFFF"/>
        <w:spacing w:before="0" w:after="0" w:line="360" w:lineRule="auto"/>
        <w:jc w:val="both"/>
        <w:rPr>
          <w:b w:val="0"/>
          <w:color w:val="000000"/>
          <w:sz w:val="24"/>
        </w:rPr>
      </w:pPr>
      <w:r w:rsidRPr="008B5BF7">
        <w:rPr>
          <w:rFonts w:cs="Arial"/>
          <w:b w:val="0"/>
          <w:color w:val="000000"/>
          <w:sz w:val="24"/>
        </w:rPr>
        <w:t xml:space="preserve">Richards, A. (1982) </w:t>
      </w:r>
      <w:r w:rsidRPr="008B5BF7">
        <w:rPr>
          <w:rStyle w:val="a-size-large"/>
          <w:b w:val="0"/>
          <w:i/>
          <w:color w:val="000000"/>
          <w:sz w:val="24"/>
        </w:rPr>
        <w:t>Chisungu: A Girl's Initiation Ceremony Among the Bemba of Zambia</w:t>
      </w:r>
      <w:r w:rsidRPr="008B5BF7">
        <w:rPr>
          <w:rStyle w:val="apple-converted-space"/>
          <w:b w:val="0"/>
          <w:color w:val="000000"/>
          <w:sz w:val="24"/>
        </w:rPr>
        <w:t> . Oxford:Routledge.</w:t>
      </w:r>
    </w:p>
    <w:p w:rsidR="008C0C97" w:rsidRPr="008B5BF7" w:rsidRDefault="008C0C97" w:rsidP="008B5BF7">
      <w:pPr>
        <w:spacing w:after="120" w:line="360" w:lineRule="auto"/>
        <w:jc w:val="both"/>
        <w:rPr>
          <w:rFonts w:ascii="Arial" w:hAnsi="Arial"/>
          <w:color w:val="000000"/>
        </w:rPr>
      </w:pPr>
      <w:r w:rsidRPr="008B5BF7">
        <w:rPr>
          <w:rFonts w:ascii="Arial" w:hAnsi="Arial" w:cs="Arial"/>
          <w:color w:val="000000"/>
        </w:rPr>
        <w:t xml:space="preserve">Szakolczai, A. (2009) Liminality and Experience: Structuring transitory situations and transformative events. </w:t>
      </w:r>
      <w:r w:rsidRPr="008B5BF7">
        <w:rPr>
          <w:rFonts w:ascii="Arial" w:hAnsi="Arial" w:cs="Arial"/>
          <w:i/>
          <w:color w:val="000000"/>
        </w:rPr>
        <w:t xml:space="preserve">International Political Anthropology. </w:t>
      </w:r>
      <w:r w:rsidRPr="008B5BF7">
        <w:rPr>
          <w:rFonts w:ascii="Arial" w:hAnsi="Arial" w:cs="Arial"/>
          <w:color w:val="000000"/>
        </w:rPr>
        <w:t>2(1) p.141</w:t>
      </w:r>
      <w:r w:rsidRPr="008B5BF7">
        <w:rPr>
          <w:rStyle w:val="a"/>
          <w:rFonts w:ascii="Arial" w:hAnsi="Arial"/>
          <w:color w:val="000000"/>
          <w:bdr w:val="none" w:sz="0" w:space="0" w:color="auto" w:frame="1"/>
        </w:rPr>
        <w:t>.</w:t>
      </w:r>
    </w:p>
    <w:p w:rsidR="008C0C97" w:rsidRPr="008B5BF7" w:rsidRDefault="008C0C97" w:rsidP="008B5BF7">
      <w:pPr>
        <w:spacing w:after="120" w:line="360" w:lineRule="auto"/>
        <w:jc w:val="both"/>
        <w:rPr>
          <w:rFonts w:ascii="Arial" w:hAnsi="Arial"/>
          <w:color w:val="000000"/>
        </w:rPr>
      </w:pPr>
      <w:r w:rsidRPr="008B5BF7">
        <w:rPr>
          <w:rFonts w:ascii="Arial" w:hAnsi="Arial" w:cs="Arial"/>
          <w:color w:val="000000"/>
        </w:rPr>
        <w:t>Thomassen, B. (2009) 'The Uses</w:t>
      </w:r>
      <w:r w:rsidRPr="008B5BF7">
        <w:rPr>
          <w:rFonts w:ascii="Arial" w:hAnsi="Arial" w:cs="Arial"/>
          <w:i/>
          <w:color w:val="000000"/>
        </w:rPr>
        <w:t xml:space="preserve"> </w:t>
      </w:r>
      <w:r w:rsidRPr="008B5BF7">
        <w:rPr>
          <w:rFonts w:ascii="Arial" w:hAnsi="Arial" w:cs="Arial"/>
          <w:color w:val="000000"/>
        </w:rPr>
        <w:t>and Meanings</w:t>
      </w:r>
      <w:r w:rsidRPr="008B5BF7">
        <w:rPr>
          <w:rFonts w:ascii="Arial" w:hAnsi="Arial" w:cs="Arial"/>
          <w:i/>
          <w:color w:val="000000"/>
        </w:rPr>
        <w:t xml:space="preserve"> </w:t>
      </w:r>
      <w:r w:rsidRPr="008B5BF7">
        <w:rPr>
          <w:rFonts w:ascii="Arial" w:hAnsi="Arial" w:cs="Arial"/>
          <w:color w:val="000000"/>
        </w:rPr>
        <w:t>of Liminality',</w:t>
      </w:r>
      <w:r w:rsidRPr="008B5BF7">
        <w:rPr>
          <w:rFonts w:ascii="Arial" w:hAnsi="Arial" w:cs="Arial"/>
          <w:i/>
          <w:color w:val="000000"/>
        </w:rPr>
        <w:t xml:space="preserve"> </w:t>
      </w:r>
      <w:r w:rsidRPr="008B5BF7">
        <w:rPr>
          <w:rFonts w:ascii="Arial" w:hAnsi="Arial" w:cs="Arial"/>
          <w:color w:val="000000"/>
        </w:rPr>
        <w:t>I</w:t>
      </w:r>
      <w:r w:rsidRPr="008B5BF7">
        <w:rPr>
          <w:rFonts w:ascii="Arial" w:hAnsi="Arial" w:cs="Arial"/>
          <w:i/>
          <w:color w:val="000000"/>
        </w:rPr>
        <w:t>nternational Political Anthropology</w:t>
      </w:r>
      <w:r w:rsidRPr="008B5BF7">
        <w:rPr>
          <w:rFonts w:ascii="Arial" w:hAnsi="Arial" w:cs="Arial"/>
          <w:color w:val="000000"/>
        </w:rPr>
        <w:t>. 2(1) pp. 5-28.</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Turnbull, C. (1984) </w:t>
      </w:r>
      <w:r w:rsidRPr="008B5BF7">
        <w:rPr>
          <w:rFonts w:ascii="Arial" w:hAnsi="Arial" w:cs="Arial"/>
          <w:i/>
          <w:color w:val="000000"/>
        </w:rPr>
        <w:t xml:space="preserve">The Human Cycle. </w:t>
      </w:r>
      <w:r w:rsidRPr="008B5BF7">
        <w:rPr>
          <w:rFonts w:ascii="Arial" w:hAnsi="Arial" w:cs="Arial"/>
          <w:color w:val="000000"/>
        </w:rPr>
        <w:t>London:</w:t>
      </w:r>
      <w:r w:rsidRPr="008B5BF7">
        <w:rPr>
          <w:rFonts w:ascii="Arial" w:hAnsi="Arial"/>
          <w:color w:val="000000"/>
          <w:shd w:val="clear" w:color="auto" w:fill="FFFFFF"/>
        </w:rPr>
        <w:t xml:space="preserve"> Simon &amp; Schuster.</w:t>
      </w:r>
    </w:p>
    <w:p w:rsidR="008C0C97" w:rsidRPr="008B5BF7" w:rsidRDefault="008C0C97" w:rsidP="008B5BF7">
      <w:pPr>
        <w:spacing w:after="120" w:line="360" w:lineRule="auto"/>
        <w:jc w:val="both"/>
        <w:rPr>
          <w:rFonts w:ascii="Arial" w:hAnsi="Arial"/>
          <w:color w:val="000000"/>
        </w:rPr>
      </w:pPr>
      <w:r w:rsidRPr="008B5BF7">
        <w:rPr>
          <w:rFonts w:ascii="Arial" w:hAnsi="Arial" w:cs="Arial"/>
          <w:color w:val="000000"/>
        </w:rPr>
        <w:t xml:space="preserve">Turner, V. (1957). </w:t>
      </w:r>
      <w:r w:rsidRPr="008B5BF7">
        <w:rPr>
          <w:rFonts w:ascii="Arial" w:hAnsi="Arial" w:cs="Arial"/>
          <w:i/>
          <w:color w:val="000000"/>
        </w:rPr>
        <w:t xml:space="preserve"> Schism and Continuity in African Society: a Study of Ndembu Village Life</w:t>
      </w:r>
      <w:r w:rsidRPr="008B5BF7">
        <w:rPr>
          <w:rFonts w:ascii="Arial" w:hAnsi="Arial" w:cs="Arial"/>
          <w:color w:val="000000"/>
        </w:rPr>
        <w:t>, New York: Humanities Press.</w:t>
      </w:r>
    </w:p>
    <w:p w:rsidR="008C0C97" w:rsidRPr="008B5BF7" w:rsidRDefault="008C0C97" w:rsidP="008B5BF7">
      <w:pPr>
        <w:spacing w:after="120" w:line="360" w:lineRule="auto"/>
        <w:jc w:val="both"/>
        <w:rPr>
          <w:rFonts w:ascii="Arial" w:hAnsi="Arial"/>
          <w:color w:val="000000"/>
        </w:rPr>
      </w:pPr>
      <w:r w:rsidRPr="008B5BF7">
        <w:rPr>
          <w:rFonts w:ascii="Arial" w:hAnsi="Arial" w:cs="Arial"/>
          <w:color w:val="000000"/>
        </w:rPr>
        <w:t xml:space="preserve">Turner, V. (1967).  Betwixt and Between: The Liminal Period in Rites de Passage”, in </w:t>
      </w:r>
      <w:r w:rsidRPr="008B5BF7">
        <w:rPr>
          <w:rFonts w:ascii="Arial" w:hAnsi="Arial" w:cs="Arial"/>
          <w:i/>
          <w:color w:val="000000"/>
        </w:rPr>
        <w:t>The Forest of Symbols</w:t>
      </w:r>
      <w:r w:rsidRPr="008B5BF7">
        <w:rPr>
          <w:rFonts w:ascii="Arial" w:hAnsi="Arial" w:cs="Arial"/>
          <w:color w:val="000000"/>
        </w:rPr>
        <w:t xml:space="preserve">, New York: Cornell University Press. </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Turner, V. (1969) </w:t>
      </w:r>
      <w:r w:rsidRPr="008B5BF7">
        <w:rPr>
          <w:rFonts w:ascii="Arial" w:hAnsi="Arial" w:cs="Arial"/>
          <w:i/>
          <w:color w:val="000000"/>
        </w:rPr>
        <w:t>The Ritual Process: Structure and Anti-Structure.</w:t>
      </w:r>
      <w:r w:rsidRPr="008B5BF7">
        <w:rPr>
          <w:rFonts w:ascii="Arial" w:hAnsi="Arial"/>
          <w:color w:val="000000"/>
          <w:shd w:val="clear" w:color="auto" w:fill="FFFFFF"/>
        </w:rPr>
        <w:t xml:space="preserve"> Rice Institute Pamphlet: Rice University Studies. Pp.53-92.</w:t>
      </w:r>
    </w:p>
    <w:p w:rsidR="008C0C97" w:rsidRPr="008B5BF7" w:rsidRDefault="008C0C97" w:rsidP="008B5BF7">
      <w:pPr>
        <w:spacing w:after="120" w:line="360" w:lineRule="auto"/>
        <w:jc w:val="both"/>
        <w:rPr>
          <w:rFonts w:ascii="Arial" w:hAnsi="Arial" w:cs="Arial"/>
          <w:color w:val="000000"/>
        </w:rPr>
      </w:pPr>
      <w:r w:rsidRPr="008B5BF7">
        <w:rPr>
          <w:rFonts w:ascii="Arial" w:hAnsi="Arial" w:cs="Arial"/>
          <w:color w:val="000000"/>
        </w:rPr>
        <w:t>Turner, V. (1974) Liminal to Liminoid, In Play, Flow, and Ritual: An Essay in Comparative Symbology.</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Van Gennep</w:t>
      </w:r>
      <w:r w:rsidRPr="008B5BF7">
        <w:rPr>
          <w:rFonts w:ascii="Arial" w:hAnsi="Arial" w:cs="Arial"/>
          <w:i/>
          <w:color w:val="000000"/>
        </w:rPr>
        <w:t xml:space="preserve">, A. </w:t>
      </w:r>
      <w:r w:rsidRPr="008B5BF7">
        <w:rPr>
          <w:rFonts w:ascii="Arial" w:hAnsi="Arial" w:cs="Arial"/>
          <w:color w:val="000000"/>
        </w:rPr>
        <w:t>(1909 [1960])</w:t>
      </w:r>
      <w:r w:rsidRPr="008B5BF7">
        <w:rPr>
          <w:rFonts w:ascii="Arial" w:hAnsi="Arial" w:cs="Arial"/>
          <w:i/>
          <w:color w:val="000000"/>
        </w:rPr>
        <w:t xml:space="preserve"> Rites of Passage, Chicago: Chicago University Press.</w:t>
      </w:r>
    </w:p>
    <w:p w:rsidR="008C0C97" w:rsidRPr="008B5BF7" w:rsidRDefault="008C0C97" w:rsidP="008B5BF7">
      <w:pPr>
        <w:spacing w:line="360" w:lineRule="auto"/>
        <w:jc w:val="both"/>
        <w:rPr>
          <w:rFonts w:ascii="Arial" w:hAnsi="Arial"/>
          <w:color w:val="000000"/>
        </w:rPr>
      </w:pPr>
      <w:r w:rsidRPr="008B5BF7">
        <w:rPr>
          <w:rFonts w:ascii="Arial" w:hAnsi="Arial" w:cs="Arial"/>
          <w:color w:val="000000"/>
        </w:rPr>
        <w:t xml:space="preserve">Whitehouse, H. (2014) 'The Ties That Bind Us: Ritual, Fusion and Identification.' </w:t>
      </w:r>
      <w:r w:rsidRPr="008B5BF7">
        <w:rPr>
          <w:rFonts w:ascii="Arial" w:hAnsi="Arial" w:cs="Arial"/>
          <w:i/>
          <w:color w:val="000000"/>
        </w:rPr>
        <w:t>Current Anthropology</w:t>
      </w:r>
      <w:r w:rsidRPr="008B5BF7">
        <w:rPr>
          <w:rFonts w:ascii="Arial" w:hAnsi="Arial" w:cs="Arial"/>
          <w:color w:val="000000"/>
        </w:rPr>
        <w:t>. 55 (6) pp.674-695.</w:t>
      </w:r>
    </w:p>
    <w:sectPr w:rsidR="008C0C97" w:rsidRPr="008B5BF7" w:rsidSect="00930FEE">
      <w:pgSz w:w="12240" w:h="15840"/>
      <w:pgMar w:top="1440" w:right="1800" w:bottom="1440" w:left="1800" w:gutter="0"/>
    </w:sectPr>
  </w:body>
</w:document>
</file>

<file path=word/fontTable.xml><?xml version="1.0" encoding="utf-8"?>
<w:fonts xmlns:r="http://schemas.openxmlformats.org/officeDocument/2006/relationships" xmlns:w="http://schemas.openxmlformats.org/wordprocessingml/2006/main">
  <w:font w:name="Times New Roman">
    <w:altName w:val="____"/>
    <w:panose1 w:val="02020603050405020304"/>
    <w:charset w:val="00"/>
    <w:family w:val="auto"/>
    <w:pitch w:val="variable"/>
    <w:sig w:usb0="03000000" w:usb1="00000000" w:usb2="00000000" w:usb3="00000000" w:csb0="00000001" w:csb1="00000000"/>
  </w:font>
  <w:font w:name="Arial">
    <w:panose1 w:val="020B0604020202020204"/>
    <w:charset w:val="00"/>
    <w:family w:val="auto"/>
    <w:pitch w:val="variable"/>
    <w:sig w:usb0="03000000" w:usb1="00000000" w:usb2="00000000" w:usb3="00000000" w:csb0="00000001" w:csb1="00000000"/>
  </w:font>
  <w:font w:name="Tahoma">
    <w:panose1 w:val="020B0604030504040204"/>
    <w:charset w:val="00"/>
    <w:family w:val="auto"/>
    <w:pitch w:val="variable"/>
    <w:sig w:usb0="03000000" w:usb1="00000000" w:usb2="00000000" w:usb3="00000000" w:csb0="00000001" w:csb1="00000000"/>
  </w:font>
  <w:font w:name="SimSun">
    <w:altName w:val="____"/>
    <w:panose1 w:val="00000000000000000000"/>
    <w:charset w:val="86"/>
    <w:family w:val="auto"/>
    <w:notTrueType/>
    <w:pitch w:val="variable"/>
    <w:sig w:usb0="00000001" w:usb1="080E0000" w:usb2="00000010" w:usb3="00000000" w:csb0="00040000" w:csb1="00000000"/>
  </w:font>
  <w:font w:name="Calibri">
    <w:panose1 w:val="020F0502020204030204"/>
    <w:charset w:val="00"/>
    <w:family w:val="auto"/>
    <w:pitch w:val="variable"/>
    <w:sig w:usb0="03000000" w:usb1="00000000" w:usb2="00000000" w:usb3="00000000" w:csb0="00000001" w:csb1="00000000"/>
  </w:font>
  <w:font w:name="Georgia">
    <w:panose1 w:val="02040502050405020303"/>
    <w:charset w:val="00"/>
    <w:family w:val="auto"/>
    <w:pitch w:val="variable"/>
    <w:sig w:usb0="03000000" w:usb1="00000000" w:usb2="00000000" w:usb3="00000000" w:csb0="00000001" w:csb1="00000000"/>
  </w:font>
  <w:font w:name="Cambria">
    <w:panose1 w:val="02040503050406030204"/>
    <w:charset w:val="00"/>
    <w:family w:val="auto"/>
    <w:pitch w:val="variable"/>
    <w:sig w:usb0="03000000"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doNotTrackMoves/>
  <w:defaultTabStop w:val="720"/>
  <w:doNotHyphenateCaps/>
  <w:characterSpacingControl w:val="doNotCompress"/>
  <w:savePreviewPicture/>
  <w:doNotValidateAgainstSchema/>
  <w:doNotDemarcateInvalidXml/>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930FEE"/>
    <w:rsid w:val="00086ABE"/>
    <w:rsid w:val="002114A2"/>
    <w:rsid w:val="003A7791"/>
    <w:rsid w:val="00427D99"/>
    <w:rsid w:val="004A706D"/>
    <w:rsid w:val="004C7E65"/>
    <w:rsid w:val="007030BB"/>
    <w:rsid w:val="008030B9"/>
    <w:rsid w:val="008B5BF7"/>
    <w:rsid w:val="008C0C97"/>
    <w:rsid w:val="00930FEE"/>
    <w:rsid w:val="009A3B5D"/>
    <w:rsid w:val="00AA3DD8"/>
    <w:rsid w:val="00CD19F5"/>
    <w:rsid w:val="00DC2AEB"/>
    <w:rsid w:val="00EC52AB"/>
  </w:rsids>
  <m:mathPr>
    <m:mathFont m:val="Times New Roman"/>
    <m:brkBin m:val="before"/>
    <m:brkBinSub m:val="--"/>
    <m:smallFrac m:val="off"/>
    <m:dispDef m:val="off"/>
    <m:lMargin m:val="0"/>
    <m:rMargin m:val="0"/>
    <m:wrapRight/>
    <m:intLim m:val="subSup"/>
    <m:naryLim m:val="subSup"/>
  </m:mathPr>
  <w:uiCompat97To2003/>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semiHidden="0"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nhideWhenUsed="0"/>
    <w:lsdException w:name="Subtitle" w:semiHidden="0" w:uiPriority="11" w:unhideWhenUsed="0" w:qFormat="1"/>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30BB"/>
    <w:rPr>
      <w:sz w:val="24"/>
      <w:szCs w:val="24"/>
    </w:rPr>
  </w:style>
  <w:style w:type="paragraph" w:styleId="Heading1">
    <w:name w:val="heading 1"/>
    <w:basedOn w:val="Normal"/>
    <w:next w:val="Normal"/>
    <w:link w:val="Heading1Char"/>
    <w:uiPriority w:val="99"/>
    <w:qFormat/>
    <w:rsid w:val="00427D99"/>
    <w:pPr>
      <w:keepNext/>
      <w:spacing w:before="240" w:after="60"/>
      <w:outlineLvl w:val="0"/>
    </w:pPr>
    <w:rPr>
      <w:rFonts w:ascii="Arial" w:hAnsi="Arial"/>
      <w:b/>
      <w:kern w:val="32"/>
      <w:sz w:val="32"/>
      <w:szCs w:val="32"/>
    </w:rPr>
  </w:style>
  <w:style w:type="paragraph" w:styleId="Heading3">
    <w:name w:val="heading 3"/>
    <w:basedOn w:val="Normal"/>
    <w:link w:val="Heading3Char"/>
    <w:uiPriority w:val="99"/>
    <w:qFormat/>
    <w:rsid w:val="00427D99"/>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99"/>
    <w:semiHidden/>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1Char">
    <w:name w:val="Heading 1 Char"/>
    <w:basedOn w:val="DefaultParagraphFont"/>
    <w:link w:val="Heading1"/>
    <w:uiPriority w:val="99"/>
    <w:rsid w:val="009A3B5D"/>
    <w:rPr>
      <w:rFonts w:ascii="Calibri" w:hAnsi="Calibri" w:cs="Times New Roman"/>
      <w:b/>
      <w:bCs/>
      <w:kern w:val="32"/>
      <w:sz w:val="32"/>
    </w:rPr>
  </w:style>
  <w:style w:type="character" w:customStyle="1" w:styleId="Heading3Char">
    <w:name w:val="Heading 3 Char"/>
    <w:basedOn w:val="DefaultParagraphFont"/>
    <w:link w:val="Heading3"/>
    <w:uiPriority w:val="99"/>
    <w:semiHidden/>
    <w:rsid w:val="009A3B5D"/>
    <w:rPr>
      <w:rFonts w:ascii="Calibri" w:hAnsi="Calibri" w:cs="Times New Roman"/>
      <w:b/>
      <w:bCs/>
      <w:sz w:val="26"/>
    </w:rPr>
  </w:style>
  <w:style w:type="paragraph" w:styleId="NormalWeb">
    <w:name w:val="Normal (Web)"/>
    <w:basedOn w:val="Normal"/>
    <w:uiPriority w:val="99"/>
    <w:rsid w:val="00427D99"/>
    <w:pPr>
      <w:spacing w:before="100" w:beforeAutospacing="1" w:after="100" w:afterAutospacing="1"/>
    </w:pPr>
    <w:rPr>
      <w:rFonts w:ascii="Georgia" w:eastAsia="SimSun" w:hAnsi="Georgia"/>
      <w:color w:val="000000"/>
      <w:sz w:val="21"/>
      <w:szCs w:val="21"/>
      <w:lang w:val="en-GB" w:eastAsia="zh-CN"/>
    </w:rPr>
  </w:style>
  <w:style w:type="character" w:customStyle="1" w:styleId="a-size-large">
    <w:name w:val="a-size-large"/>
    <w:basedOn w:val="DefaultParagraphFont"/>
    <w:uiPriority w:val="99"/>
    <w:rsid w:val="00427D99"/>
    <w:rPr>
      <w:rFonts w:cs="Times New Roman"/>
    </w:rPr>
  </w:style>
  <w:style w:type="character" w:customStyle="1" w:styleId="apple-converted-space">
    <w:name w:val="apple-converted-space"/>
    <w:basedOn w:val="DefaultParagraphFont"/>
    <w:uiPriority w:val="99"/>
    <w:rsid w:val="00427D99"/>
    <w:rPr>
      <w:rFonts w:cs="Times New Roman"/>
    </w:rPr>
  </w:style>
  <w:style w:type="character" w:customStyle="1" w:styleId="a-size-mediuma-color-secondarya-text-normal">
    <w:name w:val="a-size-medium a-color-secondary a-text-normal"/>
    <w:basedOn w:val="DefaultParagraphFont"/>
    <w:uiPriority w:val="99"/>
    <w:rsid w:val="00427D99"/>
    <w:rPr>
      <w:rFonts w:cs="Times New Roman"/>
    </w:rPr>
  </w:style>
  <w:style w:type="character" w:customStyle="1" w:styleId="a">
    <w:name w:val="a"/>
    <w:basedOn w:val="DefaultParagraphFont"/>
    <w:uiPriority w:val="99"/>
    <w:rsid w:val="00427D99"/>
    <w:rPr>
      <w:rFonts w:cs="Times New Roman"/>
    </w:rPr>
  </w:style>
</w:styles>
</file>

<file path=word/webSettings.xml><?xml version="1.0" encoding="utf-8"?>
<w:webSettings xmlns:r="http://schemas.openxmlformats.org/officeDocument/2006/relationships" xmlns:w="http://schemas.openxmlformats.org/wordprocessingml/2006/main">
  <w:doNotRelyOnCSS/>
  <w:doNotSaveAsSingleFile/>
  <w:doNotOrganizeInFolder/>
  <w:doNotUseLongFileNames/>
  <w:pixelsPerInch w:val="0"/>
  <w:targetScreenSz w:val="544x37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155</TotalTime>
  <Pages>8</Pages>
  <Words>1844</Words>
  <Characters>9961</Characters>
  <Application>Microsoft Macintosh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lynne eller</dc:creator>
  <cp:keywords/>
  <cp:lastModifiedBy>lynne eller</cp:lastModifiedBy>
  <cp:revision>12</cp:revision>
  <dcterms:created xsi:type="dcterms:W3CDTF">2019-01-25T16:50:00Z</dcterms:created>
  <dcterms:modified xsi:type="dcterms:W3CDTF">2019-01-25T17:04:00Z</dcterms:modified>
</cp:coreProperties>
</file>